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60414ca7704c416a" /></Relationships>
</file>

<file path=word/document.xml><?xml version="1.0" encoding="utf-8"?>
<w:document xmlns:r="http://schemas.openxmlformats.org/officeDocument/2006/relationships" xmlns:w="http://schemas.openxmlformats.org/wordprocessingml/2006/main">
  <w:body>
    <w:p>
      <w:pPr>
        <w:spacing w:before="2400"/>
      </w:pPr>
      <w:r/>
    </w:p>
    <w:p>
      <w:pPr>
        <w:spacing w:after="400"/>
        <w:jc w:val="center"/>
      </w:pPr>
      <w:r>
        <w:rPr>
          <w:b/>
          <w:color w:val="2C3E50"/>
          <w:spacing w:val="60"/>
          <w:sz w:val="72"/>
        </w:rPr>
        <w:t>ANNEX D</w:t>
      </w:r>
    </w:p>
    <w:p>
      <w:pPr>
        <w:pBdr>
          <w:bottom w:val="single" w:color="2C3E50" w:sz="12" w:space="1"/>
        </w:pBdr>
        <w:spacing w:after="400"/>
        <w:jc w:val="center"/>
      </w:pPr>
      <w:r/>
    </w:p>
    <w:p>
      <w:pPr>
        <w:spacing w:after="200"/>
        <w:jc w:val="center"/>
      </w:pPr>
      <w:r>
        <w:rPr>
          <w:b/>
          <w:color w:val="34495E"/>
          <w:sz w:val="36"/>
        </w:rPr>
        <w:t>15-Day Rolling Verification Cadence Template</w:t>
      </w:r>
    </w:p>
    <w:p>
      <w:pPr>
        <w:spacing w:after="600"/>
        <w:jc w:val="center"/>
      </w:pPr>
      <w:r>
        <w:rPr>
          <w:color w:val="4A5568"/>
          <w:sz w:val="24"/>
        </w:rPr>
        <w:t>Standardized Reporting Format for the Technical Working Group</w:t>
      </w:r>
    </w:p>
    <w:p>
      <w:pPr>
        <w:spacing w:after="1200"/>
        <w:jc w:val="center"/>
      </w:pPr>
      <w:r>
        <w:rPr>
          <w:b/>
          <w:color w:val="2C5282"/>
          <w:sz w:val="28"/>
        </w:rPr>
        <w:t>Coordinated Technical Activation Framework</w:t>
      </w:r>
    </w:p>
    <w:p>
      <w:pPr>
        <w:spacing w:after="200"/>
        <w:jc w:val="center"/>
      </w:pPr>
      <w:r>
        <w:rPr>
          <w:color w:val="1A252F"/>
          <w:sz w:val="24"/>
        </w:rPr>
        <w:t>CTAF-2026-001 --- Annex D</w:t>
      </w:r>
    </w:p>
    <w:p>
      <w:pPr>
        <w:spacing w:after="400"/>
        <w:jc w:val="center"/>
      </w:pPr>
      <w:r>
        <w:rPr>
          <w:color w:val="4A5568"/>
          <w:sz w:val="22"/>
        </w:rPr>
        <w:t>Version 1.0  |  June 2026</w:t>
      </w:r>
    </w:p>
    <w:p>
      <w:pPr>
        <w:spacing w:after="2000"/>
        <w:jc w:val="center"/>
      </w:pPr>
      <w:r>
        <w:rPr>
          <w:color w:val="718096"/>
          <w:sz w:val="22"/>
        </w:rPr>
        <w:t>Status: Drafted by Swiss Technical Advisors</w:t>
      </w:r>
    </w:p>
    <w:p>
      <w:pPr>
        <w:pBdr>
          <w:top w:val="single" w:color="CBD5E0" w:sz="6" w:space="1"/>
        </w:pBdr>
        <w:spacing w:before="600"/>
        <w:jc w:val="center"/>
      </w:pPr>
      <w:r>
        <w:rPr>
          <w:color w:val="718096"/>
          <w:sz w:val="18"/>
        </w:rPr>
        <w:t>CONFIDENTIAL / FOR MEDIATOR USE ONLY</w:t>
      </w:r>
    </w:p>
    <w:p>
      <w:pPr>
        <w:sectPr>
          <w:type w:val="nextPage"/>
          <w:pgSz w:w="11906" w:h="16838"/>
          <w:pgMar w:top="1440" w:right="1440" w:bottom="1440" w:left="1440" w:header="720" w:footer="720"/>
        </w:sectPr>
      </w:pPr>
    </w:p>
    <w:p>
      <w:pPr>
        <w:spacing w:before="400" w:after="200"/>
        <w:jc w:val="left"/>
      </w:pPr>
      <w:r>
        <w:rPr>
          <w:b/>
          <w:color w:val="2C3E50"/>
          <w:sz w:val="36"/>
        </w:rPr>
        <w:t>Table of Contents</w:t>
      </w:r>
    </w:p>
    <w:p>
      <w:pPr>
        <w:spacing w:after="300"/>
      </w:pPr>
      <w:r>
        <w:rPr>
          <w:color w:val="718096"/>
          <w:sz w:val="18"/>
        </w:rPr>
        <w:t>Right-click the TOC and select "Update Field" to refresh page numbers</w:t>
      </w:r>
    </w:p>
    <w:p>
      <w:r>
        <w:fldChar w:fldCharType="begin"/>
      </w:r>
      <w:r>
        <w:instrText xml:space="preserve"> TOC \o "1-3" \h \z \u </w:instrText>
      </w:r>
      <w:r>
        <w:fldChar w:fldCharType="separate"/>
      </w:r>
    </w:p>
    <w:p>
      <w:pPr>
        <w:pStyle w:val="TOC1"/>
      </w:pPr>
      <w:r>
        <w:t>Article 1: Purpose and Scope</w:t>
      </w:r>
      <w:r>
        <w:tab/>
      </w:r>
      <w:r>
        <w:t>3</w:t>
      </w:r>
    </w:p>
    <w:p>
      <w:pPr>
        <w:pStyle w:val="TOC2"/>
      </w:pPr>
      <w:r>
        <w:t>1.1 Purpose</w:t>
      </w:r>
      <w:r>
        <w:tab/>
      </w:r>
      <w:r>
        <w:t>3</w:t>
      </w:r>
    </w:p>
    <w:p>
      <w:pPr>
        <w:pStyle w:val="TOC2"/>
      </w:pPr>
      <w:r>
        <w:t>1.2 Scope</w:t>
      </w:r>
      <w:r>
        <w:tab/>
      </w:r>
      <w:r>
        <w:t>3</w:t>
      </w:r>
    </w:p>
    <w:p>
      <w:pPr>
        <w:pStyle w:val="TOC2"/>
      </w:pPr>
      <w:r>
        <w:t>1.3 Relationship to Other Annexes</w:t>
      </w:r>
      <w:r>
        <w:tab/>
      </w:r>
      <w:r>
        <w:t>3</w:t>
      </w:r>
    </w:p>
    <w:p>
      <w:pPr>
        <w:pStyle w:val="TOC2"/>
      </w:pPr>
      <w:r>
        <w:t>1.4 Timing and Deadlines</w:t>
      </w:r>
      <w:r>
        <w:tab/>
      </w:r>
      <w:r>
        <w:t>4</w:t>
      </w:r>
    </w:p>
    <w:p>
      <w:pPr>
        <w:pStyle w:val="TOC1"/>
      </w:pPr>
      <w:r>
        <w:t>Article 2: Reporting Cycle Structure</w:t>
      </w:r>
      <w:r>
        <w:tab/>
      </w:r>
      <w:r>
        <w:t>5</w:t>
      </w:r>
    </w:p>
    <w:p>
      <w:pPr>
        <w:pStyle w:val="TOC2"/>
      </w:pPr>
      <w:r>
        <w:t>2.1 Cycle Definition</w:t>
      </w:r>
      <w:r>
        <w:tab/>
      </w:r>
      <w:r>
        <w:t>5</w:t>
      </w:r>
    </w:p>
    <w:p>
      <w:pPr>
        <w:pStyle w:val="TOC2"/>
      </w:pPr>
      <w:r>
        <w:t>2.2 Cycle Naming Convention</w:t>
      </w:r>
      <w:r>
        <w:tab/>
      </w:r>
      <w:r>
        <w:t>5</w:t>
      </w:r>
    </w:p>
    <w:p>
      <w:pPr>
        <w:pStyle w:val="TOC2"/>
      </w:pPr>
      <w:r>
        <w:t>2.3 48-Hour Period Sub-Reporting</w:t>
      </w:r>
      <w:r>
        <w:tab/>
      </w:r>
      <w:r>
        <w:t>6</w:t>
      </w:r>
    </w:p>
    <w:p>
      <w:pPr>
        <w:pStyle w:val="TOC2"/>
      </w:pPr>
      <w:r>
        <w:t>2.4 Cycle-Level Determination</w:t>
      </w:r>
      <w:r>
        <w:tab/>
      </w:r>
      <w:r>
        <w:t>6</w:t>
      </w:r>
    </w:p>
    <w:p>
      <w:pPr>
        <w:pStyle w:val="TOC1"/>
      </w:pPr>
      <w:r>
        <w:t>Article 3: Verification Data Submission</w:t>
      </w:r>
      <w:r>
        <w:tab/>
      </w:r>
      <w:r>
        <w:t>7</w:t>
      </w:r>
    </w:p>
    <w:p>
      <w:pPr>
        <w:pStyle w:val="TOC2"/>
      </w:pPr>
      <w:r>
        <w:t>3.1 Data Sources</w:t>
      </w:r>
      <w:r>
        <w:tab/>
      </w:r>
      <w:r>
        <w:t>7</w:t>
      </w:r>
    </w:p>
    <w:p>
      <w:pPr>
        <w:pStyle w:val="TOC2"/>
      </w:pPr>
      <w:r>
        <w:t>3.2 Data Fields</w:t>
      </w:r>
      <w:r>
        <w:tab/>
      </w:r>
      <w:r>
        <w:t>7</w:t>
      </w:r>
    </w:p>
    <w:p>
      <w:pPr>
        <w:pStyle w:val="TOC2"/>
      </w:pPr>
      <w:r>
        <w:t>3.3 Data Completeness Check</w:t>
      </w:r>
      <w:r>
        <w:tab/>
      </w:r>
      <w:r>
        <w:t>8</w:t>
      </w:r>
    </w:p>
    <w:p>
      <w:pPr>
        <w:pStyle w:val="TOC1"/>
      </w:pPr>
      <w:r>
        <w:t>Article 4: Metric-by-Metric Assessment</w:t>
      </w:r>
      <w:r>
        <w:tab/>
      </w:r>
      <w:r>
        <w:t>9</w:t>
      </w:r>
    </w:p>
    <w:p>
      <w:pPr>
        <w:pStyle w:val="TOC2"/>
      </w:pPr>
      <w:r>
        <w:t>4.1 Transit Speed Assessment</w:t>
      </w:r>
      <w:r>
        <w:tab/>
      </w:r>
      <w:r>
        <w:t>9</w:t>
      </w:r>
    </w:p>
    <w:p>
      <w:pPr>
        <w:pStyle w:val="TOC2"/>
      </w:pPr>
      <w:r>
        <w:t>4.2 Lane Adherence Assessment</w:t>
      </w:r>
      <w:r>
        <w:tab/>
      </w:r>
      <w:r>
        <w:t>9</w:t>
      </w:r>
    </w:p>
    <w:p>
      <w:pPr>
        <w:pStyle w:val="TOC2"/>
      </w:pPr>
      <w:r>
        <w:t>4.3 Non-Interference Assessment</w:t>
      </w:r>
      <w:r>
        <w:tab/>
      </w:r>
      <w:r>
        <w:t>10</w:t>
      </w:r>
    </w:p>
    <w:p>
      <w:pPr>
        <w:pStyle w:val="TOC2"/>
      </w:pPr>
      <w:r>
        <w:t>4.4 AIS Continuity Assessment</w:t>
      </w:r>
      <w:r>
        <w:tab/>
      </w:r>
      <w:r>
        <w:t>10</w:t>
      </w:r>
    </w:p>
    <w:p>
      <w:pPr>
        <w:pStyle w:val="TOC2"/>
      </w:pPr>
      <w:r>
        <w:t>4.5 Overall 48-Hour Period Assessment</w:t>
      </w:r>
      <w:r>
        <w:tab/>
      </w:r>
      <w:r>
        <w:t>11</w:t>
      </w:r>
    </w:p>
    <w:p>
      <w:pPr>
        <w:pStyle w:val="TOC1"/>
      </w:pPr>
      <w:r>
        <w:t>Article 5: Corroboration Record</w:t>
      </w:r>
      <w:r>
        <w:tab/>
      </w:r>
      <w:r>
        <w:t>12</w:t>
      </w:r>
    </w:p>
    <w:p>
      <w:pPr>
        <w:pStyle w:val="TOC2"/>
      </w:pPr>
      <w:r>
        <w:t>5.1 Corroboration Standard</w:t>
      </w:r>
      <w:r>
        <w:tab/>
      </w:r>
      <w:r>
        <w:t>12</w:t>
      </w:r>
    </w:p>
    <w:p>
      <w:pPr>
        <w:pStyle w:val="TOC2"/>
      </w:pPr>
      <w:r>
        <w:t>5.2 Corroboration Sources</w:t>
      </w:r>
      <w:r>
        <w:tab/>
      </w:r>
      <w:r>
        <w:t>12</w:t>
      </w:r>
    </w:p>
    <w:p>
      <w:pPr>
        <w:pStyle w:val="TOC2"/>
      </w:pPr>
      <w:r>
        <w:t>5.3 Corroboration Status Codes</w:t>
      </w:r>
      <w:r>
        <w:tab/>
      </w:r>
      <w:r>
        <w:t>13</w:t>
      </w:r>
    </w:p>
    <w:p>
      <w:pPr>
        <w:pStyle w:val="TOC2"/>
      </w:pPr>
      <w:r>
        <w:t>5.4 Corroboration Confidence Level</w:t>
      </w:r>
      <w:r>
        <w:tab/>
      </w:r>
      <w:r>
        <w:t>13</w:t>
      </w:r>
    </w:p>
    <w:p>
      <w:pPr>
        <w:pStyle w:val="TOC1"/>
      </w:pPr>
      <w:r>
        <w:t>Article 6: Discrepancy and Dispute Reporting</w:t>
      </w:r>
      <w:r>
        <w:tab/>
      </w:r>
      <w:r>
        <w:t>14</w:t>
      </w:r>
    </w:p>
    <w:p>
      <w:pPr>
        <w:pStyle w:val="TOC2"/>
      </w:pPr>
      <w:r>
        <w:t>6.1 Discrepancy Identification</w:t>
      </w:r>
      <w:r>
        <w:tab/>
      </w:r>
      <w:r>
        <w:t>14</w:t>
      </w:r>
    </w:p>
    <w:p>
      <w:pPr>
        <w:pStyle w:val="TOC2"/>
      </w:pPr>
      <w:r>
        <w:t>6.2 Discrepancy Resolution</w:t>
      </w:r>
      <w:r>
        <w:tab/>
      </w:r>
      <w:r>
        <w:t>14</w:t>
      </w:r>
    </w:p>
    <w:p>
      <w:pPr>
        <w:pStyle w:val="TOC2"/>
      </w:pPr>
      <w:r>
        <w:t>6.3 Discrepancy Log</w:t>
      </w:r>
      <w:r>
        <w:tab/>
      </w:r>
      <w:r>
        <w:t>15</w:t>
      </w:r>
    </w:p>
    <w:p>
      <w:pPr>
        <w:pStyle w:val="TOC2"/>
      </w:pPr>
      <w:r>
        <w:t>6.4 Dispute Escalation</w:t>
      </w:r>
      <w:r>
        <w:tab/>
      </w:r>
      <w:r>
        <w:t>15</w:t>
      </w:r>
    </w:p>
    <w:p>
      <w:pPr>
        <w:pStyle w:val="TOC2"/>
      </w:pPr>
      <w:r>
        <w:t>6.5 Dispute Reporting</w:t>
      </w:r>
      <w:r>
        <w:tab/>
      </w:r>
      <w:r>
        <w:t>15</w:t>
      </w:r>
    </w:p>
    <w:p>
      <w:pPr>
        <w:pStyle w:val="TOC1"/>
      </w:pPr>
      <w:r>
        <w:t>Article 7: Activation Recommendation</w:t>
      </w:r>
      <w:r>
        <w:tab/>
      </w:r>
      <w:r>
        <w:t>16</w:t>
      </w:r>
    </w:p>
    <w:p>
      <w:pPr>
        <w:pStyle w:val="TOC2"/>
      </w:pPr>
      <w:r>
        <w:t>7.1 48-Hour Period Activation</w:t>
      </w:r>
      <w:r>
        <w:tab/>
      </w:r>
      <w:r>
        <w:t>16</w:t>
      </w:r>
    </w:p>
    <w:p>
      <w:pPr>
        <w:pStyle w:val="TOC2"/>
      </w:pPr>
      <w:r>
        <w:t>7.2 Cycle-Level Activation Recommendation</w:t>
      </w:r>
      <w:r>
        <w:tab/>
      </w:r>
      <w:r>
        <w:t>16</w:t>
      </w:r>
    </w:p>
    <w:p>
      <w:pPr>
        <w:pStyle w:val="TOC2"/>
      </w:pPr>
      <w:r>
        <w:t>7.3 Recommendation Format</w:t>
      </w:r>
      <w:r>
        <w:tab/>
      </w:r>
      <w:r>
        <w:t>17</w:t>
      </w:r>
    </w:p>
    <w:p>
      <w:pPr>
        <w:pStyle w:val="TOC2"/>
      </w:pPr>
      <w:r>
        <w:t>7.4 Non-Activation Recommendation</w:t>
      </w:r>
      <w:r>
        <w:tab/>
      </w:r>
      <w:r>
        <w:t>17</w:t>
      </w:r>
    </w:p>
    <w:p>
      <w:pPr>
        <w:pStyle w:val="TOC1"/>
      </w:pPr>
      <w:r>
        <w:t>Article 8: Submission and Endorsement</w:t>
      </w:r>
      <w:r>
        <w:tab/>
      </w:r>
      <w:r>
        <w:t>18</w:t>
      </w:r>
    </w:p>
    <w:p>
      <w:pPr>
        <w:pStyle w:val="TOC2"/>
      </w:pPr>
      <w:r>
        <w:t>8.1 Submission Deadline</w:t>
      </w:r>
      <w:r>
        <w:tab/>
      </w:r>
      <w:r>
        <w:t>18</w:t>
      </w:r>
    </w:p>
    <w:p>
      <w:pPr>
        <w:pStyle w:val="TOC2"/>
      </w:pPr>
      <w:r>
        <w:t>8.2 Submission Format</w:t>
      </w:r>
      <w:r>
        <w:tab/>
      </w:r>
      <w:r>
        <w:t>18</w:t>
      </w:r>
    </w:p>
    <w:p>
      <w:pPr>
        <w:pStyle w:val="TOC2"/>
      </w:pPr>
      <w:r>
        <w:t>8.3 Joint Secretariat Review</w:t>
      </w:r>
      <w:r>
        <w:tab/>
      </w:r>
      <w:r>
        <w:t>18</w:t>
      </w:r>
    </w:p>
    <w:p>
      <w:pPr>
        <w:pStyle w:val="TOC2"/>
      </w:pPr>
      <w:r>
        <w:t>8.4 Co-Chairs Endorsement</w:t>
      </w:r>
      <w:r>
        <w:tab/>
      </w:r>
      <w:r>
        <w:t>19</w:t>
      </w:r>
    </w:p>
    <w:p>
      <w:pPr>
        <w:pStyle w:val="TOC2"/>
      </w:pPr>
      <w:r>
        <w:t>8.5 Transmission to Qatari Central Bank</w:t>
      </w:r>
      <w:r>
        <w:tab/>
      </w:r>
      <w:r>
        <w:t>19</w:t>
      </w:r>
    </w:p>
    <w:p>
      <w:pPr>
        <w:pStyle w:val="TOC1"/>
      </w:pPr>
      <w:r>
        <w:t>Appendix A: Cycle Report Template</w:t>
      </w:r>
      <w:r>
        <w:tab/>
      </w:r>
      <w:r>
        <w:t>20</w:t>
      </w:r>
    </w:p>
    <w:p>
      <w:pPr>
        <w:pStyle w:val="TOC1"/>
      </w:pPr>
      <w:r>
        <w:t>Appendix B: Metric Verification Checklist</w:t>
      </w:r>
      <w:r>
        <w:tab/>
      </w:r>
      <w:r>
        <w:t>22</w:t>
      </w:r>
    </w:p>
    <w:p>
      <w:pPr>
        <w:pStyle w:val="TOC1"/>
      </w:pPr>
      <w:r>
        <w:t>Appendix C: Discrepancy Resolution Log</w:t>
      </w:r>
      <w:r>
        <w:tab/>
      </w:r>
      <w:r>
        <w:t>24</w:t>
      </w:r>
    </w:p>
    <w:p>
      <w:r>
        <w:fldChar w:fldCharType="end"/>
      </w:r>
    </w:p>
    <w:p>
      <w:pPr>
        <w:sectPr>
          <w:type w:val="nextPage"/>
          <w:pgSz w:w="11906" w:h="16838"/>
          <w:pgMar w:top="1440" w:right="1440" w:bottom="1440" w:left="1440" w:header="720" w:footer="720"/>
        </w:sectPr>
      </w:pPr>
    </w:p>
    <w:p>
      <w:pPr>
        <w:pStyle w:val="Heading1"/>
      </w:pPr>
      <w:r>
        <w:t>Article 1: Purpose and Scope</w:t>
      </w:r>
      <w:bookmarkStart w:name="_TocArt1" w:id="1"/>
      <w:bookmarkEnd w:id="1"/>
    </w:p>
    <w:p>
      <w:pPr>
        <w:pStyle w:val="Heading2"/>
      </w:pPr>
      <w:r>
        <w:t>1.1 Purpose</w:t>
      </w:r>
    </w:p>
    <w:p>
      <w:r>
        <w:t>This Annex establishes the standardized format and procedural requirements for the 15-day rolling verification cadence referenced in Section 3.2 and Section 6 of the CTAF. The cadence ensures consistent, objective, and timely reporting of transit verification data by the Technical Working Group (TWG) to the Co-Chairs, the Joint Secretariat, and the Qatari Central Bank.</w:t>
      </w:r>
    </w:p>
    <w:p>
      <w:pPr>
        <w:pStyle w:val="Heading2"/>
      </w:pPr>
      <w:r>
        <w:t>1.2 Scope</w:t>
      </w:r>
    </w:p>
    <w:p>
      <w:r>
        <w:t>This Annex applies to all 15-day verification cycles (Cycles 1 through 4) during the 60-day interim period established under the Islamabad MoU, as specified in Section 5.2 of the CTAF. Each cycle produces a Cycle Report that documents transit metrics, corroboration status, discrepancies, and activation recommendations.</w:t>
      </w:r>
    </w:p>
    <w:p>
      <w:pPr>
        <w:pStyle w:val="Heading2"/>
      </w:pPr>
      <w:r>
        <w:t>1.3 Relationship to Other Annexes</w:t>
      </w:r>
    </w:p>
    <w:p>
      <w:r>
        <w:t>This Annex operates in conjunction with:</w:t>
      </w:r>
    </w:p>
    <w:p>
      <w:pPr>
        <w:spacing w:after="80"/>
        <w:ind w:left="720" w:hanging="360"/>
      </w:pPr>
      <w:r>
        <w:rPr>
          <w:color w:val="1A252F"/>
        </w:rPr>
        <w:t>•  Annex A (Technical Metrics): Provides the metric standards against which transit data is assessed.</w:t>
      </w:r>
    </w:p>
    <w:p>
      <w:pPr>
        <w:spacing w:after="80"/>
        <w:ind w:left="720" w:hanging="360"/>
      </w:pPr>
      <w:r>
        <w:rPr>
          <w:color w:val="1A252F"/>
        </w:rPr>
        <w:t>•  Annex B (Maritime Monitoring): Provides the independent monitoring data for corroboration.</w:t>
      </w:r>
    </w:p>
    <w:p>
      <w:pPr>
        <w:spacing w:after="80"/>
        <w:ind w:left="720" w:hanging="360"/>
      </w:pPr>
      <w:r>
        <w:rPr>
          <w:color w:val="1A252F"/>
        </w:rPr>
        <w:t>•  Annex C (Escrow Release Mechanics): Defines how verified cycles trigger financial activation.</w:t>
      </w:r>
    </w:p>
    <w:p>
      <w:pPr>
        <w:spacing w:after="80"/>
        <w:ind w:left="720" w:hanging="360"/>
      </w:pPr>
      <w:r>
        <w:rPr>
          <w:color w:val="1A252F"/>
        </w:rPr>
        <w:t>•  CTAF Section 5.2 (Performance-Indexed Tranches): Defines the $200 million per 48-hour period release structure.</w:t>
      </w:r>
    </w:p>
    <w:p>
      <w:pPr>
        <w:pStyle w:val="Heading2"/>
      </w:pPr>
      <w:r>
        <w:t>1.4 Timing and Deadlines</w:t>
      </w:r>
    </w:p>
    <w:p>
      <w:r>
        <w:t>Each 15-day cycle commences immediately upon the conclusion of the previous cycle. The TWG submits the Cycle Report to the Joint Secretariat within 72 hours of the cycle's conclusion. The Joint Secretariat forwards the report to the Co-Chairs and Qatari Central Bank within 24 hours of receipt.</w:t>
      </w:r>
    </w:p>
    <w:p>
      <w:pPr>
        <w:pStyle w:val="Heading1"/>
      </w:pPr>
      <w:r>
        <w:t>Article 2: Reporting Cycle Structure</w:t>
      </w:r>
      <w:bookmarkStart w:name="_TocArt2" w:id="2"/>
      <w:bookmarkEnd w:id="2"/>
    </w:p>
    <w:p>
      <w:pPr>
        <w:pStyle w:val="Heading2"/>
      </w:pPr>
      <w:r>
        <w:t>2.1 Cycle Definition</w:t>
      </w:r>
    </w:p>
    <w:p>
      <w:r>
        <w:t>A "verification cycle" means a continuous 15-day period beginning at T+0 (the moment of Framework endorsement) and proceeding consecutively through Day 15 (Cycle 1), Day 30 (Cycle 2), Day 45 (Cycle 3), and Day 60 (Cycle 4), or such adjusted dates as the Co-Chairs determine by mutual agreement.</w:t>
      </w:r>
    </w:p>
    <w:p>
      <w:pPr>
        <w:pStyle w:val="Heading2"/>
      </w:pPr>
      <w:r>
        <w:t>2.2 Cycle Naming Convention</w:t>
      </w:r>
    </w:p>
    <w:p>
      <w:r>
        <w:t>Each Cycle Report bears a name using the following convention:</w:t>
      </w:r>
    </w:p>
    <w:p>
      <w:pPr>
        <w:shd w:val="clear" w:fill="F7FAFC"/>
        <w:spacing w:before="120" w:after="120"/>
        <w:jc w:val="center"/>
      </w:pPr>
      <w:r>
        <w:rPr>
          <w:rFonts w:ascii="Consolas" w:hAnsi="Consolas"/>
          <w:color w:val="2C5282"/>
          <w:sz w:val="20"/>
        </w:rPr>
        <w:t>CTAF-2026-001_Cycle_[Number]_[StartDate]-[EndDate]_v[Version]</w:t>
      </w:r>
    </w:p>
    <w:p>
      <w:r>
        <w:t>Example: CTAF-2026-001_Cycle_1_20260601-20260615_v1.0</w:t>
      </w:r>
    </w:p>
    <w:p>
      <w:pPr>
        <w:pStyle w:val="Heading2"/>
      </w:pPr>
      <w:r>
        <w:t>2.3 48-Hour Period Sub-Reporting</w:t>
      </w:r>
    </w:p>
    <w:p>
      <w:r>
        <w:t>Each 15-day cycle consists of seven 48-hour periods (with the final period being 36 hours, as 15 days equals 360 hours, which equals seven 48-hour periods plus 24 hours). The TWG records metrics for each 48-hour period individually and aggregates them for the cycle-level determination.</w:t>
      </w:r>
    </w:p>
    <w:p>
      <w:pPr>
        <w:pStyle w:val="Heading2"/>
      </w:pPr>
      <w:r>
        <w:t>2.4 Cycle-Level Determination</w:t>
      </w:r>
    </w:p>
    <w:p>
      <w:r>
        <w:t>A cycle is "successful" when at least 85 percent of all 48-hour periods within that cycle qualify as successful 48-hour periods, per Annex A, Section 4.3.4. The TWG's Cycle Report includes both the individual 48-hour period assessments and the overall cycle determination.</w:t>
      </w:r>
    </w:p>
    <w:p>
      <w:pPr>
        <w:pStyle w:val="Heading1"/>
      </w:pPr>
      <w:r>
        <w:t>Article 3: Verification Data Submission</w:t>
      </w:r>
      <w:bookmarkStart w:name="_TocArt3" w:id="3"/>
      <w:bookmarkEnd w:id="3"/>
    </w:p>
    <w:p>
      <w:pPr>
        <w:pStyle w:val="Heading2"/>
      </w:pPr>
      <w:r>
        <w:t>3.1 Data Sources</w:t>
      </w:r>
    </w:p>
    <w:p>
      <w:r>
        <w:t>The TWG compiles the Cycle Report using data from the following sources:</w:t>
      </w:r>
    </w:p>
    <w:p>
      <w:pPr>
        <w:spacing w:after="80"/>
        <w:ind w:left="720" w:hanging="360"/>
      </w:pPr>
      <w:r>
        <w:rPr>
          <w:color w:val="1A252F"/>
        </w:rPr>
        <w:t>•  Primary Transit Data: Received from the Joint Iran-Oman Committee on the Strait of Hormuz via the Swiss relay (per CTAF Section 3.2).</w:t>
      </w:r>
    </w:p>
    <w:p>
      <w:pPr>
        <w:spacing w:after="80"/>
        <w:ind w:left="720" w:hanging="360"/>
      </w:pPr>
      <w:r>
        <w:rPr>
          <w:color w:val="1A252F"/>
        </w:rPr>
        <w:t>•  Corroboration Data 1: Satellite-based AIS (per Annex B, Article 3.1).</w:t>
      </w:r>
    </w:p>
    <w:p>
      <w:pPr>
        <w:spacing w:after="80"/>
        <w:ind w:left="720" w:hanging="360"/>
      </w:pPr>
      <w:r>
        <w:rPr>
          <w:color w:val="1A252F"/>
        </w:rPr>
        <w:t>•  Corroboration Data 2: Coastal radar integration (per Annex B, Article 3.2).</w:t>
      </w:r>
    </w:p>
    <w:p>
      <w:pPr>
        <w:spacing w:after="80"/>
        <w:ind w:left="720" w:hanging="360"/>
      </w:pPr>
      <w:r>
        <w:rPr>
          <w:color w:val="1A252F"/>
        </w:rPr>
        <w:t>•  Corroboration Data 3: UAV patrol routes (per Annex B, Article 3.3).</w:t>
      </w:r>
    </w:p>
    <w:p>
      <w:pPr>
        <w:pStyle w:val="Heading2"/>
      </w:pPr>
      <w:r>
        <w:t>3.2 Data Fields</w:t>
      </w:r>
    </w:p>
    <w:p>
      <w:r>
        <w:t>The Cycle Report includes the following fields for each transit and 48-hour period, per Annex B, Article 4.2:</w:t>
      </w:r>
    </w:p>
    <w:p>
      <w:pPr>
        <w:spacing w:after="80"/>
        <w:ind w:left="720" w:hanging="360"/>
      </w:pPr>
      <w:r>
        <w:rPr>
          <w:color w:val="1A252F"/>
        </w:rPr>
        <w:t>•  Transit Speed: Average speed over ground (knots)</w:t>
      </w:r>
    </w:p>
    <w:p>
      <w:pPr>
        <w:spacing w:after="80"/>
        <w:ind w:left="720" w:hanging="360"/>
      </w:pPr>
      <w:r>
        <w:rPr>
          <w:color w:val="1A252F"/>
        </w:rPr>
        <w:t>•  Lane Deviation: Maximum distance from TSS centreline (nautical miles)</w:t>
      </w:r>
    </w:p>
    <w:p>
      <w:pPr>
        <w:spacing w:after="80"/>
        <w:ind w:left="720" w:hanging="360"/>
      </w:pPr>
      <w:r>
        <w:rPr>
          <w:color w:val="1A252F"/>
        </w:rPr>
        <w:t>•  Interference Events: Number of verified interference incidents</w:t>
      </w:r>
    </w:p>
    <w:p>
      <w:pPr>
        <w:spacing w:after="80"/>
        <w:ind w:left="720" w:hanging="360"/>
      </w:pPr>
      <w:r>
        <w:rPr>
          <w:color w:val="1A252F"/>
        </w:rPr>
        <w:t>•  AIS Downtime: Aggregate minutes without AIS signal</w:t>
      </w:r>
    </w:p>
    <w:p>
      <w:pPr>
        <w:spacing w:after="80"/>
        <w:ind w:left="720" w:hanging="360"/>
      </w:pPr>
      <w:r>
        <w:rPr>
          <w:color w:val="1A252F"/>
        </w:rPr>
        <w:t>•  Corridor Used: Northern or Southern (per Annex A, Section 2.3)</w:t>
      </w:r>
    </w:p>
    <w:p>
      <w:pPr>
        <w:pStyle w:val="Heading2"/>
      </w:pPr>
      <w:r>
        <w:t>3.3 Data Completeness Check</w:t>
      </w:r>
    </w:p>
    <w:p>
      <w:r>
        <w:t>The TWG verifies that all required data fields are present before submitting the Cycle Report. Missing data triggers a Data Completeness Alert, and the TWG requests the missing information from the relevant data source provider within 24 hours.</w:t>
      </w:r>
    </w:p>
    <w:p>
      <w:pPr>
        <w:pStyle w:val="Heading1"/>
      </w:pPr>
      <w:r>
        <w:t>Article 4: Metric-by-Metric Assessment</w:t>
      </w:r>
      <w:bookmarkStart w:name="_TocArt4" w:id="4"/>
      <w:bookmarkEnd w:id="4"/>
    </w:p>
    <w:p>
      <w:pPr>
        <w:pStyle w:val="Heading2"/>
      </w:pPr>
      <w:r>
        <w:t>4.1 Transit Speed Assessment</w:t>
      </w:r>
    </w:p>
    <w:p>
      <w:r>
        <w:t>The TWG assesses each transit against the minimum average speed of 12 knots (per Annex A, Section 3.1.1), with tolerance of up to 1.5 knots below the minimum (per Annex A, Section 3.1.2).</w:t>
      </w:r>
    </w:p>
    <w:p>
      <w:r>
        <w:t>For each 48-hour period, the TWG records:</w:t>
      </w:r>
    </w:p>
    <w:p>
      <w:pPr>
        <w:spacing w:after="80"/>
        <w:ind w:left="720" w:hanging="360"/>
      </w:pPr>
      <w:r>
        <w:rPr>
          <w:color w:val="1A252F"/>
        </w:rPr>
        <w:t>•  Number of transits that met the speed threshold</w:t>
      </w:r>
    </w:p>
    <w:p>
      <w:pPr>
        <w:spacing w:after="80"/>
        <w:ind w:left="720" w:hanging="360"/>
      </w:pPr>
      <w:r>
        <w:rPr>
          <w:color w:val="1A252F"/>
        </w:rPr>
        <w:t>•  Number of transits that fell below the speed threshold (with tolerance)</w:t>
      </w:r>
    </w:p>
    <w:p>
      <w:pPr>
        <w:spacing w:after="80"/>
        <w:ind w:left="720" w:hanging="360"/>
      </w:pPr>
      <w:r>
        <w:rPr>
          <w:color w:val="1A252F"/>
        </w:rPr>
        <w:t>•  Number of transits that exceeded the tolerance (failures)</w:t>
      </w:r>
    </w:p>
    <w:p>
      <w:pPr>
        <w:spacing w:after="80"/>
        <w:ind w:left="720" w:hanging="360"/>
      </w:pPr>
      <w:r>
        <w:rPr>
          <w:color w:val="1A252F"/>
        </w:rPr>
        <w:t>•  Percentage of successful transits for the speed metric</w:t>
      </w:r>
    </w:p>
    <w:p>
      <w:pPr>
        <w:pStyle w:val="Heading2"/>
      </w:pPr>
      <w:r>
        <w:t>4.2 Lane Adherence Assessment</w:t>
      </w:r>
    </w:p>
    <w:p>
      <w:r>
        <w:t>The TWG assesses each transit against the lane adherence standard of remaining within 0.5 nautical miles of the TSS lane centreline (per Annex A, Section 3.2.2), with exceptions for emergency maneuvers, weather avoidance, or VTS-directed maneuvers (per Annex A, Section 3.2.2).</w:t>
      </w:r>
    </w:p>
    <w:p>
      <w:r>
        <w:t>For each 48-hour period, the TWG records:</w:t>
      </w:r>
    </w:p>
    <w:p>
      <w:pPr>
        <w:spacing w:after="80"/>
        <w:ind w:left="720" w:hanging="360"/>
      </w:pPr>
      <w:r>
        <w:rPr>
          <w:color w:val="1A252F"/>
        </w:rPr>
        <w:t>•  Number of transits that met the lane adherence standard</w:t>
      </w:r>
    </w:p>
    <w:p>
      <w:pPr>
        <w:spacing w:after="80"/>
        <w:ind w:left="720" w:hanging="360"/>
      </w:pPr>
      <w:r>
        <w:rPr>
          <w:color w:val="1A252F"/>
        </w:rPr>
        <w:t>•  Number of transits with deviations exceeding the threshold (failures)</w:t>
      </w:r>
    </w:p>
    <w:p>
      <w:pPr>
        <w:spacing w:after="80"/>
        <w:ind w:left="720" w:hanging="360"/>
      </w:pPr>
      <w:r>
        <w:rPr>
          <w:color w:val="1A252F"/>
        </w:rPr>
        <w:t>•  Percentage of successful transits for the lane adherence metric</w:t>
      </w:r>
    </w:p>
    <w:p>
      <w:pPr>
        <w:pStyle w:val="Heading2"/>
      </w:pPr>
      <w:r>
        <w:t>4.3 Non-Interference Assessment</w:t>
      </w:r>
    </w:p>
    <w:p>
      <w:r>
        <w:t>The TWG assesses each transit against the zero verified interference standard (per Annex A, Section 3.3.3). An interference event is deemed to have occurred when independently verified by at least two sources (per Annex A, Section 3.3.3).</w:t>
      </w:r>
    </w:p>
    <w:p>
      <w:r>
        <w:t>For each 48-hour period, the TWG records:</w:t>
      </w:r>
    </w:p>
    <w:p>
      <w:pPr>
        <w:spacing w:after="80"/>
        <w:ind w:left="720" w:hanging="360"/>
      </w:pPr>
      <w:r>
        <w:rPr>
          <w:color w:val="1A252F"/>
        </w:rPr>
        <w:t>•  Number of verified interference events</w:t>
      </w:r>
    </w:p>
    <w:p>
      <w:pPr>
        <w:spacing w:after="80"/>
        <w:ind w:left="720" w:hanging="360"/>
      </w:pPr>
      <w:r>
        <w:rPr>
          <w:color w:val="1A252F"/>
        </w:rPr>
        <w:t>•  Number of transits affected by interference</w:t>
      </w:r>
    </w:p>
    <w:p>
      <w:pPr>
        <w:spacing w:after="80"/>
        <w:ind w:left="720" w:hanging="360"/>
      </w:pPr>
      <w:r>
        <w:rPr>
          <w:color w:val="1A252F"/>
        </w:rPr>
        <w:t>•  Number of unverified interference reports (pending investigation)</w:t>
      </w:r>
    </w:p>
    <w:p>
      <w:pPr>
        <w:spacing w:after="80"/>
        <w:ind w:left="720" w:hanging="360"/>
      </w:pPr>
      <w:r>
        <w:rPr>
          <w:color w:val="1A252F"/>
        </w:rPr>
        <w:t>•  Percentage of successful transits for the non-interference metric</w:t>
      </w:r>
    </w:p>
    <w:p>
      <w:pPr>
        <w:pStyle w:val="Heading2"/>
      </w:pPr>
      <w:r>
        <w:t>4.4 AIS Continuity Assessment</w:t>
      </w:r>
    </w:p>
    <w:p>
      <w:r>
        <w:t>The TWG assesses each transit against the continuous AIS transmission standard (per Annex A, Section 3.4.1), with permitted interruptions not exceeding 15 minutes aggregate (per Annex A, Section 3.4.2).</w:t>
      </w:r>
    </w:p>
    <w:p>
      <w:r>
        <w:t>For each 48-hour period, the TWG records:</w:t>
      </w:r>
    </w:p>
    <w:p>
      <w:pPr>
        <w:spacing w:after="80"/>
        <w:ind w:left="720" w:hanging="360"/>
      </w:pPr>
      <w:r>
        <w:rPr>
          <w:color w:val="1A252F"/>
        </w:rPr>
        <w:t>•  Number of transits with AIS downtime under 15 minutes (successful)</w:t>
      </w:r>
    </w:p>
    <w:p>
      <w:pPr>
        <w:spacing w:after="80"/>
        <w:ind w:left="720" w:hanging="360"/>
      </w:pPr>
      <w:r>
        <w:rPr>
          <w:color w:val="1A252F"/>
        </w:rPr>
        <w:t>•  Number of transits with AIS downtime exceeding 15 minutes (failures)</w:t>
      </w:r>
    </w:p>
    <w:p>
      <w:pPr>
        <w:spacing w:after="80"/>
        <w:ind w:left="720" w:hanging="360"/>
      </w:pPr>
      <w:r>
        <w:rPr>
          <w:color w:val="1A252F"/>
        </w:rPr>
        <w:t>•  Number of AIS integrity alerts (spoofing detection, per Annex A, Section 3.4.4)</w:t>
      </w:r>
    </w:p>
    <w:p>
      <w:pPr>
        <w:spacing w:after="80"/>
        <w:ind w:left="720" w:hanging="360"/>
      </w:pPr>
      <w:r>
        <w:rPr>
          <w:color w:val="1A252F"/>
        </w:rPr>
        <w:t>•  Percentage of successful transits for the AIS continuity metric</w:t>
      </w:r>
    </w:p>
    <w:p>
      <w:pPr>
        <w:pStyle w:val="Heading2"/>
      </w:pPr>
      <w:r>
        <w:t>4.5 Overall 48-Hour Period Assessment</w:t>
      </w:r>
    </w:p>
    <w:p>
      <w:r>
        <w:t>A 48-hour period is "successful" when at least 90 percent of commercial transits through the Strait of Hormuz qualify as successful transits (per Annex A, Section 4.3.3). The TWG records this determination for each 48-hour period within the cycle.</w:t>
      </w:r>
    </w:p>
    <w:p>
      <w:pPr>
        <w:pStyle w:val="Heading1"/>
      </w:pPr>
      <w:r>
        <w:t>Article 5: Corroboration Record</w:t>
      </w:r>
      <w:bookmarkStart w:name="_TocArt5" w:id="5"/>
      <w:bookmarkEnd w:id="5"/>
    </w:p>
    <w:p>
      <w:pPr>
        <w:pStyle w:val="Heading2"/>
      </w:pPr>
      <w:r>
        <w:t>5.1 Corroboration Standard</w:t>
      </w:r>
    </w:p>
    <w:p>
      <w:r>
        <w:t>The TWG considers a metric "verified" when data from at least two independent sources is consistent, per Annex A, Section 4.2.1. Consistent means the data values fall within the measurement tolerance defined for each metric in Annex A, Section 3.</w:t>
      </w:r>
    </w:p>
    <w:p>
      <w:pPr>
        <w:pStyle w:val="Heading2"/>
      </w:pPr>
      <w:r>
        <w:t>5.2 Corroboration Sources</w:t>
      </w:r>
    </w:p>
    <w:p>
      <w:r>
        <w:t>For each transit and 48-hour period, the TWG records the corroboration status for each of the four metrics:</w:t>
      </w:r>
    </w:p>
    <w:tbl>
      <w:tblPr>
        <w:tblW w:w="5000" w:type="pct"/>
        <w:tblBorders>
          <w:top w:val="single" w:color="2C3E50" w:sz="12"/>
          <w:left w:val="nil"/>
          <w:bottom w:val="single" w:color="2C3E50" w:sz="12"/>
          <w:right w:val="nil"/>
          <w:insideH w:val="single" w:color="CBD5E0" w:sz="4"/>
          <w:insideV w:val="nil"/>
        </w:tblBorders>
      </w:tblPr>
      <w:tblGrid>
        <w:gridCol w:w="2200"/>
        <w:gridCol w:w="1800"/>
        <w:gridCol w:w="1800"/>
        <w:gridCol w:w="1800"/>
        <w:gridCol w:w="1200"/>
      </w:tblGrid>
      <w:tr>
        <w:trPr>
          <w:tblHeader/>
        </w:trPr>
        <w:tc>
          <w:tcPr>
            <w:tcW w:w="2200" w:type="dxa"/>
            <w:shd w:val="clear" w:fill="EDF2F7"/>
          </w:tcPr>
          <w:p>
            <w:pPr>
              <w:spacing w:before="60" w:after="60"/>
              <w:jc w:val="center"/>
            </w:pPr>
            <w:r>
              <w:rPr>
                <w:b/>
                <w:color w:val="1A252F"/>
                <w:sz w:val="20"/>
              </w:rPr>
              <w:t>Metric</w:t>
            </w:r>
          </w:p>
        </w:tc>
        <w:tc>
          <w:tcPr>
            <w:tcW w:w="1800" w:type="dxa"/>
            <w:shd w:val="clear" w:fill="EDF2F7"/>
          </w:tcPr>
          <w:p>
            <w:pPr>
              <w:spacing w:before="60" w:after="60"/>
              <w:jc w:val="center"/>
            </w:pPr>
            <w:r>
              <w:rPr>
                <w:b/>
                <w:color w:val="1A252F"/>
                <w:sz w:val="20"/>
              </w:rPr>
              <w:t>Source 1</w:t>
            </w:r>
          </w:p>
        </w:tc>
        <w:tc>
          <w:tcPr>
            <w:tcW w:w="1800" w:type="dxa"/>
            <w:shd w:val="clear" w:fill="EDF2F7"/>
          </w:tcPr>
          <w:p>
            <w:pPr>
              <w:spacing w:before="60" w:after="60"/>
              <w:jc w:val="center"/>
            </w:pPr>
            <w:r>
              <w:rPr>
                <w:b/>
                <w:color w:val="1A252F"/>
                <w:sz w:val="20"/>
              </w:rPr>
              <w:t>Source 2</w:t>
            </w:r>
          </w:p>
        </w:tc>
        <w:tc>
          <w:tcPr>
            <w:tcW w:w="1800" w:type="dxa"/>
            <w:shd w:val="clear" w:fill="EDF2F7"/>
          </w:tcPr>
          <w:p>
            <w:pPr>
              <w:spacing w:before="60" w:after="60"/>
              <w:jc w:val="center"/>
            </w:pPr>
            <w:r>
              <w:rPr>
                <w:b/>
                <w:color w:val="1A252F"/>
                <w:sz w:val="20"/>
              </w:rPr>
              <w:t>Source 3</w:t>
            </w:r>
          </w:p>
        </w:tc>
        <w:tc>
          <w:tcPr>
            <w:tcW w:w="1200" w:type="dxa"/>
            <w:shd w:val="clear" w:fill="EDF2F7"/>
          </w:tcPr>
          <w:p>
            <w:pPr>
              <w:spacing w:before="60" w:after="60"/>
              <w:jc w:val="center"/>
            </w:pPr>
            <w:r>
              <w:rPr>
                <w:b/>
                <w:color w:val="1A252F"/>
                <w:sz w:val="20"/>
              </w:rPr>
              <w:t>Corroborated?</w:t>
            </w:r>
          </w:p>
        </w:tc>
      </w:tr>
      <w:tr>
        <w:tc>
          <w:tcPr>
            <w:tcW w:w="2200" w:type="dxa"/>
          </w:tcPr>
          <w:p>
            <w:pPr>
              <w:spacing w:before="40" w:after="40"/>
              <w:jc w:val="left"/>
            </w:pPr>
            <w:r>
              <w:rPr>
                <w:color w:val="4A5568"/>
                <w:sz w:val="20"/>
              </w:rPr>
              <w:t>Transit Speed</w:t>
            </w:r>
          </w:p>
        </w:tc>
        <w:tc>
          <w:tcPr>
            <w:tcW w:w="1800" w:type="dxa"/>
          </w:tcPr>
          <w:p>
            <w:pPr>
              <w:spacing w:before="40" w:after="40"/>
              <w:jc w:val="left"/>
            </w:pPr>
            <w:r>
              <w:rPr>
                <w:color w:val="4A5568"/>
                <w:sz w:val="20"/>
              </w:rPr>
              <w:t>Primary Transit Data</w:t>
            </w:r>
          </w:p>
        </w:tc>
        <w:tc>
          <w:tcPr>
            <w:tcW w:w="1800" w:type="dxa"/>
          </w:tcPr>
          <w:p>
            <w:pPr>
              <w:spacing w:before="40" w:after="40"/>
              <w:jc w:val="left"/>
            </w:pPr>
            <w:r>
              <w:rPr>
                <w:color w:val="4A5568"/>
                <w:sz w:val="20"/>
              </w:rPr>
              <w:t>Satellite AIS</w:t>
            </w:r>
          </w:p>
        </w:tc>
        <w:tc>
          <w:tcPr>
            <w:tcW w:w="1800" w:type="dxa"/>
          </w:tcPr>
          <w:p>
            <w:pPr>
              <w:spacing w:before="40" w:after="40"/>
              <w:jc w:val="left"/>
            </w:pPr>
            <w:r>
              <w:rPr>
                <w:color w:val="4A5568"/>
                <w:sz w:val="20"/>
              </w:rPr>
              <w:t>Coastal Radar</w:t>
            </w:r>
          </w:p>
        </w:tc>
        <w:tc>
          <w:tcPr>
            <w:tcW w:w="1200" w:type="dxa"/>
          </w:tcPr>
          <w:p>
            <w:pPr>
              <w:spacing w:before="40" w:after="40"/>
              <w:jc w:val="left"/>
            </w:pPr>
            <w:r>
              <w:rPr>
                <w:color w:val="4A5568"/>
                <w:sz w:val="20"/>
              </w:rPr>
              <w:t>Yes / No / Pending</w:t>
            </w:r>
          </w:p>
        </w:tc>
      </w:tr>
      <w:tr>
        <w:tc>
          <w:tcPr>
            <w:tcW w:w="2200" w:type="dxa"/>
          </w:tcPr>
          <w:p>
            <w:pPr>
              <w:spacing w:before="40" w:after="40"/>
              <w:jc w:val="left"/>
            </w:pPr>
            <w:r>
              <w:rPr>
                <w:color w:val="4A5568"/>
                <w:sz w:val="20"/>
              </w:rPr>
              <w:t>Lane Adherence</w:t>
            </w:r>
          </w:p>
        </w:tc>
        <w:tc>
          <w:tcPr>
            <w:tcW w:w="1800" w:type="dxa"/>
          </w:tcPr>
          <w:p>
            <w:pPr>
              <w:spacing w:before="40" w:after="40"/>
              <w:jc w:val="left"/>
            </w:pPr>
            <w:r>
              <w:rPr>
                <w:color w:val="4A5568"/>
                <w:sz w:val="20"/>
              </w:rPr>
              <w:t>Primary Transit Data</w:t>
            </w:r>
          </w:p>
        </w:tc>
        <w:tc>
          <w:tcPr>
            <w:tcW w:w="1800" w:type="dxa"/>
          </w:tcPr>
          <w:p>
            <w:pPr>
              <w:spacing w:before="40" w:after="40"/>
              <w:jc w:val="left"/>
            </w:pPr>
            <w:r>
              <w:rPr>
                <w:color w:val="4A5568"/>
                <w:sz w:val="20"/>
              </w:rPr>
              <w:t>Satellite AIS</w:t>
            </w:r>
          </w:p>
        </w:tc>
        <w:tc>
          <w:tcPr>
            <w:tcW w:w="1800" w:type="dxa"/>
          </w:tcPr>
          <w:p>
            <w:pPr>
              <w:spacing w:before="40" w:after="40"/>
              <w:jc w:val="left"/>
            </w:pPr>
            <w:r>
              <w:rPr>
                <w:color w:val="4A5568"/>
                <w:sz w:val="20"/>
              </w:rPr>
              <w:t>Coastal Radar</w:t>
            </w:r>
          </w:p>
        </w:tc>
        <w:tc>
          <w:tcPr>
            <w:tcW w:w="1200" w:type="dxa"/>
          </w:tcPr>
          <w:p>
            <w:pPr>
              <w:spacing w:before="40" w:after="40"/>
              <w:jc w:val="left"/>
            </w:pPr>
            <w:r>
              <w:rPr>
                <w:color w:val="4A5568"/>
                <w:sz w:val="20"/>
              </w:rPr>
              <w:t>Yes / No / Pending</w:t>
            </w:r>
          </w:p>
        </w:tc>
      </w:tr>
      <w:tr>
        <w:tc>
          <w:tcPr>
            <w:tcW w:w="2200" w:type="dxa"/>
          </w:tcPr>
          <w:p>
            <w:pPr>
              <w:spacing w:before="40" w:after="40"/>
              <w:jc w:val="left"/>
            </w:pPr>
            <w:r>
              <w:rPr>
                <w:color w:val="4A5568"/>
                <w:sz w:val="20"/>
              </w:rPr>
              <w:t>Non-Interference</w:t>
            </w:r>
          </w:p>
        </w:tc>
        <w:tc>
          <w:tcPr>
            <w:tcW w:w="1800" w:type="dxa"/>
          </w:tcPr>
          <w:p>
            <w:pPr>
              <w:spacing w:before="40" w:after="40"/>
              <w:jc w:val="left"/>
            </w:pPr>
            <w:r>
              <w:rPr>
                <w:color w:val="4A5568"/>
                <w:sz w:val="20"/>
              </w:rPr>
              <w:t>Primary Transit Data</w:t>
            </w:r>
          </w:p>
        </w:tc>
        <w:tc>
          <w:tcPr>
            <w:tcW w:w="1800" w:type="dxa"/>
          </w:tcPr>
          <w:p>
            <w:pPr>
              <w:spacing w:before="40" w:after="40"/>
              <w:jc w:val="left"/>
            </w:pPr>
            <w:r>
              <w:rPr>
                <w:color w:val="4A5568"/>
                <w:sz w:val="20"/>
              </w:rPr>
              <w:t>Satellite AIS</w:t>
            </w:r>
          </w:p>
        </w:tc>
        <w:tc>
          <w:tcPr>
            <w:tcW w:w="1800" w:type="dxa"/>
          </w:tcPr>
          <w:p>
            <w:pPr>
              <w:spacing w:before="40" w:after="40"/>
              <w:jc w:val="left"/>
            </w:pPr>
            <w:r>
              <w:rPr>
                <w:color w:val="4A5568"/>
                <w:sz w:val="20"/>
              </w:rPr>
              <w:t>UAV Imagery</w:t>
            </w:r>
          </w:p>
        </w:tc>
        <w:tc>
          <w:tcPr>
            <w:tcW w:w="1200" w:type="dxa"/>
          </w:tcPr>
          <w:p>
            <w:pPr>
              <w:spacing w:before="40" w:after="40"/>
              <w:jc w:val="left"/>
            </w:pPr>
            <w:r>
              <w:rPr>
                <w:color w:val="4A5568"/>
                <w:sz w:val="20"/>
              </w:rPr>
              <w:t>Yes / No / Pending</w:t>
            </w:r>
          </w:p>
        </w:tc>
      </w:tr>
      <w:tr>
        <w:tc>
          <w:tcPr>
            <w:tcW w:w="2200" w:type="dxa"/>
          </w:tcPr>
          <w:p>
            <w:pPr>
              <w:spacing w:before="40" w:after="40"/>
              <w:jc w:val="left"/>
            </w:pPr>
            <w:r>
              <w:rPr>
                <w:color w:val="4A5568"/>
                <w:sz w:val="20"/>
              </w:rPr>
              <w:t>AIS Continuity</w:t>
            </w:r>
          </w:p>
        </w:tc>
        <w:tc>
          <w:tcPr>
            <w:tcW w:w="1800" w:type="dxa"/>
          </w:tcPr>
          <w:p>
            <w:pPr>
              <w:spacing w:before="40" w:after="40"/>
              <w:jc w:val="left"/>
            </w:pPr>
            <w:r>
              <w:rPr>
                <w:color w:val="4A5568"/>
                <w:sz w:val="20"/>
              </w:rPr>
              <w:t>Primary Transit Data</w:t>
            </w:r>
          </w:p>
        </w:tc>
        <w:tc>
          <w:tcPr>
            <w:tcW w:w="1800" w:type="dxa"/>
          </w:tcPr>
          <w:p>
            <w:pPr>
              <w:spacing w:before="40" w:after="40"/>
              <w:jc w:val="left"/>
            </w:pPr>
            <w:r>
              <w:rPr>
                <w:color w:val="4A5568"/>
                <w:sz w:val="20"/>
              </w:rPr>
              <w:t>Satellite AIS</w:t>
            </w:r>
          </w:p>
        </w:tc>
        <w:tc>
          <w:tcPr>
            <w:tcW w:w="1800" w:type="dxa"/>
          </w:tcPr>
          <w:p>
            <w:pPr>
              <w:spacing w:before="40" w:after="40"/>
              <w:jc w:val="left"/>
            </w:pPr>
            <w:r>
              <w:rPr>
                <w:color w:val="4A5568"/>
                <w:sz w:val="20"/>
              </w:rPr>
              <w:t>Coastal Radar</w:t>
            </w:r>
          </w:p>
        </w:tc>
        <w:tc>
          <w:tcPr>
            <w:tcW w:w="1200" w:type="dxa"/>
          </w:tcPr>
          <w:p>
            <w:pPr>
              <w:spacing w:before="40" w:after="40"/>
              <w:jc w:val="left"/>
            </w:pPr>
            <w:r>
              <w:rPr>
                <w:color w:val="4A5568"/>
                <w:sz w:val="20"/>
              </w:rPr>
              <w:t>Yes / No / Pending</w:t>
            </w:r>
          </w:p>
        </w:tc>
      </w:tr>
    </w:tbl>
    <w:p>
      <w:pPr>
        <w:pStyle w:val="Heading2"/>
      </w:pPr>
      <w:r>
        <w:t>5.3 Corroboration Status Codes</w:t>
      </w:r>
    </w:p>
    <w:p>
      <w:r>
        <w:t>The TWG uses the following status codes:</w:t>
      </w:r>
    </w:p>
    <w:p>
      <w:pPr>
        <w:spacing w:after="80"/>
        <w:ind w:left="720" w:hanging="360"/>
      </w:pPr>
      <w:r>
        <w:rPr>
          <w:color w:val="1A252F"/>
        </w:rPr>
        <w:t>•  C (Confirmed): Two or more independent sources are consistent.</w:t>
      </w:r>
    </w:p>
    <w:p>
      <w:pPr>
        <w:spacing w:after="80"/>
        <w:ind w:left="720" w:hanging="360"/>
      </w:pPr>
      <w:r>
        <w:rPr>
          <w:color w:val="1A252F"/>
        </w:rPr>
        <w:t>•  P (Pending): Sources are inconsistent; further investigation is required.</w:t>
      </w:r>
    </w:p>
    <w:p>
      <w:pPr>
        <w:spacing w:after="80"/>
        <w:ind w:left="720" w:hanging="360"/>
      </w:pPr>
      <w:r>
        <w:rPr>
          <w:color w:val="1A252F"/>
        </w:rPr>
        <w:t>•  U (Unverified): Only one source is available; no corroboration is possible.</w:t>
      </w:r>
    </w:p>
    <w:p>
      <w:pPr>
        <w:spacing w:after="80"/>
        <w:ind w:left="720" w:hanging="360"/>
      </w:pPr>
      <w:r>
        <w:rPr>
          <w:color w:val="1A252F"/>
        </w:rPr>
        <w:t>•  D (Discrepancy): Sources conflict; dispute resolution is initiated.</w:t>
      </w:r>
    </w:p>
    <w:p>
      <w:pPr>
        <w:pStyle w:val="Heading2"/>
      </w:pPr>
      <w:r>
        <w:t>5.4 Corroboration Confidence Level</w:t>
      </w:r>
    </w:p>
    <w:p>
      <w:r>
        <w:t>For each corroborated metric, the TWG assigns a confidence level:</w:t>
      </w:r>
    </w:p>
    <w:p>
      <w:pPr>
        <w:spacing w:after="80"/>
        <w:ind w:left="720" w:hanging="360"/>
      </w:pPr>
      <w:r>
        <w:rPr>
          <w:color w:val="1A252F"/>
        </w:rPr>
        <w:t>•  High: Three independent sources are consistent.</w:t>
      </w:r>
    </w:p>
    <w:p>
      <w:pPr>
        <w:spacing w:after="80"/>
        <w:ind w:left="720" w:hanging="360"/>
      </w:pPr>
      <w:r>
        <w:rPr>
          <w:color w:val="1A252F"/>
        </w:rPr>
        <w:t>•  Moderate: Two independent sources are consistent.</w:t>
      </w:r>
    </w:p>
    <w:p>
      <w:pPr>
        <w:spacing w:after="80"/>
        <w:ind w:left="720" w:hanging="360"/>
      </w:pPr>
      <w:r>
        <w:rPr>
          <w:color w:val="1A252F"/>
        </w:rPr>
        <w:t>•  Low: Two sources are consistent but one has lower reliability.</w:t>
      </w:r>
    </w:p>
    <w:p>
      <w:pPr>
        <w:pStyle w:val="Heading1"/>
      </w:pPr>
      <w:r>
        <w:t>Article 6: Discrepancy and Dispute Reporting</w:t>
      </w:r>
      <w:bookmarkStart w:name="_TocArt6" w:id="6"/>
      <w:bookmarkEnd w:id="6"/>
    </w:p>
    <w:p>
      <w:pPr>
        <w:pStyle w:val="Heading2"/>
      </w:pPr>
      <w:r>
        <w:t>6.1 Discrepancy Identification</w:t>
      </w:r>
    </w:p>
    <w:p>
      <w:r>
        <w:t>Where data sources are inconsistent (status code "D"), the TWG documents the discrepancy in the Cycle Report, specifying:</w:t>
      </w:r>
    </w:p>
    <w:p>
      <w:pPr>
        <w:spacing w:after="80"/>
        <w:ind w:left="720" w:hanging="360"/>
      </w:pPr>
      <w:r>
        <w:rPr>
          <w:color w:val="1A252F"/>
        </w:rPr>
        <w:t>•  The metric at issue</w:t>
      </w:r>
    </w:p>
    <w:p>
      <w:pPr>
        <w:spacing w:after="80"/>
        <w:ind w:left="720" w:hanging="360"/>
      </w:pPr>
      <w:r>
        <w:rPr>
          <w:color w:val="1A252F"/>
        </w:rPr>
        <w:t>•  The data sources and their conflicting values</w:t>
      </w:r>
    </w:p>
    <w:p>
      <w:pPr>
        <w:spacing w:after="80"/>
        <w:ind w:left="720" w:hanging="360"/>
      </w:pPr>
      <w:r>
        <w:rPr>
          <w:color w:val="1A252F"/>
        </w:rPr>
        <w:t>•  The date and time of the inconsistency</w:t>
      </w:r>
    </w:p>
    <w:p>
      <w:pPr>
        <w:spacing w:after="80"/>
        <w:ind w:left="720" w:hanging="360"/>
      </w:pPr>
      <w:r>
        <w:rPr>
          <w:color w:val="1A252F"/>
        </w:rPr>
        <w:t>•  The potential causes</w:t>
      </w:r>
    </w:p>
    <w:p>
      <w:pPr>
        <w:pStyle w:val="Heading2"/>
      </w:pPr>
      <w:r>
        <w:t>6.2 Discrepancy Resolution</w:t>
      </w:r>
    </w:p>
    <w:p>
      <w:r>
        <w:t>Per Annex A, Section 4.2.2, the TWG follows this sequence:</w:t>
      </w:r>
    </w:p>
    <w:p>
      <w:pPr>
        <w:spacing w:after="80"/>
        <w:ind w:left="720" w:hanging="360"/>
      </w:pPr>
      <w:r>
        <w:rPr>
          <w:color w:val="1A252F"/>
        </w:rPr>
        <w:t>•  Step 1: The TWG requests clarification from the data source providers within 1 hour of identifying the inconsistency.</w:t>
      </w:r>
    </w:p>
    <w:p>
      <w:pPr>
        <w:spacing w:after="80"/>
        <w:ind w:left="720" w:hanging="360"/>
      </w:pPr>
      <w:r>
        <w:rPr>
          <w:color w:val="1A252F"/>
        </w:rPr>
        <w:t>•  Step 2: If the inconsistency persists, the Swiss relay provides technical clarification within 2 hours (CTAF Section 7.1).</w:t>
      </w:r>
    </w:p>
    <w:p>
      <w:pPr>
        <w:spacing w:after="80"/>
        <w:ind w:left="720" w:hanging="360"/>
      </w:pPr>
      <w:r>
        <w:rPr>
          <w:color w:val="1A252F"/>
        </w:rPr>
        <w:t>•  Step 3: If the Swiss relay fails to resolve the inconsistency, the TWG records the metric as unverified (status code "U").</w:t>
      </w:r>
    </w:p>
    <w:p>
      <w:pPr>
        <w:pStyle w:val="Heading2"/>
      </w:pPr>
      <w:r>
        <w:t>6.3 Discrepancy Log</w:t>
      </w:r>
    </w:p>
    <w:p>
      <w:r>
        <w:t>The Cycle Report includes a Discrepancy Log (Appendix C) documenting:</w:t>
      </w:r>
    </w:p>
    <w:p>
      <w:pPr>
        <w:spacing w:after="80"/>
        <w:ind w:left="720" w:hanging="360"/>
      </w:pPr>
      <w:r>
        <w:rPr>
          <w:color w:val="1A252F"/>
        </w:rPr>
        <w:t>•  Date and time of discrepancy discovery</w:t>
      </w:r>
    </w:p>
    <w:p>
      <w:pPr>
        <w:spacing w:after="80"/>
        <w:ind w:left="720" w:hanging="360"/>
      </w:pPr>
      <w:r>
        <w:rPr>
          <w:color w:val="1A252F"/>
        </w:rPr>
        <w:t>•  Metric and data sources involved</w:t>
      </w:r>
    </w:p>
    <w:p>
      <w:pPr>
        <w:spacing w:after="80"/>
        <w:ind w:left="720" w:hanging="360"/>
      </w:pPr>
      <w:r>
        <w:rPr>
          <w:color w:val="1A252F"/>
        </w:rPr>
        <w:t>•  Resolution attempted</w:t>
      </w:r>
    </w:p>
    <w:p>
      <w:pPr>
        <w:spacing w:after="80"/>
        <w:ind w:left="720" w:hanging="360"/>
      </w:pPr>
      <w:r>
        <w:rPr>
          <w:color w:val="1A252F"/>
        </w:rPr>
        <w:t>•  Resolution outcome</w:t>
      </w:r>
    </w:p>
    <w:p>
      <w:pPr>
        <w:spacing w:after="80"/>
        <w:ind w:left="720" w:hanging="360"/>
      </w:pPr>
      <w:r>
        <w:rPr>
          <w:color w:val="1A252F"/>
        </w:rPr>
        <w:t>•  Time to resolution</w:t>
      </w:r>
    </w:p>
    <w:p>
      <w:pPr>
        <w:pStyle w:val="Heading2"/>
      </w:pPr>
      <w:r>
        <w:t>6.4 Dispute Escalation</w:t>
      </w:r>
    </w:p>
    <w:p>
      <w:r>
        <w:t>Where the Swiss relay cannot resolve the discrepancy within 2 hours, the matter escalates automatically to Oman-Qatar mediation with Swiss facilitation (CTAF Section 7.2). If no resolution emerges within 24 hours, the active 15-day cycle pauses (CTAF Section 7.3).</w:t>
      </w:r>
    </w:p>
    <w:p>
      <w:pPr>
        <w:pStyle w:val="Heading2"/>
      </w:pPr>
      <w:r>
        <w:t>6.5 Dispute Reporting</w:t>
      </w:r>
    </w:p>
    <w:p>
      <w:r>
        <w:t>The TWG includes the dispute status in the Cycle Report, with the following codes:</w:t>
      </w:r>
    </w:p>
    <w:p>
      <w:pPr>
        <w:spacing w:after="80"/>
        <w:ind w:left="720" w:hanging="360"/>
      </w:pPr>
      <w:r>
        <w:rPr>
          <w:color w:val="1A252F"/>
        </w:rPr>
        <w:t>•  N: No dispute</w:t>
      </w:r>
    </w:p>
    <w:p>
      <w:pPr>
        <w:spacing w:after="80"/>
        <w:ind w:left="720" w:hanging="360"/>
      </w:pPr>
      <w:r>
        <w:rPr>
          <w:color w:val="1A252F"/>
        </w:rPr>
        <w:t>•  A: Active (Swiss relay clarification pending)</w:t>
      </w:r>
    </w:p>
    <w:p>
      <w:pPr>
        <w:spacing w:after="80"/>
        <w:ind w:left="720" w:hanging="360"/>
      </w:pPr>
      <w:r>
        <w:rPr>
          <w:color w:val="1A252F"/>
        </w:rPr>
        <w:t>•  M: Mediation (Oman-Qatar mediation active)</w:t>
      </w:r>
    </w:p>
    <w:p>
      <w:pPr>
        <w:spacing w:after="80"/>
        <w:ind w:left="720" w:hanging="360"/>
      </w:pPr>
      <w:r>
        <w:rPr>
          <w:color w:val="1A252F"/>
        </w:rPr>
        <w:t>•  R: Resolved</w:t>
      </w:r>
    </w:p>
    <w:p>
      <w:pPr>
        <w:spacing w:after="80"/>
        <w:ind w:left="720" w:hanging="360"/>
      </w:pPr>
      <w:r>
        <w:rPr>
          <w:color w:val="1A252F"/>
        </w:rPr>
        <w:t>•  P: Paused (cycle paused pending resolution)</w:t>
      </w:r>
    </w:p>
    <w:p>
      <w:pPr>
        <w:pStyle w:val="Heading1"/>
      </w:pPr>
      <w:r>
        <w:t>Article 7: Activation Recommendation</w:t>
      </w:r>
      <w:bookmarkStart w:name="_TocArt7" w:id="7"/>
      <w:bookmarkEnd w:id="7"/>
    </w:p>
    <w:p>
      <w:pPr>
        <w:pStyle w:val="Heading2"/>
      </w:pPr>
      <w:r>
        <w:t>7.1 48-Hour Period Activation</w:t>
      </w:r>
    </w:p>
    <w:p>
      <w:r>
        <w:t>Per Annex A, Section 5, each successful 48-hour period triggers a $200 million release, subject to Annex ES confirmation. The TWG recommends activation for each successful 48-hour period.</w:t>
      </w:r>
    </w:p>
    <w:p>
      <w:pPr>
        <w:pStyle w:val="Heading2"/>
      </w:pPr>
      <w:r>
        <w:t>7.2 Cycle-Level Activation Recommendation</w:t>
      </w:r>
    </w:p>
    <w:p>
      <w:r>
        <w:t>The TWG recommends cycle-level activation when at least 85 percent of 48-hour periods in the cycle are successful (per Annex A, Section 4.3.4).</w:t>
      </w:r>
    </w:p>
    <w:p>
      <w:pPr>
        <w:pStyle w:val="Heading2"/>
      </w:pPr>
      <w:r>
        <w:t>7.3 Recommendation Format</w:t>
      </w:r>
    </w:p>
    <w:p>
      <w:r>
        <w:t>The activation recommendation includes:</w:t>
      </w:r>
    </w:p>
    <w:p>
      <w:pPr>
        <w:spacing w:after="80"/>
        <w:ind w:left="720" w:hanging="360"/>
      </w:pPr>
      <w:r>
        <w:rPr>
          <w:color w:val="1A252F"/>
        </w:rPr>
        <w:t>•  Cycle Identification: Number and dates</w:t>
      </w:r>
    </w:p>
    <w:p>
      <w:pPr>
        <w:spacing w:after="80"/>
        <w:ind w:left="720" w:hanging="360"/>
      </w:pPr>
      <w:r>
        <w:rPr>
          <w:color w:val="1A252F"/>
        </w:rPr>
        <w:t>•  48-Hour Period Success Rate: Number of successful periods / total periods</w:t>
      </w:r>
    </w:p>
    <w:p>
      <w:pPr>
        <w:spacing w:after="80"/>
        <w:ind w:left="720" w:hanging="360"/>
      </w:pPr>
      <w:r>
        <w:rPr>
          <w:color w:val="1A252F"/>
        </w:rPr>
        <w:t>•  Metric-by-Metric Summary: Success rates for each of the four metrics</w:t>
      </w:r>
    </w:p>
    <w:p>
      <w:pPr>
        <w:spacing w:after="80"/>
        <w:ind w:left="720" w:hanging="360"/>
      </w:pPr>
      <w:r>
        <w:rPr>
          <w:color w:val="1A252F"/>
        </w:rPr>
        <w:t>•  Corroboration Summary: Percentage of corroborated metrics</w:t>
      </w:r>
    </w:p>
    <w:p>
      <w:pPr>
        <w:spacing w:after="80"/>
        <w:ind w:left="720" w:hanging="360"/>
      </w:pPr>
      <w:r>
        <w:rPr>
          <w:color w:val="1A252F"/>
        </w:rPr>
        <w:t>•  Discrepancy Summary: Any unresolved discrepancies</w:t>
      </w:r>
    </w:p>
    <w:p>
      <w:pPr>
        <w:spacing w:after="80"/>
        <w:ind w:left="720" w:hanging="360"/>
      </w:pPr>
      <w:r>
        <w:rPr>
          <w:color w:val="1A252F"/>
        </w:rPr>
        <w:t>•  Recommendation: "Activation Recommended" or "Activation Not Recommended"</w:t>
      </w:r>
    </w:p>
    <w:p>
      <w:pPr>
        <w:spacing w:after="80"/>
        <w:ind w:left="720" w:hanging="360"/>
      </w:pPr>
      <w:r>
        <w:rPr>
          <w:color w:val="1A252F"/>
        </w:rPr>
        <w:t>•  Rationale: Brief explanation of the recommendation</w:t>
      </w:r>
    </w:p>
    <w:p>
      <w:pPr>
        <w:pStyle w:val="Heading2"/>
      </w:pPr>
      <w:r>
        <w:t>7.4 Non-Activation Recommendation</w:t>
      </w:r>
    </w:p>
    <w:p>
      <w:r>
        <w:t>Where the TWG does not recommend activation, the Cycle Report includes:</w:t>
      </w:r>
    </w:p>
    <w:p>
      <w:pPr>
        <w:spacing w:after="80"/>
        <w:ind w:left="720" w:hanging="360"/>
      </w:pPr>
      <w:r>
        <w:rPr>
          <w:color w:val="1A252F"/>
        </w:rPr>
        <w:t>•  The specific thresholds that the cycle failed to meet</w:t>
      </w:r>
    </w:p>
    <w:p>
      <w:pPr>
        <w:spacing w:after="80"/>
        <w:ind w:left="720" w:hanging="360"/>
      </w:pPr>
      <w:r>
        <w:rPr>
          <w:color w:val="1A252F"/>
        </w:rPr>
        <w:t>•  The supporting evidence for each failure</w:t>
      </w:r>
    </w:p>
    <w:p>
      <w:pPr>
        <w:spacing w:after="80"/>
        <w:ind w:left="720" w:hanging="360"/>
      </w:pPr>
      <w:r>
        <w:rPr>
          <w:color w:val="1A252F"/>
        </w:rPr>
        <w:t>•  Any mitigating factors</w:t>
      </w:r>
    </w:p>
    <w:p>
      <w:pPr>
        <w:spacing w:after="80"/>
        <w:ind w:left="720" w:hanging="360"/>
      </w:pPr>
      <w:r>
        <w:rPr>
          <w:color w:val="1A252F"/>
        </w:rPr>
        <w:t>•  Recommendations for addressing the failure in the next cycle</w:t>
      </w:r>
    </w:p>
    <w:p>
      <w:pPr>
        <w:pStyle w:val="Heading1"/>
      </w:pPr>
      <w:r>
        <w:t>Article 8: Submission and Endorsement</w:t>
      </w:r>
      <w:bookmarkStart w:name="_TocArt8" w:id="8"/>
      <w:bookmarkEnd w:id="8"/>
    </w:p>
    <w:p>
      <w:pPr>
        <w:pStyle w:val="Heading2"/>
      </w:pPr>
      <w:r>
        <w:t>8.1 Submission Deadline</w:t>
      </w:r>
    </w:p>
    <w:p>
      <w:r>
        <w:t>The TWG submits the Cycle Report to the Joint Secretariat within 72 hours of the cycle's conclusion.</w:t>
      </w:r>
    </w:p>
    <w:p>
      <w:pPr>
        <w:pStyle w:val="Heading2"/>
      </w:pPr>
      <w:r>
        <w:t>8.2 Submission Format</w:t>
      </w:r>
    </w:p>
    <w:p>
      <w:r>
        <w:t>The Cycle Report is submitted in both:</w:t>
      </w:r>
    </w:p>
    <w:p>
      <w:pPr>
        <w:spacing w:after="80"/>
        <w:ind w:left="720" w:hanging="360"/>
      </w:pPr>
      <w:r>
        <w:rPr>
          <w:color w:val="1A252F"/>
        </w:rPr>
        <w:t>•  Digital Format: PDF and Word/Excel (for data manipulation)</w:t>
      </w:r>
    </w:p>
    <w:p>
      <w:pPr>
        <w:spacing w:after="80"/>
        <w:ind w:left="720" w:hanging="360"/>
      </w:pPr>
      <w:r>
        <w:rPr>
          <w:color w:val="1A252F"/>
        </w:rPr>
        <w:t>•  Hard Copy: Three signed copies (if requested)</w:t>
      </w:r>
    </w:p>
    <w:p>
      <w:pPr>
        <w:pStyle w:val="Heading2"/>
      </w:pPr>
      <w:r>
        <w:t>8.3 Joint Secretariat Review</w:t>
      </w:r>
    </w:p>
    <w:p>
      <w:r>
        <w:t>The Joint Secretariat reviews the Cycle Report for completeness within 24 hours of receipt and either:</w:t>
      </w:r>
    </w:p>
    <w:p>
      <w:pPr>
        <w:spacing w:after="80"/>
        <w:ind w:left="720" w:hanging="360"/>
      </w:pPr>
      <w:r>
        <w:rPr>
          <w:color w:val="1A252F"/>
        </w:rPr>
        <w:t>•  Accepts the report and routes it to the Co-Chairs and Qatari Central Bank, or</w:t>
      </w:r>
    </w:p>
    <w:p>
      <w:pPr>
        <w:spacing w:after="80"/>
        <w:ind w:left="720" w:hanging="360"/>
      </w:pPr>
      <w:r>
        <w:rPr>
          <w:color w:val="1A252F"/>
        </w:rPr>
        <w:t>•  Returns the report to the TWG with a request for clarification or additional data.</w:t>
      </w:r>
    </w:p>
    <w:p>
      <w:pPr>
        <w:pStyle w:val="Heading2"/>
      </w:pPr>
      <w:r>
        <w:t>8.4 Co-Chairs Endorsement</w:t>
      </w:r>
    </w:p>
    <w:p>
      <w:r>
        <w:t>The Co-Chairs endorse the Cycle Report within 48 hours of receipt from the Joint Secretariat. Endorsement confirms that the TWG followed the proper procedures and that the data is complete and corroborated.</w:t>
      </w:r>
    </w:p>
    <w:p>
      <w:pPr>
        <w:pStyle w:val="Heading2"/>
      </w:pPr>
      <w:r>
        <w:t>8.5 Transmission to Qatari Central Bank</w:t>
      </w:r>
    </w:p>
    <w:p>
      <w:r>
        <w:t>The Joint Secretariat transmits the endorsed Cycle Report to the Qatari Central Bank for eligibility determination under Annex ES. The Joint Secretariat maintains a transmission log showing:</w:t>
      </w:r>
    </w:p>
    <w:p>
      <w:pPr>
        <w:spacing w:after="80"/>
        <w:ind w:left="720" w:hanging="360"/>
      </w:pPr>
      <w:r>
        <w:rPr>
          <w:color w:val="1A252F"/>
        </w:rPr>
        <w:t>•  Report reference number</w:t>
      </w:r>
    </w:p>
    <w:p>
      <w:pPr>
        <w:spacing w:after="80"/>
        <w:ind w:left="720" w:hanging="360"/>
      </w:pPr>
      <w:r>
        <w:rPr>
          <w:color w:val="1A252F"/>
        </w:rPr>
        <w:t>•  Date and time of transmission</w:t>
      </w:r>
    </w:p>
    <w:p>
      <w:pPr>
        <w:spacing w:after="80"/>
        <w:ind w:left="720" w:hanging="360"/>
      </w:pPr>
      <w:r>
        <w:rPr>
          <w:color w:val="1A252F"/>
        </w:rPr>
        <w:t>•  Recipient confirmation</w:t>
      </w:r>
    </w:p>
    <w:p>
      <w:pPr>
        <w:spacing w:after="80"/>
        <w:ind w:left="720" w:hanging="360"/>
      </w:pPr>
      <w:r>
        <w:rPr>
          <w:color w:val="1A252F"/>
        </w:rPr>
        <w:t>•  Any delivery exceptions</w:t>
      </w:r>
    </w:p>
    <w:p>
      <w:pPr>
        <w:pStyle w:val="Heading1"/>
      </w:pPr>
      <w:r>
        <w:t>Appendix A: Cycle Report Template</w:t>
      </w:r>
      <w:bookmarkStart w:name="_TocAppA" w:id="9"/>
      <w:bookmarkEnd w:id="9"/>
    </w:p>
    <w:p>
      <w:r>
        <w:t>Standardized Report Form</w:t>
      </w:r>
    </w:p>
    <w:tbl>
      <w:tblPr>
        <w:tblW w:w="5000" w:type="pct"/>
        <w:tblBorders>
          <w:top w:val="single" w:color="2C3E50" w:sz="12"/>
          <w:left w:val="nil"/>
          <w:bottom w:val="single" w:color="2C3E50" w:sz="12"/>
          <w:right w:val="nil"/>
          <w:insideH w:val="single" w:color="CBD5E0" w:sz="4"/>
          <w:insideV w:val="nil"/>
        </w:tblBorders>
      </w:tblPr>
      <w:tblGrid>
        <w:gridCol w:w="3000"/>
        <w:gridCol w:w="6000"/>
      </w:tblGrid>
      <w:tr>
        <w:tc>
          <w:tcPr>
            <w:tcW w:w="3000" w:type="dxa"/>
          </w:tcPr>
          <w:p>
            <w:pPr>
              <w:spacing w:before="40" w:after="40"/>
              <w:jc w:val="left"/>
            </w:pPr>
            <w:r>
              <w:rPr>
                <w:color w:val="4A5568"/>
                <w:sz w:val="20"/>
              </w:rPr>
              <w:t>Document:</w:t>
            </w:r>
          </w:p>
        </w:tc>
        <w:tc>
          <w:tcPr>
            <w:tcW w:w="6000" w:type="dxa"/>
          </w:tcPr>
          <w:p>
            <w:pPr>
              <w:spacing w:before="40" w:after="40"/>
              <w:jc w:val="left"/>
            </w:pPr>
            <w:r>
              <w:rPr>
                <w:color w:val="4A5568"/>
                <w:sz w:val="20"/>
              </w:rPr>
              <w:t>CTAF-2026-001 --- CYCLE REPORT</w:t>
            </w:r>
          </w:p>
        </w:tc>
      </w:tr>
      <w:tr>
        <w:tc>
          <w:tcPr>
            <w:tcW w:w="3000" w:type="dxa"/>
          </w:tcPr>
          <w:p>
            <w:pPr>
              <w:spacing w:before="40" w:after="40"/>
              <w:jc w:val="left"/>
            </w:pPr>
            <w:r>
              <w:rPr>
                <w:color w:val="4A5568"/>
                <w:sz w:val="20"/>
              </w:rPr>
              <w:t>Cycle Number:</w:t>
            </w:r>
          </w:p>
        </w:tc>
        <w:tc>
          <w:tcPr>
            <w:tcW w:w="6000" w:type="dxa"/>
          </w:tcPr>
          <w:p>
            <w:pPr>
              <w:spacing w:before="40" w:after="40"/>
              <w:jc w:val="left"/>
            </w:pPr>
            <w:r>
              <w:rPr>
                <w:color w:val="4A5568"/>
                <w:sz w:val="20"/>
              </w:rPr>
              <w:t>[1 / 2 / 3 / 4]</w:t>
            </w:r>
          </w:p>
        </w:tc>
      </w:tr>
      <w:tr>
        <w:tc>
          <w:tcPr>
            <w:tcW w:w="3000" w:type="dxa"/>
          </w:tcPr>
          <w:p>
            <w:pPr>
              <w:spacing w:before="40" w:after="40"/>
              <w:jc w:val="left"/>
            </w:pPr>
            <w:r>
              <w:rPr>
                <w:color w:val="4A5568"/>
                <w:sz w:val="20"/>
              </w:rPr>
              <w:t>Cycle Period:</w:t>
            </w:r>
          </w:p>
        </w:tc>
        <w:tc>
          <w:tcPr>
            <w:tcW w:w="6000" w:type="dxa"/>
          </w:tcPr>
          <w:p>
            <w:pPr>
              <w:spacing w:before="40" w:after="40"/>
              <w:jc w:val="left"/>
            </w:pPr>
            <w:r>
              <w:rPr>
                <w:color w:val="4A5568"/>
                <w:sz w:val="20"/>
              </w:rPr>
              <w:t>[Start Date] to [End Date]</w:t>
            </w:r>
          </w:p>
        </w:tc>
      </w:tr>
      <w:tr>
        <w:tc>
          <w:tcPr>
            <w:tcW w:w="3000" w:type="dxa"/>
          </w:tcPr>
          <w:p>
            <w:pPr>
              <w:spacing w:before="40" w:after="40"/>
              <w:jc w:val="left"/>
            </w:pPr>
            <w:r>
              <w:rPr>
                <w:color w:val="4A5568"/>
                <w:sz w:val="20"/>
              </w:rPr>
              <w:t>Report Date:</w:t>
            </w:r>
          </w:p>
        </w:tc>
        <w:tc>
          <w:tcPr>
            <w:tcW w:w="6000" w:type="dxa"/>
          </w:tcPr>
          <w:p>
            <w:pPr>
              <w:spacing w:before="40" w:after="40"/>
              <w:jc w:val="left"/>
            </w:pPr>
            <w:r>
              <w:rPr>
                <w:color w:val="4A5568"/>
                <w:sz w:val="20"/>
              </w:rPr>
              <w:t>[Date of Submission]</w:t>
            </w:r>
          </w:p>
        </w:tc>
      </w:tr>
      <w:tr>
        <w:tc>
          <w:tcPr>
            <w:tcW w:w="3000" w:type="dxa"/>
          </w:tcPr>
          <w:p>
            <w:pPr>
              <w:spacing w:before="40" w:after="40"/>
              <w:jc w:val="left"/>
            </w:pPr>
            <w:r>
              <w:rPr>
                <w:color w:val="4A5568"/>
                <w:sz w:val="20"/>
              </w:rPr>
              <w:t>Report Version:</w:t>
            </w:r>
          </w:p>
        </w:tc>
        <w:tc>
          <w:tcPr>
            <w:tcW w:w="6000" w:type="dxa"/>
          </w:tcPr>
          <w:p>
            <w:pPr>
              <w:spacing w:before="40" w:after="40"/>
              <w:jc w:val="left"/>
            </w:pPr>
            <w:r>
              <w:rPr>
                <w:color w:val="4A5568"/>
                <w:sz w:val="20"/>
              </w:rPr>
              <w:t>[1.0]</w:t>
            </w:r>
          </w:p>
        </w:tc>
      </w:tr>
    </w:tbl>
    <w:p>
      <w:pPr>
        <w:pStyle w:val="Heading3"/>
      </w:pPr>
      <w:r>
        <w:t>SECTION 1: CYCLE SUMMARY</w:t>
      </w:r>
    </w:p>
    <w:tbl>
      <w:tblPr>
        <w:tblW w:w="5000" w:type="pct"/>
        <w:tblBorders>
          <w:top w:val="single" w:color="2C3E50" w:sz="12"/>
          <w:left w:val="nil"/>
          <w:bottom w:val="single" w:color="2C3E50" w:sz="12"/>
          <w:right w:val="nil"/>
          <w:insideH w:val="single" w:color="CBD5E0" w:sz="4"/>
          <w:insideV w:val="nil"/>
        </w:tblBorders>
      </w:tblPr>
      <w:tblGrid>
        <w:gridCol w:w="4500"/>
        <w:gridCol w:w="4500"/>
      </w:tblGrid>
      <w:tr>
        <w:trPr>
          <w:tblHeader/>
        </w:trPr>
        <w:tc>
          <w:tcPr>
            <w:tcW w:w="4500" w:type="dxa"/>
            <w:shd w:val="clear" w:fill="EDF2F7"/>
          </w:tcPr>
          <w:p>
            <w:pPr>
              <w:spacing w:before="60" w:after="60"/>
              <w:jc w:val="center"/>
            </w:pPr>
            <w:r>
              <w:rPr>
                <w:b/>
                <w:color w:val="1A252F"/>
                <w:sz w:val="20"/>
              </w:rPr>
              <w:t>Element</w:t>
            </w:r>
          </w:p>
        </w:tc>
        <w:tc>
          <w:tcPr>
            <w:tcW w:w="4500" w:type="dxa"/>
            <w:shd w:val="clear" w:fill="EDF2F7"/>
          </w:tcPr>
          <w:p>
            <w:pPr>
              <w:spacing w:before="60" w:after="60"/>
              <w:jc w:val="center"/>
            </w:pPr>
            <w:r>
              <w:rPr>
                <w:b/>
                <w:color w:val="1A252F"/>
                <w:sz w:val="20"/>
              </w:rPr>
              <w:t>Value</w:t>
            </w:r>
          </w:p>
        </w:tc>
      </w:tr>
      <w:tr>
        <w:tc>
          <w:tcPr>
            <w:tcW w:w="4500" w:type="dxa"/>
          </w:tcPr>
          <w:p>
            <w:pPr>
              <w:spacing w:before="40" w:after="40"/>
              <w:jc w:val="left"/>
            </w:pPr>
            <w:r>
              <w:rPr>
                <w:color w:val="4A5568"/>
                <w:sz w:val="20"/>
              </w:rPr>
              <w:t>Total Transits</w:t>
            </w:r>
          </w:p>
        </w:tc>
        <w:tc>
          <w:tcPr>
            <w:tcW w:w="4500" w:type="dxa"/>
          </w:tcPr>
          <w:p>
            <w:pPr>
              <w:spacing w:before="40" w:after="40"/>
              <w:jc w:val="left"/>
            </w:pPr>
            <w:r>
              <w:rPr>
                <w:color w:val="4A5568"/>
                <w:sz w:val="20"/>
              </w:rPr>
              <w:t>[#]</w:t>
            </w:r>
          </w:p>
        </w:tc>
      </w:tr>
      <w:tr>
        <w:tc>
          <w:tcPr>
            <w:tcW w:w="4500" w:type="dxa"/>
          </w:tcPr>
          <w:p>
            <w:pPr>
              <w:spacing w:before="40" w:after="40"/>
              <w:jc w:val="left"/>
            </w:pPr>
            <w:r>
              <w:rPr>
                <w:color w:val="4A5568"/>
                <w:sz w:val="20"/>
              </w:rPr>
              <w:t>Successful Transits</w:t>
            </w:r>
          </w:p>
        </w:tc>
        <w:tc>
          <w:tcPr>
            <w:tcW w:w="4500" w:type="dxa"/>
          </w:tcPr>
          <w:p>
            <w:pPr>
              <w:spacing w:before="40" w:after="40"/>
              <w:jc w:val="left"/>
            </w:pPr>
            <w:r>
              <w:rPr>
                <w:color w:val="4A5568"/>
                <w:sz w:val="20"/>
              </w:rPr>
              <w:t>[#]</w:t>
            </w:r>
          </w:p>
        </w:tc>
      </w:tr>
      <w:tr>
        <w:tc>
          <w:tcPr>
            <w:tcW w:w="4500" w:type="dxa"/>
          </w:tcPr>
          <w:p>
            <w:pPr>
              <w:spacing w:before="40" w:after="40"/>
              <w:jc w:val="left"/>
            </w:pPr>
            <w:r>
              <w:rPr>
                <w:color w:val="4A5568"/>
                <w:sz w:val="20"/>
              </w:rPr>
              <w:t>Failed Transits</w:t>
            </w:r>
          </w:p>
        </w:tc>
        <w:tc>
          <w:tcPr>
            <w:tcW w:w="4500" w:type="dxa"/>
          </w:tcPr>
          <w:p>
            <w:pPr>
              <w:spacing w:before="40" w:after="40"/>
              <w:jc w:val="left"/>
            </w:pPr>
            <w:r>
              <w:rPr>
                <w:color w:val="4A5568"/>
                <w:sz w:val="20"/>
              </w:rPr>
              <w:t>[#]</w:t>
            </w:r>
          </w:p>
        </w:tc>
      </w:tr>
      <w:tr>
        <w:tc>
          <w:tcPr>
            <w:tcW w:w="4500" w:type="dxa"/>
          </w:tcPr>
          <w:p>
            <w:pPr>
              <w:spacing w:before="40" w:after="40"/>
              <w:jc w:val="left"/>
            </w:pPr>
            <w:r>
              <w:rPr>
                <w:color w:val="4A5568"/>
                <w:sz w:val="20"/>
              </w:rPr>
              <w:t>Emergency-Exempt Transits</w:t>
            </w:r>
          </w:p>
        </w:tc>
        <w:tc>
          <w:tcPr>
            <w:tcW w:w="4500" w:type="dxa"/>
          </w:tcPr>
          <w:p>
            <w:pPr>
              <w:spacing w:before="40" w:after="40"/>
              <w:jc w:val="left"/>
            </w:pPr>
            <w:r>
              <w:rPr>
                <w:color w:val="4A5568"/>
                <w:sz w:val="20"/>
              </w:rPr>
              <w:t>[#]</w:t>
            </w:r>
          </w:p>
        </w:tc>
      </w:tr>
      <w:tr>
        <w:tc>
          <w:tcPr>
            <w:tcW w:w="4500" w:type="dxa"/>
          </w:tcPr>
          <w:p>
            <w:pPr>
              <w:spacing w:before="40" w:after="40"/>
              <w:jc w:val="left"/>
            </w:pPr>
            <w:r>
              <w:rPr>
                <w:color w:val="4A5568"/>
                <w:sz w:val="20"/>
              </w:rPr>
              <w:t>Success Rate (All Transits)</w:t>
            </w:r>
          </w:p>
        </w:tc>
        <w:tc>
          <w:tcPr>
            <w:tcW w:w="4500" w:type="dxa"/>
          </w:tcPr>
          <w:p>
            <w:pPr>
              <w:spacing w:before="40" w:after="40"/>
              <w:jc w:val="left"/>
            </w:pPr>
            <w:r>
              <w:rPr>
                <w:color w:val="4A5568"/>
                <w:sz w:val="20"/>
              </w:rPr>
              <w:t>[%]</w:t>
            </w:r>
          </w:p>
        </w:tc>
      </w:tr>
      <w:tr>
        <w:tc>
          <w:tcPr>
            <w:tcW w:w="4500" w:type="dxa"/>
          </w:tcPr>
          <w:p>
            <w:pPr>
              <w:spacing w:before="40" w:after="40"/>
              <w:jc w:val="left"/>
            </w:pPr>
            <w:r>
              <w:rPr>
                <w:color w:val="4A5568"/>
                <w:sz w:val="20"/>
              </w:rPr>
              <w:t>Total 48-Hour Periods</w:t>
            </w:r>
          </w:p>
        </w:tc>
        <w:tc>
          <w:tcPr>
            <w:tcW w:w="4500" w:type="dxa"/>
          </w:tcPr>
          <w:p>
            <w:pPr>
              <w:spacing w:before="40" w:after="40"/>
              <w:jc w:val="left"/>
            </w:pPr>
            <w:r>
              <w:rPr>
                <w:color w:val="4A5568"/>
                <w:sz w:val="20"/>
              </w:rPr>
              <w:t>[#]</w:t>
            </w:r>
          </w:p>
        </w:tc>
      </w:tr>
      <w:tr>
        <w:tc>
          <w:tcPr>
            <w:tcW w:w="4500" w:type="dxa"/>
          </w:tcPr>
          <w:p>
            <w:pPr>
              <w:spacing w:before="40" w:after="40"/>
              <w:jc w:val="left"/>
            </w:pPr>
            <w:r>
              <w:rPr>
                <w:color w:val="4A5568"/>
                <w:sz w:val="20"/>
              </w:rPr>
              <w:t>Successful 48-Hour Periods</w:t>
            </w:r>
          </w:p>
        </w:tc>
        <w:tc>
          <w:tcPr>
            <w:tcW w:w="4500" w:type="dxa"/>
          </w:tcPr>
          <w:p>
            <w:pPr>
              <w:spacing w:before="40" w:after="40"/>
              <w:jc w:val="left"/>
            </w:pPr>
            <w:r>
              <w:rPr>
                <w:color w:val="4A5568"/>
                <w:sz w:val="20"/>
              </w:rPr>
              <w:t>[#]</w:t>
            </w:r>
          </w:p>
        </w:tc>
      </w:tr>
      <w:tr>
        <w:tc>
          <w:tcPr>
            <w:tcW w:w="4500" w:type="dxa"/>
          </w:tcPr>
          <w:p>
            <w:pPr>
              <w:spacing w:before="40" w:after="40"/>
              <w:jc w:val="left"/>
            </w:pPr>
            <w:r>
              <w:rPr>
                <w:color w:val="4A5568"/>
                <w:sz w:val="20"/>
              </w:rPr>
              <w:t>48-Hour Success Rate</w:t>
            </w:r>
          </w:p>
        </w:tc>
        <w:tc>
          <w:tcPr>
            <w:tcW w:w="4500" w:type="dxa"/>
          </w:tcPr>
          <w:p>
            <w:pPr>
              <w:spacing w:before="40" w:after="40"/>
              <w:jc w:val="left"/>
            </w:pPr>
            <w:r>
              <w:rPr>
                <w:color w:val="4A5568"/>
                <w:sz w:val="20"/>
              </w:rPr>
              <w:t>[%]</w:t>
            </w:r>
          </w:p>
        </w:tc>
      </w:tr>
      <w:tr>
        <w:tc>
          <w:tcPr>
            <w:tcW w:w="4500" w:type="dxa"/>
          </w:tcPr>
          <w:p>
            <w:pPr>
              <w:spacing w:before="40" w:after="40"/>
              <w:jc w:val="left"/>
            </w:pPr>
            <w:r>
              <w:rPr>
                <w:color w:val="4A5568"/>
                <w:sz w:val="20"/>
              </w:rPr>
              <w:t>Cycle-Level Status</w:t>
            </w:r>
          </w:p>
        </w:tc>
        <w:tc>
          <w:tcPr>
            <w:tcW w:w="4500" w:type="dxa"/>
          </w:tcPr>
          <w:p>
            <w:pPr>
              <w:spacing w:before="40" w:after="40"/>
              <w:jc w:val="left"/>
            </w:pPr>
            <w:r>
              <w:rPr>
                <w:color w:val="4A5568"/>
                <w:sz w:val="20"/>
              </w:rPr>
              <w:t>[Successful / Unsuccessful]</w:t>
            </w:r>
          </w:p>
        </w:tc>
      </w:tr>
    </w:tbl>
    <w:p>
      <w:pPr>
        <w:pStyle w:val="Heading3"/>
      </w:pPr>
      <w:r>
        <w:t>SECTION 2: METRIC-BY-METRIC ASSESSMENT</w:t>
      </w:r>
    </w:p>
    <w:tbl>
      <w:tblPr>
        <w:tblW w:w="5000" w:type="pct"/>
        <w:tblBorders>
          <w:top w:val="single" w:color="2C3E50" w:sz="12"/>
          <w:left w:val="nil"/>
          <w:bottom w:val="single" w:color="2C3E50" w:sz="12"/>
          <w:right w:val="nil"/>
          <w:insideH w:val="single" w:color="CBD5E0" w:sz="4"/>
          <w:insideV w:val="nil"/>
        </w:tblBorders>
      </w:tblPr>
      <w:tblGrid>
        <w:gridCol w:w="2500"/>
        <w:gridCol w:w="2500"/>
        <w:gridCol w:w="2000"/>
        <w:gridCol w:w="2000"/>
      </w:tblGrid>
      <w:tr>
        <w:trPr>
          <w:tblHeader/>
        </w:trPr>
        <w:tc>
          <w:tcPr>
            <w:tcW w:w="2500" w:type="dxa"/>
            <w:shd w:val="clear" w:fill="EDF2F7"/>
          </w:tcPr>
          <w:p>
            <w:pPr>
              <w:spacing w:before="60" w:after="60"/>
              <w:jc w:val="center"/>
            </w:pPr>
            <w:r>
              <w:rPr>
                <w:b/>
                <w:color w:val="1A252F"/>
                <w:sz w:val="20"/>
              </w:rPr>
              <w:t>Metric</w:t>
            </w:r>
          </w:p>
        </w:tc>
        <w:tc>
          <w:tcPr>
            <w:tcW w:w="2500" w:type="dxa"/>
            <w:shd w:val="clear" w:fill="EDF2F7"/>
          </w:tcPr>
          <w:p>
            <w:pPr>
              <w:spacing w:before="60" w:after="60"/>
              <w:jc w:val="center"/>
            </w:pPr>
            <w:r>
              <w:rPr>
                <w:b/>
                <w:color w:val="1A252F"/>
                <w:sz w:val="20"/>
              </w:rPr>
              <w:t>Threshold</w:t>
            </w:r>
          </w:p>
        </w:tc>
        <w:tc>
          <w:tcPr>
            <w:tcW w:w="2000" w:type="dxa"/>
            <w:shd w:val="clear" w:fill="EDF2F7"/>
          </w:tcPr>
          <w:p>
            <w:pPr>
              <w:spacing w:before="60" w:after="60"/>
              <w:jc w:val="center"/>
            </w:pPr>
            <w:r>
              <w:rPr>
                <w:b/>
                <w:color w:val="1A252F"/>
                <w:sz w:val="20"/>
              </w:rPr>
              <w:t>Success Rate</w:t>
            </w:r>
          </w:p>
        </w:tc>
        <w:tc>
          <w:tcPr>
            <w:tcW w:w="2000" w:type="dxa"/>
            <w:shd w:val="clear" w:fill="EDF2F7"/>
          </w:tcPr>
          <w:p>
            <w:pPr>
              <w:spacing w:before="60" w:after="60"/>
              <w:jc w:val="center"/>
            </w:pPr>
            <w:r>
              <w:rPr>
                <w:b/>
                <w:color w:val="1A252F"/>
                <w:sz w:val="20"/>
              </w:rPr>
              <w:t>Status</w:t>
            </w:r>
          </w:p>
        </w:tc>
      </w:tr>
      <w:tr>
        <w:tc>
          <w:tcPr>
            <w:tcW w:w="2500" w:type="dxa"/>
          </w:tcPr>
          <w:p>
            <w:pPr>
              <w:spacing w:before="40" w:after="40"/>
              <w:jc w:val="left"/>
            </w:pPr>
            <w:r>
              <w:rPr>
                <w:color w:val="4A5568"/>
                <w:sz w:val="20"/>
              </w:rPr>
              <w:t>Transit Speed</w:t>
            </w:r>
          </w:p>
        </w:tc>
        <w:tc>
          <w:tcPr>
            <w:tcW w:w="2500" w:type="dxa"/>
          </w:tcPr>
          <w:p>
            <w:pPr>
              <w:spacing w:before="40" w:after="40"/>
              <w:jc w:val="left"/>
            </w:pPr>
            <w:r>
              <w:rPr>
                <w:color w:val="4A5568"/>
                <w:sz w:val="20"/>
              </w:rPr>
              <w:t>&gt;= 10.5 knots avg</w:t>
            </w:r>
          </w:p>
        </w:tc>
        <w:tc>
          <w:tcPr>
            <w:tcW w:w="2000" w:type="dxa"/>
          </w:tcPr>
          <w:p>
            <w:pPr>
              <w:spacing w:before="40" w:after="40"/>
              <w:jc w:val="left"/>
            </w:pPr>
            <w:r>
              <w:rPr>
                <w:color w:val="4A5568"/>
                <w:sz w:val="20"/>
              </w:rPr>
              <w:t>[%]</w:t>
            </w:r>
          </w:p>
        </w:tc>
        <w:tc>
          <w:tcPr>
            <w:tcW w:w="2000" w:type="dxa"/>
          </w:tcPr>
          <w:p>
            <w:pPr>
              <w:spacing w:before="40" w:after="40"/>
              <w:jc w:val="left"/>
            </w:pPr>
            <w:r>
              <w:rPr>
                <w:color w:val="4A5568"/>
                <w:sz w:val="20"/>
              </w:rPr>
              <w:t>[Pass / Fail]</w:t>
            </w:r>
          </w:p>
        </w:tc>
      </w:tr>
      <w:tr>
        <w:tc>
          <w:tcPr>
            <w:tcW w:w="2500" w:type="dxa"/>
          </w:tcPr>
          <w:p>
            <w:pPr>
              <w:spacing w:before="40" w:after="40"/>
              <w:jc w:val="left"/>
            </w:pPr>
            <w:r>
              <w:rPr>
                <w:color w:val="4A5568"/>
                <w:sz w:val="20"/>
              </w:rPr>
              <w:t>Lane Adherence</w:t>
            </w:r>
          </w:p>
        </w:tc>
        <w:tc>
          <w:tcPr>
            <w:tcW w:w="2500" w:type="dxa"/>
          </w:tcPr>
          <w:p>
            <w:pPr>
              <w:spacing w:before="40" w:after="40"/>
              <w:jc w:val="left"/>
            </w:pPr>
            <w:r>
              <w:rPr>
                <w:color w:val="4A5568"/>
                <w:sz w:val="20"/>
              </w:rPr>
              <w:t>&lt;= 0.5 NM deviation</w:t>
            </w:r>
          </w:p>
        </w:tc>
        <w:tc>
          <w:tcPr>
            <w:tcW w:w="2000" w:type="dxa"/>
          </w:tcPr>
          <w:p>
            <w:pPr>
              <w:spacing w:before="40" w:after="40"/>
              <w:jc w:val="left"/>
            </w:pPr>
            <w:r>
              <w:rPr>
                <w:color w:val="4A5568"/>
                <w:sz w:val="20"/>
              </w:rPr>
              <w:t>[%]</w:t>
            </w:r>
          </w:p>
        </w:tc>
        <w:tc>
          <w:tcPr>
            <w:tcW w:w="2000" w:type="dxa"/>
          </w:tcPr>
          <w:p>
            <w:pPr>
              <w:spacing w:before="40" w:after="40"/>
              <w:jc w:val="left"/>
            </w:pPr>
            <w:r>
              <w:rPr>
                <w:color w:val="4A5568"/>
                <w:sz w:val="20"/>
              </w:rPr>
              <w:t>[Pass / Fail]</w:t>
            </w:r>
          </w:p>
        </w:tc>
      </w:tr>
      <w:tr>
        <w:tc>
          <w:tcPr>
            <w:tcW w:w="2500" w:type="dxa"/>
          </w:tcPr>
          <w:p>
            <w:pPr>
              <w:spacing w:before="40" w:after="40"/>
              <w:jc w:val="left"/>
            </w:pPr>
            <w:r>
              <w:rPr>
                <w:color w:val="4A5568"/>
                <w:sz w:val="20"/>
              </w:rPr>
              <w:t>Non-Interference</w:t>
            </w:r>
          </w:p>
        </w:tc>
        <w:tc>
          <w:tcPr>
            <w:tcW w:w="2500" w:type="dxa"/>
          </w:tcPr>
          <w:p>
            <w:pPr>
              <w:spacing w:before="40" w:after="40"/>
              <w:jc w:val="left"/>
            </w:pPr>
            <w:r>
              <w:rPr>
                <w:color w:val="4A5568"/>
                <w:sz w:val="20"/>
              </w:rPr>
              <w:t>Zero verified events</w:t>
            </w:r>
          </w:p>
        </w:tc>
        <w:tc>
          <w:tcPr>
            <w:tcW w:w="2000" w:type="dxa"/>
          </w:tcPr>
          <w:p>
            <w:pPr>
              <w:spacing w:before="40" w:after="40"/>
              <w:jc w:val="left"/>
            </w:pPr>
            <w:r>
              <w:rPr>
                <w:color w:val="4A5568"/>
                <w:sz w:val="20"/>
              </w:rPr>
              <w:t>[%]</w:t>
            </w:r>
          </w:p>
        </w:tc>
        <w:tc>
          <w:tcPr>
            <w:tcW w:w="2000" w:type="dxa"/>
          </w:tcPr>
          <w:p>
            <w:pPr>
              <w:spacing w:before="40" w:after="40"/>
              <w:jc w:val="left"/>
            </w:pPr>
            <w:r>
              <w:rPr>
                <w:color w:val="4A5568"/>
                <w:sz w:val="20"/>
              </w:rPr>
              <w:t>[Pass / Fail]</w:t>
            </w:r>
          </w:p>
        </w:tc>
      </w:tr>
      <w:tr>
        <w:tc>
          <w:tcPr>
            <w:tcW w:w="2500" w:type="dxa"/>
          </w:tcPr>
          <w:p>
            <w:pPr>
              <w:spacing w:before="40" w:after="40"/>
              <w:jc w:val="left"/>
            </w:pPr>
            <w:r>
              <w:rPr>
                <w:color w:val="4A5568"/>
                <w:sz w:val="20"/>
              </w:rPr>
              <w:t>AIS Continuity</w:t>
            </w:r>
          </w:p>
        </w:tc>
        <w:tc>
          <w:tcPr>
            <w:tcW w:w="2500" w:type="dxa"/>
          </w:tcPr>
          <w:p>
            <w:pPr>
              <w:spacing w:before="40" w:after="40"/>
              <w:jc w:val="left"/>
            </w:pPr>
            <w:r>
              <w:rPr>
                <w:color w:val="4A5568"/>
                <w:sz w:val="20"/>
              </w:rPr>
              <w:t>&lt;= 15 min downtime</w:t>
            </w:r>
          </w:p>
        </w:tc>
        <w:tc>
          <w:tcPr>
            <w:tcW w:w="2000" w:type="dxa"/>
          </w:tcPr>
          <w:p>
            <w:pPr>
              <w:spacing w:before="40" w:after="40"/>
              <w:jc w:val="left"/>
            </w:pPr>
            <w:r>
              <w:rPr>
                <w:color w:val="4A5568"/>
                <w:sz w:val="20"/>
              </w:rPr>
              <w:t>[%]</w:t>
            </w:r>
          </w:p>
        </w:tc>
        <w:tc>
          <w:tcPr>
            <w:tcW w:w="2000" w:type="dxa"/>
          </w:tcPr>
          <w:p>
            <w:pPr>
              <w:spacing w:before="40" w:after="40"/>
              <w:jc w:val="left"/>
            </w:pPr>
            <w:r>
              <w:rPr>
                <w:color w:val="4A5568"/>
                <w:sz w:val="20"/>
              </w:rPr>
              <w:t>[Pass / Fail]</w:t>
            </w:r>
          </w:p>
        </w:tc>
      </w:tr>
    </w:tbl>
    <w:p>
      <w:pPr>
        <w:pStyle w:val="Heading3"/>
      </w:pPr>
      <w:r>
        <w:t>SECTION 3: 48-HOUR PERIOD DETAIL</w:t>
      </w:r>
    </w:p>
    <w:tbl>
      <w:tblPr>
        <w:tblW w:w="5000" w:type="pct"/>
        <w:tblBorders>
          <w:top w:val="single" w:color="2C3E50" w:sz="12"/>
          <w:left w:val="nil"/>
          <w:bottom w:val="single" w:color="2C3E50" w:sz="12"/>
          <w:right w:val="nil"/>
          <w:insideH w:val="single" w:color="CBD5E0" w:sz="4"/>
          <w:insideV w:val="nil"/>
        </w:tblBorders>
      </w:tblPr>
      <w:tblGrid>
        <w:gridCol w:w="1200"/>
        <w:gridCol w:w="2400"/>
        <w:gridCol w:w="1800"/>
        <w:gridCol w:w="1800"/>
        <w:gridCol w:w="1800"/>
      </w:tblGrid>
      <w:tr>
        <w:trPr>
          <w:tblHeader/>
        </w:trPr>
        <w:tc>
          <w:tcPr>
            <w:tcW w:w="1200" w:type="dxa"/>
            <w:shd w:val="clear" w:fill="EDF2F7"/>
          </w:tcPr>
          <w:p>
            <w:pPr>
              <w:spacing w:before="60" w:after="60"/>
              <w:jc w:val="center"/>
            </w:pPr>
            <w:r>
              <w:rPr>
                <w:b/>
                <w:color w:val="1A252F"/>
                <w:sz w:val="20"/>
              </w:rPr>
              <w:t>Period</w:t>
            </w:r>
          </w:p>
        </w:tc>
        <w:tc>
          <w:tcPr>
            <w:tcW w:w="2400" w:type="dxa"/>
            <w:shd w:val="clear" w:fill="EDF2F7"/>
          </w:tcPr>
          <w:p>
            <w:pPr>
              <w:spacing w:before="60" w:after="60"/>
              <w:jc w:val="center"/>
            </w:pPr>
            <w:r>
              <w:rPr>
                <w:b/>
                <w:color w:val="1A252F"/>
                <w:sz w:val="20"/>
              </w:rPr>
              <w:t>Dates</w:t>
            </w:r>
          </w:p>
        </w:tc>
        <w:tc>
          <w:tcPr>
            <w:tcW w:w="1800" w:type="dxa"/>
            <w:shd w:val="clear" w:fill="EDF2F7"/>
          </w:tcPr>
          <w:p>
            <w:pPr>
              <w:spacing w:before="60" w:after="60"/>
              <w:jc w:val="center"/>
            </w:pPr>
            <w:r>
              <w:rPr>
                <w:b/>
                <w:color w:val="1A252F"/>
                <w:sz w:val="20"/>
              </w:rPr>
              <w:t>Transits</w:t>
            </w:r>
          </w:p>
        </w:tc>
        <w:tc>
          <w:tcPr>
            <w:tcW w:w="1800" w:type="dxa"/>
            <w:shd w:val="clear" w:fill="EDF2F7"/>
          </w:tcPr>
          <w:p>
            <w:pPr>
              <w:spacing w:before="60" w:after="60"/>
              <w:jc w:val="center"/>
            </w:pPr>
            <w:r>
              <w:rPr>
                <w:b/>
                <w:color w:val="1A252F"/>
                <w:sz w:val="20"/>
              </w:rPr>
              <w:t>Success Rate</w:t>
            </w:r>
          </w:p>
        </w:tc>
        <w:tc>
          <w:tcPr>
            <w:tcW w:w="1800" w:type="dxa"/>
            <w:shd w:val="clear" w:fill="EDF2F7"/>
          </w:tcPr>
          <w:p>
            <w:pPr>
              <w:spacing w:before="60" w:after="60"/>
              <w:jc w:val="center"/>
            </w:pPr>
            <w:r>
              <w:rPr>
                <w:b/>
                <w:color w:val="1A252F"/>
                <w:sz w:val="20"/>
              </w:rPr>
              <w:t>Status</w:t>
            </w:r>
          </w:p>
        </w:tc>
      </w:tr>
      <w:tr>
        <w:tc>
          <w:tcPr>
            <w:tcW w:w="1200" w:type="dxa"/>
          </w:tcPr>
          <w:p>
            <w:pPr>
              <w:spacing w:before="40" w:after="40"/>
              <w:jc w:val="left"/>
            </w:pPr>
            <w:r>
              <w:rPr>
                <w:color w:val="4A5568"/>
                <w:sz w:val="20"/>
              </w:rPr>
              <w:t>P1</w:t>
            </w:r>
          </w:p>
        </w:tc>
        <w:tc>
          <w:tcPr>
            <w:tcW w:w="2400" w:type="dxa"/>
          </w:tcPr>
          <w:p>
            <w:pPr>
              <w:spacing w:before="40" w:after="40"/>
              <w:jc w:val="left"/>
            </w:pPr>
            <w:r>
              <w:rPr>
                <w:color w:val="4A5568"/>
                <w:sz w:val="20"/>
              </w:rPr>
              <w:t>[Date - Date]</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[S / F]</w:t>
            </w:r>
          </w:p>
        </w:tc>
      </w:tr>
      <w:tr>
        <w:tc>
          <w:tcPr>
            <w:tcW w:w="1200" w:type="dxa"/>
          </w:tcPr>
          <w:p>
            <w:pPr>
              <w:spacing w:before="40" w:after="40"/>
              <w:jc w:val="left"/>
            </w:pPr>
            <w:r>
              <w:rPr>
                <w:color w:val="4A5568"/>
                <w:sz w:val="20"/>
              </w:rPr>
              <w:t>P2</w:t>
            </w:r>
          </w:p>
        </w:tc>
        <w:tc>
          <w:tcPr>
            <w:tcW w:w="2400" w:type="dxa"/>
          </w:tcPr>
          <w:p>
            <w:pPr>
              <w:spacing w:before="40" w:after="40"/>
              <w:jc w:val="left"/>
            </w:pPr>
            <w:r>
              <w:rPr>
                <w:color w:val="4A5568"/>
                <w:sz w:val="20"/>
              </w:rPr>
              <w:t>[Date - Date]</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[S / F]</w:t>
            </w:r>
          </w:p>
        </w:tc>
      </w:tr>
      <w:tr>
        <w:tc>
          <w:tcPr>
            <w:tcW w:w="1200" w:type="dxa"/>
          </w:tcPr>
          <w:p>
            <w:pPr>
              <w:spacing w:before="40" w:after="40"/>
              <w:jc w:val="left"/>
            </w:pPr>
            <w:r>
              <w:rPr>
                <w:color w:val="4A5568"/>
                <w:sz w:val="20"/>
              </w:rPr>
              <w:t>P3</w:t>
            </w:r>
          </w:p>
        </w:tc>
        <w:tc>
          <w:tcPr>
            <w:tcW w:w="2400" w:type="dxa"/>
          </w:tcPr>
          <w:p>
            <w:pPr>
              <w:spacing w:before="40" w:after="40"/>
              <w:jc w:val="left"/>
            </w:pPr>
            <w:r>
              <w:rPr>
                <w:color w:val="4A5568"/>
                <w:sz w:val="20"/>
              </w:rPr>
              <w:t>[Date - Date]</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[S / F]</w:t>
            </w:r>
          </w:p>
        </w:tc>
      </w:tr>
      <w:tr>
        <w:tc>
          <w:tcPr>
            <w:tcW w:w="1200" w:type="dxa"/>
          </w:tcPr>
          <w:p>
            <w:pPr>
              <w:spacing w:before="40" w:after="40"/>
              <w:jc w:val="left"/>
            </w:pPr>
            <w:r>
              <w:rPr>
                <w:color w:val="4A5568"/>
                <w:sz w:val="20"/>
              </w:rPr>
              <w:t>P4</w:t>
            </w:r>
          </w:p>
        </w:tc>
        <w:tc>
          <w:tcPr>
            <w:tcW w:w="2400" w:type="dxa"/>
          </w:tcPr>
          <w:p>
            <w:pPr>
              <w:spacing w:before="40" w:after="40"/>
              <w:jc w:val="left"/>
            </w:pPr>
            <w:r>
              <w:rPr>
                <w:color w:val="4A5568"/>
                <w:sz w:val="20"/>
              </w:rPr>
              <w:t>[Date - Date]</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[S / F]</w:t>
            </w:r>
          </w:p>
        </w:tc>
      </w:tr>
      <w:tr>
        <w:tc>
          <w:tcPr>
            <w:tcW w:w="1200" w:type="dxa"/>
          </w:tcPr>
          <w:p>
            <w:pPr>
              <w:spacing w:before="40" w:after="40"/>
              <w:jc w:val="left"/>
            </w:pPr>
            <w:r>
              <w:rPr>
                <w:color w:val="4A5568"/>
                <w:sz w:val="20"/>
              </w:rPr>
              <w:t>P5</w:t>
            </w:r>
          </w:p>
        </w:tc>
        <w:tc>
          <w:tcPr>
            <w:tcW w:w="2400" w:type="dxa"/>
          </w:tcPr>
          <w:p>
            <w:pPr>
              <w:spacing w:before="40" w:after="40"/>
              <w:jc w:val="left"/>
            </w:pPr>
            <w:r>
              <w:rPr>
                <w:color w:val="4A5568"/>
                <w:sz w:val="20"/>
              </w:rPr>
              <w:t>[Date - Date]</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[S / F]</w:t>
            </w:r>
          </w:p>
        </w:tc>
      </w:tr>
      <w:tr>
        <w:tc>
          <w:tcPr>
            <w:tcW w:w="1200" w:type="dxa"/>
          </w:tcPr>
          <w:p>
            <w:pPr>
              <w:spacing w:before="40" w:after="40"/>
              <w:jc w:val="left"/>
            </w:pPr>
            <w:r>
              <w:rPr>
                <w:color w:val="4A5568"/>
                <w:sz w:val="20"/>
              </w:rPr>
              <w:t>P6</w:t>
            </w:r>
          </w:p>
        </w:tc>
        <w:tc>
          <w:tcPr>
            <w:tcW w:w="2400" w:type="dxa"/>
          </w:tcPr>
          <w:p>
            <w:pPr>
              <w:spacing w:before="40" w:after="40"/>
              <w:jc w:val="left"/>
            </w:pPr>
            <w:r>
              <w:rPr>
                <w:color w:val="4A5568"/>
                <w:sz w:val="20"/>
              </w:rPr>
              <w:t>[Date - Date]</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[S / F]</w:t>
            </w:r>
          </w:p>
        </w:tc>
      </w:tr>
      <w:tr>
        <w:tc>
          <w:tcPr>
            <w:tcW w:w="1200" w:type="dxa"/>
          </w:tcPr>
          <w:p>
            <w:pPr>
              <w:spacing w:before="40" w:after="40"/>
              <w:jc w:val="left"/>
            </w:pPr>
            <w:r>
              <w:rPr>
                <w:color w:val="4A5568"/>
                <w:sz w:val="20"/>
              </w:rPr>
              <w:t>P7</w:t>
            </w:r>
          </w:p>
        </w:tc>
        <w:tc>
          <w:tcPr>
            <w:tcW w:w="2400" w:type="dxa"/>
          </w:tcPr>
          <w:p>
            <w:pPr>
              <w:spacing w:before="40" w:after="40"/>
              <w:jc w:val="left"/>
            </w:pPr>
            <w:r>
              <w:rPr>
                <w:color w:val="4A5568"/>
                <w:sz w:val="20"/>
              </w:rPr>
              <w:t>[Date - Date]</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w:t>
            </w:r>
          </w:p>
        </w:tc>
        <w:tc>
          <w:tcPr>
            <w:tcW w:w="1800" w:type="dxa"/>
          </w:tcPr>
          <w:p>
            <w:pPr>
              <w:spacing w:before="40" w:after="40"/>
              <w:jc w:val="left"/>
            </w:pPr>
            <w:r>
              <w:rPr>
                <w:color w:val="4A5568"/>
                <w:sz w:val="20"/>
              </w:rPr>
              <w:t>[S / F]</w:t>
            </w:r>
          </w:p>
        </w:tc>
      </w:tr>
    </w:tbl>
    <w:p>
      <w:pPr>
        <w:pStyle w:val="Heading3"/>
      </w:pPr>
      <w:r>
        <w:t>SECTION 4: CORROBORATION SUMMARY</w:t>
      </w:r>
    </w:p>
    <w:tbl>
      <w:tblPr>
        <w:tblW w:w="5000" w:type="pct"/>
        <w:tblBorders>
          <w:top w:val="single" w:color="2C3E50" w:sz="12"/>
          <w:left w:val="nil"/>
          <w:bottom w:val="single" w:color="2C3E50" w:sz="12"/>
          <w:right w:val="nil"/>
          <w:insideH w:val="single" w:color="CBD5E0" w:sz="4"/>
          <w:insideV w:val="nil"/>
        </w:tblBorders>
      </w:tblPr>
      <w:tblGrid>
        <w:gridCol w:w="1800"/>
        <w:gridCol w:w="2200"/>
        <w:gridCol w:w="1800"/>
        <w:gridCol w:w="1800"/>
        <w:gridCol w:w="1400"/>
      </w:tblGrid>
      <w:tr>
        <w:trPr>
          <w:tblHeader/>
        </w:trPr>
        <w:tc>
          <w:tcPr>
            <w:tcW w:w="1800" w:type="dxa"/>
            <w:shd w:val="clear" w:fill="EDF2F7"/>
          </w:tcPr>
          <w:p>
            <w:pPr>
              <w:spacing w:before="60" w:after="60"/>
              <w:jc w:val="center"/>
            </w:pPr>
            <w:r>
              <w:rPr>
                <w:b/>
                <w:color w:val="1A252F"/>
                <w:sz w:val="20"/>
              </w:rPr>
              <w:t>Metric</w:t>
            </w:r>
          </w:p>
        </w:tc>
        <w:tc>
          <w:tcPr>
            <w:tcW w:w="2200" w:type="dxa"/>
            <w:shd w:val="clear" w:fill="EDF2F7"/>
          </w:tcPr>
          <w:p>
            <w:pPr>
              <w:spacing w:before="60" w:after="60"/>
              <w:jc w:val="center"/>
            </w:pPr>
            <w:r>
              <w:rPr>
                <w:b/>
                <w:color w:val="1A252F"/>
                <w:sz w:val="20"/>
              </w:rPr>
              <w:t>Source 1</w:t>
            </w:r>
          </w:p>
        </w:tc>
        <w:tc>
          <w:tcPr>
            <w:tcW w:w="1800" w:type="dxa"/>
            <w:shd w:val="clear" w:fill="EDF2F7"/>
          </w:tcPr>
          <w:p>
            <w:pPr>
              <w:spacing w:before="60" w:after="60"/>
              <w:jc w:val="center"/>
            </w:pPr>
            <w:r>
              <w:rPr>
                <w:b/>
                <w:color w:val="1A252F"/>
                <w:sz w:val="20"/>
              </w:rPr>
              <w:t>Source 2</w:t>
            </w:r>
          </w:p>
        </w:tc>
        <w:tc>
          <w:tcPr>
            <w:tcW w:w="1800" w:type="dxa"/>
            <w:shd w:val="clear" w:fill="EDF2F7"/>
          </w:tcPr>
          <w:p>
            <w:pPr>
              <w:spacing w:before="60" w:after="60"/>
              <w:jc w:val="center"/>
            </w:pPr>
            <w:r>
              <w:rPr>
                <w:b/>
                <w:color w:val="1A252F"/>
                <w:sz w:val="20"/>
              </w:rPr>
              <w:t>Source 3</w:t>
            </w:r>
          </w:p>
        </w:tc>
        <w:tc>
          <w:tcPr>
            <w:tcW w:w="1400" w:type="dxa"/>
            <w:shd w:val="clear" w:fill="EDF2F7"/>
          </w:tcPr>
          <w:p>
            <w:pPr>
              <w:spacing w:before="60" w:after="60"/>
              <w:jc w:val="center"/>
            </w:pPr>
            <w:r>
              <w:rPr>
                <w:b/>
                <w:color w:val="1A252F"/>
                <w:sz w:val="20"/>
              </w:rPr>
              <w:t>Status</w:t>
            </w:r>
          </w:p>
        </w:tc>
      </w:tr>
      <w:tr>
        <w:tc>
          <w:tcPr>
            <w:tcW w:w="1800" w:type="dxa"/>
          </w:tcPr>
          <w:p>
            <w:pPr>
              <w:spacing w:before="40" w:after="40"/>
              <w:jc w:val="left"/>
            </w:pPr>
            <w:r>
              <w:rPr>
                <w:color w:val="4A5568"/>
                <w:sz w:val="20"/>
              </w:rPr>
              <w:t>Speed</w:t>
            </w:r>
          </w:p>
        </w:tc>
        <w:tc>
          <w:tcPr>
            <w:tcW w:w="2200" w:type="dxa"/>
          </w:tcPr>
          <w:p>
            <w:pPr>
              <w:spacing w:before="40" w:after="40"/>
              <w:jc w:val="left"/>
            </w:pPr>
            <w:r>
              <w:rPr>
                <w:color w:val="4A5568"/>
                <w:sz w:val="20"/>
              </w:rPr>
              <w:t>Primary Transit Data</w:t>
            </w:r>
          </w:p>
        </w:tc>
        <w:tc>
          <w:tcPr>
            <w:tcW w:w="1800" w:type="dxa"/>
          </w:tcPr>
          <w:p>
            <w:pPr>
              <w:spacing w:before="40" w:after="40"/>
              <w:jc w:val="left"/>
            </w:pPr>
            <w:r>
              <w:rPr>
                <w:color w:val="4A5568"/>
                <w:sz w:val="20"/>
              </w:rPr>
              <w:t>Satellite AIS</w:t>
            </w:r>
          </w:p>
        </w:tc>
        <w:tc>
          <w:tcPr>
            <w:tcW w:w="1800" w:type="dxa"/>
          </w:tcPr>
          <w:p>
            <w:pPr>
              <w:spacing w:before="40" w:after="40"/>
              <w:jc w:val="left"/>
            </w:pPr>
            <w:r>
              <w:rPr>
                <w:color w:val="4A5568"/>
                <w:sz w:val="20"/>
              </w:rPr>
              <w:t>Radar</w:t>
            </w:r>
          </w:p>
        </w:tc>
        <w:tc>
          <w:tcPr>
            <w:tcW w:w="1400" w:type="dxa"/>
          </w:tcPr>
          <w:p>
            <w:pPr>
              <w:spacing w:before="40" w:after="40"/>
              <w:jc w:val="left"/>
            </w:pPr>
            <w:r>
              <w:rPr>
                <w:color w:val="4A5568"/>
                <w:sz w:val="20"/>
              </w:rPr>
              <w:t>[C / P / U / D]</w:t>
            </w:r>
          </w:p>
        </w:tc>
      </w:tr>
      <w:tr>
        <w:tc>
          <w:tcPr>
            <w:tcW w:w="1800" w:type="dxa"/>
          </w:tcPr>
          <w:p>
            <w:pPr>
              <w:spacing w:before="40" w:after="40"/>
              <w:jc w:val="left"/>
            </w:pPr>
            <w:r>
              <w:rPr>
                <w:color w:val="4A5568"/>
                <w:sz w:val="20"/>
              </w:rPr>
              <w:t>Lane</w:t>
            </w:r>
          </w:p>
        </w:tc>
        <w:tc>
          <w:tcPr>
            <w:tcW w:w="2200" w:type="dxa"/>
          </w:tcPr>
          <w:p>
            <w:pPr>
              <w:spacing w:before="40" w:after="40"/>
              <w:jc w:val="left"/>
            </w:pPr>
            <w:r>
              <w:rPr>
                <w:color w:val="4A5568"/>
                <w:sz w:val="20"/>
              </w:rPr>
              <w:t>Primary Transit Data</w:t>
            </w:r>
          </w:p>
        </w:tc>
        <w:tc>
          <w:tcPr>
            <w:tcW w:w="1800" w:type="dxa"/>
          </w:tcPr>
          <w:p>
            <w:pPr>
              <w:spacing w:before="40" w:after="40"/>
              <w:jc w:val="left"/>
            </w:pPr>
            <w:r>
              <w:rPr>
                <w:color w:val="4A5568"/>
                <w:sz w:val="20"/>
              </w:rPr>
              <w:t>Satellite AIS</w:t>
            </w:r>
          </w:p>
        </w:tc>
        <w:tc>
          <w:tcPr>
            <w:tcW w:w="1800" w:type="dxa"/>
          </w:tcPr>
          <w:p>
            <w:pPr>
              <w:spacing w:before="40" w:after="40"/>
              <w:jc w:val="left"/>
            </w:pPr>
            <w:r>
              <w:rPr>
                <w:color w:val="4A5568"/>
                <w:sz w:val="20"/>
              </w:rPr>
              <w:t>Radar</w:t>
            </w:r>
          </w:p>
        </w:tc>
        <w:tc>
          <w:tcPr>
            <w:tcW w:w="1400" w:type="dxa"/>
          </w:tcPr>
          <w:p>
            <w:pPr>
              <w:spacing w:before="40" w:after="40"/>
              <w:jc w:val="left"/>
            </w:pPr>
            <w:r>
              <w:rPr>
                <w:color w:val="4A5568"/>
                <w:sz w:val="20"/>
              </w:rPr>
              <w:t>[C / P / U / D]</w:t>
            </w:r>
          </w:p>
        </w:tc>
      </w:tr>
      <w:tr>
        <w:tc>
          <w:tcPr>
            <w:tcW w:w="1800" w:type="dxa"/>
          </w:tcPr>
          <w:p>
            <w:pPr>
              <w:spacing w:before="40" w:after="40"/>
              <w:jc w:val="left"/>
            </w:pPr>
            <w:r>
              <w:rPr>
                <w:color w:val="4A5568"/>
                <w:sz w:val="20"/>
              </w:rPr>
              <w:t>Interference</w:t>
            </w:r>
          </w:p>
        </w:tc>
        <w:tc>
          <w:tcPr>
            <w:tcW w:w="2200" w:type="dxa"/>
          </w:tcPr>
          <w:p>
            <w:pPr>
              <w:spacing w:before="40" w:after="40"/>
              <w:jc w:val="left"/>
            </w:pPr>
            <w:r>
              <w:rPr>
                <w:color w:val="4A5568"/>
                <w:sz w:val="20"/>
              </w:rPr>
              <w:t>Primary Transit Data</w:t>
            </w:r>
          </w:p>
        </w:tc>
        <w:tc>
          <w:tcPr>
            <w:tcW w:w="1800" w:type="dxa"/>
          </w:tcPr>
          <w:p>
            <w:pPr>
              <w:spacing w:before="40" w:after="40"/>
              <w:jc w:val="left"/>
            </w:pPr>
            <w:r>
              <w:rPr>
                <w:color w:val="4A5568"/>
                <w:sz w:val="20"/>
              </w:rPr>
              <w:t>Satellite AIS</w:t>
            </w:r>
          </w:p>
        </w:tc>
        <w:tc>
          <w:tcPr>
            <w:tcW w:w="1800" w:type="dxa"/>
          </w:tcPr>
          <w:p>
            <w:pPr>
              <w:spacing w:before="40" w:after="40"/>
              <w:jc w:val="left"/>
            </w:pPr>
            <w:r>
              <w:rPr>
                <w:color w:val="4A5568"/>
                <w:sz w:val="20"/>
              </w:rPr>
              <w:t>UAV</w:t>
            </w:r>
          </w:p>
        </w:tc>
        <w:tc>
          <w:tcPr>
            <w:tcW w:w="1400" w:type="dxa"/>
          </w:tcPr>
          <w:p>
            <w:pPr>
              <w:spacing w:before="40" w:after="40"/>
              <w:jc w:val="left"/>
            </w:pPr>
            <w:r>
              <w:rPr>
                <w:color w:val="4A5568"/>
                <w:sz w:val="20"/>
              </w:rPr>
              <w:t>[C / P / U / D]</w:t>
            </w:r>
          </w:p>
        </w:tc>
      </w:tr>
      <w:tr>
        <w:tc>
          <w:tcPr>
            <w:tcW w:w="1800" w:type="dxa"/>
          </w:tcPr>
          <w:p>
            <w:pPr>
              <w:spacing w:before="40" w:after="40"/>
              <w:jc w:val="left"/>
            </w:pPr>
            <w:r>
              <w:rPr>
                <w:color w:val="4A5568"/>
                <w:sz w:val="20"/>
              </w:rPr>
              <w:t>AIS</w:t>
            </w:r>
          </w:p>
        </w:tc>
        <w:tc>
          <w:tcPr>
            <w:tcW w:w="2200" w:type="dxa"/>
          </w:tcPr>
          <w:p>
            <w:pPr>
              <w:spacing w:before="40" w:after="40"/>
              <w:jc w:val="left"/>
            </w:pPr>
            <w:r>
              <w:rPr>
                <w:color w:val="4A5568"/>
                <w:sz w:val="20"/>
              </w:rPr>
              <w:t>Primary Transit Data</w:t>
            </w:r>
          </w:p>
        </w:tc>
        <w:tc>
          <w:tcPr>
            <w:tcW w:w="1800" w:type="dxa"/>
          </w:tcPr>
          <w:p>
            <w:pPr>
              <w:spacing w:before="40" w:after="40"/>
              <w:jc w:val="left"/>
            </w:pPr>
            <w:r>
              <w:rPr>
                <w:color w:val="4A5568"/>
                <w:sz w:val="20"/>
              </w:rPr>
              <w:t>Satellite AIS</w:t>
            </w:r>
          </w:p>
        </w:tc>
        <w:tc>
          <w:tcPr>
            <w:tcW w:w="1800" w:type="dxa"/>
          </w:tcPr>
          <w:p>
            <w:pPr>
              <w:spacing w:before="40" w:after="40"/>
              <w:jc w:val="left"/>
            </w:pPr>
            <w:r>
              <w:rPr>
                <w:color w:val="4A5568"/>
                <w:sz w:val="20"/>
              </w:rPr>
              <w:t>Radar</w:t>
            </w:r>
          </w:p>
        </w:tc>
        <w:tc>
          <w:tcPr>
            <w:tcW w:w="1400" w:type="dxa"/>
          </w:tcPr>
          <w:p>
            <w:pPr>
              <w:spacing w:before="40" w:after="40"/>
              <w:jc w:val="left"/>
            </w:pPr>
            <w:r>
              <w:rPr>
                <w:color w:val="4A5568"/>
                <w:sz w:val="20"/>
              </w:rPr>
              <w:t>[C / P / U / D]</w:t>
            </w:r>
          </w:p>
        </w:tc>
      </w:tr>
    </w:tbl>
    <w:p>
      <w:pPr>
        <w:pStyle w:val="Heading3"/>
      </w:pPr>
      <w:r>
        <w:t>SECTION 5: DISCREPANCY LOG</w:t>
      </w:r>
    </w:p>
    <w:tbl>
      <w:tblPr>
        <w:tblW w:w="5000" w:type="pct"/>
        <w:tblBorders>
          <w:top w:val="single" w:color="2C3E50" w:sz="12"/>
          <w:left w:val="nil"/>
          <w:bottom w:val="single" w:color="2C3E50" w:sz="12"/>
          <w:right w:val="nil"/>
          <w:insideH w:val="single" w:color="CBD5E0" w:sz="4"/>
          <w:insideV w:val="nil"/>
        </w:tblBorders>
      </w:tblPr>
      <w:tblGrid>
        <w:gridCol w:w="1800"/>
        <w:gridCol w:w="1800"/>
        <w:gridCol w:w="2000"/>
        <w:gridCol w:w="2400"/>
        <w:gridCol w:w="2000"/>
      </w:tblGrid>
      <w:tr>
        <w:trPr>
          <w:tblHeader/>
        </w:trPr>
        <w:tc>
          <w:tcPr>
            <w:tcW w:w="1800" w:type="dxa"/>
            <w:shd w:val="clear" w:fill="EDF2F7"/>
          </w:tcPr>
          <w:p>
            <w:pPr>
              <w:spacing w:before="60" w:after="60"/>
              <w:jc w:val="center"/>
            </w:pPr>
            <w:r>
              <w:rPr>
                <w:b/>
                <w:color w:val="1A252F"/>
                <w:sz w:val="20"/>
              </w:rPr>
              <w:t>Date</w:t>
            </w:r>
          </w:p>
        </w:tc>
        <w:tc>
          <w:tcPr>
            <w:tcW w:w="1800" w:type="dxa"/>
            <w:shd w:val="clear" w:fill="EDF2F7"/>
          </w:tcPr>
          <w:p>
            <w:pPr>
              <w:spacing w:before="60" w:after="60"/>
              <w:jc w:val="center"/>
            </w:pPr>
            <w:r>
              <w:rPr>
                <w:b/>
                <w:color w:val="1A252F"/>
                <w:sz w:val="20"/>
              </w:rPr>
              <w:t>Metric</w:t>
            </w:r>
          </w:p>
        </w:tc>
        <w:tc>
          <w:tcPr>
            <w:tcW w:w="2000" w:type="dxa"/>
            <w:shd w:val="clear" w:fill="EDF2F7"/>
          </w:tcPr>
          <w:p>
            <w:pPr>
              <w:spacing w:before="60" w:after="60"/>
              <w:jc w:val="center"/>
            </w:pPr>
            <w:r>
              <w:rPr>
                <w:b/>
                <w:color w:val="1A252F"/>
                <w:sz w:val="20"/>
              </w:rPr>
              <w:t>Sources</w:t>
            </w:r>
          </w:p>
        </w:tc>
        <w:tc>
          <w:tcPr>
            <w:tcW w:w="2400" w:type="dxa"/>
            <w:shd w:val="clear" w:fill="EDF2F7"/>
          </w:tcPr>
          <w:p>
            <w:pPr>
              <w:spacing w:before="60" w:after="60"/>
              <w:jc w:val="center"/>
            </w:pPr>
            <w:r>
              <w:rPr>
                <w:b/>
                <w:color w:val="1A252F"/>
                <w:sz w:val="20"/>
              </w:rPr>
              <w:t>Resolution</w:t>
            </w:r>
          </w:p>
        </w:tc>
        <w:tc>
          <w:tcPr>
            <w:tcW w:w="2000" w:type="dxa"/>
            <w:shd w:val="clear" w:fill="EDF2F7"/>
          </w:tcPr>
          <w:p>
            <w:pPr>
              <w:spacing w:before="60" w:after="60"/>
              <w:jc w:val="center"/>
            </w:pPr>
            <w:r>
              <w:rPr>
                <w:b/>
                <w:color w:val="1A252F"/>
                <w:sz w:val="20"/>
              </w:rPr>
              <w:t>Outcome</w:t>
            </w:r>
          </w:p>
        </w:tc>
      </w:tr>
      <w:tr>
        <w:tc>
          <w:tcPr>
            <w:tcW w:w="1800" w:type="dxa"/>
          </w:tcPr>
          <w:p>
            <w:pPr>
              <w:spacing w:before="40" w:after="40"/>
              <w:jc w:val="left"/>
            </w:pPr>
            <w:r>
              <w:rPr>
                <w:color w:val="4A5568"/>
                <w:sz w:val="20"/>
              </w:rPr>
              <w:t>[Date]</w:t>
            </w:r>
          </w:p>
        </w:tc>
        <w:tc>
          <w:tcPr>
            <w:tcW w:w="1800" w:type="dxa"/>
          </w:tcPr>
          <w:p>
            <w:pPr>
              <w:spacing w:before="40" w:after="40"/>
              <w:jc w:val="left"/>
            </w:pPr>
            <w:r>
              <w:rPr>
                <w:color w:val="4A5568"/>
                <w:sz w:val="20"/>
              </w:rPr>
              <w:t>[Metric]</w:t>
            </w:r>
          </w:p>
        </w:tc>
        <w:tc>
          <w:tcPr>
            <w:tcW w:w="2000" w:type="dxa"/>
          </w:tcPr>
          <w:p>
            <w:pPr>
              <w:spacing w:before="40" w:after="40"/>
              <w:jc w:val="left"/>
            </w:pPr>
            <w:r>
              <w:rPr>
                <w:color w:val="4A5568"/>
                <w:sz w:val="20"/>
              </w:rPr>
              <w:t>[Sources]</w:t>
            </w:r>
          </w:p>
        </w:tc>
        <w:tc>
          <w:tcPr>
            <w:tcW w:w="2400" w:type="dxa"/>
          </w:tcPr>
          <w:p>
            <w:pPr>
              <w:spacing w:before="40" w:after="40"/>
              <w:jc w:val="left"/>
            </w:pPr>
            <w:r>
              <w:rPr>
                <w:color w:val="4A5568"/>
                <w:sz w:val="20"/>
              </w:rPr>
              <w:t>[Description]</w:t>
            </w:r>
          </w:p>
        </w:tc>
        <w:tc>
          <w:tcPr>
            <w:tcW w:w="2000" w:type="dxa"/>
          </w:tcPr>
          <w:p>
            <w:pPr>
              <w:spacing w:before="40" w:after="40"/>
              <w:jc w:val="left"/>
            </w:pPr>
            <w:r>
              <w:rPr>
                <w:color w:val="4A5568"/>
                <w:sz w:val="20"/>
              </w:rPr>
              <w:t>[Resolved / Pending]</w:t>
            </w:r>
          </w:p>
        </w:tc>
      </w:tr>
      <w:tr>
        <w:tc>
          <w:tcPr>
            <w:tcW w:w="1800" w:type="dxa"/>
          </w:tcPr>
          <w:p>
            <w:pPr>
              <w:spacing w:before="40" w:after="40"/>
              <w:jc w:val="left"/>
            </w:pPr>
            <w:r>
              <w:rPr>
                <w:color w:val="4A5568"/>
                <w:sz w:val="20"/>
              </w:rPr>
              <w:t>[Date]</w:t>
            </w:r>
          </w:p>
        </w:tc>
        <w:tc>
          <w:tcPr>
            <w:tcW w:w="1800" w:type="dxa"/>
          </w:tcPr>
          <w:p>
            <w:pPr>
              <w:spacing w:before="40" w:after="40"/>
              <w:jc w:val="left"/>
            </w:pPr>
            <w:r>
              <w:rPr>
                <w:color w:val="4A5568"/>
                <w:sz w:val="20"/>
              </w:rPr>
              <w:t>[Metric]</w:t>
            </w:r>
          </w:p>
        </w:tc>
        <w:tc>
          <w:tcPr>
            <w:tcW w:w="2000" w:type="dxa"/>
          </w:tcPr>
          <w:p>
            <w:pPr>
              <w:spacing w:before="40" w:after="40"/>
              <w:jc w:val="left"/>
            </w:pPr>
            <w:r>
              <w:rPr>
                <w:color w:val="4A5568"/>
                <w:sz w:val="20"/>
              </w:rPr>
              <w:t>[Sources]</w:t>
            </w:r>
          </w:p>
        </w:tc>
        <w:tc>
          <w:tcPr>
            <w:tcW w:w="2400" w:type="dxa"/>
          </w:tcPr>
          <w:p>
            <w:pPr>
              <w:spacing w:before="40" w:after="40"/>
              <w:jc w:val="left"/>
            </w:pPr>
            <w:r>
              <w:rPr>
                <w:color w:val="4A5568"/>
                <w:sz w:val="20"/>
              </w:rPr>
              <w:t>[Description]</w:t>
            </w:r>
          </w:p>
        </w:tc>
        <w:tc>
          <w:tcPr>
            <w:tcW w:w="2000" w:type="dxa"/>
          </w:tcPr>
          <w:p>
            <w:pPr>
              <w:spacing w:before="40" w:after="40"/>
              <w:jc w:val="left"/>
            </w:pPr>
            <w:r>
              <w:rPr>
                <w:color w:val="4A5568"/>
                <w:sz w:val="20"/>
              </w:rPr>
              <w:t>[Resolved / Pending]</w:t>
            </w:r>
          </w:p>
        </w:tc>
      </w:tr>
      <w:tr>
        <w:tc>
          <w:tcPr>
            <w:tcW w:w="1800" w:type="dxa"/>
          </w:tcPr>
          <w:p>
            <w:pPr>
              <w:spacing w:before="40" w:after="40"/>
              <w:jc w:val="left"/>
            </w:pPr>
            <w:r>
              <w:rPr>
                <w:color w:val="4A5568"/>
                <w:sz w:val="20"/>
              </w:rPr>
              <w:t>[Date]</w:t>
            </w:r>
          </w:p>
        </w:tc>
        <w:tc>
          <w:tcPr>
            <w:tcW w:w="1800" w:type="dxa"/>
          </w:tcPr>
          <w:p>
            <w:pPr>
              <w:spacing w:before="40" w:after="40"/>
              <w:jc w:val="left"/>
            </w:pPr>
            <w:r>
              <w:rPr>
                <w:color w:val="4A5568"/>
                <w:sz w:val="20"/>
              </w:rPr>
              <w:t>[Metric]</w:t>
            </w:r>
          </w:p>
        </w:tc>
        <w:tc>
          <w:tcPr>
            <w:tcW w:w="2000" w:type="dxa"/>
          </w:tcPr>
          <w:p>
            <w:pPr>
              <w:spacing w:before="40" w:after="40"/>
              <w:jc w:val="left"/>
            </w:pPr>
            <w:r>
              <w:rPr>
                <w:color w:val="4A5568"/>
                <w:sz w:val="20"/>
              </w:rPr>
              <w:t>[Sources]</w:t>
            </w:r>
          </w:p>
        </w:tc>
        <w:tc>
          <w:tcPr>
            <w:tcW w:w="2400" w:type="dxa"/>
          </w:tcPr>
          <w:p>
            <w:pPr>
              <w:spacing w:before="40" w:after="40"/>
              <w:jc w:val="left"/>
            </w:pPr>
            <w:r>
              <w:rPr>
                <w:color w:val="4A5568"/>
                <w:sz w:val="20"/>
              </w:rPr>
              <w:t>[Description]</w:t>
            </w:r>
          </w:p>
        </w:tc>
        <w:tc>
          <w:tcPr>
            <w:tcW w:w="2000" w:type="dxa"/>
          </w:tcPr>
          <w:p>
            <w:pPr>
              <w:spacing w:before="40" w:after="40"/>
              <w:jc w:val="left"/>
            </w:pPr>
            <w:r>
              <w:rPr>
                <w:color w:val="4A5568"/>
                <w:sz w:val="20"/>
              </w:rPr>
              <w:t>[Resolved / Pending]</w:t>
            </w:r>
          </w:p>
        </w:tc>
      </w:tr>
    </w:tbl>
    <w:p>
      <w:pPr>
        <w:pStyle w:val="Heading3"/>
      </w:pPr>
      <w:r>
        <w:t>SECTION 6: ACTIVATION RECOMMENDATION</w:t>
      </w:r>
    </w:p>
    <w:p>
      <w:r>
        <w:t>Recommendation: [Activation Recommended / Not Recommended]</w:t>
      </w:r>
    </w:p>
    <w:p>
      <w:r>
        <w:t>Rationale: [Brief explanation]</w:t>
      </w:r>
    </w:p>
    <w:p>
      <w:pPr>
        <w:pStyle w:val="Heading3"/>
      </w:pPr>
      <w:r>
        <w:t>SECTION 7: SIGNATURES</w:t>
      </w:r>
    </w:p>
    <w:p>
      <w:pPr>
        <w:spacing w:before="200" w:after="200" w:line="276" w:lineRule="auto"/>
      </w:pPr>
      <w:r>
        <w:rPr>
          <w:rFonts w:ascii="Calibri" w:hAnsi="Calibri"/>
          <w:color w:val="1A252F"/>
          <w:sz w:val="20"/>
        </w:rPr>
        <w:t xml:space="preserve">TWG Lead Analyst:
Name: _________________________
Signature: _________________________
Date: _________________________
TWG Peer Reviewer:
Name: _________________________
Signature: _________________________
Date: _________________________
TWG Supervisor:
Name: _________________________
Signature: _________________________
Date: _________________________
Co-Chairs Endorsement:
Lead Co-Chair (Qatar): _________________________  Date: _________________________
Co-Chair (Oman): _________________________  Date: _________________________</w:t>
      </w:r>
    </w:p>
    <w:p>
      <w:pPr>
        <w:pStyle w:val="Heading1"/>
      </w:pPr>
      <w:r>
        <w:t>Appendix B: Metric Verification Checklist</w:t>
      </w:r>
      <w:bookmarkStart w:name="_TocAppB" w:id="10"/>
      <w:bookmarkEnd w:id="10"/>
    </w:p>
    <w:p>
      <w:r>
        <w:t>Quick Reference for TWG Analysts</w:t>
      </w:r>
    </w:p>
    <w:p>
      <w:pPr>
        <w:pStyle w:val="Heading3"/>
      </w:pPr>
      <w:r>
        <w:t>Transit Speed Verification Checklist</w:t>
      </w:r>
    </w:p>
    <w:p>
      <w:pPr>
        <w:numPr>
          <w:ilvl w:val="0"/>
          <w:numId w:val="1"/>
        </w:numPr>
        <w:spacing w:after="80"/>
      </w:pPr>
      <w:r>
        <w:t>Primary transit data received from Joint Iran-Oman Committee</w:t>
      </w:r>
    </w:p>
    <w:p>
      <w:pPr>
        <w:numPr>
          <w:ilvl w:val="0"/>
          <w:numId w:val="1"/>
        </w:numPr>
        <w:spacing w:after="80"/>
      </w:pPr>
      <w:r>
        <w:t>Satellite AIS data received</w:t>
      </w:r>
    </w:p>
    <w:p>
      <w:pPr>
        <w:numPr>
          <w:ilvl w:val="0"/>
          <w:numId w:val="1"/>
        </w:numPr>
        <w:spacing w:after="80"/>
      </w:pPr>
      <w:r>
        <w:t>Coastal radar data received (if available)</w:t>
      </w:r>
    </w:p>
    <w:p>
      <w:pPr>
        <w:numPr>
          <w:ilvl w:val="0"/>
          <w:numId w:val="1"/>
        </w:numPr>
        <w:spacing w:after="80"/>
      </w:pPr>
      <w:r>
        <w:t>Speed values from all sources are within 1 knot tolerance</w:t>
      </w:r>
    </w:p>
    <w:p>
      <w:pPr>
        <w:numPr>
          <w:ilvl w:val="0"/>
          <w:numId w:val="1"/>
        </w:numPr>
        <w:spacing w:after="80"/>
      </w:pPr>
      <w:r>
        <w:t>If discrepancy exists, request clarification from data source providers</w:t>
      </w:r>
    </w:p>
    <w:p>
      <w:pPr>
        <w:numPr>
          <w:ilvl w:val="0"/>
          <w:numId w:val="1"/>
        </w:numPr>
        <w:spacing w:after="80"/>
      </w:pPr>
      <w:r>
        <w:t>If discrepancy persists, escalate to Swiss relay</w:t>
      </w:r>
    </w:p>
    <w:p>
      <w:pPr>
        <w:numPr>
          <w:ilvl w:val="0"/>
          <w:numId w:val="1"/>
        </w:numPr>
        <w:spacing w:after="80"/>
      </w:pPr>
      <w:r>
        <w:t>Record final speed value and status code</w:t>
      </w:r>
    </w:p>
    <w:p>
      <w:pPr>
        <w:pStyle w:val="Heading3"/>
      </w:pPr>
      <w:r>
        <w:t>Lane Adherence Verification Checklist</w:t>
      </w:r>
    </w:p>
    <w:p>
      <w:pPr>
        <w:numPr>
          <w:ilvl w:val="0"/>
          <w:numId w:val="1"/>
        </w:numPr>
        <w:spacing w:after="80"/>
      </w:pPr>
      <w:r>
        <w:t>Primary transit data received from Joint Iran-Oman Committee</w:t>
      </w:r>
    </w:p>
    <w:p>
      <w:pPr>
        <w:numPr>
          <w:ilvl w:val="0"/>
          <w:numId w:val="1"/>
        </w:numPr>
        <w:spacing w:after="80"/>
      </w:pPr>
      <w:r>
        <w:t>Satellite AIS data received</w:t>
      </w:r>
    </w:p>
    <w:p>
      <w:pPr>
        <w:numPr>
          <w:ilvl w:val="0"/>
          <w:numId w:val="1"/>
        </w:numPr>
        <w:spacing w:after="80"/>
      </w:pPr>
      <w:r>
        <w:t>Coastal radar data received (if available)</w:t>
      </w:r>
    </w:p>
    <w:p>
      <w:pPr>
        <w:numPr>
          <w:ilvl w:val="0"/>
          <w:numId w:val="1"/>
        </w:numPr>
        <w:spacing w:after="80"/>
      </w:pPr>
      <w:r>
        <w:t>Lane deviation values from all sources within tolerance</w:t>
      </w:r>
    </w:p>
    <w:p>
      <w:pPr>
        <w:numPr>
          <w:ilvl w:val="0"/>
          <w:numId w:val="1"/>
        </w:numPr>
        <w:spacing w:after="80"/>
      </w:pPr>
      <w:r>
        <w:t>Exceptions documented (emergency, weather, VTS)</w:t>
      </w:r>
    </w:p>
    <w:p>
      <w:pPr>
        <w:numPr>
          <w:ilvl w:val="0"/>
          <w:numId w:val="1"/>
        </w:numPr>
        <w:spacing w:after="80"/>
      </w:pPr>
      <w:r>
        <w:t>If discrepancy exists, request clarification</w:t>
      </w:r>
    </w:p>
    <w:p>
      <w:pPr>
        <w:numPr>
          <w:ilvl w:val="0"/>
          <w:numId w:val="1"/>
        </w:numPr>
        <w:spacing w:after="80"/>
      </w:pPr>
      <w:r>
        <w:t>Record final deviation and status code</w:t>
      </w:r>
    </w:p>
    <w:p>
      <w:pPr>
        <w:pStyle w:val="Heading3"/>
      </w:pPr>
      <w:r>
        <w:t>Non-Interference Verification Checklist</w:t>
      </w:r>
    </w:p>
    <w:p>
      <w:pPr>
        <w:numPr>
          <w:ilvl w:val="0"/>
          <w:numId w:val="1"/>
        </w:numPr>
        <w:spacing w:after="80"/>
      </w:pPr>
      <w:r>
        <w:t>Primary transit data reviewed for anomalies</w:t>
      </w:r>
    </w:p>
    <w:p>
      <w:pPr>
        <w:numPr>
          <w:ilvl w:val="0"/>
          <w:numId w:val="1"/>
        </w:numPr>
        <w:spacing w:after="80"/>
      </w:pPr>
      <w:r>
        <w:t>Satellite AIS data reviewed for abnormal behavior</w:t>
      </w:r>
    </w:p>
    <w:p>
      <w:pPr>
        <w:numPr>
          <w:ilvl w:val="0"/>
          <w:numId w:val="1"/>
        </w:numPr>
        <w:spacing w:after="80"/>
      </w:pPr>
      <w:r>
        <w:t>UAV/satellite imagery reviewed (if available)</w:t>
      </w:r>
    </w:p>
    <w:p>
      <w:pPr>
        <w:numPr>
          <w:ilvl w:val="0"/>
          <w:numId w:val="1"/>
        </w:numPr>
        <w:spacing w:after="80"/>
      </w:pPr>
      <w:r>
        <w:t>At least two sources indicate interference event</w:t>
      </w:r>
    </w:p>
    <w:p>
      <w:pPr>
        <w:numPr>
          <w:ilvl w:val="0"/>
          <w:numId w:val="1"/>
        </w:numPr>
        <w:spacing w:after="80"/>
      </w:pPr>
      <w:r>
        <w:t>Interference event documented</w:t>
      </w:r>
    </w:p>
    <w:p>
      <w:pPr>
        <w:numPr>
          <w:ilvl w:val="0"/>
          <w:numId w:val="1"/>
        </w:numPr>
        <w:spacing w:after="80"/>
      </w:pPr>
      <w:r>
        <w:t>If single source only, flag as "unverified"</w:t>
      </w:r>
    </w:p>
    <w:p>
      <w:pPr>
        <w:numPr>
          <w:ilvl w:val="0"/>
          <w:numId w:val="1"/>
        </w:numPr>
        <w:spacing w:after="80"/>
      </w:pPr>
      <w:r>
        <w:t>Record interference events and status code</w:t>
      </w:r>
    </w:p>
    <w:p>
      <w:pPr>
        <w:pStyle w:val="Heading3"/>
      </w:pPr>
      <w:r>
        <w:t>AIS Continuity Verification Checklist</w:t>
      </w:r>
    </w:p>
    <w:p>
      <w:pPr>
        <w:numPr>
          <w:ilvl w:val="0"/>
          <w:numId w:val="1"/>
        </w:numPr>
        <w:spacing w:after="80"/>
      </w:pPr>
      <w:r>
        <w:t>AIS transmission logs received</w:t>
      </w:r>
    </w:p>
    <w:p>
      <w:pPr>
        <w:numPr>
          <w:ilvl w:val="0"/>
          <w:numId w:val="1"/>
        </w:numPr>
        <w:spacing w:after="80"/>
      </w:pPr>
      <w:r>
        <w:t>Satellite AIS data received</w:t>
      </w:r>
    </w:p>
    <w:p>
      <w:pPr>
        <w:numPr>
          <w:ilvl w:val="0"/>
          <w:numId w:val="1"/>
        </w:numPr>
        <w:spacing w:after="80"/>
      </w:pPr>
      <w:r>
        <w:t>Coastal radar data received (if available)</w:t>
      </w:r>
    </w:p>
    <w:p>
      <w:pPr>
        <w:numPr>
          <w:ilvl w:val="0"/>
          <w:numId w:val="1"/>
        </w:numPr>
        <w:spacing w:after="80"/>
      </w:pPr>
      <w:r>
        <w:t>AIS downtime calculated for each transit</w:t>
      </w:r>
    </w:p>
    <w:p>
      <w:pPr>
        <w:numPr>
          <w:ilvl w:val="0"/>
          <w:numId w:val="1"/>
        </w:numPr>
        <w:spacing w:after="80"/>
      </w:pPr>
      <w:r>
        <w:t>If AIS gap exceeds threshold, document cause</w:t>
      </w:r>
    </w:p>
    <w:p>
      <w:pPr>
        <w:numPr>
          <w:ilvl w:val="0"/>
          <w:numId w:val="1"/>
        </w:numPr>
        <w:spacing w:after="80"/>
      </w:pPr>
      <w:r>
        <w:t>If AIS gap unexplained, escalate to Joint Secretariat</w:t>
      </w:r>
    </w:p>
    <w:p>
      <w:pPr>
        <w:numPr>
          <w:ilvl w:val="0"/>
          <w:numId w:val="1"/>
        </w:numPr>
        <w:spacing w:after="80"/>
      </w:pPr>
      <w:r>
        <w:t>Record AIS downtime and status code</w:t>
      </w:r>
    </w:p>
    <w:p>
      <w:pPr>
        <w:pStyle w:val="Heading1"/>
      </w:pPr>
      <w:r>
        <w:t>Appendix C: Discrepancy Resolution Log</w:t>
      </w:r>
      <w:bookmarkStart w:name="_TocAppC" w:id="11"/>
      <w:bookmarkEnd w:id="11"/>
    </w:p>
    <w:p>
      <w:r>
        <w:t>Standardized Log Form</w:t>
      </w:r>
    </w:p>
    <w:p>
      <w:pPr>
        <w:spacing w:before="120" w:after="200"/>
      </w:pPr>
      <w:r>
        <w:rPr>
          <w:b/>
          <w:color w:val="2C5282"/>
          <w:sz w:val="22"/>
        </w:rPr>
        <w:t>CTAF-2026-001 --- DISCREPANCY RESOLUTION LOG</w:t>
      </w:r>
    </w:p>
    <w:tbl>
      <w:tblPr>
        <w:tblW w:w="5000" w:type="pct"/>
        <w:tblBorders>
          <w:top w:val="single" w:color="2C3E50" w:sz="12"/>
          <w:left w:val="nil"/>
          <w:bottom w:val="single" w:color="2C3E50" w:sz="12"/>
          <w:right w:val="nil"/>
          <w:insideH w:val="single" w:color="CBD5E0" w:sz="4"/>
          <w:insideV w:val="nil"/>
        </w:tblBorders>
      </w:tblPr>
      <w:tblGrid>
        <w:gridCol w:w="3500"/>
        <w:gridCol w:w="5500"/>
      </w:tblGrid>
      <w:tr>
        <w:tc>
          <w:tcPr>
            <w:tcW w:w="3500" w:type="dxa"/>
          </w:tcPr>
          <w:p>
            <w:pPr>
              <w:spacing w:before="40" w:after="40"/>
              <w:jc w:val="left"/>
            </w:pPr>
            <w:r>
              <w:rPr>
                <w:color w:val="4A5568"/>
                <w:sz w:val="20"/>
              </w:rPr>
              <w:t>Discrepancy ID:</w:t>
            </w:r>
          </w:p>
        </w:tc>
        <w:tc>
          <w:tcPr>
            <w:tcW w:w="5500" w:type="dxa"/>
          </w:tcPr>
          <w:p>
            <w:pPr>
              <w:spacing w:before="40" w:after="40"/>
              <w:jc w:val="left"/>
            </w:pPr>
            <w:r>
              <w:rPr>
                <w:color w:val="4A5568"/>
                <w:sz w:val="20"/>
              </w:rPr>
              <w:t>[D-001]</w:t>
            </w:r>
          </w:p>
        </w:tc>
      </w:tr>
      <w:tr>
        <w:tc>
          <w:tcPr>
            <w:tcW w:w="3500" w:type="dxa"/>
          </w:tcPr>
          <w:p>
            <w:pPr>
              <w:spacing w:before="40" w:after="40"/>
              <w:jc w:val="left"/>
            </w:pPr>
            <w:r>
              <w:rPr>
                <w:color w:val="4A5568"/>
                <w:sz w:val="20"/>
              </w:rPr>
              <w:t>Date Detected:</w:t>
            </w:r>
          </w:p>
        </w:tc>
        <w:tc>
          <w:tcPr>
            <w:tcW w:w="5500" w:type="dxa"/>
          </w:tcPr>
          <w:p>
            <w:pPr>
              <w:spacing w:before="40" w:after="40"/>
              <w:jc w:val="left"/>
            </w:pPr>
            <w:r>
              <w:rPr>
                <w:color w:val="4A5568"/>
                <w:sz w:val="20"/>
              </w:rPr>
              <w:t>[Date and Time]</w:t>
            </w:r>
          </w:p>
        </w:tc>
      </w:tr>
      <w:tr>
        <w:tc>
          <w:tcPr>
            <w:tcW w:w="3500" w:type="dxa"/>
          </w:tcPr>
          <w:p>
            <w:pPr>
              <w:spacing w:before="40" w:after="40"/>
              <w:jc w:val="left"/>
            </w:pPr>
            <w:r>
              <w:rPr>
                <w:color w:val="4A5568"/>
                <w:sz w:val="20"/>
              </w:rPr>
              <w:t>Metric:</w:t>
            </w:r>
          </w:p>
        </w:tc>
        <w:tc>
          <w:tcPr>
            <w:tcW w:w="5500" w:type="dxa"/>
          </w:tcPr>
          <w:p>
            <w:pPr>
              <w:spacing w:before="40" w:after="40"/>
              <w:jc w:val="left"/>
            </w:pPr>
            <w:r>
              <w:rPr>
                <w:color w:val="4A5568"/>
                <w:sz w:val="20"/>
              </w:rPr>
              <w:t>[Transit Speed / Lane Adherence / Non-Interference / AIS Continuity]</w:t>
            </w:r>
          </w:p>
        </w:tc>
      </w:tr>
      <w:tr>
        <w:tc>
          <w:tcPr>
            <w:tcW w:w="3500" w:type="dxa"/>
          </w:tcPr>
          <w:p>
            <w:pPr>
              <w:spacing w:before="40" w:after="40"/>
              <w:jc w:val="left"/>
            </w:pPr>
            <w:r>
              <w:rPr>
                <w:color w:val="4A5568"/>
                <w:sz w:val="20"/>
              </w:rPr>
              <w:t>Nature of Discrepancy:</w:t>
            </w:r>
          </w:p>
        </w:tc>
        <w:tc>
          <w:tcPr>
            <w:tcW w:w="5500" w:type="dxa"/>
          </w:tcPr>
          <w:p>
            <w:pPr>
              <w:spacing w:before="40" w:after="40"/>
              <w:jc w:val="left"/>
            </w:pPr>
            <w:r>
              <w:rPr>
                <w:color w:val="4A5568"/>
                <w:sz w:val="20"/>
              </w:rPr>
              <w:t>[Description]</w:t>
            </w:r>
          </w:p>
        </w:tc>
      </w:tr>
      <w:tr>
        <w:tc>
          <w:tcPr>
            <w:tcW w:w="3500" w:type="dxa"/>
          </w:tcPr>
          <w:p>
            <w:pPr>
              <w:spacing w:before="40" w:after="40"/>
              <w:jc w:val="left"/>
            </w:pPr>
            <w:r>
              <w:rPr>
                <w:color w:val="4A5568"/>
                <w:sz w:val="20"/>
              </w:rPr>
              <w:t>Resolution Attempted:</w:t>
            </w:r>
          </w:p>
        </w:tc>
        <w:tc>
          <w:tcPr>
            <w:tcW w:w="5500" w:type="dxa"/>
          </w:tcPr>
          <w:p>
            <w:pPr>
              <w:spacing w:before="40" w:after="40"/>
              <w:jc w:val="left"/>
            </w:pPr>
            <w:r>
              <w:rPr>
                <w:color w:val="4A5568"/>
                <w:sz w:val="20"/>
              </w:rPr>
              <w:t>Step 1: Request clarification
Step 2: Escalate to Swiss relay
Step 3: Record as unverified</w:t>
            </w:r>
          </w:p>
        </w:tc>
      </w:tr>
      <w:tr>
        <w:tc>
          <w:tcPr>
            <w:tcW w:w="3500" w:type="dxa"/>
          </w:tcPr>
          <w:p>
            <w:pPr>
              <w:spacing w:before="40" w:after="40"/>
              <w:jc w:val="left"/>
            </w:pPr>
            <w:r>
              <w:rPr>
                <w:color w:val="4A5568"/>
                <w:sz w:val="20"/>
              </w:rPr>
              <w:t>Resolution Outcome:</w:t>
            </w:r>
          </w:p>
        </w:tc>
        <w:tc>
          <w:tcPr>
            <w:tcW w:w="5500" w:type="dxa"/>
          </w:tcPr>
          <w:p>
            <w:pPr>
              <w:spacing w:before="40" w:after="40"/>
              <w:jc w:val="left"/>
            </w:pPr>
            <w:r>
              <w:rPr>
                <w:color w:val="4A5568"/>
                <w:sz w:val="20"/>
              </w:rPr>
              <w:t>[Resolved / Pending / Unresolved]</w:t>
            </w:r>
          </w:p>
        </w:tc>
      </w:tr>
      <w:tr>
        <w:tc>
          <w:tcPr>
            <w:tcW w:w="3500" w:type="dxa"/>
          </w:tcPr>
          <w:p>
            <w:pPr>
              <w:spacing w:before="40" w:after="40"/>
              <w:jc w:val="left"/>
            </w:pPr>
            <w:r>
              <w:rPr>
                <w:color w:val="4A5568"/>
                <w:sz w:val="20"/>
              </w:rPr>
              <w:t>Resolution Notes:</w:t>
            </w:r>
          </w:p>
        </w:tc>
        <w:tc>
          <w:tcPr>
            <w:tcW w:w="5500" w:type="dxa"/>
          </w:tcPr>
          <w:p>
            <w:pPr>
              <w:spacing w:before="40" w:after="40"/>
              <w:jc w:val="left"/>
            </w:pPr>
            <w:r>
              <w:rPr>
                <w:color w:val="4A5568"/>
                <w:sz w:val="20"/>
              </w:rPr>
              <w:t>[Notes]</w:t>
            </w:r>
          </w:p>
        </w:tc>
      </w:tr>
      <w:tr>
        <w:tc>
          <w:tcPr>
            <w:tcW w:w="3500" w:type="dxa"/>
          </w:tcPr>
          <w:p>
            <w:pPr>
              <w:spacing w:before="40" w:after="40"/>
              <w:jc w:val="left"/>
            </w:pPr>
            <w:r>
              <w:rPr>
                <w:color w:val="4A5568"/>
                <w:sz w:val="20"/>
              </w:rPr>
              <w:t>Time to Resolution:</w:t>
            </w:r>
          </w:p>
        </w:tc>
        <w:tc>
          <w:tcPr>
            <w:tcW w:w="5500" w:type="dxa"/>
          </w:tcPr>
          <w:p>
            <w:pPr>
              <w:spacing w:before="40" w:after="40"/>
              <w:jc w:val="left"/>
            </w:pPr>
            <w:r>
              <w:rPr>
                <w:color w:val="4A5568"/>
                <w:sz w:val="20"/>
              </w:rPr>
              <w:t>[Hours:Minutes]</w:t>
            </w:r>
          </w:p>
        </w:tc>
      </w:tr>
      <w:tr>
        <w:tc>
          <w:tcPr>
            <w:tcW w:w="3500" w:type="dxa"/>
          </w:tcPr>
          <w:p>
            <w:pPr>
              <w:spacing w:before="40" w:after="40"/>
              <w:jc w:val="left"/>
            </w:pPr>
            <w:r>
              <w:rPr>
                <w:color w:val="4A5568"/>
                <w:sz w:val="20"/>
              </w:rPr>
              <w:t>Final Status Code:</w:t>
            </w:r>
          </w:p>
        </w:tc>
        <w:tc>
          <w:tcPr>
            <w:tcW w:w="5500" w:type="dxa"/>
          </w:tcPr>
          <w:p>
            <w:pPr>
              <w:spacing w:before="40" w:after="40"/>
              <w:jc w:val="left"/>
            </w:pPr>
            <w:r>
              <w:rPr>
                <w:color w:val="4A5568"/>
                <w:sz w:val="20"/>
              </w:rPr>
              <w:t>[C / P / U / D]</w:t>
            </w:r>
          </w:p>
        </w:tc>
      </w:tr>
      <w:tr>
        <w:tc>
          <w:tcPr>
            <w:tcW w:w="3500" w:type="dxa"/>
          </w:tcPr>
          <w:p>
            <w:pPr>
              <w:spacing w:before="40" w:after="40"/>
              <w:jc w:val="left"/>
            </w:pPr>
            <w:r>
              <w:rPr>
                <w:color w:val="4A5568"/>
                <w:sz w:val="20"/>
              </w:rPr>
              <w:t>Resolved By:</w:t>
            </w:r>
          </w:p>
        </w:tc>
        <w:tc>
          <w:tcPr>
            <w:tcW w:w="5500" w:type="dxa"/>
          </w:tcPr>
          <w:p>
            <w:pPr>
              <w:spacing w:before="40" w:after="40"/>
              <w:jc w:val="left"/>
            </w:pPr>
            <w:r>
              <w:rPr>
                <w:color w:val="4A5568"/>
                <w:sz w:val="20"/>
              </w:rPr>
              <w:t>[Name]</w:t>
            </w:r>
          </w:p>
        </w:tc>
      </w:tr>
      <w:tr>
        <w:tc>
          <w:tcPr>
            <w:tcW w:w="3500" w:type="dxa"/>
          </w:tcPr>
          <w:p>
            <w:pPr>
              <w:spacing w:before="40" w:after="40"/>
              <w:jc w:val="left"/>
            </w:pPr>
            <w:r>
              <w:rPr>
                <w:color w:val="4A5568"/>
                <w:sz w:val="20"/>
              </w:rPr>
              <w:t>Date:</w:t>
            </w:r>
          </w:p>
        </w:tc>
        <w:tc>
          <w:tcPr>
            <w:tcW w:w="5500" w:type="dxa"/>
          </w:tcPr>
          <w:p>
            <w:pPr>
              <w:spacing w:before="40" w:after="40"/>
              <w:jc w:val="left"/>
            </w:pPr>
            <w:r>
              <w:rPr>
                <w:color w:val="4A5568"/>
                <w:sz w:val="20"/>
              </w:rPr>
              <w:t>[Date]</w:t>
            </w:r>
          </w:p>
        </w:tc>
      </w:tr>
    </w:tbl>
    <w:p>
      <w:pPr>
        <w:pStyle w:val="Heading1"/>
      </w:pPr>
      <w:r>
        <w:t>Summary: What Annex D Contains</w:t>
      </w:r>
      <w:bookmarkStart w:name="_TocSummary" w:id="12"/>
      <w:bookmarkEnd w:id="12"/>
    </w:p>
    <w:tbl>
      <w:tblPr>
        <w:tblW w:w="5000" w:type="pct"/>
        <w:tblBorders>
          <w:top w:val="single" w:color="2C3E50" w:sz="12"/>
          <w:left w:val="nil"/>
          <w:bottom w:val="single" w:color="2C3E50" w:sz="12"/>
          <w:right w:val="nil"/>
          <w:insideH w:val="single" w:color="CBD5E0" w:sz="4"/>
          <w:insideV w:val="nil"/>
        </w:tblBorders>
      </w:tblPr>
      <w:tblGrid>
        <w:gridCol w:w="2200"/>
        <w:gridCol w:w="6800"/>
      </w:tblGrid>
      <w:tr>
        <w:trPr>
          <w:tblHeader/>
        </w:trPr>
        <w:tc>
          <w:tcPr>
            <w:tcW w:w="2200" w:type="dxa"/>
            <w:shd w:val="clear" w:fill="EDF2F7"/>
          </w:tcPr>
          <w:p>
            <w:pPr>
              <w:spacing w:before="60" w:after="60"/>
              <w:jc w:val="center"/>
            </w:pPr>
            <w:r>
              <w:rPr>
                <w:b/>
                <w:color w:val="1A252F"/>
                <w:sz w:val="20"/>
              </w:rPr>
              <w:t>Article</w:t>
            </w:r>
          </w:p>
        </w:tc>
        <w:tc>
          <w:tcPr>
            <w:tcW w:w="6800" w:type="dxa"/>
            <w:shd w:val="clear" w:fill="EDF2F7"/>
          </w:tcPr>
          <w:p>
            <w:pPr>
              <w:spacing w:before="60" w:after="60"/>
              <w:jc w:val="center"/>
            </w:pPr>
            <w:r>
              <w:rPr>
                <w:b/>
                <w:color w:val="1A252F"/>
                <w:sz w:val="20"/>
              </w:rPr>
              <w:t>Content</w:t>
            </w:r>
          </w:p>
        </w:tc>
      </w:tr>
      <w:tr>
        <w:tc>
          <w:tcPr>
            <w:tcW w:w="2200" w:type="dxa"/>
          </w:tcPr>
          <w:p>
            <w:pPr>
              <w:spacing w:before="40" w:after="40"/>
              <w:jc w:val="left"/>
            </w:pPr>
            <w:r>
              <w:rPr>
                <w:color w:val="4A5568"/>
                <w:sz w:val="20"/>
              </w:rPr>
              <w:t>Article 1</w:t>
            </w:r>
          </w:p>
        </w:tc>
        <w:tc>
          <w:tcPr>
            <w:tcW w:w="6800" w:type="dxa"/>
          </w:tcPr>
          <w:p>
            <w:pPr>
              <w:spacing w:before="40" w:after="40"/>
              <w:jc w:val="left"/>
            </w:pPr>
            <w:r>
              <w:rPr>
                <w:color w:val="4A5568"/>
                <w:sz w:val="20"/>
              </w:rPr>
              <w:t>Purpose and scope</w:t>
            </w:r>
          </w:p>
        </w:tc>
      </w:tr>
      <w:tr>
        <w:tc>
          <w:tcPr>
            <w:tcW w:w="2200" w:type="dxa"/>
          </w:tcPr>
          <w:p>
            <w:pPr>
              <w:spacing w:before="40" w:after="40"/>
              <w:jc w:val="left"/>
            </w:pPr>
            <w:r>
              <w:rPr>
                <w:color w:val="4A5568"/>
                <w:sz w:val="20"/>
              </w:rPr>
              <w:t>Article 2</w:t>
            </w:r>
          </w:p>
        </w:tc>
        <w:tc>
          <w:tcPr>
            <w:tcW w:w="6800" w:type="dxa"/>
          </w:tcPr>
          <w:p>
            <w:pPr>
              <w:spacing w:before="40" w:after="40"/>
              <w:jc w:val="left"/>
            </w:pPr>
            <w:r>
              <w:rPr>
                <w:color w:val="4A5568"/>
                <w:sz w:val="20"/>
              </w:rPr>
              <w:t>Cycle structure (15-day cycles, 48-hour sub-periods)</w:t>
            </w:r>
          </w:p>
        </w:tc>
      </w:tr>
      <w:tr>
        <w:tc>
          <w:tcPr>
            <w:tcW w:w="2200" w:type="dxa"/>
          </w:tcPr>
          <w:p>
            <w:pPr>
              <w:spacing w:before="40" w:after="40"/>
              <w:jc w:val="left"/>
            </w:pPr>
            <w:r>
              <w:rPr>
                <w:color w:val="4A5568"/>
                <w:sz w:val="20"/>
              </w:rPr>
              <w:t>Article 3</w:t>
            </w:r>
          </w:p>
        </w:tc>
        <w:tc>
          <w:tcPr>
            <w:tcW w:w="6800" w:type="dxa"/>
          </w:tcPr>
          <w:p>
            <w:pPr>
              <w:spacing w:before="40" w:after="40"/>
              <w:jc w:val="left"/>
            </w:pPr>
            <w:r>
              <w:rPr>
                <w:color w:val="4A5568"/>
                <w:sz w:val="20"/>
              </w:rPr>
              <w:t>Data submission requirements</w:t>
            </w:r>
          </w:p>
        </w:tc>
      </w:tr>
      <w:tr>
        <w:tc>
          <w:tcPr>
            <w:tcW w:w="2200" w:type="dxa"/>
          </w:tcPr>
          <w:p>
            <w:pPr>
              <w:spacing w:before="40" w:after="40"/>
              <w:jc w:val="left"/>
            </w:pPr>
            <w:r>
              <w:rPr>
                <w:color w:val="4A5568"/>
                <w:sz w:val="20"/>
              </w:rPr>
              <w:t>Article 4</w:t>
            </w:r>
          </w:p>
        </w:tc>
        <w:tc>
          <w:tcPr>
            <w:tcW w:w="6800" w:type="dxa"/>
          </w:tcPr>
          <w:p>
            <w:pPr>
              <w:spacing w:before="40" w:after="40"/>
              <w:jc w:val="left"/>
            </w:pPr>
            <w:r>
              <w:rPr>
                <w:color w:val="4A5568"/>
                <w:sz w:val="20"/>
              </w:rPr>
              <w:t>Metric-by-metric assessment (speed, lane, interference, AIS)</w:t>
            </w:r>
          </w:p>
        </w:tc>
      </w:tr>
      <w:tr>
        <w:tc>
          <w:tcPr>
            <w:tcW w:w="2200" w:type="dxa"/>
          </w:tcPr>
          <w:p>
            <w:pPr>
              <w:spacing w:before="40" w:after="40"/>
              <w:jc w:val="left"/>
            </w:pPr>
            <w:r>
              <w:rPr>
                <w:color w:val="4A5568"/>
                <w:sz w:val="20"/>
              </w:rPr>
              <w:t>Article 5</w:t>
            </w:r>
          </w:p>
        </w:tc>
        <w:tc>
          <w:tcPr>
            <w:tcW w:w="6800" w:type="dxa"/>
          </w:tcPr>
          <w:p>
            <w:pPr>
              <w:spacing w:before="40" w:after="40"/>
              <w:jc w:val="left"/>
            </w:pPr>
            <w:r>
              <w:rPr>
                <w:color w:val="4A5568"/>
                <w:sz w:val="20"/>
              </w:rPr>
              <w:t>Corroboration record (sources, status codes, confidence levels)</w:t>
            </w:r>
          </w:p>
        </w:tc>
      </w:tr>
      <w:tr>
        <w:tc>
          <w:tcPr>
            <w:tcW w:w="2200" w:type="dxa"/>
          </w:tcPr>
          <w:p>
            <w:pPr>
              <w:spacing w:before="40" w:after="40"/>
              <w:jc w:val="left"/>
            </w:pPr>
            <w:r>
              <w:rPr>
                <w:color w:val="4A5568"/>
                <w:sz w:val="20"/>
              </w:rPr>
              <w:t>Article 6</w:t>
            </w:r>
          </w:p>
        </w:tc>
        <w:tc>
          <w:tcPr>
            <w:tcW w:w="6800" w:type="dxa"/>
          </w:tcPr>
          <w:p>
            <w:pPr>
              <w:spacing w:before="40" w:after="40"/>
              <w:jc w:val="left"/>
            </w:pPr>
            <w:r>
              <w:rPr>
                <w:color w:val="4A5568"/>
                <w:sz w:val="20"/>
              </w:rPr>
              <w:t>Discrepancy and dispute reporting</w:t>
            </w:r>
          </w:p>
        </w:tc>
      </w:tr>
      <w:tr>
        <w:tc>
          <w:tcPr>
            <w:tcW w:w="2200" w:type="dxa"/>
          </w:tcPr>
          <w:p>
            <w:pPr>
              <w:spacing w:before="40" w:after="40"/>
              <w:jc w:val="left"/>
            </w:pPr>
            <w:r>
              <w:rPr>
                <w:color w:val="4A5568"/>
                <w:sz w:val="20"/>
              </w:rPr>
              <w:t>Article 7</w:t>
            </w:r>
          </w:p>
        </w:tc>
        <w:tc>
          <w:tcPr>
            <w:tcW w:w="6800" w:type="dxa"/>
          </w:tcPr>
          <w:p>
            <w:pPr>
              <w:spacing w:before="40" w:after="40"/>
              <w:jc w:val="left"/>
            </w:pPr>
            <w:r>
              <w:rPr>
                <w:color w:val="4A5568"/>
                <w:sz w:val="20"/>
              </w:rPr>
              <w:t>Activation recommendation</w:t>
            </w:r>
          </w:p>
        </w:tc>
      </w:tr>
      <w:tr>
        <w:tc>
          <w:tcPr>
            <w:tcW w:w="2200" w:type="dxa"/>
          </w:tcPr>
          <w:p>
            <w:pPr>
              <w:spacing w:before="40" w:after="40"/>
              <w:jc w:val="left"/>
            </w:pPr>
            <w:r>
              <w:rPr>
                <w:color w:val="4A5568"/>
                <w:sz w:val="20"/>
              </w:rPr>
              <w:t>Article 8</w:t>
            </w:r>
          </w:p>
        </w:tc>
        <w:tc>
          <w:tcPr>
            <w:tcW w:w="6800" w:type="dxa"/>
          </w:tcPr>
          <w:p>
            <w:pPr>
              <w:spacing w:before="40" w:after="40"/>
              <w:jc w:val="left"/>
            </w:pPr>
            <w:r>
              <w:rPr>
                <w:color w:val="4A5568"/>
                <w:sz w:val="20"/>
              </w:rPr>
              <w:t>Submission and endorsement</w:t>
            </w:r>
          </w:p>
        </w:tc>
      </w:tr>
      <w:tr>
        <w:tc>
          <w:tcPr>
            <w:tcW w:w="2200" w:type="dxa"/>
          </w:tcPr>
          <w:p>
            <w:pPr>
              <w:spacing w:before="40" w:after="40"/>
              <w:jc w:val="left"/>
            </w:pPr>
            <w:r>
              <w:rPr>
                <w:color w:val="4A5568"/>
                <w:sz w:val="20"/>
              </w:rPr>
              <w:t>Appendix A</w:t>
            </w:r>
          </w:p>
        </w:tc>
        <w:tc>
          <w:tcPr>
            <w:tcW w:w="6800" w:type="dxa"/>
          </w:tcPr>
          <w:p>
            <w:pPr>
              <w:spacing w:before="40" w:after="40"/>
              <w:jc w:val="left"/>
            </w:pPr>
            <w:r>
              <w:rPr>
                <w:color w:val="4A5568"/>
                <w:sz w:val="20"/>
              </w:rPr>
              <w:t>Cycle Report Template (full form)</w:t>
            </w:r>
          </w:p>
        </w:tc>
      </w:tr>
      <w:tr>
        <w:tc>
          <w:tcPr>
            <w:tcW w:w="2200" w:type="dxa"/>
          </w:tcPr>
          <w:p>
            <w:pPr>
              <w:spacing w:before="40" w:after="40"/>
              <w:jc w:val="left"/>
            </w:pPr>
            <w:r>
              <w:rPr>
                <w:color w:val="4A5568"/>
                <w:sz w:val="20"/>
              </w:rPr>
              <w:t>Appendix B</w:t>
            </w:r>
          </w:p>
        </w:tc>
        <w:tc>
          <w:tcPr>
            <w:tcW w:w="6800" w:type="dxa"/>
          </w:tcPr>
          <w:p>
            <w:pPr>
              <w:spacing w:before="40" w:after="40"/>
              <w:jc w:val="left"/>
            </w:pPr>
            <w:r>
              <w:rPr>
                <w:color w:val="4A5568"/>
                <w:sz w:val="20"/>
              </w:rPr>
              <w:t>Metric Verification Checklist</w:t>
            </w:r>
          </w:p>
        </w:tc>
      </w:tr>
      <w:tr>
        <w:tc>
          <w:tcPr>
            <w:tcW w:w="2200" w:type="dxa"/>
          </w:tcPr>
          <w:p>
            <w:pPr>
              <w:spacing w:before="40" w:after="40"/>
              <w:jc w:val="left"/>
            </w:pPr>
            <w:r>
              <w:rPr>
                <w:color w:val="4A5568"/>
                <w:sz w:val="20"/>
              </w:rPr>
              <w:t>Appendix C</w:t>
            </w:r>
          </w:p>
        </w:tc>
        <w:tc>
          <w:tcPr>
            <w:tcW w:w="6800" w:type="dxa"/>
          </w:tcPr>
          <w:p>
            <w:pPr>
              <w:spacing w:before="40" w:after="40"/>
              <w:jc w:val="left"/>
            </w:pPr>
            <w:r>
              <w:rPr>
                <w:color w:val="4A5568"/>
                <w:sz w:val="20"/>
              </w:rPr>
              <w:t>Discrepancy Resolution Log</w:t>
            </w:r>
          </w:p>
        </w:tc>
      </w:tr>
    </w:tbl>
    <w:p>
      <w:pPr>
        <w:pStyle w:val="Heading2"/>
      </w:pPr>
      <w:r>
        <w:t>Elements Still Pending</w:t>
      </w:r>
    </w:p>
    <w:tbl>
      <w:tblPr>
        <w:tblW w:w="5000" w:type="pct"/>
        <w:tblBorders>
          <w:top w:val="single" w:color="2C3E50" w:sz="12"/>
          <w:left w:val="nil"/>
          <w:bottom w:val="single" w:color="2C3E50" w:sz="12"/>
          <w:right w:val="nil"/>
          <w:insideH w:val="single" w:color="CBD5E0" w:sz="4"/>
          <w:insideV w:val="nil"/>
        </w:tblBorders>
      </w:tblPr>
      <w:tblGrid>
        <w:gridCol w:w="3500"/>
        <w:gridCol w:w="5500"/>
      </w:tblGrid>
      <w:tr>
        <w:trPr>
          <w:tblHeader/>
        </w:trPr>
        <w:tc>
          <w:tcPr>
            <w:tcW w:w="3500" w:type="dxa"/>
            <w:shd w:val="clear" w:fill="EDF2F7"/>
          </w:tcPr>
          <w:p>
            <w:pPr>
              <w:spacing w:before="60" w:after="60"/>
              <w:jc w:val="center"/>
            </w:pPr>
            <w:r>
              <w:rPr>
                <w:b/>
                <w:color w:val="1A252F"/>
                <w:sz w:val="20"/>
              </w:rPr>
              <w:t>Element</w:t>
            </w:r>
          </w:p>
        </w:tc>
        <w:tc>
          <w:tcPr>
            <w:tcW w:w="5500" w:type="dxa"/>
            <w:shd w:val="clear" w:fill="EDF2F7"/>
          </w:tcPr>
          <w:p>
            <w:pPr>
              <w:spacing w:before="60" w:after="60"/>
              <w:jc w:val="center"/>
            </w:pPr>
            <w:r>
              <w:rPr>
                <w:b/>
                <w:color w:val="1A252F"/>
                <w:sz w:val="20"/>
              </w:rPr>
              <w:t>Status</w:t>
            </w:r>
          </w:p>
        </w:tc>
      </w:tr>
      <w:tr>
        <w:tc>
          <w:tcPr>
            <w:tcW w:w="3500" w:type="dxa"/>
          </w:tcPr>
          <w:p>
            <w:pPr>
              <w:spacing w:before="40" w:after="40"/>
              <w:jc w:val="left"/>
            </w:pPr>
            <w:r>
              <w:rPr>
                <w:color w:val="4A5568"/>
                <w:sz w:val="20"/>
              </w:rPr>
              <w:t>Specific date placeholders</w:t>
            </w:r>
          </w:p>
        </w:tc>
        <w:tc>
          <w:tcPr>
            <w:tcW w:w="5500" w:type="dxa"/>
          </w:tcPr>
          <w:p>
            <w:pPr>
              <w:spacing w:before="40" w:after="40"/>
              <w:jc w:val="left"/>
            </w:pPr>
            <w:r>
              <w:rPr>
                <w:color w:val="4A5568"/>
                <w:sz w:val="20"/>
              </w:rPr>
              <w:t>Use [Date] to be filled in at T+0</w:t>
            </w:r>
          </w:p>
        </w:tc>
      </w:tr>
      <w:tr>
        <w:tc>
          <w:tcPr>
            <w:tcW w:w="3500" w:type="dxa"/>
          </w:tcPr>
          <w:p>
            <w:pPr>
              <w:spacing w:before="40" w:after="40"/>
              <w:jc w:val="left"/>
            </w:pPr>
            <w:r>
              <w:rPr>
                <w:color w:val="4A5568"/>
                <w:sz w:val="20"/>
              </w:rPr>
              <w:t>T+ notation</w:t>
            </w:r>
          </w:p>
        </w:tc>
        <w:tc>
          <w:tcPr>
            <w:tcW w:w="5500" w:type="dxa"/>
          </w:tcPr>
          <w:p>
            <w:pPr>
              <w:spacing w:before="40" w:after="40"/>
              <w:jc w:val="left"/>
            </w:pPr>
            <w:r>
              <w:rPr>
                <w:color w:val="4A5568"/>
                <w:sz w:val="20"/>
              </w:rPr>
              <w:t>Aligns with CTAF (T+0, T+72 hours, etc.)</w:t>
            </w:r>
          </w:p>
        </w:tc>
      </w:tr>
      <w:tr>
        <w:tc>
          <w:tcPr>
            <w:tcW w:w="3500" w:type="dxa"/>
          </w:tcPr>
          <w:p>
            <w:pPr>
              <w:spacing w:before="40" w:after="40"/>
              <w:jc w:val="left"/>
            </w:pPr>
            <w:r>
              <w:rPr>
                <w:color w:val="4A5568"/>
                <w:sz w:val="20"/>
              </w:rPr>
              <w:t>Cross-reference to Annex ES</w:t>
            </w:r>
          </w:p>
        </w:tc>
        <w:tc>
          <w:tcPr>
            <w:tcW w:w="5500" w:type="dxa"/>
          </w:tcPr>
          <w:p>
            <w:pPr>
              <w:spacing w:before="40" w:after="40"/>
              <w:jc w:val="left"/>
            </w:pPr>
            <w:r>
              <w:rPr>
                <w:color w:val="4A5568"/>
                <w:sz w:val="20"/>
              </w:rPr>
              <w:t>Add references for activation confirmation</w:t>
            </w:r>
          </w:p>
        </w:tc>
      </w:tr>
      <w:tr>
        <w:tc>
          <w:tcPr>
            <w:tcW w:w="3500" w:type="dxa"/>
          </w:tcPr>
          <w:p>
            <w:pPr>
              <w:spacing w:before="40" w:after="40"/>
              <w:jc w:val="left"/>
            </w:pPr>
            <w:r>
              <w:rPr>
                <w:color w:val="4A5568"/>
                <w:sz w:val="20"/>
              </w:rPr>
              <w:t>Non-recognition clause</w:t>
            </w:r>
          </w:p>
        </w:tc>
        <w:tc>
          <w:tcPr>
            <w:tcW w:w="5500" w:type="dxa"/>
          </w:tcPr>
          <w:p>
            <w:pPr>
              <w:spacing w:before="40" w:after="40"/>
              <w:jc w:val="left"/>
            </w:pPr>
            <w:r>
              <w:rPr>
                <w:color w:val="4A5568"/>
                <w:sz w:val="20"/>
              </w:rPr>
              <w:t>Standard clause from Annex A / B</w:t>
            </w:r>
          </w:p>
        </w:tc>
      </w:tr>
    </w:tbl>
    <w:p>
      <w:pPr>
        <w:spacing w:before="600"/>
      </w:pPr>
    </w:p>
    <w:p>
      <w:pPr>
        <w:pBdr>
          <w:top w:val="single" w:color="CBD5E0" w:sz="6" w:space="8"/>
        </w:pBdr>
        <w:spacing w:before="200" w:after="200"/>
      </w:pPr>
      <w:r>
        <w:rPr>
          <w:i/>
          <w:color w:val="4A5568"/>
          <w:sz w:val="20"/>
        </w:rPr>
        <w:t>Participation in this Annex does not prejudice the legal positions, sovereignty claims, sanctions positions, or future political negotiations of any Party.</w:t>
      </w:r>
    </w:p>
    <w:p>
      <w:pPr>
        <w:spacing w:before="200"/>
      </w:pPr>
      <w:r>
        <w:rPr>
          <w:b/>
          <w:color w:val="1A252F"/>
          <w:sz w:val="22"/>
        </w:rPr>
        <w:t>End of Annex D</w:t>
      </w:r>
    </w:p>
    <w:sectPr>
      <w:headerReference w:type="default" r:id="Rbe48fc79b2a14730"/>
      <w:footerReference w:type="default" r:id="Rae6c524607af44a6"/>
      <w:pgSz w:w="11906" w:h="16838"/>
      <w:pgMar w:top="1440" w:right="1440" w:bottom="1440" w:left="1440" w:header="720" w:footer="720"/>
    </w:sectPr>
  </w:body>
</w:document>
</file>

<file path=word/footer1.xml><?xml version="1.0" encoding="utf-8"?>
<w:ftr xmlns:w="http://schemas.openxmlformats.org/wordprocessingml/2006/main">
  <w:p>
    <w:pPr>
      <w:pBdr>
        <w:top w:val="single" w:color="CBD5E0" w:sz="4" w:space="1"/>
      </w:pBdr>
      <w:jc w:val="center"/>
    </w:pPr>
    <w:r>
      <w:rPr>
        <w:color w:val="718096"/>
        <w:sz w:val="18"/>
      </w:rPr>
      <w:t xml:space="preserve">Page </w:t>
    </w: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of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w="http://schemas.openxmlformats.org/wordprocessingml/2006/main">
  <w:p>
    <w:pPr>
      <w:pBdr>
        <w:bottom w:val="single" w:color="CBD5E0" w:sz="4" w:space="1"/>
      </w:pBdr>
      <w:jc w:val="right"/>
    </w:pPr>
    <w:r>
      <w:rPr>
        <w:color w:val="718096"/>
        <w:sz w:val="18"/>
      </w:rPr>
      <w:t>CTAF-2026-001 Annex D | 15-Day Rolling Verification Cadence</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A252F"/>
      <w:sz w:val="22"/>
    </w:rPr>
  </w:style>
  <w:style w:type="paragraph" w:styleId="Heading1">
    <w:name w:val="heading 1"/>
    <w:basedOn w:val="Normal"/>
    <w:pPr>
      <w:keepNext/>
      <w:keepLines/>
      <w:pageBreakBefore/>
      <w:spacing w:before="400" w:after="240"/>
      <w:outlineLvl w:val="0"/>
    </w:pPr>
    <w:rPr>
      <w:rFonts w:ascii="Calibri" w:hAnsi="Calibri" w:eastAsia="Microsoft YaHei"/>
      <w:b/>
      <w:color w:val="2C3E50"/>
      <w:sz w:val="36"/>
    </w:rPr>
  </w:style>
  <w:style w:type="paragraph" w:styleId="Heading2">
    <w:name w:val="heading 2"/>
    <w:basedOn w:val="Normal"/>
    <w:pPr>
      <w:keepNext/>
      <w:keepLines/>
      <w:spacing w:before="320" w:after="160"/>
      <w:outlineLvl w:val="1"/>
    </w:pPr>
    <w:rPr>
      <w:rFonts w:ascii="Calibri" w:hAnsi="Calibri" w:eastAsia="Microsoft YaHei"/>
      <w:b/>
      <w:color w:val="34495E"/>
      <w:sz w:val="28"/>
    </w:rPr>
  </w:style>
  <w:style w:type="paragraph" w:styleId="Heading3">
    <w:name w:val="heading 3"/>
    <w:basedOn w:val="Normal"/>
    <w:pPr>
      <w:keepNext/>
      <w:keepLines/>
      <w:spacing w:before="240" w:after="120"/>
      <w:outlineLvl w:val="2"/>
    </w:pPr>
    <w:rPr>
      <w:rFonts w:ascii="Calibri" w:hAnsi="Calibri" w:eastAsia="Microsoft YaHei"/>
      <w:b/>
      <w:color w:val="4A5568"/>
      <w:sz w:val="24"/>
    </w:rPr>
  </w:style>
  <w:style w:type="paragraph" w:styleId="TOC1">
    <w:name w:val="toc 1"/>
    <w:basedOn w:val="Normal"/>
    <w:pPr>
      <w:tabs>
        <w:tab w:val="right" w:leader="dot" w:pos="9350"/>
      </w:tabs>
      <w:spacing w:before="120" w:after="60"/>
    </w:pPr>
    <w:rPr>
      <w:b/>
      <w:color w:val="1A252F"/>
    </w:rPr>
  </w:style>
  <w:style w:type="paragraph" w:styleId="TOC2">
    <w:name w:val="toc 2"/>
    <w:basedOn w:val="Normal"/>
    <w:pPr>
      <w:tabs>
        <w:tab w:val="right" w:leader="dot" w:pos="9350"/>
      </w:tabs>
      <w:spacing w:before="60" w:after="40"/>
      <w:ind w:left="360"/>
    </w:pPr>
    <w:rPr>
      <w:color w:val="4A5568"/>
    </w:rPr>
  </w:style>
  <w:style w:type="paragraph" w:styleId="TOC3">
    <w:name w:val="toc 3"/>
    <w:basedOn w:val="Normal"/>
    <w:pPr>
      <w:tabs>
        <w:tab w:val="right" w:leader="dot" w:pos="9350"/>
      </w:tabs>
      <w:spacing w:before="40" w:after="20"/>
      <w:ind w:left="720"/>
    </w:pPr>
    <w:rPr>
      <w:color w:val="718096"/>
      <w:sz w:val="20"/>
    </w:rPr>
  </w:style>
</w:styles>
</file>

<file path=word/_rels/document.xml.rels><?xml version='1.0' encoding='UTF-8'?>
<Relationships xmlns="http://schemas.openxmlformats.org/package/2006/relationships"><Relationship Type="http://schemas.openxmlformats.org/officeDocument/2006/relationships/styles" Target="styles.xml" Id="R3351e3724e114541" /><Relationship Type="http://schemas.openxmlformats.org/officeDocument/2006/relationships/numbering" Target="numbering.xml" Id="R67f8c6a07a1743ef" /><Relationship Type="http://schemas.openxmlformats.org/officeDocument/2006/relationships/header" Target="header1.xml" Id="Rbe48fc79b2a14730" /><Relationship Type="http://schemas.openxmlformats.org/officeDocument/2006/relationships/footer" Target="footer1.xml" Id="Rae6c524607af44a6" /><Relationship Type="http://schemas.openxmlformats.org/officeDocument/2006/relationships/settings" Target="settings.xml" Id="R8d7aa5a666144f53" /></Relationships>
</file>