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dd65f3af40974cfb"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spacing w:before="1200"/>
      </w:pPr>
    </w:p>
    <w:p>
      <w:pPr>
        <w:pStyle w:val="Normal"/>
        <w:spacing w:after="200"/>
        <w:jc w:val="center"/>
      </w:pPr>
      <w:r>
        <w:rPr>
          <w:color w:val="1A1A1A"/>
          <w:sz w:val="24"/>
          <w:rFonts w:ascii="Times New Roman" w:hAnsi="Times New Roman" w:eastAsia="SimSun" w:cs="Times New Roman"/>
          <w:szCs w:val="24"/>
          <w:smallCaps/>
        </w:rPr>
        <w:t>Annex ES</w:t>
      </w:r>
    </w:p>
    <w:p>
      <w:pPr>
        <w:spacing w:after="400"/>
        <w:jc w:val="center"/>
      </w:pPr>
      <w:r>
        <w:rPr>
          <w:b/>
          <w:color w:val="1E3A5F"/>
          <w:sz w:val="56"/>
          <w:rFonts w:ascii="Times New Roman" w:hAnsi="Times New Roman" w:eastAsia="SimSun" w:cs="Times New Roman"/>
          <w:szCs w:val="56"/>
          <w:spacing w:val="30"/>
        </w:rPr>
        <w:t>Escrow and Trigger Sequence Protocol</w:t>
      </w:r>
    </w:p>
    <w:p>
      <w:pPr>
        <w:pStyle w:val="Normal"/>
        <w:spacing w:after="200"/>
        <w:jc w:val="center"/>
      </w:pPr>
      <w:r>
        <w:rPr>
          <w:color w:val="4A6B8A"/>
          <w:sz w:val="28"/>
          <w:rFonts w:ascii="Times New Roman" w:hAnsi="Times New Roman" w:eastAsia="SimSun" w:cs="Times New Roman"/>
          <w:szCs w:val="28"/>
        </w:rPr>
        <w:t>Two-Pool Synchronized Disbursement</w:t>
      </w:r>
    </w:p>
    <w:p>
      <w:pPr>
        <w:spacing w:after="600"/>
        <w:jc w:val="center"/>
      </w:pPr>
      <w:r>
        <w:rPr>
          <w:color w:val="4A6B8A"/>
          <w:sz w:val="26"/>
          <w:rFonts w:ascii="Times New Roman" w:hAnsi="Times New Roman" w:eastAsia="SimSun" w:cs="Times New Roman"/>
          <w:szCs w:val="26"/>
        </w:rPr>
        <w:t>For the Phased Release of $12 Billion in Frozen Assets</w:t>
      </w:r>
    </w:p>
    <w:p>
      <w:pPr>
        <w:pStyle w:val="Normal"/>
        <w:spacing w:after="200"/>
        <w:jc w:val="center"/>
      </w:pPr>
      <w:r>
        <w:rPr>
          <w:i/>
          <w:color w:val="4A4A4A"/>
          <w:sz w:val="22"/>
          <w:rFonts w:ascii="Times New Roman" w:hAnsi="Times New Roman" w:eastAsia="SimSun" w:cs="Times New Roman"/>
          <w:szCs w:val="22"/>
        </w:rPr>
        <w:t>A Modular · Self-Contained · Incorporable by Reference Protocol</w:t>
      </w:r>
    </w:p>
    <w:p>
      <w:pPr>
        <w:spacing w:after="600"/>
        <w:jc w:val="center"/>
      </w:pPr>
      <w:r>
        <w:rPr>
          <w:i/>
          <w:color w:val="4A4A4A"/>
          <w:sz w:val="22"/>
          <w:rFonts w:ascii="Times New Roman" w:hAnsi="Times New Roman" w:eastAsia="SimSun" w:cs="Times New Roman"/>
          <w:szCs w:val="22"/>
        </w:rPr>
        <w:t>For the Islamabad Accord</w:t>
      </w:r>
    </w:p>
    <w:p>
      <w:pPr>
        <w:pStyle w:val="Normal"/>
        <w:spacing w:after="200"/>
        <w:jc w:val="center"/>
      </w:pPr>
      <w:r>
        <w:rPr>
          <w:color w:val="1A1A1A"/>
          <w:sz w:val="22"/>
          <w:rFonts w:ascii="Times New Roman" w:hAnsi="Times New Roman" w:eastAsia="SimSun" w:cs="Times New Roman"/>
          <w:szCs w:val="22"/>
        </w:rPr>
        <w:t>Islamic Republic of Iran</w:t>
      </w:r>
    </w:p>
    <w:p>
      <w:pPr>
        <w:pStyle w:val="Normal"/>
        <w:spacing w:after="200"/>
        <w:jc w:val="center"/>
      </w:pPr>
      <w:r>
        <w:rPr>
          <w:color w:val="1A1A1A"/>
          <w:sz w:val="22"/>
          <w:rFonts w:ascii="Times New Roman" w:hAnsi="Times New Roman" w:eastAsia="SimSun" w:cs="Times New Roman"/>
          <w:szCs w:val="22"/>
        </w:rPr>
        <w:t>United States of America</w:t>
      </w:r>
    </w:p>
    <w:p>
      <w:pPr>
        <w:pStyle w:val="Normal"/>
        <w:spacing w:after="200"/>
        <w:jc w:val="center"/>
      </w:pPr>
      <w:r>
        <w:rPr>
          <w:color w:val="1A1A1A"/>
          <w:sz w:val="22"/>
          <w:rFonts w:ascii="Times New Roman" w:hAnsi="Times New Roman" w:eastAsia="SimSun" w:cs="Times New Roman"/>
          <w:szCs w:val="22"/>
        </w:rPr>
        <w:t>State of Qatar (Escrow Agent)</w:t>
      </w:r>
    </w:p>
    <w:p>
      <w:pPr>
        <w:spacing w:before="400"/>
        <w:jc w:val="center"/>
      </w:pPr>
      <w:r>
        <w:rPr>
          <w:color w:val="6E6E6E"/>
          <w:sz w:val="22"/>
          <w:rFonts w:ascii="Times New Roman" w:hAnsi="Times New Roman" w:eastAsia="SimSun" w:cs="Times New Roman"/>
          <w:szCs w:val="22"/>
        </w:rPr>
        <w:t>Doha, Qatar · 2026</w:t>
      </w:r>
    </w:p>
    <w:p>
      <w:pPr>
        <w:pStyle w:val="Normal"/>
        <w:sectPr>
          <w:type w:val="nextPage"/>
          <w:pgSz w:w="11906" w:h="16838"/>
          <w:pgMar w:top="1440" w:right="1440" w:bottom="1440" w:left="1440" w:header="720" w:footer="720"/>
          <w:titlePg/>
        </w:sectPr>
      </w:pPr>
    </w:p>
    <w:p>
      <w:pPr>
        <w:pStyle w:val="Heading1"/>
      </w:pPr>
      <w:bookmarkStart w:name="_Toc000" w:id="1"/>
      <w:r>
        <w:rPr>
          <w:rFonts w:ascii="Times New Roman" w:hAnsi="Times New Roman" w:eastAsia="SimHei" w:cs="Times New Roman"/>
          <w:b/>
          <w:color w:val="1E3A5F"/>
          <w:sz w:val="32"/>
          <w:szCs w:val="32"/>
        </w:rPr>
        <w:t>Table of Contents</w:t>
      </w:r>
      <w:bookmarkEnd w:id="1"/>
    </w:p>
    <w:p>
      <w:pPr>
        <w:spacing w:after="300"/>
      </w:pPr>
      <w:r>
        <w:rPr>
          <w:color w:val="6E6E6E"/>
          <w:sz w:val="18"/>
          <w:rFonts w:ascii="Times New Roman" w:hAnsi="Times New Roman" w:eastAsia="SimSun" w:cs="Times New Roman"/>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Times New Roman" w:hAnsi="Times New Roman" w:eastAsia="SimSun" w:cs="Times New Roman"/>
          <w:sz w:val="24"/>
          <w:b/>
          <w:color w:val="1A1A1A"/>
          <w:szCs w:val="24"/>
        </w:rPr>
        <w:t>Preamble</w:t>
      </w:r>
      <w:r>
        <w:rPr>
          <w:rFonts w:ascii="Times New Roman" w:hAnsi="Times New Roman" w:eastAsia="SimSun"/>
          <w:sz w:val="24"/>
          <w:b/>
          <w:color w:val="1a1a1a"/>
        </w:rPr>
        <w:tab/>
      </w:r>
      <w:r>
        <w:rPr>
          <w:rFonts w:ascii="Times New Roman" w:hAnsi="Times New Roman" w:eastAsia="SimSun" w:cs="Times New Roman"/>
          <w:sz w:val="24"/>
          <w:b/>
          <w:color w:val="1A1A1A"/>
          <w:szCs w:val="24"/>
        </w:rPr>
        <w:t>1</w:t>
      </w:r>
    </w:p>
    <w:p>
      <w:pPr>
        <w:pStyle w:val="TOC1"/>
      </w:pPr>
      <w:r>
        <w:rPr>
          <w:rFonts w:ascii="Times New Roman" w:hAnsi="Times New Roman" w:eastAsia="SimSun" w:cs="Times New Roman"/>
          <w:sz w:val="24"/>
          <w:b/>
          <w:color w:val="1A1A1A"/>
          <w:szCs w:val="24"/>
        </w:rPr>
        <w:t>Schedule A: Comprehensive Implementation Matrix</w:t>
      </w:r>
      <w:r>
        <w:rPr>
          <w:rFonts w:ascii="Times New Roman" w:hAnsi="Times New Roman" w:eastAsia="SimSun"/>
          <w:sz w:val="24"/>
          <w:b/>
          <w:color w:val="1a1a1a"/>
        </w:rPr>
        <w:tab/>
      </w:r>
      <w:r>
        <w:rPr>
          <w:rFonts w:ascii="Times New Roman" w:hAnsi="Times New Roman" w:eastAsia="SimSun" w:cs="Times New Roman"/>
          <w:sz w:val="24"/>
          <w:b/>
          <w:color w:val="1A1A1A"/>
          <w:szCs w:val="24"/>
        </w:rPr>
        <w:t>2</w:t>
      </w:r>
    </w:p>
    <w:p>
      <w:pPr>
        <w:pStyle w:val="TOC1"/>
      </w:pPr>
      <w:r>
        <w:rPr>
          <w:rFonts w:ascii="Times New Roman" w:hAnsi="Times New Roman" w:eastAsia="SimSun" w:cs="Times New Roman"/>
          <w:sz w:val="24"/>
          <w:b/>
          <w:color w:val="1A1A1A"/>
          <w:szCs w:val="24"/>
        </w:rPr>
        <w:t>Article 1: Definitions</w:t>
      </w:r>
      <w:r>
        <w:rPr>
          <w:rFonts w:ascii="Times New Roman" w:hAnsi="Times New Roman" w:eastAsia="SimSun"/>
          <w:sz w:val="24"/>
          <w:b/>
          <w:color w:val="1a1a1a"/>
        </w:rPr>
        <w:tab/>
      </w:r>
      <w:r>
        <w:rPr>
          <w:rFonts w:ascii="Times New Roman" w:hAnsi="Times New Roman" w:eastAsia="SimSun" w:cs="Times New Roman"/>
          <w:sz w:val="24"/>
          <w:b/>
          <w:color w:val="1A1A1A"/>
          <w:szCs w:val="24"/>
        </w:rPr>
        <w:t>2</w:t>
      </w:r>
    </w:p>
    <w:p>
      <w:pPr>
        <w:pStyle w:val="TOC1"/>
      </w:pPr>
      <w:r>
        <w:rPr>
          <w:rFonts w:ascii="Times New Roman" w:hAnsi="Times New Roman" w:eastAsia="SimSun" w:cs="Times New Roman"/>
          <w:sz w:val="24"/>
          <w:b/>
          <w:color w:val="1A1A1A"/>
          <w:szCs w:val="24"/>
        </w:rPr>
        <w:t>Article 2: Two-Pool Escrow Architecture</w:t>
      </w:r>
      <w:r>
        <w:rPr>
          <w:rFonts w:ascii="Times New Roman" w:hAnsi="Times New Roman" w:eastAsia="SimSun"/>
          <w:sz w:val="24"/>
          <w:b/>
          <w:color w:val="1a1a1a"/>
        </w:rPr>
        <w:tab/>
      </w:r>
      <w:r>
        <w:rPr>
          <w:rFonts w:ascii="Times New Roman" w:hAnsi="Times New Roman" w:eastAsia="SimSun" w:cs="Times New Roman"/>
          <w:sz w:val="24"/>
          <w:b/>
          <w:color w:val="1A1A1A"/>
          <w:szCs w:val="24"/>
        </w:rPr>
        <w:t>4</w:t>
      </w:r>
    </w:p>
    <w:p>
      <w:pPr>
        <w:pStyle w:val="TOC1"/>
      </w:pPr>
      <w:r>
        <w:rPr>
          <w:rFonts w:ascii="Times New Roman" w:hAnsi="Times New Roman" w:eastAsia="SimSun" w:cs="Times New Roman"/>
          <w:sz w:val="24"/>
          <w:b/>
          <w:color w:val="1A1A1A"/>
          <w:szCs w:val="24"/>
        </w:rPr>
        <w:t>Article 3: Release Triggers (T1 and T2)</w:t>
      </w:r>
      <w:r>
        <w:rPr>
          <w:rFonts w:ascii="Times New Roman" w:hAnsi="Times New Roman" w:eastAsia="SimSun"/>
          <w:sz w:val="24"/>
          <w:b/>
          <w:color w:val="1a1a1a"/>
        </w:rPr>
        <w:tab/>
      </w:r>
      <w:r>
        <w:rPr>
          <w:rFonts w:ascii="Times New Roman" w:hAnsi="Times New Roman" w:eastAsia="SimSun" w:cs="Times New Roman"/>
          <w:sz w:val="24"/>
          <w:b/>
          <w:color w:val="1A1A1A"/>
          <w:szCs w:val="24"/>
        </w:rPr>
        <w:t>7</w:t>
      </w:r>
    </w:p>
    <w:p>
      <w:pPr>
        <w:pStyle w:val="TOC2"/>
      </w:pPr>
      <w:r>
        <w:rPr>
          <w:rFonts w:ascii="Times New Roman" w:hAnsi="Times New Roman" w:eastAsia="SimSun" w:cs="Times New Roman"/>
          <w:sz w:val="24"/>
          <w:color w:val="4A4A4A"/>
          <w:szCs w:val="24"/>
        </w:rPr>
        <w:t>3.1 Tranche 1: The Verification Tranche</w:t>
      </w:r>
      <w:r>
        <w:rPr>
          <w:rFonts w:ascii="Times New Roman" w:hAnsi="Times New Roman" w:eastAsia="SimSun"/>
          <w:sz w:val="24"/>
          <w:color w:val="4a4a4a"/>
        </w:rPr>
        <w:tab/>
      </w:r>
      <w:r>
        <w:rPr>
          <w:rFonts w:ascii="Times New Roman" w:hAnsi="Times New Roman" w:eastAsia="SimSun" w:cs="Times New Roman"/>
          <w:sz w:val="24"/>
          <w:color w:val="4A4A4A"/>
          <w:szCs w:val="24"/>
        </w:rPr>
        <w:t>7</w:t>
      </w:r>
    </w:p>
    <w:p>
      <w:pPr>
        <w:pStyle w:val="TOC2"/>
      </w:pPr>
      <w:r>
        <w:rPr>
          <w:rFonts w:ascii="Times New Roman" w:hAnsi="Times New Roman" w:eastAsia="SimSun" w:cs="Times New Roman"/>
          <w:sz w:val="24"/>
          <w:color w:val="4A4A4A"/>
          <w:szCs w:val="24"/>
        </w:rPr>
        <w:t>3.2 Tranche 2: The Downblending Tranche</w:t>
      </w:r>
      <w:r>
        <w:rPr>
          <w:rFonts w:ascii="Times New Roman" w:hAnsi="Times New Roman" w:eastAsia="SimSun"/>
          <w:sz w:val="24"/>
          <w:color w:val="4a4a4a"/>
        </w:rPr>
        <w:tab/>
      </w:r>
      <w:r>
        <w:rPr>
          <w:rFonts w:ascii="Times New Roman" w:hAnsi="Times New Roman" w:eastAsia="SimSun" w:cs="Times New Roman"/>
          <w:sz w:val="24"/>
          <w:color w:val="4A4A4A"/>
          <w:szCs w:val="24"/>
        </w:rPr>
        <w:t>9</w:t>
      </w:r>
    </w:p>
    <w:p>
      <w:pPr>
        <w:pStyle w:val="TOC1"/>
      </w:pPr>
      <w:r>
        <w:rPr>
          <w:rFonts w:ascii="Times New Roman" w:hAnsi="Times New Roman" w:eastAsia="SimSun" w:cs="Times New Roman"/>
          <w:sz w:val="24"/>
          <w:b/>
          <w:color w:val="1A1A1A"/>
          <w:szCs w:val="24"/>
        </w:rPr>
        <w:t>Article 4: Synchronized Disbursement</w:t>
      </w:r>
      <w:r>
        <w:rPr>
          <w:rFonts w:ascii="Times New Roman" w:hAnsi="Times New Roman" w:eastAsia="SimSun"/>
          <w:sz w:val="24"/>
          <w:b/>
          <w:color w:val="1a1a1a"/>
        </w:rPr>
        <w:tab/>
      </w:r>
      <w:r>
        <w:rPr>
          <w:rFonts w:ascii="Times New Roman" w:hAnsi="Times New Roman" w:eastAsia="SimSun" w:cs="Times New Roman"/>
          <w:sz w:val="24"/>
          <w:b/>
          <w:color w:val="1A1A1A"/>
          <w:szCs w:val="24"/>
        </w:rPr>
        <w:t>10</w:t>
      </w:r>
    </w:p>
    <w:p>
      <w:pPr>
        <w:pStyle w:val="TOC1"/>
      </w:pPr>
      <w:r>
        <w:rPr>
          <w:rFonts w:ascii="Times New Roman" w:hAnsi="Times New Roman" w:eastAsia="SimSun" w:cs="Times New Roman"/>
          <w:sz w:val="24"/>
          <w:b/>
          <w:color w:val="1A1A1A"/>
          <w:szCs w:val="24"/>
        </w:rPr>
        <w:t>Article 5: Step-Back, Earn-Back, Compliance Resilience</w:t>
      </w:r>
      <w:r>
        <w:rPr>
          <w:rFonts w:ascii="Times New Roman" w:hAnsi="Times New Roman" w:eastAsia="SimSun"/>
          <w:sz w:val="24"/>
          <w:b/>
          <w:color w:val="1a1a1a"/>
        </w:rPr>
        <w:tab/>
      </w:r>
      <w:r>
        <w:rPr>
          <w:rFonts w:ascii="Times New Roman" w:hAnsi="Times New Roman" w:eastAsia="SimSun" w:cs="Times New Roman"/>
          <w:sz w:val="24"/>
          <w:b/>
          <w:color w:val="1A1A1A"/>
          <w:szCs w:val="24"/>
        </w:rPr>
        <w:t>12</w:t>
      </w:r>
    </w:p>
    <w:p>
      <w:pPr>
        <w:pStyle w:val="TOC1"/>
      </w:pPr>
      <w:r>
        <w:rPr>
          <w:rFonts w:ascii="Times New Roman" w:hAnsi="Times New Roman" w:eastAsia="SimSun" w:cs="Times New Roman"/>
          <w:sz w:val="24"/>
          <w:b/>
          <w:color w:val="1A1A1A"/>
          <w:szCs w:val="24"/>
        </w:rPr>
        <w:t>Article 6: Sovereign Use and Non-Directed Procurement</w:t>
      </w:r>
      <w:r>
        <w:rPr>
          <w:rFonts w:ascii="Times New Roman" w:hAnsi="Times New Roman" w:eastAsia="SimSun"/>
          <w:sz w:val="24"/>
          <w:b/>
          <w:color w:val="1a1a1a"/>
        </w:rPr>
        <w:tab/>
      </w:r>
      <w:r>
        <w:rPr>
          <w:rFonts w:ascii="Times New Roman" w:hAnsi="Times New Roman" w:eastAsia="SimSun" w:cs="Times New Roman"/>
          <w:sz w:val="24"/>
          <w:b/>
          <w:color w:val="1A1A1A"/>
          <w:szCs w:val="24"/>
        </w:rPr>
        <w:t>14</w:t>
      </w:r>
    </w:p>
    <w:p>
      <w:pPr>
        <w:pStyle w:val="TOC1"/>
      </w:pPr>
      <w:r>
        <w:rPr>
          <w:rFonts w:ascii="Times New Roman" w:hAnsi="Times New Roman" w:eastAsia="SimSun" w:cs="Times New Roman"/>
          <w:sz w:val="24"/>
          <w:b/>
          <w:color w:val="1A1A1A"/>
          <w:szCs w:val="24"/>
        </w:rPr>
        <w:t>Article 7: Duration, Supersession, and Interpretation</w:t>
      </w:r>
      <w:r>
        <w:rPr>
          <w:rFonts w:ascii="Times New Roman" w:hAnsi="Times New Roman" w:eastAsia="SimSun"/>
          <w:sz w:val="24"/>
          <w:b/>
          <w:color w:val="1a1a1a"/>
        </w:rPr>
        <w:tab/>
      </w:r>
      <w:r>
        <w:rPr>
          <w:rFonts w:ascii="Times New Roman" w:hAnsi="Times New Roman" w:eastAsia="SimSun" w:cs="Times New Roman"/>
          <w:sz w:val="24"/>
          <w:b/>
          <w:color w:val="1A1A1A"/>
          <w:szCs w:val="24"/>
        </w:rPr>
        <w:t>16</w:t>
      </w:r>
    </w:p>
    <w:p>
      <w:pPr>
        <w:pStyle w:val="TOC1"/>
      </w:pPr>
      <w:r>
        <w:rPr>
          <w:rFonts w:ascii="Times New Roman" w:hAnsi="Times New Roman" w:eastAsia="SimSun" w:cs="Times New Roman"/>
          <w:sz w:val="24"/>
          <w:b/>
          <w:color w:val="1A1A1A"/>
          <w:szCs w:val="24"/>
        </w:rPr>
        <w:t>Article 8: Good-Faith Facilitation and Dispute Resolution</w:t>
      </w:r>
      <w:r>
        <w:rPr>
          <w:rFonts w:ascii="Times New Roman" w:hAnsi="Times New Roman" w:eastAsia="SimSun"/>
          <w:sz w:val="24"/>
          <w:b/>
          <w:color w:val="1a1a1a"/>
        </w:rPr>
        <w:tab/>
      </w:r>
      <w:r>
        <w:rPr>
          <w:rFonts w:ascii="Times New Roman" w:hAnsi="Times New Roman" w:eastAsia="SimSun" w:cs="Times New Roman"/>
          <w:sz w:val="24"/>
          <w:b/>
          <w:color w:val="1A1A1A"/>
          <w:szCs w:val="24"/>
        </w:rPr>
        <w:t>17</w:t>
      </w:r>
    </w:p>
    <w:p>
      <w:pPr>
        <w:pStyle w:val="TOC1"/>
      </w:pPr>
      <w:r>
        <w:rPr>
          <w:rFonts w:ascii="Times New Roman" w:hAnsi="Times New Roman" w:eastAsia="SimSun" w:cs="Times New Roman"/>
          <w:sz w:val="24"/>
          <w:b/>
          <w:color w:val="1A1A1A"/>
          <w:szCs w:val="24"/>
        </w:rPr>
        <w:t>Article 9: U.S. Sanctions-Specific Obligations and Regulatory Good-Faith</w:t>
      </w:r>
      <w:r>
        <w:rPr>
          <w:rFonts w:ascii="Times New Roman" w:hAnsi="Times New Roman" w:eastAsia="SimSun"/>
          <w:sz w:val="24"/>
          <w:b/>
          <w:color w:val="1a1a1a"/>
        </w:rPr>
        <w:tab/>
      </w:r>
      <w:r>
        <w:rPr>
          <w:rFonts w:ascii="Times New Roman" w:hAnsi="Times New Roman" w:eastAsia="SimSun" w:cs="Times New Roman"/>
          <w:sz w:val="24"/>
          <w:b/>
          <w:color w:val="1A1A1A"/>
          <w:szCs w:val="24"/>
        </w:rPr>
        <w:t>19</w:t>
      </w:r>
    </w:p>
    <w:p>
      <w:pPr>
        <w:pStyle w:val="TOC1"/>
      </w:pPr>
      <w:r>
        <w:rPr>
          <w:rFonts w:ascii="Times New Roman" w:hAnsi="Times New Roman" w:eastAsia="SimSun" w:cs="Times New Roman"/>
          <w:sz w:val="24"/>
          <w:b/>
          <w:color w:val="1A1A1A"/>
          <w:szCs w:val="24"/>
        </w:rPr>
        <w:t>Article 10: Commercial Comfort Measures</w:t>
      </w:r>
      <w:r>
        <w:rPr>
          <w:rFonts w:ascii="Times New Roman" w:hAnsi="Times New Roman" w:eastAsia="SimSun"/>
          <w:sz w:val="24"/>
          <w:b/>
          <w:color w:val="1a1a1a"/>
        </w:rPr>
        <w:tab/>
      </w:r>
      <w:r>
        <w:rPr>
          <w:rFonts w:ascii="Times New Roman" w:hAnsi="Times New Roman" w:eastAsia="SimSun" w:cs="Times New Roman"/>
          <w:sz w:val="24"/>
          <w:b/>
          <w:color w:val="1A1A1A"/>
          <w:szCs w:val="24"/>
        </w:rPr>
        <w:t>20</w:t>
      </w:r>
    </w:p>
    <w:p>
      <w:pPr>
        <w:pStyle w:val="TOC1"/>
      </w:pPr>
      <w:r>
        <w:rPr>
          <w:rFonts w:ascii="Times New Roman" w:hAnsi="Times New Roman" w:eastAsia="SimSun" w:cs="Times New Roman"/>
          <w:sz w:val="24"/>
          <w:b/>
          <w:color w:val="1A1A1A"/>
          <w:szCs w:val="24"/>
        </w:rPr>
        <w:t>Article 11: Force Majeure</w:t>
      </w:r>
      <w:r>
        <w:rPr>
          <w:rFonts w:ascii="Times New Roman" w:hAnsi="Times New Roman" w:eastAsia="SimSun"/>
          <w:sz w:val="24"/>
          <w:b/>
          <w:color w:val="1a1a1a"/>
        </w:rPr>
        <w:tab/>
      </w:r>
      <w:r>
        <w:rPr>
          <w:rFonts w:ascii="Times New Roman" w:hAnsi="Times New Roman" w:eastAsia="SimSun" w:cs="Times New Roman"/>
          <w:sz w:val="24"/>
          <w:b/>
          <w:color w:val="1A1A1A"/>
          <w:szCs w:val="24"/>
        </w:rPr>
        <w:t>21</w:t>
      </w:r>
    </w:p>
    <w:p>
      <w:pPr>
        <w:pStyle w:val="TOC1"/>
      </w:pPr>
      <w:r>
        <w:rPr>
          <w:rFonts w:ascii="Times New Roman" w:hAnsi="Times New Roman" w:eastAsia="SimSun" w:cs="Times New Roman"/>
          <w:sz w:val="24"/>
          <w:b/>
          <w:color w:val="1A1A1A"/>
          <w:szCs w:val="24"/>
        </w:rPr>
        <w:t>Article 12: Dedicated Dispute Escalation Ladder</w:t>
      </w:r>
      <w:r>
        <w:rPr>
          <w:rFonts w:ascii="Times New Roman" w:hAnsi="Times New Roman" w:eastAsia="SimSun"/>
          <w:sz w:val="24"/>
          <w:b/>
          <w:color w:val="1a1a1a"/>
        </w:rPr>
        <w:tab/>
      </w:r>
      <w:r>
        <w:rPr>
          <w:rFonts w:ascii="Times New Roman" w:hAnsi="Times New Roman" w:eastAsia="SimSun" w:cs="Times New Roman"/>
          <w:sz w:val="24"/>
          <w:b/>
          <w:color w:val="1A1A1A"/>
          <w:szCs w:val="24"/>
        </w:rPr>
        <w:t>22</w:t>
      </w:r>
    </w:p>
    <w:p>
      <w:pPr>
        <w:pStyle w:val="TOC1"/>
      </w:pPr>
      <w:r>
        <w:rPr>
          <w:rFonts w:ascii="Times New Roman" w:hAnsi="Times New Roman" w:eastAsia="SimSun" w:cs="Times New Roman"/>
          <w:sz w:val="24"/>
          <w:b/>
          <w:color w:val="1A1A1A"/>
          <w:szCs w:val="24"/>
        </w:rPr>
        <w:t>Article 13: Partial Performance Rules</w:t>
      </w:r>
      <w:r>
        <w:rPr>
          <w:rFonts w:ascii="Times New Roman" w:hAnsi="Times New Roman" w:eastAsia="SimSun"/>
          <w:sz w:val="24"/>
          <w:b/>
          <w:color w:val="1a1a1a"/>
        </w:rPr>
        <w:tab/>
      </w:r>
      <w:r>
        <w:rPr>
          <w:rFonts w:ascii="Times New Roman" w:hAnsi="Times New Roman" w:eastAsia="SimSun" w:cs="Times New Roman"/>
          <w:sz w:val="24"/>
          <w:b/>
          <w:color w:val="1A1A1A"/>
          <w:szCs w:val="24"/>
        </w:rPr>
        <w:t>23</w:t>
      </w:r>
    </w:p>
    <w:p>
      <w:pPr>
        <w:pStyle w:val="TOC1"/>
      </w:pPr>
      <w:r>
        <w:rPr>
          <w:rFonts w:ascii="Times New Roman" w:hAnsi="Times New Roman" w:eastAsia="SimSun" w:cs="Times New Roman"/>
          <w:sz w:val="24"/>
          <w:b/>
          <w:color w:val="1A1A1A"/>
          <w:szCs w:val="24"/>
        </w:rPr>
        <w:t>Article 14: Sanctions Re-Imposition Procedure</w:t>
      </w:r>
      <w:r>
        <w:rPr>
          <w:rFonts w:ascii="Times New Roman" w:hAnsi="Times New Roman" w:eastAsia="SimSun"/>
          <w:sz w:val="24"/>
          <w:b/>
          <w:color w:val="1a1a1a"/>
        </w:rPr>
        <w:tab/>
      </w:r>
      <w:r>
        <w:rPr>
          <w:rFonts w:ascii="Times New Roman" w:hAnsi="Times New Roman" w:eastAsia="SimSun" w:cs="Times New Roman"/>
          <w:sz w:val="24"/>
          <w:b/>
          <w:color w:val="1A1A1A"/>
          <w:szCs w:val="24"/>
        </w:rPr>
        <w:t>24</w:t>
      </w:r>
    </w:p>
    <w:p>
      <w:pPr>
        <w:pStyle w:val="TOC1"/>
      </w:pPr>
      <w:r>
        <w:rPr>
          <w:rFonts w:ascii="Times New Roman" w:hAnsi="Times New Roman" w:eastAsia="SimSun" w:cs="Times New Roman"/>
          <w:sz w:val="24"/>
          <w:b/>
          <w:color w:val="1A1A1A"/>
          <w:szCs w:val="24"/>
        </w:rPr>
        <w:t>Article 15: Successor Government Continuity</w:t>
      </w:r>
      <w:r>
        <w:rPr>
          <w:rFonts w:ascii="Times New Roman" w:hAnsi="Times New Roman" w:eastAsia="SimSun"/>
          <w:sz w:val="24"/>
          <w:b/>
          <w:color w:val="1a1a1a"/>
        </w:rPr>
        <w:tab/>
      </w:r>
      <w:r>
        <w:rPr>
          <w:rFonts w:ascii="Times New Roman" w:hAnsi="Times New Roman" w:eastAsia="SimSun" w:cs="Times New Roman"/>
          <w:sz w:val="24"/>
          <w:b/>
          <w:color w:val="1A1A1A"/>
          <w:szCs w:val="24"/>
        </w:rPr>
        <w:t>25</w:t>
      </w:r>
    </w:p>
    <w:p>
      <w:pPr>
        <w:pStyle w:val="TOC1"/>
      </w:pPr>
      <w:r>
        <w:rPr>
          <w:rFonts w:ascii="Times New Roman" w:hAnsi="Times New Roman" w:eastAsia="SimSun" w:cs="Times New Roman"/>
          <w:sz w:val="24"/>
          <w:b/>
          <w:color w:val="1A1A1A"/>
          <w:szCs w:val="24"/>
        </w:rPr>
        <w:t>Article 16: Annual Sustainability Review</w:t>
      </w:r>
      <w:r>
        <w:rPr>
          <w:rFonts w:ascii="Times New Roman" w:hAnsi="Times New Roman" w:eastAsia="SimSun"/>
          <w:sz w:val="24"/>
          <w:b/>
          <w:color w:val="1a1a1a"/>
        </w:rPr>
        <w:tab/>
      </w:r>
      <w:r>
        <w:rPr>
          <w:rFonts w:ascii="Times New Roman" w:hAnsi="Times New Roman" w:eastAsia="SimSun" w:cs="Times New Roman"/>
          <w:sz w:val="24"/>
          <w:b/>
          <w:color w:val="1A1A1A"/>
          <w:szCs w:val="24"/>
        </w:rPr>
        <w:t>26</w:t>
      </w:r>
    </w:p>
    <w:p>
      <w:pPr>
        <w:pStyle w:val="TOC1"/>
      </w:pPr>
      <w:r>
        <w:rPr>
          <w:rFonts w:ascii="Times New Roman" w:hAnsi="Times New Roman" w:eastAsia="SimSun" w:cs="Times New Roman"/>
          <w:sz w:val="24"/>
          <w:b/>
          <w:color w:val="1A1A1A"/>
          <w:szCs w:val="24"/>
        </w:rPr>
        <w:t>Signature Block</w:t>
      </w:r>
      <w:r>
        <w:rPr>
          <w:rFonts w:ascii="Times New Roman" w:hAnsi="Times New Roman" w:eastAsia="SimSun"/>
          <w:sz w:val="24"/>
          <w:b/>
          <w:color w:val="1a1a1a"/>
        </w:rPr>
        <w:tab/>
      </w:r>
      <w:r>
        <w:rPr>
          <w:rFonts w:ascii="Times New Roman" w:hAnsi="Times New Roman" w:eastAsia="SimSun" w:cs="Times New Roman"/>
          <w:sz w:val="24"/>
          <w:b/>
          <w:color w:val="1A1A1A"/>
          <w:szCs w:val="24"/>
        </w:rPr>
        <w:t>27</w:t>
      </w:r>
    </w:p>
    <w:p>
      <w:pPr>
        <w:pStyle w:val="TOC2"/>
      </w:pPr>
      <w:r>
        <w:rPr>
          <w:rFonts w:ascii="Times New Roman" w:hAnsi="Times New Roman" w:eastAsia="SimSun" w:cs="Times New Roman"/>
          <w:sz w:val="24"/>
          <w:color w:val="4A4A4A"/>
          <w:szCs w:val="24"/>
        </w:rPr>
        <w:t>Affirmation</w:t>
      </w:r>
      <w:r>
        <w:rPr>
          <w:rFonts w:ascii="Times New Roman" w:hAnsi="Times New Roman" w:eastAsia="SimSun"/>
          <w:sz w:val="24"/>
          <w:color w:val="4a4a4a"/>
        </w:rPr>
        <w:tab/>
      </w:r>
      <w:r>
        <w:rPr>
          <w:rFonts w:ascii="Times New Roman" w:hAnsi="Times New Roman" w:eastAsia="SimSun" w:cs="Times New Roman"/>
          <w:sz w:val="24"/>
          <w:color w:val="4A4A4A"/>
          <w:szCs w:val="24"/>
        </w:rPr>
        <w:t>18</w:t>
      </w:r>
    </w:p>
    <w:p>
      <w:pPr>
        <w:pStyle w:val="TOC2"/>
      </w:pPr>
      <w:r>
        <w:rPr>
          <w:rFonts w:ascii="Times New Roman" w:hAnsi="Times New Roman" w:eastAsia="SimSun" w:cs="Times New Roman"/>
          <w:sz w:val="24"/>
          <w:color w:val="4A4A4A"/>
          <w:szCs w:val="24"/>
        </w:rPr>
        <w:t>Pakistan: Witnessing State</w:t>
      </w:r>
      <w:r>
        <w:rPr>
          <w:rFonts w:ascii="Times New Roman" w:hAnsi="Times New Roman" w:eastAsia="SimSun"/>
          <w:sz w:val="24"/>
          <w:color w:val="4a4a4a"/>
        </w:rPr>
        <w:tab/>
      </w:r>
      <w:r>
        <w:rPr>
          <w:rFonts w:ascii="Times New Roman" w:hAnsi="Times New Roman" w:eastAsia="SimSun" w:cs="Times New Roman"/>
          <w:sz w:val="24"/>
          <w:color w:val="4A4A4A"/>
          <w:szCs w:val="24"/>
        </w:rPr>
        <w:t>18</w:t>
      </w:r>
    </w:p>
    <w:p>
      <w:pPr>
        <w:pStyle w:val="Normal"/>
      </w:pPr>
      <w:r>
        <w:fldChar w:fldCharType="end"/>
      </w:r>
    </w:p>
    <w:p>
      <w:pPr>
        <w:pStyle w:val="Normal"/>
        <w:sectPr>
          <w:type w:val="nextPage"/>
          <w:pgSz w:w="11906" w:h="16838"/>
          <w:pgMar w:top="1440" w:right="1440" w:bottom="1440" w:left="1440" w:header="720" w:footer="720"/>
        </w:sectPr>
      </w:pPr>
    </w:p>
    <w:p>
      <w:pPr>
        <w:pStyle w:val="Heading1"/>
      </w:pPr>
      <w:bookmarkStart w:name="_Toc001" w:id="2"/>
      <w:r>
        <w:rPr>
          <w:rFonts w:ascii="Times New Roman" w:hAnsi="Times New Roman" w:eastAsia="SimHei" w:cs="Times New Roman"/>
          <w:b/>
          <w:color w:val="1E3A5F"/>
          <w:sz w:val="32"/>
          <w:szCs w:val="32"/>
        </w:rPr>
        <w:t>Preamble</w:t>
      </w:r>
      <w:bookmarkEnd w:id="2"/>
    </w:p>
    <w:p>
      <w:pPr>
        <w:pStyle w:val="Normal"/>
      </w:pPr>
      <w:r>
        <w:rPr>
          <w:rFonts w:ascii="Times New Roman" w:hAnsi="Times New Roman" w:eastAsia="SimSun" w:cs="Times New Roman"/>
          <w:color w:val="1A1A1A"/>
          <w:sz w:val="24"/>
          <w:szCs w:val="24"/>
        </w:rPr>
        <w:t>The Parties: the Islamic Republic of Iran and the United States of America, acknowledge the binding agreement to release $12 billion in frozen Iranian sovereign assets. In response to evolving negotiating positions and the imperative to secure a durable arrangement within a compressed timeline, the Parties adopt a Two-Pool Synchronized Disbursement architecture. Under this architecture, the $12 Billion Asset Pool divides into Pool A (Humanitarian and Agricultural Pool: $4 billion) and Pool B (Sovereign Reconstruction Pool: $8 billion). Both pools release simultaneously upon the same IAEA verification milestones, but operate under distinct escrow mechanisms and use conditions that reflect the respective priorities of both Parties.</w:t>
      </w:r>
    </w:p>
    <w:p>
      <w:pPr>
        <w:pStyle w:val="Normal"/>
      </w:pPr>
      <w:r>
        <w:rPr>
          <w:rFonts w:ascii="Times New Roman" w:hAnsi="Times New Roman" w:eastAsia="SimSun" w:cs="Times New Roman"/>
          <w:color w:val="1A1A1A"/>
          <w:sz w:val="24"/>
          <w:szCs w:val="24"/>
        </w:rPr>
        <w:t>Pool A addresses the United States' priority of ensuring that a dedicated portion of released funds supports humanitarian goods and agricultural commodities. Pool B addresses Iran's priority of securing sovereign, unconditional access to the majority of its assets for reconstruction and development, free from foreign oversight or procurement direction. This dual-pool structure transforms a zero-sum negotiation into a positive-sum arrangement: both Parties secure their core interests through the same synchronized verification process.</w:t>
      </w:r>
    </w:p>
    <w:p>
      <w:pPr>
        <w:pStyle w:val="Normal"/>
      </w:pPr>
      <w:r>
        <w:rPr>
          <w:rFonts w:ascii="Times New Roman" w:hAnsi="Times New Roman" w:eastAsia="SimSun" w:cs="Times New Roman"/>
          <w:color w:val="1A1A1A"/>
          <w:sz w:val="24"/>
          <w:szCs w:val="24"/>
        </w:rPr>
        <w:t>The Parties establish a clear, explicit distinction between the two tranches of synchronized release. Tranche 1 releases upon IAEA verification of the 60% enriched uranium stockpile and establishment of dual-key custody. This represents a lower bar that confirms the IAEA has the access and visibility it needs to monitor the stockpile. This is the Verification Tranche: it buys unimpeded access, baseline inventory confirmation, and custody transfer. It does not require downblending or irreversible transformation. Tranche 2 releases only upon IAEA confirmation that the entire 60% stockpile has undergone irreversible downblending to the Civilian Enrichment Level (CEL) (3.67% U-235) or lower and conversion into peaceful products through one or more IAEA-approved pathways, which includes agricultural fertilizer production through Pathway W. This is the Downblending Tranche: it buys physical elimination of the stockpile. Both sides know exactly what each tranche purchases.</w:t>
      </w:r>
    </w:p>
    <w:p>
      <w:pPr>
        <w:pStyle w:val="Normal"/>
      </w:pPr>
      <w:r>
        <w:rPr>
          <w:rFonts w:ascii="Times New Roman" w:hAnsi="Times New Roman" w:eastAsia="SimSun" w:cs="Times New Roman"/>
          <w:color w:val="1A1A1A"/>
          <w:sz w:val="24"/>
          <w:szCs w:val="24"/>
        </w:rPr>
        <w:t>The Parties affirm Iran's inalienable right to develop, produce, and use nuclear energy for peaceful purposes, as recognized under Article IV of the Treaty on the Non-Proliferation of Nuclear Weapons (NPT). The 3.67% enrichment level established under the Joint Comprehensive Plan of Action (JCPOA) serves as the appropriate benchmark for civilian nuclear fuel. The Parties further affirm that the 60% enriched uranium stockpile is downblended to the Civilian Enrichment Level (CEL) (3.67% U-235) or lower and converted into peaceful products through one or more IAEA-approved pathways, which includes phosphate-based agricultural fertilizer through Pathway W, ensuring permanent elimination of the proliferation risk. This transformation converts weapons-grade material into food security: from bombs to bread.</w:t>
      </w:r>
    </w:p>
    <w:p>
      <w:pPr>
        <w:pStyle w:val="Normal"/>
      </w:pPr>
      <w:r>
        <w:rPr>
          <w:rFonts w:ascii="Times New Roman" w:hAnsi="Times New Roman" w:eastAsia="SimSun" w:cs="Times New Roman"/>
          <w:color w:val="1A1A1A"/>
          <w:sz w:val="24"/>
          <w:szCs w:val="24"/>
        </w:rPr>
        <w:t>The Parties recognize the deep mutual distrust that persists regarding long-term compliance. Recognizing this distrust as a material fact rather than an emotional obstacle, the Parties construct this Annex around the principle of Synchronized Reciprocal Motion. Under this principle, neither Party advances unilaterally. Every forward step by one Party pairs with a simultaneous, verifiable, and irreversible forward step by the other. The architecture eliminates the incentive to defect mid-stream because defection yields no advantage: the Party that fails to perform simply loses access to the corresponding benefit, while the Party that performed retains what it gained.</w:t>
      </w:r>
    </w:p>
    <w:p>
      <w:pPr>
        <w:pStyle w:val="Normal"/>
      </w:pPr>
      <w:r>
        <w:rPr>
          <w:rFonts w:ascii="Times New Roman" w:hAnsi="Times New Roman" w:eastAsia="SimSun" w:cs="Times New Roman"/>
          <w:color w:val="1A1A1A"/>
          <w:sz w:val="24"/>
          <w:szCs w:val="24"/>
        </w:rPr>
        <w:t>The entire Two-Pool Synchronized Disbursement mechanism operates within the 60-Day Initial Operating Period established in Article 7.1 of this Annex. Tranche 1 targets release within 45 days of escrow establishment; Tranche 2 targets release within 60 days. These compressed timelines reflect the emergency character of this Protocol and the Parties' shared interest in demonstrating tangible progress within a defined, finite window. The architecture is irrevocable by design: compliance triggers release; failure to comply triggers automatic suspension of future releases only, with no clawback of already-released funds. This is the Step-Back and Earn-Back system: a calibrated, reversible, confidence-building mechanism that replaces the toxic snapback provisions of prior agreements with a structural logic of earned restoration.</w:t>
      </w:r>
    </w:p>
    <w:p>
      <w:pPr>
        <w:pStyle w:val="Normal"/>
      </w:pPr>
      <w:r>
        <w:rPr>
          <w:rFonts w:ascii="Times New Roman" w:hAnsi="Times New Roman" w:eastAsia="SimSun" w:cs="Times New Roman"/>
          <w:color w:val="1A1A1A"/>
          <w:sz w:val="24"/>
          <w:szCs w:val="24"/>
        </w:rPr>
        <w:t>This Annex is a component of the broader Islamabad Accord framework, executed in Doha as a dedicated financial and verification track. The Escrow Agent’s release of funds from both pools depends exclusively on its receipt of a Joint Disbursement Instruction from the Political and Compliance Council (PCC), and the PCC issues those instructions exclusively upon verification of pre-defined nuclear milestones by the International Atomic Energy Agency (IAEA). No Party touches the funds directly.</w:t>
      </w:r>
    </w:p>
    <w:p>
      <w:pPr>
        <w:pStyle w:val="Heading1"/>
        <w:pageBreakBefore w:val="1"/>
      </w:pPr>
      <w:r>
        <w:rPr>
          <w:rFonts w:ascii="Times New Roman" w:hAnsi="Times New Roman" w:eastAsia="SimSun" w:cs="Times New Roman"/>
          <w:b/>
          <w:color w:val="1A1A1A"/>
          <w:sz w:val="22"/>
          <w:szCs w:val="22"/>
        </w:rPr>
        <w:t>Schedule A: Comprehensive Implementation Matrix</w:t>
      </w:r>
    </w:p>
    <w:p>
      <w:pPr>
        <w:pStyle w:val="Normal"/>
      </w:pPr>
      <w:r>
        <w:rPr>
          <w:rFonts w:ascii="Times New Roman" w:hAnsi="Times New Roman" w:eastAsia="SimSun" w:cs="Times New Roman"/>
          <w:color w:val="1A1A1A"/>
          <w:sz w:val="24"/>
          <w:szCs w:val="24"/>
        </w:rPr>
        <w:t>This Schedule consolidates all implementation milestones, verification instruments, certifying authorities, corresponding relief measures, and hard-cap deadlines into a single authoritative table. This Schedule supersedes all milestone references dispersed throughout the Annex and serves as the definitive implementation reference for the Parties, the IAEA, the Escrow Agent, and the Joint Commission.</w:t>
      </w:r>
    </w:p>
    <w:tbl>
      <w:tblPr>
        <w:tblW w:w="0" w:type="auto"/>
      </w:tblPr>
      <w:tblGrid>
        <w:gridCol w:w="1504"/>
        <w:gridCol w:w="1504"/>
        <w:gridCol w:w="1504"/>
        <w:gridCol w:w="1504"/>
        <w:gridCol w:w="1504"/>
        <w:gridCol w:w="1506"/>
      </w:tblGrid>
      <w:tr>
        <w:tc>
          <w:tcPr>
            <w:tcW w:w="1504" w:type="dxa"/>
          </w:tcPr>
          <w:p>
            <w:pPr>
              <w:pStyle w:val="Normal"/>
              <w:jc w:val="center"/>
            </w:pPr>
            <w:r>
              <w:rPr>
                <w:rFonts w:ascii="Times New Roman" w:hAnsi="Times New Roman" w:eastAsia="SimSun" w:cs="Times New Roman"/>
                <w:color w:val="1A1A1A"/>
                <w:sz w:val="24"/>
                <w:szCs w:val="24"/>
              </w:rPr>
              <w:t>Phase</w:t>
            </w:r>
          </w:p>
        </w:tc>
        <w:tc>
          <w:tcPr>
            <w:tcW w:w="1504" w:type="dxa"/>
          </w:tcPr>
          <w:p>
            <w:pPr>
              <w:pStyle w:val="Normal"/>
              <w:jc w:val="center"/>
            </w:pPr>
            <w:r>
              <w:rPr>
                <w:rFonts w:ascii="Times New Roman" w:hAnsi="Times New Roman" w:eastAsia="SimSun" w:cs="Times New Roman"/>
                <w:color w:val="1A1A1A"/>
                <w:sz w:val="24"/>
                <w:szCs w:val="24"/>
              </w:rPr>
              <w:t>Iranian Obligation</w:t>
            </w:r>
          </w:p>
        </w:tc>
        <w:tc>
          <w:tcPr>
            <w:tcW w:w="1504" w:type="dxa"/>
          </w:tcPr>
          <w:p>
            <w:pPr>
              <w:pStyle w:val="Normal"/>
              <w:jc w:val="center"/>
            </w:pPr>
            <w:r>
              <w:rPr>
                <w:rFonts w:ascii="Times New Roman" w:hAnsi="Times New Roman" w:eastAsia="SimSun" w:cs="Times New Roman"/>
                <w:color w:val="1A1A1A"/>
                <w:sz w:val="24"/>
                <w:szCs w:val="24"/>
              </w:rPr>
              <w:t>Verification Instrument</w:t>
            </w:r>
          </w:p>
        </w:tc>
        <w:tc>
          <w:tcPr>
            <w:tcW w:w="1504" w:type="dxa"/>
          </w:tcPr>
          <w:p>
            <w:pPr>
              <w:pStyle w:val="Normal"/>
              <w:jc w:val="center"/>
            </w:pPr>
            <w:r>
              <w:rPr>
                <w:rFonts w:ascii="Times New Roman" w:hAnsi="Times New Roman" w:eastAsia="SimSun" w:cs="Times New Roman"/>
                <w:color w:val="1A1A1A"/>
                <w:sz w:val="24"/>
                <w:szCs w:val="24"/>
              </w:rPr>
              <w:t>Certifying Authority</w:t>
            </w:r>
          </w:p>
        </w:tc>
        <w:tc>
          <w:tcPr>
            <w:tcW w:w="1504" w:type="dxa"/>
          </w:tcPr>
          <w:p>
            <w:pPr>
              <w:pStyle w:val="Normal"/>
              <w:jc w:val="center"/>
            </w:pPr>
            <w:r>
              <w:rPr>
                <w:rFonts w:ascii="Times New Roman" w:hAnsi="Times New Roman" w:eastAsia="SimSun" w:cs="Times New Roman"/>
                <w:color w:val="1A1A1A"/>
                <w:sz w:val="24"/>
                <w:szCs w:val="24"/>
              </w:rPr>
              <w:t>Corresponding Relief</w:t>
            </w:r>
          </w:p>
        </w:tc>
        <w:tc>
          <w:tcPr>
            <w:tcW w:w="1506" w:type="dxa"/>
          </w:tcPr>
          <w:p>
            <w:pPr>
              <w:pStyle w:val="Normal"/>
              <w:jc w:val="center"/>
            </w:pPr>
            <w:r>
              <w:rPr>
                <w:rFonts w:ascii="Times New Roman" w:hAnsi="Times New Roman" w:eastAsia="SimSun" w:cs="Times New Roman"/>
                <w:color w:val="1A1A1A"/>
                <w:sz w:val="24"/>
                <w:szCs w:val="24"/>
              </w:rPr>
              <w:t>Hard Cap</w:t>
            </w:r>
          </w:p>
        </w:tc>
      </w:tr>
      <w:tr>
        <w:tc>
          <w:tcPr>
            <w:tcW w:w="1504" w:type="dxa"/>
          </w:tcPr>
          <w:p>
            <w:pPr>
              <w:pStyle w:val="Normal"/>
            </w:pPr>
            <w:r>
              <w:rPr>
                <w:rFonts w:ascii="Times New Roman" w:hAnsi="Times New Roman" w:eastAsia="SimSun" w:cs="Times New Roman"/>
                <w:color w:val="1A1A1A"/>
                <w:sz w:val="24"/>
                <w:szCs w:val="24"/>
              </w:rPr>
              <w:t>Phase 0: Escrow Establishment</w:t>
            </w:r>
          </w:p>
        </w:tc>
        <w:tc>
          <w:tcPr>
            <w:tcW w:w="1504" w:type="dxa"/>
          </w:tcPr>
          <w:p>
            <w:pPr>
              <w:pStyle w:val="Normal"/>
            </w:pPr>
            <w:r>
              <w:rPr>
                <w:rFonts w:ascii="Times New Roman" w:hAnsi="Times New Roman" w:eastAsia="SimSun" w:cs="Times New Roman"/>
                <w:color w:val="1A1A1A"/>
                <w:sz w:val="24"/>
                <w:szCs w:val="24"/>
              </w:rPr>
              <w:t>Iran provides technical specifications for the escrow accounts and confirms designated recipient institutions.</w:t>
            </w:r>
          </w:p>
        </w:tc>
        <w:tc>
          <w:tcPr>
            <w:tcW w:w="1504" w:type="dxa"/>
          </w:tcPr>
          <w:p>
            <w:pPr>
              <w:pStyle w:val="Normal"/>
            </w:pPr>
            <w:r>
              <w:rPr>
                <w:rFonts w:ascii="Times New Roman" w:hAnsi="Times New Roman" w:eastAsia="SimSun" w:cs="Times New Roman"/>
                <w:color w:val="1A1A1A"/>
                <w:sz w:val="24"/>
                <w:szCs w:val="24"/>
              </w:rPr>
              <w:t>Deposit Confirmation Certificate issued by the Escrow Agent and certified by the PCC.</w:t>
            </w:r>
          </w:p>
        </w:tc>
        <w:tc>
          <w:tcPr>
            <w:tcW w:w="1504" w:type="dxa"/>
          </w:tcPr>
          <w:p>
            <w:pPr>
              <w:pStyle w:val="Normal"/>
            </w:pPr>
            <w:r>
              <w:rPr>
                <w:rFonts w:ascii="Times New Roman" w:hAnsi="Times New Roman" w:eastAsia="SimSun" w:cs="Times New Roman"/>
                <w:color w:val="1A1A1A"/>
                <w:sz w:val="24"/>
                <w:szCs w:val="24"/>
              </w:rPr>
              <w:t>Escrow Agent (Qatar Central Bank) / PCC</w:t>
            </w:r>
          </w:p>
        </w:tc>
        <w:tc>
          <w:tcPr>
            <w:tcW w:w="1504" w:type="dxa"/>
          </w:tcPr>
          <w:p>
            <w:pPr>
              <w:pStyle w:val="Normal"/>
            </w:pPr>
            <w:r>
              <w:rPr>
                <w:rFonts w:ascii="Times New Roman" w:hAnsi="Times New Roman" w:eastAsia="SimSun" w:cs="Times New Roman"/>
                <w:color w:val="1A1A1A"/>
                <w:sz w:val="24"/>
                <w:szCs w:val="24"/>
              </w:rPr>
              <w:t>$12 billion transfers into Pool A ($4B) and Pool B ($8B). Escrow period commences.</w:t>
            </w:r>
          </w:p>
        </w:tc>
        <w:tc>
          <w:tcPr>
            <w:tcW w:w="1506" w:type="dxa"/>
          </w:tcPr>
          <w:p>
            <w:pPr>
              <w:pStyle w:val="Normal"/>
            </w:pPr>
            <w:r>
              <w:rPr>
                <w:rFonts w:ascii="Times New Roman" w:hAnsi="Times New Roman" w:eastAsia="SimSun" w:cs="Times New Roman"/>
                <w:color w:val="1A1A1A"/>
                <w:sz w:val="24"/>
                <w:szCs w:val="24"/>
              </w:rPr>
              <w:t>Day 5 of the 60-Day Initial Operating Period</w:t>
            </w:r>
          </w:p>
        </w:tc>
      </w:tr>
      <w:tr>
        <w:tc>
          <w:tcPr>
            <w:tcW w:w="1504" w:type="dxa"/>
          </w:tcPr>
          <w:p>
            <w:pPr>
              <w:pStyle w:val="Normal"/>
            </w:pPr>
            <w:r>
              <w:rPr>
                <w:rFonts w:ascii="Times New Roman" w:hAnsi="Times New Roman" w:eastAsia="SimSun" w:cs="Times New Roman"/>
                <w:color w:val="1A1A1A"/>
                <w:sz w:val="24"/>
                <w:szCs w:val="24"/>
              </w:rPr>
              <w:t>Phase 1: Verification Tranche (T1)</w:t>
            </w:r>
          </w:p>
        </w:tc>
        <w:tc>
          <w:tcPr>
            <w:tcW w:w="1504" w:type="dxa"/>
          </w:tcPr>
          <w:p>
            <w:pPr>
              <w:pStyle w:val="Normal"/>
            </w:pPr>
            <w:r>
              <w:rPr>
                <w:rFonts w:ascii="Times New Roman" w:hAnsi="Times New Roman" w:eastAsia="SimSun" w:cs="Times New Roman"/>
                <w:color w:val="1A1A1A"/>
                <w:sz w:val="24"/>
                <w:szCs w:val="24"/>
              </w:rPr>
              <w:t>Iran grants full unimpeded IAEA access; completes baseline inventory; places entire 60% enriched uranium stockpile under IAEA dual-key custody; installs continuous monitoring equipment.</w:t>
            </w:r>
          </w:p>
        </w:tc>
        <w:tc>
          <w:tcPr>
            <w:tcW w:w="1504" w:type="dxa"/>
          </w:tcPr>
          <w:p>
            <w:pPr>
              <w:pStyle w:val="Normal"/>
            </w:pPr>
            <w:r>
              <w:rPr>
                <w:rFonts w:ascii="Times New Roman" w:hAnsi="Times New Roman" w:eastAsia="SimSun" w:cs="Times New Roman"/>
                <w:color w:val="1A1A1A"/>
                <w:sz w:val="24"/>
                <w:szCs w:val="24"/>
              </w:rPr>
              <w:t>National HEU Verification and Custody Certificate confirming all four sub-elements of Article 3.1.1.</w:t>
            </w:r>
          </w:p>
        </w:tc>
        <w:tc>
          <w:tcPr>
            <w:tcW w:w="1504" w:type="dxa"/>
          </w:tcPr>
          <w:p>
            <w:pPr>
              <w:pStyle w:val="Normal"/>
            </w:pPr>
            <w:r>
              <w:rPr>
                <w:rFonts w:ascii="Times New Roman" w:hAnsi="Times New Roman" w:eastAsia="SimSun" w:cs="Times New Roman"/>
                <w:color w:val="1A1A1A"/>
                <w:sz w:val="24"/>
                <w:szCs w:val="24"/>
              </w:rPr>
              <w:t>IAEA Director General</w:t>
            </w:r>
          </w:p>
        </w:tc>
        <w:tc>
          <w:tcPr>
            <w:tcW w:w="1504" w:type="dxa"/>
          </w:tcPr>
          <w:p>
            <w:pPr>
              <w:pStyle w:val="Normal"/>
            </w:pPr>
            <w:r>
              <w:rPr>
                <w:rFonts w:ascii="Times New Roman" w:hAnsi="Times New Roman" w:eastAsia="SimSun" w:cs="Times New Roman"/>
                <w:color w:val="1A1A1A"/>
                <w:sz w:val="24"/>
                <w:szCs w:val="24"/>
              </w:rPr>
              <w:t>$4.5 billion simultaneous release: $1.5B Pool A + $3B Pool B. Sanctions relief package activates per Article 9.</w:t>
            </w:r>
          </w:p>
        </w:tc>
        <w:tc>
          <w:tcPr>
            <w:tcW w:w="1506" w:type="dxa"/>
          </w:tcPr>
          <w:p>
            <w:pPr>
              <w:pStyle w:val="Normal"/>
            </w:pPr>
            <w:r>
              <w:rPr>
                <w:rFonts w:ascii="Times New Roman" w:hAnsi="Times New Roman" w:eastAsia="SimSun" w:cs="Times New Roman"/>
                <w:color w:val="1A1A1A"/>
                <w:sz w:val="24"/>
                <w:szCs w:val="24"/>
              </w:rPr>
              <w:t>Day 60 of the 60-Day Initial Operating Period</w:t>
            </w:r>
          </w:p>
        </w:tc>
      </w:tr>
      <w:tr>
        <w:tc>
          <w:tcPr>
            <w:tcW w:w="1504" w:type="dxa"/>
          </w:tcPr>
          <w:p>
            <w:pPr>
              <w:pStyle w:val="Normal"/>
            </w:pPr>
            <w:r>
              <w:rPr>
                <w:rFonts w:ascii="Times New Roman" w:hAnsi="Times New Roman" w:eastAsia="SimSun" w:cs="Times New Roman"/>
                <w:color w:val="1A1A1A"/>
                <w:sz w:val="24"/>
                <w:szCs w:val="24"/>
              </w:rPr>
              <w:t>Phase 2: Downblending Tranche (T2)</w:t>
            </w:r>
          </w:p>
        </w:tc>
        <w:tc>
          <w:tcPr>
            <w:tcW w:w="1504" w:type="dxa"/>
          </w:tcPr>
          <w:p>
            <w:pPr>
              <w:pStyle w:val="Normal"/>
            </w:pPr>
            <w:r>
              <w:rPr>
                <w:rFonts w:ascii="Times New Roman" w:hAnsi="Times New Roman" w:eastAsia="SimSun" w:cs="Times New Roman"/>
                <w:color w:val="1A1A1A"/>
                <w:sz w:val="24"/>
                <w:szCs w:val="24"/>
              </w:rPr>
              <w:t>Iran completes irreversible downblending of entire 60% stockpile to the Civilian Enrichment Level (CEL) (3.67% U-235) or lower; converts material to peaceful products through IAEA-approved pathway; achieves 12-month breakout buffer.</w:t>
            </w:r>
          </w:p>
        </w:tc>
        <w:tc>
          <w:tcPr>
            <w:tcW w:w="1504" w:type="dxa"/>
          </w:tcPr>
          <w:p>
            <w:pPr>
              <w:pStyle w:val="Normal"/>
            </w:pPr>
            <w:r>
              <w:rPr>
                <w:rFonts w:ascii="Times New Roman" w:hAnsi="Times New Roman" w:eastAsia="SimSun" w:cs="Times New Roman"/>
                <w:color w:val="1A1A1A"/>
                <w:sz w:val="24"/>
                <w:szCs w:val="24"/>
              </w:rPr>
              <w:t>Downblending Completion Certificate confirming all five sub-elements of Article 3.2.1 including mass balance verification.</w:t>
            </w:r>
          </w:p>
        </w:tc>
        <w:tc>
          <w:tcPr>
            <w:tcW w:w="1504" w:type="dxa"/>
          </w:tcPr>
          <w:p>
            <w:pPr>
              <w:pStyle w:val="Normal"/>
            </w:pPr>
            <w:r>
              <w:rPr>
                <w:rFonts w:ascii="Times New Roman" w:hAnsi="Times New Roman" w:eastAsia="SimSun" w:cs="Times New Roman"/>
                <w:color w:val="1A1A1A"/>
                <w:sz w:val="24"/>
                <w:szCs w:val="24"/>
              </w:rPr>
              <w:t>IAEA Director General</w:t>
            </w:r>
          </w:p>
        </w:tc>
        <w:tc>
          <w:tcPr>
            <w:tcW w:w="1504" w:type="dxa"/>
          </w:tcPr>
          <w:p>
            <w:pPr>
              <w:pStyle w:val="Normal"/>
            </w:pPr>
            <w:r>
              <w:rPr>
                <w:rFonts w:ascii="Times New Roman" w:hAnsi="Times New Roman" w:eastAsia="SimSun" w:cs="Times New Roman"/>
                <w:color w:val="1A1A1A"/>
                <w:sz w:val="24"/>
                <w:szCs w:val="24"/>
              </w:rPr>
              <w:t>$7.5 billion simultaneous release: $2.5B Pool A + $5B Pool B. Full sanctions relief package activates. Escrow accounts close.</w:t>
            </w:r>
          </w:p>
        </w:tc>
        <w:tc>
          <w:tcPr>
            <w:tcW w:w="1506" w:type="dxa"/>
          </w:tcPr>
          <w:p>
            <w:pPr>
              <w:pStyle w:val="Normal"/>
            </w:pPr>
            <w:r>
              <w:rPr>
                <w:rFonts w:ascii="Times New Roman" w:hAnsi="Times New Roman" w:eastAsia="SimSun" w:cs="Times New Roman"/>
                <w:color w:val="1A1A1A"/>
                <w:sz w:val="24"/>
                <w:szCs w:val="24"/>
              </w:rPr>
              <w:t>Day 90 (30 days post-Initial Operating Period)</w:t>
            </w:r>
          </w:p>
        </w:tc>
      </w:tr>
      <w:tr>
        <w:tc>
          <w:tcPr>
            <w:tcW w:w="1504" w:type="dxa"/>
          </w:tcPr>
          <w:p>
            <w:pPr>
              <w:pStyle w:val="Normal"/>
            </w:pPr>
            <w:r>
              <w:rPr>
                <w:rFonts w:ascii="Times New Roman" w:hAnsi="Times New Roman" w:eastAsia="SimSun" w:cs="Times New Roman"/>
                <w:color w:val="1A1A1A"/>
                <w:sz w:val="24"/>
                <w:szCs w:val="24"/>
              </w:rPr>
              <w:t>Phase 3: Conditional Progress (Optional)</w:t>
            </w:r>
          </w:p>
        </w:tc>
        <w:tc>
          <w:tcPr>
            <w:tcW w:w="1504" w:type="dxa"/>
          </w:tcPr>
          <w:p>
            <w:pPr>
              <w:pStyle w:val="Normal"/>
            </w:pPr>
            <w:r>
              <w:rPr>
                <w:rFonts w:ascii="Times New Roman" w:hAnsi="Times New Roman" w:eastAsia="SimSun" w:cs="Times New Roman"/>
                <w:color w:val="1A1A1A"/>
                <w:sz w:val="24"/>
                <w:szCs w:val="24"/>
              </w:rPr>
              <w:t>Iran completes between 75% and 99% of either T1 or T2 milestone within the hard-cap period.</w:t>
            </w:r>
          </w:p>
        </w:tc>
        <w:tc>
          <w:tcPr>
            <w:tcW w:w="1504" w:type="dxa"/>
          </w:tcPr>
          <w:p>
            <w:pPr>
              <w:pStyle w:val="Normal"/>
            </w:pPr>
            <w:r>
              <w:rPr>
                <w:rFonts w:ascii="Times New Roman" w:hAnsi="Times New Roman" w:eastAsia="SimSun" w:cs="Times New Roman"/>
                <w:color w:val="1A1A1A"/>
                <w:sz w:val="24"/>
                <w:szCs w:val="24"/>
              </w:rPr>
              <w:t>Conditional Progress Certificate issued by the IAEA specifying completion percentage and remaining work.</w:t>
            </w:r>
          </w:p>
        </w:tc>
        <w:tc>
          <w:tcPr>
            <w:tcW w:w="1504" w:type="dxa"/>
          </w:tcPr>
          <w:p>
            <w:pPr>
              <w:pStyle w:val="Normal"/>
            </w:pPr>
            <w:r>
              <w:rPr>
                <w:rFonts w:ascii="Times New Roman" w:hAnsi="Times New Roman" w:eastAsia="SimSun" w:cs="Times New Roman"/>
                <w:color w:val="1A1A1A"/>
                <w:sz w:val="24"/>
                <w:szCs w:val="24"/>
              </w:rPr>
              <w:t>IAEA Director General</w:t>
            </w:r>
          </w:p>
        </w:tc>
        <w:tc>
          <w:tcPr>
            <w:tcW w:w="1504" w:type="dxa"/>
          </w:tcPr>
          <w:p>
            <w:pPr>
              <w:pStyle w:val="Normal"/>
            </w:pPr>
            <w:r>
              <w:rPr>
                <w:rFonts w:ascii="Times New Roman" w:hAnsi="Times New Roman" w:eastAsia="SimSun" w:cs="Times New Roman"/>
                <w:color w:val="1A1A1A"/>
                <w:sz w:val="24"/>
                <w:szCs w:val="24"/>
              </w:rPr>
              <w:t>Proportionate partial release equal to the certified completion percentage. Extended monitoring activates per Article 13.</w:t>
            </w:r>
          </w:p>
        </w:tc>
        <w:tc>
          <w:tcPr>
            <w:tcW w:w="1506" w:type="dxa"/>
          </w:tcPr>
          <w:p>
            <w:pPr>
              <w:pStyle w:val="Normal"/>
            </w:pPr>
            <w:r>
              <w:rPr>
                <w:rFonts w:ascii="Times New Roman" w:hAnsi="Times New Roman" w:eastAsia="SimSun" w:cs="Times New Roman"/>
                <w:color w:val="1A1A1A"/>
                <w:sz w:val="24"/>
                <w:szCs w:val="24"/>
              </w:rPr>
              <w:t>45 days from Conditional Progress Certificate date</w:t>
            </w:r>
          </w:p>
        </w:tc>
      </w:tr>
      <w:tr>
        <w:tc>
          <w:tcPr>
            <w:tcW w:w="1504" w:type="dxa"/>
          </w:tcPr>
          <w:p>
            <w:pPr>
              <w:pStyle w:val="Normal"/>
            </w:pPr>
            <w:r>
              <w:rPr>
                <w:rFonts w:ascii="Times New Roman" w:hAnsi="Times New Roman" w:eastAsia="SimSun" w:cs="Times New Roman"/>
                <w:color w:val="1A1A1A"/>
                <w:sz w:val="24"/>
                <w:szCs w:val="24"/>
              </w:rPr>
              <w:t>Phase 4: Annual Sustainability Review</w:t>
            </w:r>
          </w:p>
        </w:tc>
        <w:tc>
          <w:tcPr>
            <w:tcW w:w="1504" w:type="dxa"/>
          </w:tcPr>
          <w:p>
            <w:pPr>
              <w:pStyle w:val="Normal"/>
            </w:pPr>
            <w:r>
              <w:rPr>
                <w:rFonts w:ascii="Times New Roman" w:hAnsi="Times New Roman" w:eastAsia="SimSun" w:cs="Times New Roman"/>
                <w:color w:val="1A1A1A"/>
                <w:sz w:val="24"/>
                <w:szCs w:val="24"/>
              </w:rPr>
              <w:t>Iran maintains full IAEA cooperation; continues safeguards compliance; participates in Joint Commission review.</w:t>
            </w:r>
          </w:p>
        </w:tc>
        <w:tc>
          <w:tcPr>
            <w:tcW w:w="1504" w:type="dxa"/>
          </w:tcPr>
          <w:p>
            <w:pPr>
              <w:pStyle w:val="Normal"/>
            </w:pPr>
            <w:r>
              <w:rPr>
                <w:rFonts w:ascii="Times New Roman" w:hAnsi="Times New Roman" w:eastAsia="SimSun" w:cs="Times New Roman"/>
                <w:color w:val="1A1A1A"/>
                <w:sz w:val="24"/>
                <w:szCs w:val="24"/>
              </w:rPr>
              <w:t>IAEA Technical Assessment; Escrow Agent Financial Report; Joint Commission Implementation Assessment.</w:t>
            </w:r>
          </w:p>
        </w:tc>
        <w:tc>
          <w:tcPr>
            <w:tcW w:w="1504" w:type="dxa"/>
          </w:tcPr>
          <w:p>
            <w:pPr>
              <w:pStyle w:val="Normal"/>
            </w:pPr>
            <w:r>
              <w:rPr>
                <w:rFonts w:ascii="Times New Roman" w:hAnsi="Times New Roman" w:eastAsia="SimSun" w:cs="Times New Roman"/>
                <w:color w:val="1A1A1A"/>
                <w:sz w:val="24"/>
                <w:szCs w:val="24"/>
              </w:rPr>
              <w:t>IAEA / Escrow Agent / Joint Commission</w:t>
            </w:r>
          </w:p>
        </w:tc>
        <w:tc>
          <w:tcPr>
            <w:tcW w:w="1504" w:type="dxa"/>
          </w:tcPr>
          <w:p>
            <w:pPr>
              <w:pStyle w:val="Normal"/>
            </w:pPr>
            <w:r>
              <w:rPr>
                <w:rFonts w:ascii="Times New Roman" w:hAnsi="Times New Roman" w:eastAsia="SimSun" w:cs="Times New Roman"/>
                <w:color w:val="1A1A1A"/>
                <w:sz w:val="24"/>
                <w:szCs w:val="24"/>
              </w:rPr>
              <w:t>No additional financial release. Recommendations for Annex modification per Article 16.</w:t>
            </w:r>
          </w:p>
        </w:tc>
        <w:tc>
          <w:tcPr>
            <w:tcW w:w="1506" w:type="dxa"/>
          </w:tcPr>
          <w:p>
            <w:pPr>
              <w:pStyle w:val="Normal"/>
            </w:pPr>
            <w:r>
              <w:rPr>
                <w:rFonts w:ascii="Times New Roman" w:hAnsi="Times New Roman" w:eastAsia="SimSun" w:cs="Times New Roman"/>
                <w:color w:val="1A1A1A"/>
                <w:sz w:val="24"/>
                <w:szCs w:val="24"/>
              </w:rPr>
              <w:t>Every 12 months from first tranche release</w:t>
            </w:r>
          </w:p>
        </w:tc>
      </w:tr>
    </w:tbl>
    <w:p>
      <w:pPr>
        <w:pStyle w:val="Heading2"/>
      </w:pPr>
      <w:r>
        <w:rPr>
          <w:rFonts w:ascii="Times New Roman" w:hAnsi="Times New Roman" w:eastAsia="SimHei" w:cs="Times New Roman"/>
          <w:b/>
          <w:color w:val="4A6B8A"/>
          <w:sz w:val="28"/>
          <w:szCs w:val="28"/>
        </w:rPr>
        <w:t>Notes to Schedule A</w:t>
      </w:r>
    </w:p>
    <w:p>
      <w:pPr>
        <w:pStyle w:val="Normal"/>
      </w:pPr>
      <w:r>
        <w:rPr>
          <w:rFonts w:ascii="Times New Roman" w:hAnsi="Times New Roman" w:eastAsia="SimSun" w:cs="Times New Roman"/>
          <w:color w:val="1A1A1A"/>
          <w:sz w:val="24"/>
          <w:szCs w:val="24"/>
        </w:rPr>
        <w:t>1. The Hard Cap for each phase is a firm, non-extendable deadline unless the Joint Commission determines by consensus that changed circumstances justify extension. The Conditional Progress mechanism in Article 13 provides the sole pathway for partial relief when a milestone is substantially but incompletely achieved.</w:t>
      </w:r>
    </w:p>
    <w:p>
      <w:pPr>
        <w:pStyle w:val="Normal"/>
      </w:pPr>
      <w:r>
        <w:rPr>
          <w:rFonts w:ascii="Times New Roman" w:hAnsi="Times New Roman" w:eastAsia="SimSun" w:cs="Times New Roman"/>
          <w:color w:val="1A1A1A"/>
          <w:sz w:val="24"/>
          <w:szCs w:val="24"/>
        </w:rPr>
        <w:t>2. The Certifying Authority for each phase issues the specified verification instrument upon objective confirmation that all sub-elements are satisfied. No Party overrides the Certifying Authority's technical judgment. Disputes over certification are resolved through the escalation ladder in Article 12.</w:t>
      </w:r>
    </w:p>
    <w:p>
      <w:pPr>
        <w:pStyle w:val="Normal"/>
      </w:pPr>
      <w:r>
        <w:rPr>
          <w:rFonts w:ascii="Times New Roman" w:hAnsi="Times New Roman" w:eastAsia="SimSun" w:cs="Times New Roman"/>
          <w:color w:val="1A1A1A"/>
          <w:sz w:val="24"/>
          <w:szCs w:val="24"/>
        </w:rPr>
        <w:t>3. Corresponding Relief measures activate simultaneously upon the Escrow Agent's receipt of the valid verification instrument and the PCC's Joint Disbursement Instruction. No relief measure activates independently of the others. The principle of Synchronized Reciprocal Motion governs all phase transitions.</w:t>
      </w:r>
    </w:p>
    <w:p>
      <w:pPr>
        <w:pStyle w:val="Normal"/>
      </w:pPr>
      <w:r>
        <w:rPr>
          <w:rFonts w:ascii="Times New Roman" w:hAnsi="Times New Roman" w:eastAsia="SimSun" w:cs="Times New Roman"/>
          <w:color w:val="1A1A1A"/>
          <w:sz w:val="24"/>
          <w:szCs w:val="24"/>
        </w:rPr>
        <w:t>4. This Schedule is incorporated by reference into the Islamabad Accord and carries the same binding force as any Article of this Annex. Modifications to this Schedule require the same formal procedures as modifications to the Annex itself under Article 16.3.</w:t>
      </w:r>
    </w:p>
    <w:p>
      <w:pPr>
        <w:pStyle w:val="Heading1"/>
      </w:pPr>
      <w:bookmarkStart w:name="_Toc002" w:id="3"/>
      <w:r>
        <w:rPr>
          <w:rFonts w:ascii="Times New Roman" w:hAnsi="Times New Roman" w:eastAsia="SimHei" w:cs="Times New Roman"/>
          <w:b/>
          <w:color w:val="1E3A5F"/>
          <w:sz w:val="32"/>
          <w:szCs w:val="32"/>
        </w:rPr>
        <w:t>Article 1: Definitions</w:t>
      </w:r>
      <w:bookmarkEnd w:id="3"/>
    </w:p>
    <w:p>
      <w:pPr>
        <w:pStyle w:val="Normal"/>
      </w:pPr>
      <w:r>
        <w:rPr>
          <w:rFonts w:ascii="Times New Roman" w:hAnsi="Times New Roman" w:eastAsia="SimSun" w:cs="Times New Roman"/>
          <w:color w:val="1A1A1A"/>
          <w:sz w:val="24"/>
          <w:szCs w:val="24"/>
        </w:rPr>
        <w:t>For the purposes of this Annex, the following terms carry the meanings set out below. Terms not defined in this Article retain the meanings given in Islamabad Accord Article 1.6. Where a conflict exists between a definition in this Annex and a definition in the Islamabad Accord or another Annex, the definition in this Annex governs.</w:t>
      </w:r>
    </w:p>
    <w:p>
      <w:pPr>
        <w:pStyle w:val="Heading2"/>
      </w:pPr>
      <w:r>
        <w:rPr>
          <w:rFonts w:ascii="Times New Roman" w:hAnsi="Times New Roman" w:eastAsia="SimHei" w:cs="Times New Roman"/>
          <w:b/>
          <w:color w:val="4A6B8A"/>
          <w:sz w:val="28"/>
          <w:szCs w:val="28"/>
        </w:rPr>
        <w:t>1.1 Escrow Agent</w:t>
      </w:r>
    </w:p>
    <w:p>
      <w:pPr>
        <w:pStyle w:val="Normal"/>
      </w:pPr>
      <w:r>
        <w:rPr>
          <w:rFonts w:ascii="Times New Roman" w:hAnsi="Times New Roman" w:eastAsia="SimSun" w:cs="Times New Roman"/>
          <w:color w:val="1A1A1A"/>
          <w:sz w:val="24"/>
          <w:szCs w:val="24"/>
        </w:rPr>
        <w:t>"Escrow Agent" means the State of Qatar, acting through its Central Bank (the Qatar Central Bank, or QCB), serving as the neutral custodian of both Pool A and Pool B. The QCB administers each pool through its respective escrow mechanism. The Escrow Agent assumes a direct, enforceable fiduciary duty to both Parties equally. This fiduciary duty requires the QCB to exercise independent professional judgment in verifying Joint Disbursement Instructions, to maintain each pool as a segregated, bankruptcy-remote holding, and to bear liability for any loss of funds attributable to its negligence, willful misconduct, or failure to follow a valid Joint Disbursement Instruction. The Escrow Agent bears no liability for losses arising from: (a) force majeure events as defined in Article 11; (b) actions taken in good faith reliance on a Joint Disbursement Instruction that is later determined to be invalid; (c) cyberattacks or other events beyond the Escrow Agent's reasonable control; or (d) losses that the affected Party could have avoided through reasonable action. The Escrow Agent notifies both Parties immediately upon discovering any potential loss or liability event and takes all reasonable steps to mitigate any loss. The fiduciary duty is enforceable by either Party through the dispute resolution procedures of Islamabad Accord Article 11.</w:t>
      </w:r>
    </w:p>
    <w:p>
      <w:pPr>
        <w:pStyle w:val="Heading2"/>
      </w:pPr>
      <w:r>
        <w:rPr>
          <w:rFonts w:ascii="Times New Roman" w:hAnsi="Times New Roman" w:eastAsia="SimHei" w:cs="Times New Roman"/>
          <w:b/>
          <w:color w:val="4A6B8A"/>
          <w:sz w:val="28"/>
          <w:szCs w:val="28"/>
        </w:rPr>
        <w:t>1.2 $12 Billion Asset Pool</w:t>
      </w:r>
    </w:p>
    <w:p>
      <w:pPr>
        <w:pStyle w:val="Normal"/>
      </w:pPr>
      <w:r>
        <w:rPr>
          <w:rFonts w:ascii="Times New Roman" w:hAnsi="Times New Roman" w:eastAsia="SimSun" w:cs="Times New Roman"/>
          <w:color w:val="1A1A1A"/>
          <w:sz w:val="24"/>
          <w:szCs w:val="24"/>
        </w:rPr>
        <w:t>"$12 Billion Asset Pool" means the total frozen Iranian sovereign assets subject to this Annex. The Asset Pool includes the principal sum of $12,000,000,000 (United States Dollars) plus all interest, earnings, and accretions accrued from the date of deposit into the escrow accounts. The United States identifies the specific accounts, institutions, and legal instruments comprising the Asset Pool in Schedule A to this Annex. Upon deposit, the Asset Pool divides into Pool A and Pool B as specified in Article 2.</w:t>
      </w:r>
    </w:p>
    <w:p>
      <w:pPr>
        <w:pStyle w:val="Heading2"/>
      </w:pPr>
      <w:r>
        <w:rPr>
          <w:rFonts w:ascii="Times New Roman" w:hAnsi="Times New Roman" w:eastAsia="SimHei" w:cs="Times New Roman"/>
          <w:b/>
          <w:color w:val="4A6B8A"/>
          <w:sz w:val="28"/>
          <w:szCs w:val="28"/>
        </w:rPr>
        <w:t>1.3 Pool A: Humanitarian and Agricultural Pool</w:t>
      </w:r>
    </w:p>
    <w:p>
      <w:pPr>
        <w:pStyle w:val="Normal"/>
      </w:pPr>
      <w:r>
        <w:rPr>
          <w:rFonts w:ascii="Times New Roman" w:hAnsi="Times New Roman" w:eastAsia="SimSun" w:cs="Times New Roman"/>
          <w:color w:val="1A1A1A"/>
          <w:sz w:val="24"/>
          <w:szCs w:val="24"/>
        </w:rPr>
        <w:t>"Pool A" or "Humanitarian and Agricultural Pool" means the sum of $4,000,000,000 (four billion United States Dollars) of the $12 Billion Asset Pool, held in the US-Qatar Joint Oversight Escrow. Pool A funds release exclusively for the purchase of food and agricultural commodities, medical supplies and pharmaceuticals, humanitarian goods as defined by UN OCHA and the ICRC, and agricultural inputs including seeds, fertilizers, and equipment. Pool A disburses in two tranches: $1.5 billion with Tranche 1 and $2.5 billion with Tranche 2.</w:t>
      </w:r>
    </w:p>
    <w:p>
      <w:pPr>
        <w:pStyle w:val="Heading2"/>
      </w:pPr>
      <w:r>
        <w:rPr>
          <w:rFonts w:ascii="Times New Roman" w:hAnsi="Times New Roman" w:eastAsia="SimHei" w:cs="Times New Roman"/>
          <w:b/>
          <w:color w:val="4A6B8A"/>
          <w:sz w:val="28"/>
          <w:szCs w:val="28"/>
        </w:rPr>
        <w:t>1.4 Pool B: Sovereign Reconstruction Pool</w:t>
      </w:r>
    </w:p>
    <w:p>
      <w:pPr>
        <w:pStyle w:val="Normal"/>
      </w:pPr>
      <w:r>
        <w:rPr>
          <w:rFonts w:ascii="Times New Roman" w:hAnsi="Times New Roman" w:eastAsia="SimSun" w:cs="Times New Roman"/>
          <w:color w:val="1A1A1A"/>
          <w:sz w:val="24"/>
          <w:szCs w:val="24"/>
        </w:rPr>
        <w:t>"Pool B" or "Sovereign Reconstruction Pool" means the sum of $8,000,000,000 (eight billion United States Dollars) of the $12 Billion Asset Pool, held in the Neutral Qatar Escrow. Pool B funds release to the Central Bank of Iran for any purpose consistent with Iranian sovereign interests and applicable international law. No purchasing conditions, oversight requirements, or procurement restrictions attach to Pool B. Pool B disburses in two tranches: $3 billion with Tranche 1 and $5 billion with Tranche 2.</w:t>
      </w:r>
    </w:p>
    <w:p>
      <w:pPr>
        <w:pStyle w:val="Heading2"/>
      </w:pPr>
      <w:r>
        <w:rPr>
          <w:rFonts w:ascii="Times New Roman" w:hAnsi="Times New Roman" w:eastAsia="SimHei" w:cs="Times New Roman"/>
          <w:b/>
          <w:color w:val="4A6B8A"/>
          <w:sz w:val="28"/>
          <w:szCs w:val="28"/>
        </w:rPr>
        <w:t>1.5 US-Qatar Joint Oversight Escrow</w:t>
      </w:r>
    </w:p>
    <w:p>
      <w:pPr>
        <w:pStyle w:val="Normal"/>
      </w:pPr>
      <w:r>
        <w:rPr>
          <w:rFonts w:ascii="Times New Roman" w:hAnsi="Times New Roman" w:eastAsia="SimSun" w:cs="Times New Roman"/>
          <w:color w:val="1A1A1A"/>
          <w:sz w:val="24"/>
          <w:szCs w:val="24"/>
        </w:rPr>
        <w:t>"US-Qatar Joint Oversight Escrow" means the escrow mechanism for Pool A, jointly administered by the State of Qatar and the United States. The Qatar Central Bank holds Pool A funds, but the United States exercises oversight authority over disbursement requests as specified in Article 2.2.4. Both the United States and Qatar jointly approve each Pool A disbursement. The US-Qatar Joint Oversight Escrow maintains a segregated account separate from Pool B, the Escrow Agent’s own funds, and all other escrow or client funds.</w:t>
      </w:r>
    </w:p>
    <w:p>
      <w:pPr>
        <w:pStyle w:val="Heading2"/>
      </w:pPr>
      <w:r>
        <w:rPr>
          <w:rFonts w:ascii="Times New Roman" w:hAnsi="Times New Roman" w:eastAsia="SimHei" w:cs="Times New Roman"/>
          <w:b/>
          <w:color w:val="4A6B8A"/>
          <w:sz w:val="28"/>
          <w:szCs w:val="28"/>
        </w:rPr>
        <w:t>1.6 Neutral Qatar Escrow</w:t>
      </w:r>
    </w:p>
    <w:p>
      <w:pPr>
        <w:pStyle w:val="Normal"/>
      </w:pPr>
      <w:r>
        <w:rPr>
          <w:rFonts w:ascii="Times New Roman" w:hAnsi="Times New Roman" w:eastAsia="SimSun" w:cs="Times New Roman"/>
          <w:color w:val="1A1A1A"/>
          <w:sz w:val="24"/>
          <w:szCs w:val="24"/>
        </w:rPr>
        <w:t>"Neutral Qatar Escrow" means the escrow mechanism for Pool B, administered solely by the State of Qatar through the Qatar Central Bank. The United States holds no oversight authority, approval power, or veto over Pool B disbursements. The Neutral Qatar Escrow maintains a segregated account separate from Pool A, the Escrow Agent’s own funds, and all other escrow or client funds. The Escrow Agent releases Pool B funds exclusively upon receipt of a valid Joint Disbursement Instruction from the PCC.</w:t>
      </w:r>
    </w:p>
    <w:p>
      <w:pPr>
        <w:pStyle w:val="Heading2"/>
      </w:pPr>
      <w:r>
        <w:rPr>
          <w:rFonts w:ascii="Times New Roman" w:hAnsi="Times New Roman" w:eastAsia="SimHei" w:cs="Times New Roman"/>
          <w:b/>
          <w:color w:val="4A6B8A"/>
          <w:sz w:val="28"/>
          <w:szCs w:val="28"/>
        </w:rPr>
        <w:t>1.7 IAEA Verification Certificate</w:t>
      </w:r>
    </w:p>
    <w:p>
      <w:pPr>
        <w:pStyle w:val="Normal"/>
      </w:pPr>
      <w:r>
        <w:rPr>
          <w:rFonts w:ascii="Times New Roman" w:hAnsi="Times New Roman" w:eastAsia="SimSun" w:cs="Times New Roman"/>
          <w:color w:val="1A1A1A"/>
          <w:sz w:val="24"/>
          <w:szCs w:val="24"/>
        </w:rPr>
        <w:t>"IAEA Verification Certificate" means an official, signed certificate issued by the Director General of the International Atomic Energy Agency confirming the completion of a specific, pre-defined nuclear milestone identified in this Annex. Each certificate contains: (a) a unique certificate number; (b) the date and time of issuance; (c) the specific milestone certified as complete; (d) a detailed technical description of the verified activities, including a statement of each sub-element satisfied; (e) the names and credentials of the IAEA inspectors who conducted the verification; (f) references to the specific IAEA safeguards agreements and Additional Protocol provisions under which the verification occurred; (g) a statement that the milestone satisfies the criteria defined in the applicable Annex (O, P, V, or Y); and (h) the Director General’s signature and the IAEA’s official seal. No other form of IAEA communication constitutes an IAEA Verification Certificate for purposes of this Annex.</w:t>
      </w:r>
    </w:p>
    <w:p>
      <w:pPr>
        <w:pStyle w:val="Heading2"/>
      </w:pPr>
      <w:r>
        <w:rPr>
          <w:rFonts w:ascii="Times New Roman" w:hAnsi="Times New Roman" w:eastAsia="SimHei" w:cs="Times New Roman"/>
          <w:b/>
          <w:color w:val="4A6B8A"/>
          <w:sz w:val="28"/>
          <w:szCs w:val="28"/>
        </w:rPr>
        <w:t>1.8 National HEU Verification and Custody Certificate</w:t>
      </w:r>
    </w:p>
    <w:p>
      <w:pPr>
        <w:pStyle w:val="Normal"/>
      </w:pPr>
      <w:r>
        <w:rPr>
          <w:rFonts w:ascii="Times New Roman" w:hAnsi="Times New Roman" w:eastAsia="SimSun" w:cs="Times New Roman"/>
          <w:color w:val="1A1A1A"/>
          <w:sz w:val="24"/>
          <w:szCs w:val="24"/>
        </w:rPr>
        <w:t>"National HEU Verification and Custody Certificate" means the specific IAEA Verification Certificate issued under Part B-1.2 of the Islamabad Accord and Annexes O and P, confirming that Iran has completed the National HEU Verification and Custody Milestone. This certificate confirms that: (a) the IAEA has resumed full, unimpeded access to all declared nuclear facilities and all sites where 60% enriched uranium is stored; (b) the IAEA has completed a baseline inventory of the entire 60% enriched uranium stockpile, including mass spectrometry verification; (c) Iran has placed the entire 60% enriched uranium stockpile under IAEA dual-key custody, such that no unilateral Iranian access is possible; and (d) the IAEA has installed continuous monitoring equipment including seals, cameras, and sensors at all relevant facilities. This certificate represents the first Release Trigger under this Annex. This milestone requires verification and custody. It does not require downblending or irreversible transformation.</w:t>
      </w:r>
    </w:p>
    <w:p>
      <w:pPr>
        <w:pStyle w:val="Heading2"/>
      </w:pPr>
      <w:r>
        <w:rPr>
          <w:rFonts w:ascii="Times New Roman" w:hAnsi="Times New Roman" w:eastAsia="SimHei" w:cs="Times New Roman"/>
          <w:b/>
          <w:color w:val="4A6B8A"/>
          <w:sz w:val="28"/>
          <w:szCs w:val="28"/>
        </w:rPr>
        <w:t>1.9 Downblending Completion Certificate</w:t>
      </w:r>
    </w:p>
    <w:p>
      <w:pPr>
        <w:pStyle w:val="Normal"/>
      </w:pPr>
      <w:r>
        <w:rPr>
          <w:rFonts w:ascii="Times New Roman" w:hAnsi="Times New Roman" w:eastAsia="SimSun" w:cs="Times New Roman"/>
          <w:color w:val="1A1A1A"/>
          <w:sz w:val="24"/>
          <w:szCs w:val="24"/>
        </w:rPr>
        <w:t>"Downblending Completion Certificate" means the specific IAEA Verification Certificate issued under Annexes P and V, confirming that Iran has completed the Downblending Completion Milestone. This certificate confirms that: (a) the entire 60% enriched uranium stockpile has undergone irreversible transformation through downblending to the Civilian Enrichment Level (CEL) of 3.67% U-235 or lower, rendering it unsuitable for nuclear weapons production; (b) the transformation occurred through one or more IAEA-approved pathways, which includes Pathway W as defined in Annex Z; (c) the IAEA has verified the mass balance of all material, confirming that 100% of the stockpile (within measurement tolerance) is accounted for; and (d) the IAEA has confirmed that reconversion to weapons-usable form requires at least 12 months of detectable activity. This certificate represents the second Release Trigger under this Annex. This milestone requires downblending and irreversible transformation of the entire 60% enriched uranium stockpile to the Civilian Enrichment Level (CEL) (3.67% U-235) or lower.</w:t>
      </w:r>
    </w:p>
    <w:p>
      <w:pPr>
        <w:pStyle w:val="Heading2"/>
      </w:pPr>
      <w:r>
        <w:rPr>
          <w:rFonts w:ascii="Times New Roman" w:hAnsi="Times New Roman" w:eastAsia="SimHei" w:cs="Times New Roman"/>
          <w:b/>
          <w:color w:val="4A6B8A"/>
          <w:sz w:val="28"/>
          <w:szCs w:val="28"/>
        </w:rPr>
        <w:t>1.10 Release Trigger</w:t>
      </w:r>
    </w:p>
    <w:p>
      <w:pPr>
        <w:pStyle w:val="Normal"/>
      </w:pPr>
      <w:r>
        <w:rPr>
          <w:rFonts w:ascii="Times New Roman" w:hAnsi="Times New Roman" w:eastAsia="SimSun" w:cs="Times New Roman"/>
          <w:color w:val="1A1A1A"/>
          <w:sz w:val="24"/>
          <w:szCs w:val="24"/>
        </w:rPr>
        <w:t>"Release Trigger" means the specific, unambiguous, objectively verifiable event that authorizes the Escrow Agent to disburse a tranche from both Pool A and Pool B simultaneously. A Release Trigger occurs exclusively upon the Escrow Agent’s receipt of a valid IAEA Verification Certificate corresponding to the milestone specified for that tranche, accompanied by a Joint Disbursement Instruction from the PCC. No other event, communication, or circumstance constitutes a Release Trigger.</w:t>
      </w:r>
    </w:p>
    <w:p>
      <w:pPr>
        <w:pStyle w:val="Heading2"/>
      </w:pPr>
      <w:r>
        <w:rPr>
          <w:rFonts w:ascii="Times New Roman" w:hAnsi="Times New Roman" w:eastAsia="SimHei" w:cs="Times New Roman"/>
          <w:b/>
          <w:color w:val="4A6B8A"/>
          <w:sz w:val="28"/>
          <w:szCs w:val="28"/>
        </w:rPr>
        <w:t>1.11 Joint Disbursement Instruction</w:t>
      </w:r>
    </w:p>
    <w:p>
      <w:pPr>
        <w:pStyle w:val="Normal"/>
      </w:pPr>
      <w:r>
        <w:rPr>
          <w:rFonts w:ascii="Times New Roman" w:hAnsi="Times New Roman" w:eastAsia="SimSun" w:cs="Times New Roman"/>
          <w:color w:val="1A1A1A"/>
          <w:sz w:val="24"/>
          <w:szCs w:val="24"/>
        </w:rPr>
        <w:t>"Joint Disbursement Instruction" means a written instruction to the Escrow Agent, issued by the PCC under Islamabad Accord Article 10, directing the simultaneous release of the applicable tranches from both Pool A and Pool B. A valid Joint Disbursement Instruction requires: (a) affirmative votes from both Iranian and United States representatives on the PCC; (b) reference to the specific IAEA Verification Certificate that triggered the instruction; (c) the exact amounts to be released from each pool; (d) the designated recipient accounts; (e) the date of intended transfer; and (f) signatures from both PCC co-chairs. A Joint Disbursement Instruction is not valid unless all six elements are present and complete.</w:t>
      </w:r>
    </w:p>
    <w:p>
      <w:pPr>
        <w:pStyle w:val="Heading2"/>
      </w:pPr>
      <w:r>
        <w:rPr>
          <w:rFonts w:ascii="Times New Roman" w:hAnsi="Times New Roman" w:eastAsia="SimHei" w:cs="Times New Roman"/>
          <w:b/>
          <w:color w:val="4A6B8A"/>
          <w:sz w:val="28"/>
          <w:szCs w:val="28"/>
        </w:rPr>
        <w:t>1.12 Political and Compliance Council (PCC)</w:t>
      </w:r>
    </w:p>
    <w:p>
      <w:pPr>
        <w:pStyle w:val="Normal"/>
      </w:pPr>
      <w:r>
        <w:rPr>
          <w:rFonts w:ascii="Times New Roman" w:hAnsi="Times New Roman" w:eastAsia="SimSun" w:cs="Times New Roman"/>
          <w:color w:val="1A1A1A"/>
          <w:sz w:val="24"/>
          <w:szCs w:val="24"/>
        </w:rPr>
        <w:t>"Political and Compliance Council" or "PCC" means the joint oversight body established under Islamabad Accord Article 10. The PCC exercises its authority to verify that IAEA milestones are complete and to issue Joint Disbursement Instructions for both pools simultaneously. The PCC operates on the basis of consensus between the Iranian and United States representatives; absent such consensus, no Joint Disbursement Instruction issues. If either PCC co-chair unreasonably withholds signature on a Joint Disbursement Instruction after the IAEA has issued the corresponding Verification Certificate, the withholding constitutes an abuse of the consensus mechanism. In such event, the other co-chair refers the matter to the Guarantor Matrix within 72 hours. The Guarantor Matrix convenes an expedited arbitration panel within 14 days comprising one arbitrator nominated by each Party and one by the Guarantor Matrix chair. The panel determines whether the withholding is unreasonable based on the technical sufficiency of the IAEA certificate and the terms of this Annex. If the panel determines the withholding is unreasonable, it issues a binding determination authorizing the Escrow Agent to execute the release upon receipt of a single co-chair signature accompanied by the panel’s authorization certificate. This safeguard prevents either Party from using the consensus requirement as a weapon to block a release after the technical milestone has been objectively satisfied. For purposes of this Article, "unreasonably withholds signature" means withholding based on: (a) absence of a plausible technical basis for the withholding; (b) contradiction of the IAEA Verification Certificate's technical findings; (c) a demand for additional conditions that this Annex does not specify; or (d) a request for re-verification that duplicates an IAEA inspection the IAEA already completed. Withholding based on (e) a good-faith disagreement regarding the IAEA's technical methodology, supported by a written technical analysis from the withholding Party's independent experts, is not unreasonable.</w:t>
      </w:r>
    </w:p>
    <w:p>
      <w:pPr>
        <w:pStyle w:val="Heading2"/>
      </w:pPr>
      <w:r>
        <w:rPr>
          <w:rFonts w:ascii="Times New Roman" w:hAnsi="Times New Roman" w:eastAsia="SimHei" w:cs="Times New Roman"/>
          <w:b/>
          <w:color w:val="4A6B8A"/>
          <w:sz w:val="28"/>
          <w:szCs w:val="28"/>
        </w:rPr>
        <w:t>1.13 Step-Back</w:t>
      </w:r>
    </w:p>
    <w:p>
      <w:pPr>
        <w:pStyle w:val="Normal"/>
      </w:pPr>
      <w:r>
        <w:rPr>
          <w:rFonts w:ascii="Times New Roman" w:hAnsi="Times New Roman" w:eastAsia="SimSun" w:cs="Times New Roman"/>
          <w:color w:val="1A1A1A"/>
          <w:sz w:val="24"/>
          <w:szCs w:val="24"/>
        </w:rPr>
        <w:t>"Step-Back" means the automatic suspension of future tranche releases from both pools when a Party fails to achieve a Release Trigger milestone within the agreed timeframe. Step-Back is not a penalty; it is a pause. Step-Back does not affect funds already released from either pool. Step-Back is reversible upon the non-complying Party’s verified completion of the required milestone. Step-Back replaces the "snapback" mechanisms of prior agreements, which the Parties recognize as toxic because they incentivize defection, reward bad faith, and destroy the trust necessary for sustained cooperation.</w:t>
      </w:r>
    </w:p>
    <w:p>
      <w:pPr>
        <w:pStyle w:val="Heading2"/>
      </w:pPr>
      <w:r>
        <w:rPr>
          <w:rFonts w:ascii="Times New Roman" w:hAnsi="Times New Roman" w:eastAsia="SimHei" w:cs="Times New Roman"/>
          <w:b/>
          <w:color w:val="4A6B8A"/>
          <w:sz w:val="28"/>
          <w:szCs w:val="28"/>
        </w:rPr>
        <w:t>1.14 Earn-Back</w:t>
      </w:r>
    </w:p>
    <w:p>
      <w:pPr>
        <w:pStyle w:val="Normal"/>
      </w:pPr>
      <w:r>
        <w:rPr>
          <w:rFonts w:ascii="Times New Roman" w:hAnsi="Times New Roman" w:eastAsia="SimSun" w:cs="Times New Roman"/>
          <w:color w:val="1A1A1A"/>
          <w:sz w:val="24"/>
          <w:szCs w:val="24"/>
        </w:rPr>
        <w:t>"Earn-Back" means the restoration of forward motion following a Step-Back event. Earn-Back occurs when the Party that triggered the Step-Back completes the originally required milestone, obtains the corresponding IAEA Verification Certificate, and submits that certificate through the Joint Secretariat to the PCC. Upon PCC verification of the certificate, the corresponding Joint Disbursement Instruction issues, and the Escrow Agent releases the suspended tranches from both pools simultaneously. Earn-Back restores the Parties to the position they would have occupied had the Step-Back never occurred, without penalty, without prejudice, and without additional conditions.</w:t>
      </w:r>
    </w:p>
    <w:p>
      <w:pPr>
        <w:pStyle w:val="Heading2"/>
      </w:pPr>
      <w:r>
        <w:rPr>
          <w:rFonts w:ascii="Times New Roman" w:hAnsi="Times New Roman" w:eastAsia="SimHei" w:cs="Times New Roman"/>
          <w:b/>
          <w:color w:val="4A6B8A"/>
          <w:sz w:val="28"/>
          <w:szCs w:val="28"/>
        </w:rPr>
        <w:t>1.15 Interest Accrual</w:t>
      </w:r>
    </w:p>
    <w:p>
      <w:pPr>
        <w:pStyle w:val="Normal"/>
      </w:pPr>
      <w:r>
        <w:rPr>
          <w:rFonts w:ascii="Times New Roman" w:hAnsi="Times New Roman" w:eastAsia="SimSun" w:cs="Times New Roman"/>
          <w:color w:val="1A1A1A"/>
          <w:sz w:val="24"/>
          <w:szCs w:val="24"/>
        </w:rPr>
        <w:t>"Interest Accrual" means all interest, dividends, returns, and other earnings generated by the $12 Billion Asset Pool during the period of escrow holding. The Escrow Agent invests each pool in short-term sovereign instruments of the State of Qatar or other AAA-rated instruments approved by both Parties. Interest Accrual for Pool A disburses with the final Pool A tranche; Interest Accrual for Pool B disburses with the final Pool B tranche. If both pools release simultaneously, Interest Accrual splits pro rata between the pools based on the duration each pool remained in escrow.</w:t>
      </w:r>
    </w:p>
    <w:p>
      <w:pPr>
        <w:pStyle w:val="Heading2"/>
      </w:pPr>
      <w:r>
        <w:rPr>
          <w:rFonts w:ascii="Times New Roman" w:hAnsi="Times New Roman" w:eastAsia="SimHei" w:cs="Times New Roman"/>
          <w:b/>
          <w:color w:val="4A6B8A"/>
          <w:sz w:val="28"/>
          <w:szCs w:val="28"/>
        </w:rPr>
        <w:t>1.16 Joint Secretariat (Muscat)</w:t>
      </w:r>
    </w:p>
    <w:p>
      <w:pPr>
        <w:pStyle w:val="Normal"/>
      </w:pPr>
      <w:r>
        <w:rPr>
          <w:rFonts w:ascii="Times New Roman" w:hAnsi="Times New Roman" w:eastAsia="SimSun" w:cs="Times New Roman"/>
          <w:color w:val="1A1A1A"/>
          <w:sz w:val="24"/>
          <w:szCs w:val="24"/>
        </w:rPr>
        <w:t>"Joint Secretariat" means the administrative body established in Muscat, Sultanate of Oman, under Islamabad Accord Article 10.3, responsible for routing all formal notifications, transmitting IAEA Verification Certificates, maintaining the official record of compliance, and ensuring that no Party acts on information not shared through official channels. The Joint Secretariat operates as the communications backbone of this Annex, and all notifications regarding both escrow pools and the verification status flow through it.</w:t>
      </w:r>
    </w:p>
    <w:p>
      <w:pPr>
        <w:pStyle w:val="Heading2"/>
      </w:pPr>
      <w:r>
        <w:rPr>
          <w:rFonts w:ascii="Times New Roman" w:hAnsi="Times New Roman" w:eastAsia="SimHei" w:cs="Times New Roman"/>
          <w:b/>
          <w:color w:val="4A6B8A"/>
          <w:sz w:val="28"/>
          <w:szCs w:val="28"/>
        </w:rPr>
        <w:t>1.17 Priority Consideration</w:t>
      </w:r>
    </w:p>
    <w:p>
      <w:pPr>
        <w:pStyle w:val="Normal"/>
      </w:pPr>
      <w:r>
        <w:rPr>
          <w:rFonts w:ascii="Times New Roman" w:hAnsi="Times New Roman" w:eastAsia="SimSun" w:cs="Times New Roman"/>
          <w:color w:val="1A1A1A"/>
          <w:sz w:val="24"/>
          <w:szCs w:val="24"/>
        </w:rPr>
        <w:t>"Priority Consideration" means the obligation of Iranian procurement authorities to include suppliers from the United States in a fair and transparent evaluation process when procuring goods using Pool A funds. Priority Consideration requires that Iranian procurement authorities evaluate suppliers from all countries, including the United States, alongside other qualified bidders using objective criteria including price, quality, delivery timeline, and technical specifications. Priority Consideration does not require: any price preference for any supplier; any quota or minimum purchase requirement from any country or supplier; any guaranteed contract award to any specific supplier; or any exclusion of qualified suppliers from the evaluation process. The final procurement decision remains with the Islamic Republic of Iran, based on the best overall value to Iran. No supplier receives a price preference, quota, or guaranteed contract award. Priority Consideration applies solely to Pool A and does not attach to Pool B.</w:t>
      </w:r>
    </w:p>
    <w:p>
      <w:pPr>
        <w:pStyle w:val="Heading2"/>
      </w:pPr>
      <w:r>
        <w:rPr>
          <w:rFonts w:ascii="Times New Roman" w:hAnsi="Times New Roman" w:eastAsia="SimHei" w:cs="Times New Roman"/>
          <w:b/>
          <w:color w:val="4A6B8A"/>
          <w:sz w:val="28"/>
          <w:szCs w:val="28"/>
        </w:rPr>
        <w:t>1.18 Civilian Enrichment Level</w:t>
      </w:r>
    </w:p>
    <w:p>
      <w:pPr>
        <w:pStyle w:val="Normal"/>
      </w:pPr>
      <w:r>
        <w:rPr>
          <w:rFonts w:ascii="Times New Roman" w:hAnsi="Times New Roman" w:eastAsia="SimSun" w:cs="Times New Roman"/>
          <w:color w:val="1A1A1A"/>
          <w:sz w:val="24"/>
          <w:szCs w:val="24"/>
        </w:rPr>
        <w:t>"Civilian Enrichment Level" means uranium enriched to 3.67% U-235 or lower, consistent with the standard established under the Joint Comprehensive Plan of Action (JCPOA). This level is suitable for civilian nuclear power generation and research purposes and does not constitute weapons-usable material. The Parties affirm Iran's rights under Article IV of the NPT to research, produce, and use nuclear energy for peaceful purposes, including enrichment to the Civilian Enrichment Level, subject to IAEA safeguards and verification.</w:t>
      </w:r>
    </w:p>
    <w:p>
      <w:pPr>
        <w:pStyle w:val="Heading2"/>
      </w:pPr>
      <w:r>
        <w:rPr>
          <w:rFonts w:ascii="Times New Roman" w:hAnsi="Times New Roman" w:eastAsia="SimHei" w:cs="Times New Roman"/>
          <w:b/>
          <w:color w:val="4A6B8A"/>
          <w:sz w:val="28"/>
          <w:szCs w:val="28"/>
        </w:rPr>
        <w:t>1.19 Natural Abundance Level</w:t>
      </w:r>
    </w:p>
    <w:p>
      <w:pPr>
        <w:pStyle w:val="Normal"/>
      </w:pPr>
      <w:r>
        <w:rPr>
          <w:rFonts w:ascii="Times New Roman" w:hAnsi="Times New Roman" w:eastAsia="SimSun" w:cs="Times New Roman"/>
          <w:color w:val="1A1A1A"/>
          <w:sz w:val="24"/>
          <w:szCs w:val="24"/>
        </w:rPr>
        <w:t>"Natural Abundance Level" means uranium enriched to 0.711% U-235, the standard abundance of U-235 in natural uranium ore as found in nature. This definition is provided for background reference only. For the avoidance of doubt, the required target for downblending the 60% enriched uranium stockpile under the Downblending Completion Milestone is the Civilian Enrichment Level (CEL) (3.67% U-235), as defined in Article 1.18. Material downblended to the Civilian Enrichment Level remains suitable for peaceful applications including agricultural fertilizer production through Pathway W.</w:t>
      </w:r>
    </w:p>
    <w:p>
      <w:pPr>
        <w:pStyle w:val="Heading2"/>
      </w:pPr>
      <w:r>
        <w:rPr>
          <w:rFonts w:ascii="Times New Roman" w:hAnsi="Times New Roman" w:eastAsia="SimHei" w:cs="Times New Roman"/>
          <w:b/>
          <w:color w:val="4A6B8A"/>
          <w:sz w:val="28"/>
          <w:szCs w:val="28"/>
        </w:rPr>
        <w:t>1.20 Pathway W</w:t>
      </w:r>
    </w:p>
    <w:p>
      <w:pPr>
        <w:pStyle w:val="Normal"/>
      </w:pPr>
      <w:r>
        <w:rPr>
          <w:rFonts w:ascii="Times New Roman" w:hAnsi="Times New Roman" w:eastAsia="SimSun" w:cs="Times New Roman"/>
          <w:color w:val="1A1A1A"/>
          <w:sz w:val="24"/>
          <w:szCs w:val="24"/>
        </w:rPr>
        <w:t>"Pathway W" means the fertilizer pathway defined in Annex Z, under which uranium at the Civilian Enrichment Level (CEL) (3.67% U-235) is combined with phosphate rock to produce phosphate-based agricultural fertilizer. Pathway W ensures permanent dispersion of uranium molecules into a dilute, non-recoverable form and constitutes an irreversible disposition pathway. The IAEA verifies the conversion process and confirms that the resulting fertilizer cannot be reprocessed to extract weapons-usable material within fewer than 12 months. Pathway W converts weapons-grade material into food security: from bombs to bread.</w:t>
      </w:r>
    </w:p>
    <w:p>
      <w:pPr>
        <w:pStyle w:val="Heading2"/>
      </w:pPr>
      <w:r>
        <w:rPr>
          <w:rFonts w:ascii="Times New Roman" w:hAnsi="Times New Roman" w:eastAsia="SimHei" w:cs="Times New Roman"/>
          <w:b/>
          <w:color w:val="4A6B8A"/>
          <w:sz w:val="28"/>
          <w:szCs w:val="28"/>
        </w:rPr>
        <w:t>1.21 Iran's NPT Rights</w:t>
      </w:r>
    </w:p>
    <w:p>
      <w:pPr>
        <w:pStyle w:val="Normal"/>
      </w:pPr>
      <w:r>
        <w:rPr>
          <w:rFonts w:ascii="Times New Roman" w:hAnsi="Times New Roman" w:eastAsia="SimSun" w:cs="Times New Roman"/>
          <w:color w:val="1A1A1A"/>
          <w:sz w:val="24"/>
          <w:szCs w:val="24"/>
        </w:rPr>
        <w:t>"Iran's NPT Rights" means the rights of the Islamic Republic of Iran under Article IV of the Treaty on the Non-Proliferation of Nuclear Weapons to research, produce, and use nuclear energy for peaceful purposes without discrimination, including the right to enrich uranium to the Civilian Enrichment Level (3.67% U-235) for civilian nuclear power generation and research, subject to full IAEA safeguards and verification. This definition acknowledges that the 3.67% enrichment level established under the JCPOA serves as the appropriate benchmark for civilian nuclear fuel, and that Iran's peaceful nuclear program is not the subject of this Annex beyond the verification and downblending commitments specified herein.</w:t>
      </w:r>
    </w:p>
    <w:p>
      <w:pPr>
        <w:pStyle w:val="Heading2"/>
      </w:pPr>
      <w:r>
        <w:rPr>
          <w:rFonts w:ascii="Times New Roman" w:hAnsi="Times New Roman" w:eastAsia="SimHei" w:cs="Times New Roman"/>
          <w:b/>
          <w:color w:val="4A6B8A"/>
          <w:sz w:val="28"/>
          <w:szCs w:val="28"/>
        </w:rPr>
        <w:t>1.22 Measurement Tolerance</w:t>
      </w:r>
    </w:p>
    <w:p>
      <w:pPr>
        <w:pStyle w:val="Normal"/>
      </w:pPr>
      <w:r>
        <w:rPr>
          <w:rFonts w:ascii="Times New Roman" w:hAnsi="Times New Roman" w:eastAsia="SimSun" w:cs="Times New Roman"/>
          <w:color w:val="1A1A1A"/>
          <w:sz w:val="24"/>
          <w:szCs w:val="24"/>
        </w:rPr>
        <w:t>"Measurement Tolerance" means the IAEA's established measurement uncertainty thresholds as set forth in IAEA Safeguards Technical Manual SVS-01, Section 4.2, as the IAEA updates that manual from time to time. For purposes of this Annex, the applicable tolerance thresholds are: (a) mass measurement: plus or minus 0.5% of declared quantity; (b) enrichment level: plus or minus 0.05 percentage points U-235; and (c) isotopic composition: plus or minus 2% of declared ratio. Discrepancies within these thresholds do not block milestone certification but require documentation in the relevant Verification Certificate.</w:t>
      </w:r>
    </w:p>
    <w:p>
      <w:pPr>
        <w:pStyle w:val="Heading1"/>
      </w:pPr>
      <w:bookmarkStart w:name="_Toc003" w:id="4"/>
      <w:r>
        <w:rPr>
          <w:rFonts w:ascii="Times New Roman" w:hAnsi="Times New Roman" w:eastAsia="SimHei" w:cs="Times New Roman"/>
          <w:b/>
          <w:color w:val="1E3A5F"/>
          <w:sz w:val="32"/>
          <w:szCs w:val="32"/>
        </w:rPr>
        <w:t>Article 2: Two-Pool Escrow Architecture</w:t>
      </w:r>
      <w:bookmarkEnd w:id="4"/>
    </w:p>
    <w:p>
      <w:pPr>
        <w:pStyle w:val="Heading2"/>
      </w:pPr>
      <w:r>
        <w:rPr>
          <w:rFonts w:ascii="Times New Roman" w:hAnsi="Times New Roman" w:eastAsia="SimHei" w:cs="Times New Roman"/>
          <w:b/>
          <w:color w:val="4A6B8A"/>
          <w:sz w:val="28"/>
          <w:szCs w:val="28"/>
        </w:rPr>
        <w:t>2.1 Establishment of Two Pools</w:t>
      </w:r>
    </w:p>
    <w:p>
      <w:pPr>
        <w:pStyle w:val="Normal"/>
      </w:pPr>
      <w:r>
        <w:rPr>
          <w:rFonts w:ascii="Times New Roman" w:hAnsi="Times New Roman" w:eastAsia="SimSun" w:cs="Times New Roman"/>
          <w:color w:val="1A1A1A"/>
          <w:sz w:val="24"/>
          <w:szCs w:val="24"/>
        </w:rPr>
        <w:t>Immediately upon the entry into force of the Islamabad Accord, the United States takes all necessary steps to transfer the full $12 Billion Asset Pool from the frozen Iranian asset accounts into the dedicated escrow accounts held by the Central Bank of Qatar. Upon receipt, the Escrow Agent divides the Asset Pool into two distinct escrow pools:</w:t>
      </w:r>
    </w:p>
    <w:p>
      <w:pPr>
        <w:numPr>
          <w:ilvl w:val="0"/>
          <w:numId w:val="1"/>
        </w:numPr>
      </w:pPr>
      <w:r>
        <w:rPr>
          <w:b/>
          <w:rFonts w:ascii="Times New Roman" w:hAnsi="Times New Roman" w:eastAsia="SimSun" w:cs="Times New Roman"/>
          <w:color w:val="1A1A1A"/>
          <w:sz w:val="24"/>
          <w:szCs w:val="24"/>
        </w:rPr>
        <w:t xml:space="preserve">Pool A (Humanitarian and Agricultural Pool): </w:t>
      </w:r>
      <w:r>
        <w:rPr>
          <w:rFonts w:ascii="Times New Roman" w:hAnsi="Times New Roman" w:eastAsia="SimSun" w:cs="Times New Roman"/>
          <w:color w:val="1A1A1A"/>
          <w:sz w:val="24"/>
          <w:szCs w:val="24"/>
        </w:rPr>
        <w:t>$4,000,000,000 (four billion United States Dollars), held in the US-Qatar Joint Oversight Escrow account.</w:t>
      </w:r>
    </w:p>
    <w:p>
      <w:pPr>
        <w:numPr>
          <w:ilvl w:val="0"/>
          <w:numId w:val="1"/>
        </w:numPr>
      </w:pPr>
      <w:r>
        <w:rPr>
          <w:b/>
          <w:rFonts w:ascii="Times New Roman" w:hAnsi="Times New Roman" w:eastAsia="SimSun" w:cs="Times New Roman"/>
          <w:color w:val="1A1A1A"/>
          <w:sz w:val="24"/>
          <w:szCs w:val="24"/>
        </w:rPr>
        <w:t xml:space="preserve">Pool B (Sovereign Reconstruction Pool): </w:t>
      </w:r>
      <w:r>
        <w:rPr>
          <w:rFonts w:ascii="Times New Roman" w:hAnsi="Times New Roman" w:eastAsia="SimSun" w:cs="Times New Roman"/>
          <w:color w:val="1A1A1A"/>
          <w:sz w:val="24"/>
          <w:szCs w:val="24"/>
        </w:rPr>
        <w:t>$8,000,000,000 (eight billion United States Dollars), held in the Neutral Qatar Escrow account.</w:t>
      </w:r>
    </w:p>
    <w:p>
      <w:pPr>
        <w:pStyle w:val="Normal"/>
      </w:pPr>
      <w:r>
        <w:rPr>
          <w:rFonts w:ascii="Times New Roman" w:hAnsi="Times New Roman" w:eastAsia="SimSun" w:cs="Times New Roman"/>
          <w:color w:val="1A1A1A"/>
          <w:sz w:val="24"/>
          <w:szCs w:val="24"/>
        </w:rPr>
        <w:t>The Escrow Agent issues a Deposit Confirmation Certificate for each pool within 24 hours of division, stating the exact amount deposited into each account, the date and time of deposit, the account numbers, and the applicable interest rates. The Joint Secretariat forwards both certificates to the PCC, which certifies within 48 hours that both deposits are complete. This certification constitutes the formal commencement of the escrow period and starts the clock on all subsequent timelines in this Annex.</w:t>
      </w:r>
    </w:p>
    <w:p>
      <w:pPr>
        <w:pStyle w:val="Heading2"/>
      </w:pPr>
      <w:r>
        <w:rPr>
          <w:rFonts w:ascii="Times New Roman" w:hAnsi="Times New Roman" w:eastAsia="SimHei" w:cs="Times New Roman"/>
          <w:b/>
          <w:color w:val="4A6B8A"/>
          <w:sz w:val="28"/>
          <w:szCs w:val="28"/>
        </w:rPr>
        <w:t>2.2 Pool A: US-Qatar Joint Oversight Escrow</w:t>
      </w:r>
    </w:p>
    <w:p>
      <w:pPr>
        <w:pStyle w:val="Heading3"/>
      </w:pPr>
      <w:r>
        <w:rPr>
          <w:rFonts w:ascii="Times New Roman" w:hAnsi="Times New Roman" w:eastAsia="SimHei" w:cs="Times New Roman"/>
          <w:b/>
          <w:color w:val="4A4A4A"/>
          <w:sz w:val="26"/>
          <w:szCs w:val="26"/>
        </w:rPr>
        <w:t>2.2.1 Administration</w:t>
      </w:r>
    </w:p>
    <w:p>
      <w:pPr>
        <w:pStyle w:val="Normal"/>
      </w:pPr>
      <w:r>
        <w:rPr>
          <w:rFonts w:ascii="Times New Roman" w:hAnsi="Times New Roman" w:eastAsia="SimSun" w:cs="Times New Roman"/>
          <w:color w:val="1A1A1A"/>
          <w:sz w:val="24"/>
          <w:szCs w:val="24"/>
        </w:rPr>
        <w:t>The State of Qatar and the United States jointly administer Pool A. The Qatar Central Bank holds the funds, but the United States exercises oversight authority over disbursements. Both the United States and Qatar jointly approve each Pool A disbursement request. The Escrow Agent maintains Pool A in a segregated account, separate from Pool B, the Escrow Agent’s own funds, and all other escrow or client funds.</w:t>
      </w:r>
    </w:p>
    <w:p>
      <w:pPr>
        <w:pStyle w:val="Heading3"/>
      </w:pPr>
      <w:r>
        <w:rPr>
          <w:rFonts w:ascii="Times New Roman" w:hAnsi="Times New Roman" w:eastAsia="SimHei" w:cs="Times New Roman"/>
          <w:b/>
          <w:color w:val="4A4A4A"/>
          <w:sz w:val="26"/>
          <w:szCs w:val="26"/>
        </w:rPr>
        <w:t>2.2.2 Permitted Uses</w:t>
      </w:r>
    </w:p>
    <w:p>
      <w:pPr>
        <w:pStyle w:val="Normal"/>
      </w:pPr>
      <w:r>
        <w:rPr>
          <w:rFonts w:ascii="Times New Roman" w:hAnsi="Times New Roman" w:eastAsia="SimSun" w:cs="Times New Roman"/>
          <w:color w:val="1A1A1A"/>
          <w:sz w:val="24"/>
          <w:szCs w:val="24"/>
        </w:rPr>
        <w:t>Pool A funds release exclusively for the purchase of: (a) food and agricultural commodities; (b) medical supplies and pharmaceuticals; (c) humanitarian goods as defined by UN OCHA and the ICRC; and (d) agricultural inputs including seeds, fertilizers, and equipment. The Escrow Agent releases Pool A funds only to verified suppliers or procurement channels approved under the joint oversight mechanism.</w:t>
      </w:r>
    </w:p>
    <w:p>
      <w:pPr>
        <w:pStyle w:val="Heading3"/>
      </w:pPr>
      <w:r>
        <w:rPr>
          <w:rFonts w:ascii="Times New Roman" w:hAnsi="Times New Roman" w:eastAsia="SimHei" w:cs="Times New Roman"/>
          <w:b/>
          <w:color w:val="4A4A4A"/>
          <w:sz w:val="26"/>
          <w:szCs w:val="26"/>
        </w:rPr>
        <w:t>2.2.3 Purchasing Condition: Priority Consideration</w:t>
      </w:r>
    </w:p>
    <w:p>
      <w:pPr>
        <w:pStyle w:val="Normal"/>
      </w:pPr>
      <w:r>
        <w:rPr>
          <w:rFonts w:ascii="Times New Roman" w:hAnsi="Times New Roman" w:eastAsia="SimSun" w:cs="Times New Roman"/>
          <w:color w:val="1A1A1A"/>
          <w:sz w:val="24"/>
          <w:szCs w:val="24"/>
        </w:rPr>
        <w:t>Iran provides Priority Consideration when procuring goods using Pool A funds. Iranian procurement authorities include suppliers from all countries in a fair and transparent evaluation process alongside other qualified bidders. The evaluation process employs objective criteria including price, quality, delivery timeline, and technical specifications. For the avoidance of doubt: Priority Consideration does not require any price preference for any supplier; any quota or minimum purchase requirement from any country or supplier; any guaranteed contract award to any specific supplier; or any exclusion of qualified suppliers from the evaluation process. The final procurement decision remains with the Islamic Republic of Iran, based on the best overall value to Iran. No supplier receives a price preference, quota, or guaranteed contract award. This protects Iran’s procurement integrity while giving all suppliers a defensible claim that they receive a fair and transparent evaluation. Priority Consideration applies solely to Pool A and does not attach to Pool B in any form.</w:t>
      </w:r>
    </w:p>
    <w:p>
      <w:pPr>
        <w:pStyle w:val="Heading3"/>
      </w:pPr>
      <w:r>
        <w:rPr>
          <w:rFonts w:ascii="Times New Roman" w:hAnsi="Times New Roman" w:eastAsia="SimHei" w:cs="Times New Roman"/>
          <w:b/>
          <w:color w:val="4A4A4A"/>
          <w:sz w:val="26"/>
          <w:szCs w:val="26"/>
        </w:rPr>
        <w:t>2.2.4 Oversight Mechanism</w:t>
      </w:r>
    </w:p>
    <w:p>
      <w:pPr>
        <w:pStyle w:val="Normal"/>
      </w:pPr>
      <w:r>
        <w:rPr>
          <w:rFonts w:ascii="Times New Roman" w:hAnsi="Times New Roman" w:eastAsia="SimSun" w:cs="Times New Roman"/>
          <w:color w:val="1A1A1A"/>
          <w:sz w:val="24"/>
          <w:szCs w:val="24"/>
        </w:rPr>
        <w:t>The United States and Qatar jointly approve Pool A disbursement requests. Each disbursement request includes: (a) the specific goods to be purchased; (b) the proposed suppliers; (c) the estimated cost and delivery timeline; and (d) verification of receipt and delivery. The Escrow Agent releases Pool A funds only upon joint written approval from both United States and Qatari oversight representatives. If either oversight representative objects, the disbursement request refers to the PCC for resolution within 7 days.</w:t>
      </w:r>
    </w:p>
    <w:p>
      <w:pPr>
        <w:pStyle w:val="Heading3"/>
      </w:pPr>
      <w:r>
        <w:rPr>
          <w:rFonts w:ascii="Times New Roman" w:hAnsi="Times New Roman" w:eastAsia="SimHei" w:cs="Times New Roman"/>
          <w:b/>
          <w:color w:val="4A4A4A"/>
          <w:sz w:val="26"/>
          <w:szCs w:val="26"/>
        </w:rPr>
        <w:t>2.2.5 Pool A Release Schedule</w:t>
      </w:r>
    </w:p>
    <w:p>
      <w:pPr>
        <w:pStyle w:val="Normal"/>
      </w:pPr>
      <w:r>
        <w:rPr>
          <w:rFonts w:ascii="Times New Roman" w:hAnsi="Times New Roman" w:eastAsia="SimSun" w:cs="Times New Roman"/>
          <w:color w:val="1A1A1A"/>
          <w:sz w:val="24"/>
          <w:szCs w:val="24"/>
        </w:rPr>
        <w:t>Pool A disburses in two synchronized tranches: Tranche 1 releases $1,500,000,000 upon the IAEA’s issuance of the National HEU Verification and Custody Certificate; Tranche 2 releases $2,500,000,000 upon the IAEA’s issuance of the Downblending Completion Certificate. Both Pool A tranches release simultaneously with the corresponding Pool B tranches under Article 4.</w:t>
      </w:r>
    </w:p>
    <w:p>
      <w:pPr>
        <w:pStyle w:val="Heading2"/>
      </w:pPr>
      <w:r>
        <w:rPr>
          <w:rFonts w:ascii="Times New Roman" w:hAnsi="Times New Roman" w:eastAsia="SimHei" w:cs="Times New Roman"/>
          <w:b/>
          <w:color w:val="4A6B8A"/>
          <w:sz w:val="28"/>
          <w:szCs w:val="28"/>
        </w:rPr>
        <w:t>2.3 Pool B: Neutral Qatar Escrow</w:t>
      </w:r>
    </w:p>
    <w:p>
      <w:pPr>
        <w:pStyle w:val="Heading3"/>
      </w:pPr>
      <w:r>
        <w:rPr>
          <w:rFonts w:ascii="Times New Roman" w:hAnsi="Times New Roman" w:eastAsia="SimHei" w:cs="Times New Roman"/>
          <w:b/>
          <w:color w:val="4A4A4A"/>
          <w:sz w:val="26"/>
          <w:szCs w:val="26"/>
        </w:rPr>
        <w:t>2.3.1 Administration</w:t>
      </w:r>
    </w:p>
    <w:p>
      <w:pPr>
        <w:pStyle w:val="Normal"/>
      </w:pPr>
      <w:r>
        <w:rPr>
          <w:rFonts w:ascii="Times New Roman" w:hAnsi="Times New Roman" w:eastAsia="SimSun" w:cs="Times New Roman"/>
          <w:color w:val="1A1A1A"/>
          <w:sz w:val="24"/>
          <w:szCs w:val="24"/>
        </w:rPr>
        <w:t>The State of Qatar serves as the sole Escrow Agent for Pool B. The United States holds no oversight authority, approval power, or veto over Pool B disbursements. The Escrow Agent maintains Pool B in a segregated account, separate from Pool A, the Escrow Agent’s own funds, and all other escrow or client funds. The Escrow Agent invests Pool B in short-term sovereign instruments or AAA-rated deposits and publishes monthly statements through the Joint Secretariat.</w:t>
      </w:r>
    </w:p>
    <w:p>
      <w:pPr>
        <w:pStyle w:val="Heading3"/>
      </w:pPr>
      <w:r>
        <w:rPr>
          <w:rFonts w:ascii="Times New Roman" w:hAnsi="Times New Roman" w:eastAsia="SimHei" w:cs="Times New Roman"/>
          <w:b/>
          <w:color w:val="4A4A4A"/>
          <w:sz w:val="26"/>
          <w:szCs w:val="26"/>
        </w:rPr>
        <w:t>2.3.2 Permitted Uses</w:t>
      </w:r>
    </w:p>
    <w:p>
      <w:pPr>
        <w:pStyle w:val="Normal"/>
      </w:pPr>
      <w:r>
        <w:rPr>
          <w:rFonts w:ascii="Times New Roman" w:hAnsi="Times New Roman" w:eastAsia="SimSun" w:cs="Times New Roman"/>
          <w:color w:val="1A1A1A"/>
          <w:sz w:val="24"/>
          <w:szCs w:val="24"/>
        </w:rPr>
        <w:t>Pool B funds release to the Central Bank of Iran for any purpose consistent with Iranian sovereign interests and applicable international law. Permitted uses include: infrastructure reconstruction and development; energy sector modernization; industrial and manufacturing investment; healthcare and pharmaceutical procurement; agricultural development and food security; scientific research and technological advancement; and general budget support and macroeconomic stabilization. No restriction on the geographic source of procurement, the currency of expenditure, or the commercial channel applies to Pool B funds.</w:t>
      </w:r>
    </w:p>
    <w:p>
      <w:pPr>
        <w:pStyle w:val="Heading3"/>
      </w:pPr>
      <w:r>
        <w:rPr>
          <w:rFonts w:ascii="Times New Roman" w:hAnsi="Times New Roman" w:eastAsia="SimHei" w:cs="Times New Roman"/>
          <w:b/>
          <w:color w:val="4A4A4A"/>
          <w:sz w:val="26"/>
          <w:szCs w:val="26"/>
        </w:rPr>
        <w:t>2.3.3 No Purchasing Conditions</w:t>
      </w:r>
    </w:p>
    <w:p>
      <w:pPr>
        <w:pStyle w:val="Normal"/>
      </w:pPr>
      <w:r>
        <w:rPr>
          <w:rFonts w:ascii="Times New Roman" w:hAnsi="Times New Roman" w:eastAsia="SimSun" w:cs="Times New Roman"/>
          <w:color w:val="1A1A1A"/>
          <w:sz w:val="24"/>
          <w:szCs w:val="24"/>
        </w:rPr>
        <w:t>The Islamic Republic of Iran is under no obligation, express or implied, to purchase goods or services from any specific country, bloc, currency union, or commercial channel using Pool B funds. Priority Consideration does not apply to Pool B. No condition, restriction, or preference requires Iranian Pool B funds to be spent in any particular jurisdiction.</w:t>
      </w:r>
    </w:p>
    <w:p>
      <w:pPr>
        <w:pStyle w:val="Heading3"/>
      </w:pPr>
      <w:r>
        <w:rPr>
          <w:rFonts w:ascii="Times New Roman" w:hAnsi="Times New Roman" w:eastAsia="SimHei" w:cs="Times New Roman"/>
          <w:b/>
          <w:color w:val="4A4A4A"/>
          <w:sz w:val="26"/>
          <w:szCs w:val="26"/>
        </w:rPr>
        <w:t>2.3.4 No Oversight</w:t>
      </w:r>
    </w:p>
    <w:p>
      <w:pPr>
        <w:pStyle w:val="Normal"/>
      </w:pPr>
      <w:r>
        <w:rPr>
          <w:rFonts w:ascii="Times New Roman" w:hAnsi="Times New Roman" w:eastAsia="SimSun" w:cs="Times New Roman"/>
          <w:color w:val="1A1A1A"/>
          <w:sz w:val="24"/>
          <w:szCs w:val="24"/>
        </w:rPr>
        <w:t>No Party or third party exercises approval authority, veto power, oversight jurisdiction, or any other form of control over Iran’s use of Pool B funds. The United States holds no approval authority over Iranian Pool B procurement decisions. The Escrow Agent holds no approval authority over Iranian Pool B procurement decisions. The State of Qatar holds no approval authority over Iranian Pool B procurement decisions. The PCC holds no approval authority over Iranian Pool B procurement decisions. The Escrow Agent has no obligation to act on a Joint Disbursement Instruction that would violate applicable Qatari law or international sanctions binding on Qatar. This clause reinforces the Escrow Agent’s independent guardian role: the Escrow Agent follows valid instructions, but exercises its own professional judgment when compliance with an instruction would conflict with Qatari law or binding international obligations.</w:t>
      </w:r>
    </w:p>
    <w:p>
      <w:pPr>
        <w:pStyle w:val="Heading3"/>
      </w:pPr>
      <w:r>
        <w:rPr>
          <w:rFonts w:ascii="Times New Roman" w:hAnsi="Times New Roman" w:eastAsia="SimHei" w:cs="Times New Roman"/>
          <w:b/>
          <w:color w:val="4A4A4A"/>
          <w:sz w:val="26"/>
          <w:szCs w:val="26"/>
        </w:rPr>
        <w:t>2.3.5 Pool B Release Schedule</w:t>
      </w:r>
    </w:p>
    <w:p>
      <w:pPr>
        <w:pStyle w:val="Normal"/>
      </w:pPr>
      <w:r>
        <w:rPr>
          <w:rFonts w:ascii="Times New Roman" w:hAnsi="Times New Roman" w:eastAsia="SimSun" w:cs="Times New Roman"/>
          <w:color w:val="1A1A1A"/>
          <w:sz w:val="24"/>
          <w:szCs w:val="24"/>
        </w:rPr>
        <w:t>Pool B disburses in two synchronized tranches: Tranche 1 releases $3,000,000,000 upon the IAEA’s issuance of the National HEU Verification and Custody Certificate; Tranche 2 releases $5,000,000,000 upon the IAEA’s issuance of the Downblending Completion Certificate. Both Pool B tranches release simultaneously with the corresponding Pool A tranches under Article 4.</w:t>
      </w:r>
    </w:p>
    <w:p>
      <w:pPr>
        <w:pStyle w:val="Heading2"/>
      </w:pPr>
      <w:r>
        <w:rPr>
          <w:rFonts w:ascii="Times New Roman" w:hAnsi="Times New Roman" w:eastAsia="SimHei" w:cs="Times New Roman"/>
          <w:b/>
          <w:color w:val="4A6B8A"/>
          <w:sz w:val="28"/>
          <w:szCs w:val="28"/>
        </w:rPr>
        <w:t>2.4 Independent Guardian Authority</w:t>
      </w:r>
    </w:p>
    <w:p>
      <w:pPr>
        <w:pStyle w:val="Normal"/>
      </w:pPr>
      <w:r>
        <w:rPr>
          <w:rFonts w:ascii="Times New Roman" w:hAnsi="Times New Roman" w:eastAsia="SimSun" w:cs="Times New Roman"/>
          <w:color w:val="1A1A1A"/>
          <w:sz w:val="24"/>
          <w:szCs w:val="24"/>
        </w:rPr>
        <w:t>The Escrow Agent exercises independent professional judgment as a true guardian of both escrow mechanisms, not merely as a passive conduit for PCC instructions. The Escrow Agent has no obligation to act on a Joint Disbursement Instruction that is, in its reasonable judgment, inconsistent with the terms of this Annex. The Escrow Agent withholds execution and refers the matter to the PCC for clarification when: (a) the instruction lacks any of the six mandatory elements specified in Article 1.11; (b) the instruction references a Release Trigger that has already been acted upon; (c) the instruction directs release of a tranche currently under automatic suspension under Article 5; (d) the instruction bears signatures that the Escrow Agent, exercising reasonable care, determines to be invalid, forged, or obtained through coercion; or (e) execution of the instruction would violate applicable Qatari law, international sanctions binding on Qatar, or the Escrow Agent’s fiduciary duty under Article 1.1.</w:t>
      </w:r>
    </w:p>
    <w:p>
      <w:pPr>
        <w:pStyle w:val="Heading2"/>
      </w:pPr>
      <w:r>
        <w:rPr>
          <w:rFonts w:ascii="Times New Roman" w:hAnsi="Times New Roman" w:eastAsia="SimHei" w:cs="Times New Roman"/>
          <w:b/>
          <w:color w:val="4A6B8A"/>
          <w:sz w:val="28"/>
          <w:szCs w:val="28"/>
        </w:rPr>
        <w:t>2.5 No Surprises Notification Protocol</w:t>
      </w:r>
    </w:p>
    <w:p>
      <w:pPr>
        <w:pStyle w:val="Normal"/>
      </w:pPr>
      <w:r>
        <w:rPr>
          <w:rFonts w:ascii="Times New Roman" w:hAnsi="Times New Roman" w:eastAsia="SimSun" w:cs="Times New Roman"/>
          <w:color w:val="1A1A1A"/>
          <w:sz w:val="24"/>
          <w:szCs w:val="24"/>
        </w:rPr>
        <w:t>Consistent with the Islamabad Accord’s governance principles, all notifications regarding both escrow pools and the verification status route through the Joint Secretariat (Muscat). The No Surprises Notification Protocol operates as follows:</w:t>
      </w:r>
    </w:p>
    <w:p>
      <w:pPr>
        <w:pStyle w:val="Normal"/>
        <w:numPr>
          <w:ilvl w:val="0"/>
          <w:numId w:val="6"/>
        </w:numPr>
      </w:pPr>
      <w:r>
        <w:rPr>
          <w:b/>
          <w:rFonts w:ascii="Times New Roman" w:hAnsi="Times New Roman" w:eastAsia="SimSun" w:cs="Times New Roman"/>
          <w:color w:val="1A1A1A"/>
          <w:sz w:val="24"/>
          <w:szCs w:val="24"/>
        </w:rPr>
        <w:t xml:space="preserve">Advance Notification of IAEA Activities: </w:t>
      </w:r>
      <w:r>
        <w:rPr>
          <w:rFonts w:ascii="Times New Roman" w:hAnsi="Times New Roman" w:eastAsia="SimSun" w:cs="Times New Roman"/>
          <w:color w:val="1A1A1A"/>
          <w:sz w:val="24"/>
          <w:szCs w:val="24"/>
        </w:rPr>
        <w:t>The IAEA provides both Parties, through the Joint Secretariat, at least 48 hours’ advance notice of any inspection, verification activity, or technical assessment relevant to a Release Trigger milestone.</w:t>
      </w:r>
    </w:p>
    <w:p>
      <w:pPr>
        <w:pStyle w:val="Normal"/>
        <w:numPr>
          <w:ilvl w:val="0"/>
          <w:numId w:val="6"/>
        </w:numPr>
      </w:pPr>
      <w:r>
        <w:rPr>
          <w:b/>
          <w:rFonts w:ascii="Times New Roman" w:hAnsi="Times New Roman" w:eastAsia="SimSun" w:cs="Times New Roman"/>
          <w:color w:val="1A1A1A"/>
          <w:sz w:val="24"/>
          <w:szCs w:val="24"/>
        </w:rPr>
        <w:t xml:space="preserve">Preliminary Findings Communication: </w:t>
      </w:r>
      <w:r>
        <w:rPr>
          <w:rFonts w:ascii="Times New Roman" w:hAnsi="Times New Roman" w:eastAsia="SimSun" w:cs="Times New Roman"/>
          <w:color w:val="1A1A1A"/>
          <w:sz w:val="24"/>
          <w:szCs w:val="24"/>
        </w:rPr>
        <w:t>Within 24 hours of completing a verification activity, the IAEA team leader transmits preliminary findings to both Parties through the Joint Secretariat.</w:t>
      </w:r>
    </w:p>
    <w:p>
      <w:pPr>
        <w:pStyle w:val="Normal"/>
        <w:numPr>
          <w:ilvl w:val="0"/>
          <w:numId w:val="6"/>
        </w:numPr>
      </w:pPr>
      <w:r>
        <w:rPr>
          <w:b/>
          <w:rFonts w:ascii="Times New Roman" w:hAnsi="Times New Roman" w:eastAsia="SimSun" w:cs="Times New Roman"/>
          <w:color w:val="1A1A1A"/>
          <w:sz w:val="24"/>
          <w:szCs w:val="24"/>
        </w:rPr>
        <w:t xml:space="preserve">Escrow Status Updates: </w:t>
      </w:r>
      <w:r>
        <w:rPr>
          <w:rFonts w:ascii="Times New Roman" w:hAnsi="Times New Roman" w:eastAsia="SimSun" w:cs="Times New Roman"/>
          <w:color w:val="1A1A1A"/>
          <w:sz w:val="24"/>
          <w:szCs w:val="24"/>
        </w:rPr>
        <w:t>The Escrow Agent transmits weekly status updates on both pools to both Parties through the Joint Secretariat.</w:t>
      </w:r>
    </w:p>
    <w:p>
      <w:pPr>
        <w:pStyle w:val="Normal"/>
        <w:numPr>
          <w:ilvl w:val="0"/>
          <w:numId w:val="6"/>
        </w:numPr>
      </w:pPr>
      <w:r>
        <w:rPr>
          <w:b/>
          <w:rFonts w:ascii="Times New Roman" w:hAnsi="Times New Roman" w:eastAsia="SimSun" w:cs="Times New Roman"/>
          <w:color w:val="1A1A1A"/>
          <w:sz w:val="24"/>
          <w:szCs w:val="24"/>
        </w:rPr>
        <w:t xml:space="preserve">No Unilateral Action: </w:t>
      </w:r>
      <w:r>
        <w:rPr>
          <w:rFonts w:ascii="Times New Roman" w:hAnsi="Times New Roman" w:eastAsia="SimSun" w:cs="Times New Roman"/>
          <w:color w:val="1A1A1A"/>
          <w:sz w:val="24"/>
          <w:szCs w:val="24"/>
        </w:rPr>
        <w:t>Neither Party takes any action affecting either escrow account without providing at least 72 hours’ advance notice through the Joint Secretariat.</w:t>
      </w:r>
    </w:p>
    <w:p>
      <w:pPr>
        <w:pStyle w:val="Normal"/>
        <w:numPr>
          <w:ilvl w:val="0"/>
          <w:numId w:val="6"/>
        </w:numPr>
      </w:pPr>
      <w:r>
        <w:rPr>
          <w:b/>
          <w:rFonts w:ascii="Times New Roman" w:hAnsi="Times New Roman" w:eastAsia="SimSun" w:cs="Times New Roman"/>
          <w:color w:val="1A1A1A"/>
          <w:sz w:val="24"/>
          <w:szCs w:val="24"/>
        </w:rPr>
        <w:t xml:space="preserve">Emergency Notification: </w:t>
      </w:r>
      <w:r>
        <w:rPr>
          <w:rFonts w:ascii="Times New Roman" w:hAnsi="Times New Roman" w:eastAsia="SimSun" w:cs="Times New Roman"/>
          <w:color w:val="1A1A1A"/>
          <w:sz w:val="24"/>
          <w:szCs w:val="24"/>
        </w:rPr>
        <w:t>In the event of a security threat, cyber incident, or other emergency affecting either escrow account, the Escrow Agent notifies both Parties and the Joint Secretariat immediately upon discovery.</w:t>
      </w:r>
    </w:p>
    <w:p>
      <w:pPr>
        <w:pStyle w:val="Heading1"/>
      </w:pPr>
      <w:bookmarkStart w:name="_Toc004" w:id="5"/>
      <w:r>
        <w:rPr>
          <w:rFonts w:ascii="Times New Roman" w:hAnsi="Times New Roman" w:eastAsia="SimHei" w:cs="Times New Roman"/>
          <w:b/>
          <w:color w:val="1E3A5F"/>
          <w:sz w:val="32"/>
          <w:szCs w:val="32"/>
        </w:rPr>
        <w:t>Article 3: Release Triggers and Verification Sequence: Verification Tranche (T1) and Downblending Tranche (T2)</w:t>
      </w:r>
      <w:bookmarkEnd w:id="5"/>
    </w:p>
    <w:p>
      <w:pPr>
        <w:pStyle w:val="Normal"/>
      </w:pPr>
      <w:r>
        <w:rPr>
          <w:rFonts w:ascii="Times New Roman" w:hAnsi="Times New Roman" w:eastAsia="SimSun" w:cs="Times New Roman"/>
          <w:color w:val="1A1A1A"/>
          <w:sz w:val="24"/>
          <w:szCs w:val="24"/>
        </w:rPr>
        <w:t>The release of funds from both pools operates as a performance-based, sequential process synchronized to the same IAEA verification milestones. Both pools release simultaneously upon each milestone; no pool releases independently. Tranche 1 is the Verification Tranche: it releases upon the IAEA’s confirmation of access, baseline inventory, and dual-key custody over the 60% enriched uranium stockpile. This is a lower bar that unlocks immediate relief. Tranche 2 is the Downblending Tranche: it releases only upon the IAEA’s confirmation that the entire 60% stockpile has undergone irreversible downblending to the Civilian Enrichment Level (CEL) (3.67% U-235) or lower and conversion into peaceful products through one or more IAEA-approved pathways, which includes agricultural fertilizer through Pathway W. This is a higher bar that provides the strategic assurance the United States seeks. Both sides know exactly what each tranche purchases.</w:t>
      </w:r>
    </w:p>
    <w:p>
      <w:pPr>
        <w:pStyle w:val="Heading2"/>
      </w:pPr>
      <w:r>
        <w:rPr>
          <w:rFonts w:ascii="Times New Roman" w:hAnsi="Times New Roman" w:eastAsia="SimHei" w:cs="Times New Roman"/>
          <w:b/>
          <w:color w:val="4A6B8A"/>
          <w:sz w:val="28"/>
          <w:szCs w:val="28"/>
        </w:rPr>
        <w:t>3.1 Tranche 1: The Verification Tranche ($4.5 Billion Total: $1.5B Pool A + $3B Pool B)</w:t>
      </w:r>
    </w:p>
    <w:p>
      <w:pPr>
        <w:pStyle w:val="Heading3"/>
      </w:pPr>
      <w:r>
        <w:rPr>
          <w:rFonts w:ascii="Times New Roman" w:hAnsi="Times New Roman" w:eastAsia="SimHei" w:cs="Times New Roman"/>
          <w:b/>
          <w:color w:val="4A4A4A"/>
          <w:sz w:val="26"/>
          <w:szCs w:val="26"/>
        </w:rPr>
        <w:t>3.1.1 The National HEU Verification and Custody Milestone</w:t>
      </w:r>
    </w:p>
    <w:p>
      <w:pPr>
        <w:pStyle w:val="Normal"/>
      </w:pPr>
      <w:r>
        <w:rPr>
          <w:rFonts w:ascii="Times New Roman" w:hAnsi="Times New Roman" w:eastAsia="SimSun" w:cs="Times New Roman"/>
          <w:color w:val="1A1A1A"/>
          <w:sz w:val="24"/>
          <w:szCs w:val="24"/>
        </w:rPr>
        <w:t>Tranche 1 releases upon certification that Iran has completed the National HEU Verification and Custody Milestone. This milestone requires that the IAEA confirms the following four elements:</w:t>
      </w:r>
    </w:p>
    <w:p>
      <w:pPr>
        <w:pStyle w:val="Normal"/>
        <w:numPr>
          <w:ilvl w:val="0"/>
          <w:numId w:val="2"/>
        </w:numPr>
      </w:pPr>
      <w:r>
        <w:rPr>
          <w:b/>
          <w:rFonts w:ascii="Times New Roman" w:hAnsi="Times New Roman" w:eastAsia="SimSun" w:cs="Times New Roman"/>
          <w:color w:val="1A1A1A"/>
          <w:sz w:val="24"/>
          <w:szCs w:val="24"/>
        </w:rPr>
        <w:t xml:space="preserve">Full Unimpeded Access: </w:t>
      </w:r>
      <w:r>
        <w:rPr>
          <w:rFonts w:ascii="Times New Roman" w:hAnsi="Times New Roman" w:eastAsia="SimSun" w:cs="Times New Roman"/>
          <w:color w:val="1A1A1A"/>
          <w:sz w:val="24"/>
          <w:szCs w:val="24"/>
        </w:rPr>
        <w:t>The IAEA has resumed full, unimpeded access to all declared nuclear facilities and all sites where 60% enriched uranium is stored. This includes access to enrichment halls, storage areas, conversion facilities, and any other location where 60% enriched uranium is present or has been present. The IAEA confirms that access is granted without prior notification requirements, without delay, and without Iranian personnel restricting the scope, duration, or method of inspection.</w:t>
      </w:r>
    </w:p>
    <w:p>
      <w:pPr>
        <w:pStyle w:val="Normal"/>
        <w:numPr>
          <w:ilvl w:val="0"/>
          <w:numId w:val="2"/>
        </w:numPr>
      </w:pPr>
      <w:r>
        <w:rPr>
          <w:b/>
          <w:rFonts w:ascii="Times New Roman" w:hAnsi="Times New Roman" w:eastAsia="SimSun" w:cs="Times New Roman"/>
          <w:color w:val="1A1A1A"/>
          <w:sz w:val="24"/>
          <w:szCs w:val="24"/>
        </w:rPr>
        <w:t xml:space="preserve">Baseline Inventory with Mass Spectrometry: </w:t>
      </w:r>
      <w:r>
        <w:rPr>
          <w:rFonts w:ascii="Times New Roman" w:hAnsi="Times New Roman" w:eastAsia="SimSun" w:cs="Times New Roman"/>
          <w:color w:val="1A1A1A"/>
          <w:sz w:val="24"/>
          <w:szCs w:val="24"/>
        </w:rPr>
        <w:t>The IAEA has completed a comprehensive baseline inventory of the entire 60% enriched uranium stockpile, comparing measured quantities against Iran’s declared inventory. This inventory includes mass spectrometry verification of enrichment levels, isotopic composition, and physical form. The IAEA applies the Measurement Tolerance thresholds defined in Article 1.22; discrepancies within those thresholds require documentation but do not block milestone certification. Any discrepancy exceeding the Measurement Tolerance triggers a joint technical review by the IAEA and Iranian authorities to resolve the discrepancy before certification.</w:t>
      </w:r>
    </w:p>
    <w:p>
      <w:pPr>
        <w:pStyle w:val="Normal"/>
        <w:numPr>
          <w:ilvl w:val="0"/>
          <w:numId w:val="2"/>
        </w:numPr>
      </w:pPr>
      <w:r>
        <w:rPr>
          <w:b/>
          <w:rFonts w:ascii="Times New Roman" w:hAnsi="Times New Roman" w:eastAsia="SimSun" w:cs="Times New Roman"/>
          <w:color w:val="1A1A1A"/>
          <w:sz w:val="24"/>
          <w:szCs w:val="24"/>
        </w:rPr>
        <w:t xml:space="preserve">Dual-Key Custody: </w:t>
      </w:r>
      <w:r>
        <w:rPr>
          <w:rFonts w:ascii="Times New Roman" w:hAnsi="Times New Roman" w:eastAsia="SimSun" w:cs="Times New Roman"/>
          <w:color w:val="1A1A1A"/>
          <w:sz w:val="24"/>
          <w:szCs w:val="24"/>
        </w:rPr>
        <w:t>Iran has placed the entire 60% enriched uranium stockpile under IAEA dual-key custody, such that no unilateral Iranian access is possible. The term "dual-key custody" carries its meaning from Annex O (Section 4.3): the IAEA and Iran jointly control access to the material, with the IAEA holding veto power over any movement, processing, or disposition. The IAEA installs seals, surveillance equipment, and tamper-indicating devices at all storage locations. The IAEA maintains continuous physical presence at facilities holding 60%-enriched uranium. Any attempt to remove, process, or relocate material without IAEA consent triggers an immediate alert to the Joint Secretariat and a suspension of the release timeline pending investigation.</w:t>
      </w:r>
    </w:p>
    <w:p>
      <w:pPr>
        <w:pStyle w:val="Normal"/>
        <w:numPr>
          <w:ilvl w:val="0"/>
          <w:numId w:val="2"/>
        </w:numPr>
      </w:pPr>
      <w:r>
        <w:rPr>
          <w:b/>
          <w:rFonts w:ascii="Times New Roman" w:hAnsi="Times New Roman" w:eastAsia="SimSun" w:cs="Times New Roman"/>
          <w:color w:val="1A1A1A"/>
          <w:sz w:val="24"/>
          <w:szCs w:val="24"/>
        </w:rPr>
        <w:t xml:space="preserve">Continuous Monitoring Equipment: </w:t>
      </w:r>
      <w:r>
        <w:rPr>
          <w:rFonts w:ascii="Times New Roman" w:hAnsi="Times New Roman" w:eastAsia="SimSun" w:cs="Times New Roman"/>
          <w:color w:val="1A1A1A"/>
          <w:sz w:val="24"/>
          <w:szCs w:val="24"/>
        </w:rPr>
        <w:t>The IAEA has installed continuous monitoring equipment including seals, cameras, and sensors at all relevant facilities. This equipment provides real-time data transmission to IAEA headquarters in Vienna and the Joint Secretariat in Muscat. The equipment includes: tamper-indicating seals on all containers and storage vessels; radiation detectors monitoring material movement; surveillance cameras covering all access points and material handling areas; and environmental sampling stations detecting any unauthorized processing activity. The IAEA confirms that all monitoring systems are operational, that data transmission is functioning, and that Iran has provided all necessary cooperation for installation and maintenance.</w:t>
      </w:r>
    </w:p>
    <w:p>
      <w:pPr>
        <w:pStyle w:val="Normal"/>
      </w:pPr>
      <w:r>
        <w:rPr>
          <w:rFonts w:ascii="Times New Roman" w:hAnsi="Times New Roman" w:eastAsia="SimSun" w:cs="Times New Roman"/>
          <w:color w:val="1A1A1A"/>
          <w:sz w:val="24"/>
          <w:szCs w:val="24"/>
        </w:rPr>
        <w:t>This milestone does not require downblending or irreversible transformation of the 60% enriched uranium stockpile. It requires verification and custody. Tranche 1 releases upon the IAEA’s confirmation that it has the access and visibility it needs to monitor the stockpile. This aligns with the Islamabad Accord’s requirement to restore IAEA access as the foundational step.</w:t>
      </w:r>
    </w:p>
    <w:p>
      <w:pPr>
        <w:pStyle w:val="Heading3"/>
      </w:pPr>
      <w:r>
        <w:rPr>
          <w:rFonts w:ascii="Times New Roman" w:hAnsi="Times New Roman" w:eastAsia="SimHei" w:cs="Times New Roman"/>
          <w:b/>
          <w:color w:val="4A4A4A"/>
          <w:sz w:val="26"/>
          <w:szCs w:val="26"/>
        </w:rPr>
        <w:t>3.1.2 Sequence of Events for Tranche 1 Release</w:t>
      </w:r>
    </w:p>
    <w:p>
      <w:pPr>
        <w:pStyle w:val="Normal"/>
      </w:pPr>
      <w:r>
        <w:rPr>
          <w:rFonts w:ascii="Times New Roman" w:hAnsi="Times New Roman" w:eastAsia="SimSun" w:cs="Times New Roman"/>
          <w:color w:val="1A1A1A"/>
          <w:sz w:val="24"/>
          <w:szCs w:val="24"/>
        </w:rPr>
        <w:t>The following sequence executes automatically upon completion of the National HEU Verification and Custody Milestone:</w:t>
      </w:r>
    </w:p>
    <w:p>
      <w:pPr>
        <w:pStyle w:val="Normal"/>
        <w:numPr>
          <w:ilvl w:val="0"/>
          <w:numId w:val="3"/>
        </w:numPr>
      </w:pPr>
      <w:r>
        <w:rPr>
          <w:b/>
          <w:rFonts w:ascii="Times New Roman" w:hAnsi="Times New Roman" w:eastAsia="SimSun" w:cs="Times New Roman"/>
          <w:color w:val="1A1A1A"/>
          <w:sz w:val="24"/>
          <w:szCs w:val="24"/>
        </w:rPr>
        <w:t xml:space="preserve">IAEA Certification: </w:t>
      </w:r>
      <w:r>
        <w:rPr>
          <w:rFonts w:ascii="Times New Roman" w:hAnsi="Times New Roman" w:eastAsia="SimSun" w:cs="Times New Roman"/>
          <w:color w:val="1A1A1A"/>
          <w:sz w:val="24"/>
          <w:szCs w:val="24"/>
        </w:rPr>
        <w:t>The IAEA Director General issues the National HEU Verification and Custody Certificate, containing all elements specified in Article 1.7 and confirming that all four sub-elements in Article 3.1.1 are satisfied. The Director General signs the certificate personally.</w:t>
      </w:r>
    </w:p>
    <w:p>
      <w:pPr>
        <w:pStyle w:val="Normal"/>
        <w:numPr>
          <w:ilvl w:val="0"/>
          <w:numId w:val="3"/>
        </w:numPr>
      </w:pPr>
      <w:r>
        <w:rPr>
          <w:b/>
          <w:rFonts w:ascii="Times New Roman" w:hAnsi="Times New Roman" w:eastAsia="SimSun" w:cs="Times New Roman"/>
          <w:color w:val="1A1A1A"/>
          <w:sz w:val="24"/>
          <w:szCs w:val="24"/>
        </w:rPr>
        <w:t xml:space="preserve">Simultaneous Transmission: </w:t>
      </w:r>
      <w:r>
        <w:rPr>
          <w:rFonts w:ascii="Times New Roman" w:hAnsi="Times New Roman" w:eastAsia="SimSun" w:cs="Times New Roman"/>
          <w:color w:val="1A1A1A"/>
          <w:sz w:val="24"/>
          <w:szCs w:val="24"/>
        </w:rPr>
        <w:t>The IAEA transmits the certificate simultaneously to: (a) the Joint Secretariat in Muscat; (b) the PCC; and (c) the Escrow Agent at the Qatar Central Bank. All three transmissions occur within the same 60-minute window.</w:t>
      </w:r>
    </w:p>
    <w:p>
      <w:pPr>
        <w:pStyle w:val="Normal"/>
        <w:numPr>
          <w:ilvl w:val="0"/>
          <w:numId w:val="3"/>
        </w:numPr>
      </w:pPr>
      <w:r>
        <w:rPr>
          <w:b/>
          <w:rFonts w:ascii="Times New Roman" w:hAnsi="Times New Roman" w:eastAsia="SimSun" w:cs="Times New Roman"/>
          <w:color w:val="1A1A1A"/>
          <w:sz w:val="24"/>
          <w:szCs w:val="24"/>
        </w:rPr>
        <w:t xml:space="preserve">Joint Secretariat Verification: </w:t>
      </w:r>
      <w:r>
        <w:rPr>
          <w:rFonts w:ascii="Times New Roman" w:hAnsi="Times New Roman" w:eastAsia="SimSun" w:cs="Times New Roman"/>
          <w:color w:val="1A1A1A"/>
          <w:sz w:val="24"/>
          <w:szCs w:val="24"/>
        </w:rPr>
        <w:t>The Joint Secretariat verifies the certificate’s authenticity, logs it in the official compliance register, and forwards it to both Parties’ PCC representatives within 6 hours.</w:t>
      </w:r>
    </w:p>
    <w:p>
      <w:pPr>
        <w:pStyle w:val="Normal"/>
        <w:numPr>
          <w:ilvl w:val="0"/>
          <w:numId w:val="3"/>
        </w:numPr>
      </w:pPr>
      <w:r>
        <w:rPr>
          <w:b/>
          <w:rFonts w:ascii="Times New Roman" w:hAnsi="Times New Roman" w:eastAsia="SimSun" w:cs="Times New Roman"/>
          <w:color w:val="1A1A1A"/>
          <w:sz w:val="24"/>
          <w:szCs w:val="24"/>
        </w:rPr>
        <w:t xml:space="preserve">PCC Review and Joint Instruction: </w:t>
      </w:r>
      <w:r>
        <w:rPr>
          <w:rFonts w:ascii="Times New Roman" w:hAnsi="Times New Roman" w:eastAsia="SimSun" w:cs="Times New Roman"/>
          <w:color w:val="1A1A1A"/>
          <w:sz w:val="24"/>
          <w:szCs w:val="24"/>
        </w:rPr>
        <w:t>The PCC convenes within 48 hours. The PCC reviews the certificate, confirms that all four sub-elements are satisfied, and, provided both representatives agree, issues a single Joint Disbursement Instruction authorizing simultaneous release of: $1.5 billion from Pool A (to the US-Qatar Joint Oversight Escrow) and $3 billion from Pool B (to the Central Bank of Iran).</w:t>
      </w:r>
    </w:p>
    <w:p>
      <w:pPr>
        <w:pStyle w:val="Normal"/>
        <w:numPr>
          <w:ilvl w:val="0"/>
          <w:numId w:val="3"/>
        </w:numPr>
      </w:pPr>
      <w:r>
        <w:rPr>
          <w:b/>
          <w:rFonts w:ascii="Times New Roman" w:hAnsi="Times New Roman" w:eastAsia="SimSun" w:cs="Times New Roman"/>
          <w:color w:val="1A1A1A"/>
          <w:sz w:val="24"/>
          <w:szCs w:val="24"/>
        </w:rPr>
        <w:t xml:space="preserve">Escrow Agent Execution: </w:t>
      </w:r>
      <w:r>
        <w:rPr>
          <w:rFonts w:ascii="Times New Roman" w:hAnsi="Times New Roman" w:eastAsia="SimSun" w:cs="Times New Roman"/>
          <w:color w:val="1A1A1A"/>
          <w:sz w:val="24"/>
          <w:szCs w:val="24"/>
        </w:rPr>
        <w:t>The Escrow Agent receives the Joint Disbursement Instruction, verifies it, and executes the transfer of both tranches simultaneously within 24 hours of verification.</w:t>
      </w:r>
    </w:p>
    <w:p>
      <w:pPr>
        <w:pStyle w:val="Normal"/>
        <w:numPr>
          <w:ilvl w:val="0"/>
          <w:numId w:val="3"/>
        </w:numPr>
      </w:pPr>
      <w:r>
        <w:rPr>
          <w:b/>
          <w:rFonts w:ascii="Times New Roman" w:hAnsi="Times New Roman" w:eastAsia="SimSun" w:cs="Times New Roman"/>
          <w:color w:val="1A1A1A"/>
          <w:sz w:val="24"/>
          <w:szCs w:val="24"/>
        </w:rPr>
        <w:t xml:space="preserve">Confirmation and Record: </w:t>
      </w:r>
      <w:r>
        <w:rPr>
          <w:rFonts w:ascii="Times New Roman" w:hAnsi="Times New Roman" w:eastAsia="SimSun" w:cs="Times New Roman"/>
          <w:color w:val="1A1A1A"/>
          <w:sz w:val="24"/>
          <w:szCs w:val="24"/>
        </w:rPr>
        <w:t>The Escrow Agent issues a Release Confirmation Certificate for each pool, and the Joint Secretariat updates the official compliance register to reflect the completed Tranche 1 release.</w:t>
      </w:r>
    </w:p>
    <w:p>
      <w:pPr>
        <w:pStyle w:val="Heading2"/>
      </w:pPr>
      <w:r>
        <w:rPr>
          <w:rFonts w:ascii="Times New Roman" w:hAnsi="Times New Roman" w:eastAsia="SimHei" w:cs="Times New Roman"/>
          <w:b/>
          <w:color w:val="4A6B8A"/>
          <w:sz w:val="28"/>
          <w:szCs w:val="28"/>
        </w:rPr>
        <w:t>3.2 Tranche 2: The Downblending Tranche ($7.5 Billion Total: $2.5B Pool A + $5B Pool B)</w:t>
      </w:r>
    </w:p>
    <w:p>
      <w:pPr>
        <w:pStyle w:val="Heading3"/>
      </w:pPr>
      <w:r>
        <w:rPr>
          <w:rFonts w:ascii="Times New Roman" w:hAnsi="Times New Roman" w:eastAsia="SimHei" w:cs="Times New Roman"/>
          <w:b/>
          <w:color w:val="4A4A4A"/>
          <w:sz w:val="26"/>
          <w:szCs w:val="26"/>
        </w:rPr>
        <w:t>3.2.1 The Downblending Completion Milestone (Tranche 2)</w:t>
      </w:r>
    </w:p>
    <w:p>
      <w:pPr>
        <w:pStyle w:val="Normal"/>
      </w:pPr>
      <w:r>
        <w:rPr>
          <w:rFonts w:ascii="Times New Roman" w:hAnsi="Times New Roman" w:eastAsia="SimSun" w:cs="Times New Roman"/>
          <w:color w:val="1A1A1A"/>
          <w:sz w:val="24"/>
          <w:szCs w:val="24"/>
        </w:rPr>
        <w:t>Tranche 2 releases upon certification that Iran has completed the Downblending Completion Milestone. This milestone requires that the IAEA confirms the following five elements:</w:t>
      </w:r>
    </w:p>
    <w:p>
      <w:pPr>
        <w:pStyle w:val="Normal"/>
        <w:numPr>
          <w:ilvl w:val="0"/>
          <w:numId w:val="4"/>
        </w:numPr>
      </w:pPr>
      <w:r>
        <w:rPr>
          <w:b/>
          <w:rFonts w:ascii="Times New Roman" w:hAnsi="Times New Roman" w:eastAsia="SimSun" w:cs="Times New Roman"/>
          <w:color w:val="1A1A1A"/>
          <w:sz w:val="24"/>
          <w:szCs w:val="24"/>
        </w:rPr>
        <w:t xml:space="preserve">Irreversible Transformation to Civilian Enrichment Level: </w:t>
      </w:r>
      <w:r>
        <w:rPr>
          <w:rFonts w:ascii="Times New Roman" w:hAnsi="Times New Roman" w:eastAsia="SimSun" w:cs="Times New Roman"/>
          <w:color w:val="1A1A1A"/>
          <w:sz w:val="24"/>
          <w:szCs w:val="24"/>
        </w:rPr>
        <w:t>The entire 60% enriched uranium stockpile has undergone irreversible transformation, rendering it unsuitable for nuclear weapons production. The 60% enriched uranium stockpile is downblended to the Civilian Enrichment Level (CEL) of 3.67% U-235 or lower, as verified by IAEA mass spectrometry. The IAEA confirms that the transformation is complete for 100% of the previously inventoried stockpile (within the Measurement Tolerance defined in Article 1.22). Downblending to the Civilian Enrichment Level (CEL) (3.67% U-235) ensures that the material is no longer weapons-usable and is suitable only for peaceful applications.</w:t>
      </w:r>
    </w:p>
    <w:p>
      <w:pPr>
        <w:pStyle w:val="Normal"/>
        <w:numPr>
          <w:ilvl w:val="0"/>
          <w:numId w:val="4"/>
        </w:numPr>
      </w:pPr>
      <w:r>
        <w:rPr>
          <w:b/>
          <w:rFonts w:ascii="Times New Roman" w:hAnsi="Times New Roman" w:eastAsia="SimSun" w:cs="Times New Roman"/>
          <w:color w:val="1A1A1A"/>
          <w:sz w:val="24"/>
          <w:szCs w:val="24"/>
        </w:rPr>
        <w:t xml:space="preserve">IAEA-Approved Pathways Including Pathway W: </w:t>
      </w:r>
      <w:r>
        <w:rPr>
          <w:rFonts w:ascii="Times New Roman" w:hAnsi="Times New Roman" w:eastAsia="SimSun" w:cs="Times New Roman"/>
          <w:color w:val="1A1A1A"/>
          <w:sz w:val="24"/>
          <w:szCs w:val="24"/>
        </w:rPr>
        <w:t>The transformation occurs through one or more of the following IAEA-approved pathways: (a) in-situ downblending in IAEA-monitored facilities to the Civilian Enrichment Level (CEL) of 3.67% U-235 or lower, under continuous IAEA surveillance with IAEA inspectors present at all times during operations; (b) conversion into phosphate-based agricultural fertilizer through Pathway W defined in Annex Z of the Islamabad Accord, under which uranium at the Civilian Enrichment Level (CEL) is combined with phosphate rock to produce fertilizer, ensuring permanent dispersion and irreversibility; (c) transformation into other non-uranium forms through the In-Iran Transformation Pathways defined in Annex Z, verified by the IAEA as not reconvertible to weapons-usable form within fewer than 12 months; or (d) export to a third-country facility designated by mutual agreement of the Parties and approved by the IAEA Board of Governors, with the IAEA tracking material from departure in Iran through processing at the foreign facility. Iran selects the pathway or combination of pathways, subject to IAEA approval. Pathway W constitutes one of the available IAEA-approved disposition pathways. Iran retains the unilateral right to select the disposition pathway, subject only to IAEA technical approval that the selected pathway achieves irreversible transformation to the Civilian Enrichment Level (CEL).</w:t>
      </w:r>
    </w:p>
    <w:p>
      <w:pPr>
        <w:pStyle w:val="Normal"/>
        <w:numPr>
          <w:ilvl w:val="0"/>
          <w:numId w:val="4"/>
        </w:numPr>
      </w:pPr>
      <w:r>
        <w:rPr>
          <w:b/>
          <w:rFonts w:ascii="Times New Roman" w:hAnsi="Times New Roman" w:eastAsia="SimSun" w:cs="Times New Roman"/>
          <w:color w:val="1A1A1A"/>
          <w:sz w:val="24"/>
          <w:szCs w:val="24"/>
        </w:rPr>
        <w:t xml:space="preserve">Pathway W Fertilizer Conversion Verification: </w:t>
      </w:r>
      <w:r>
        <w:rPr>
          <w:rFonts w:ascii="Times New Roman" w:hAnsi="Times New Roman" w:eastAsia="SimSun" w:cs="Times New Roman"/>
          <w:color w:val="1A1A1A"/>
          <w:sz w:val="24"/>
          <w:szCs w:val="24"/>
        </w:rPr>
        <w:t>If Iran selects Pathway W as the disposition pathway, the IAEA verifies the complete conversion of the downblended uranium into phosphate-based agricultural fertilizer. This verification includes: confirmation that the uranium has been combined with phosphate rock at the appropriate ratio to produce standard-grade fertilizer; confirmation that the uranium molecules are permanently dispersed into a dilute, non-recoverable form; sampling and analysis of the finished fertilizer product to confirm that the uranium concentration is at or below the Civilian Enrichment Level (CEL); and confirmation that the fertilizer production facility operates under IAEA safeguards and that the finished product is destined for agricultural use. The IAEA issues a Pathway W Completion Certificate as an annex to the Downblending Completion Certificate.</w:t>
      </w:r>
    </w:p>
    <w:p>
      <w:pPr>
        <w:pStyle w:val="Normal"/>
        <w:numPr>
          <w:ilvl w:val="0"/>
          <w:numId w:val="4"/>
        </w:numPr>
      </w:pPr>
      <w:r>
        <w:rPr>
          <w:b/>
          <w:rFonts w:ascii="Times New Roman" w:hAnsi="Times New Roman" w:eastAsia="SimSun" w:cs="Times New Roman"/>
          <w:color w:val="1A1A1A"/>
          <w:sz w:val="24"/>
          <w:szCs w:val="24"/>
        </w:rPr>
        <w:t xml:space="preserve">Mass Balance Verification at 100%: </w:t>
      </w:r>
      <w:r>
        <w:rPr>
          <w:rFonts w:ascii="Times New Roman" w:hAnsi="Times New Roman" w:eastAsia="SimSun" w:cs="Times New Roman"/>
          <w:color w:val="1A1A1A"/>
          <w:sz w:val="24"/>
          <w:szCs w:val="24"/>
        </w:rPr>
        <w:t>The IAEA verifies the mass balance of all material, confirming that the material accounting covers 100% of the stockpile within the Measurement Tolerance defined in Article 1.22. This verification includes: measurement of feed material quantities before processing; measurement of product material quantities after processing; measurement of tails and waste streams; and reconciliation of all material against the baseline inventory established under Article 3.1.1. Any material unaccounted for (MUF) exceeding the IAEA’s established detection threshold triggers a joint technical review to locate and account for the missing material before certification.</w:t>
      </w:r>
    </w:p>
    <w:p>
      <w:pPr>
        <w:pStyle w:val="Normal"/>
        <w:numPr>
          <w:ilvl w:val="0"/>
          <w:numId w:val="4"/>
        </w:numPr>
      </w:pPr>
      <w:r>
        <w:rPr>
          <w:b/>
          <w:rFonts w:ascii="Times New Roman" w:hAnsi="Times New Roman" w:eastAsia="SimSun" w:cs="Times New Roman"/>
          <w:color w:val="1A1A1A"/>
          <w:sz w:val="24"/>
          <w:szCs w:val="24"/>
        </w:rPr>
        <w:t xml:space="preserve">12-Month Breakout Buffer Confirmation: </w:t>
      </w:r>
      <w:r>
        <w:rPr>
          <w:rFonts w:ascii="Times New Roman" w:hAnsi="Times New Roman" w:eastAsia="SimSun" w:cs="Times New Roman"/>
          <w:color w:val="1A1A1A"/>
          <w:sz w:val="24"/>
          <w:szCs w:val="24"/>
        </w:rPr>
        <w:t>The IAEA confirms that reconversion of the transformed material to weapons-usable form requires at least 12 months of detectable activity, measured against the IAEA’s established safeguards criteria under the Additional Protocol and the INFIRC/540 verification framework. The IAEA assesses the breakout buffer by analyzing: the technical complexity of reconversion, including the number and type of processing steps required; the infrastructure required, including specialized equipment and facilities that the IAEA monitors under existing safeguards; the observable signatures of reconversion activities, including thermal emissions, chemical effluents, and material movements detectable through IAEA surveillance systems, satellite monitoring, and environmental sampling; and the historical detection record of similar activities, benchmarked against the IAEA’s documented cases of undeclared nuclear activity detection. The IAEA documents its 12-month assessment methodology in a technical annex to the Downblending Completion Certificate.</w:t>
      </w:r>
    </w:p>
    <w:p>
      <w:pPr>
        <w:pStyle w:val="Normal"/>
      </w:pPr>
      <w:r>
        <w:rPr>
          <w:rFonts w:ascii="Times New Roman" w:hAnsi="Times New Roman" w:eastAsia="SimSun" w:cs="Times New Roman"/>
          <w:color w:val="1A1A1A"/>
          <w:sz w:val="24"/>
          <w:szCs w:val="24"/>
        </w:rPr>
        <w:t>This milestone requires downblending and irreversible transformation of the entire 60% enriched uranium stockpile. Tranche 2 releases only after the stockpile is physically eliminated through downblending to the Civilian Enrichment Level (CEL) (3.67% U-235) or lower and conversion into peaceful products through one or more IAEA-approved pathways, which includes agricultural fertilizer through Pathway W. This transformation converts weapons-grade material into food security: from bombs to bread. This provides the United States with the strategic assurance it seeks and the international community with confirmation that the proliferation risk is permanently eliminated.</w:t>
      </w:r>
    </w:p>
    <w:p>
      <w:pPr>
        <w:pStyle w:val="Heading3"/>
      </w:pPr>
      <w:r>
        <w:rPr>
          <w:rFonts w:ascii="Times New Roman" w:hAnsi="Times New Roman" w:eastAsia="SimHei" w:cs="Times New Roman"/>
          <w:b/>
          <w:color w:val="4A4A4A"/>
          <w:sz w:val="26"/>
          <w:szCs w:val="26"/>
        </w:rPr>
        <w:t>3.2.2 Either Party Technical Review Right</w:t>
      </w:r>
    </w:p>
    <w:p>
      <w:pPr>
        <w:pStyle w:val="Normal"/>
      </w:pPr>
      <w:r>
        <w:rPr>
          <w:rFonts w:ascii="Times New Roman" w:hAnsi="Times New Roman" w:eastAsia="SimSun" w:cs="Times New Roman"/>
          <w:color w:val="1A1A1A"/>
          <w:sz w:val="24"/>
          <w:szCs w:val="24"/>
        </w:rPr>
        <w:t>Either Party has the right to request a technical review of the IAEA’s 12-month breakout buffer assessment. The requesting Party submits a written request to the Joint Secretariat within 14 days of the IAEA’s issuance of the Downblending Completion Certificate, specifying the technical basis for its concern. The Joint Secretariat forwards the request to the IAEA Director General and the PCC within 48 hours. The IAEA convenes a technical review panel comprising three independent nuclear safeguards experts: one nominated by each Party and one by the IAEA Director General, within 21 days of the request. The panel reviews the IAEA’s assessment methodology, examines the underlying technical data, and issues a binding determination within 30 days of convening. Either Party requests no more than one such technical review per Downblending Completion Certificate.</w:t>
      </w:r>
    </w:p>
    <w:p>
      <w:pPr>
        <w:pStyle w:val="Heading3"/>
      </w:pPr>
      <w:r>
        <w:rPr>
          <w:rFonts w:ascii="Times New Roman" w:hAnsi="Times New Roman" w:eastAsia="SimHei" w:cs="Times New Roman"/>
          <w:b/>
          <w:color w:val="4A4A4A"/>
          <w:sz w:val="26"/>
          <w:szCs w:val="26"/>
        </w:rPr>
        <w:t>3.2.3 Sequence of Events for Tranche 2 Release</w:t>
      </w:r>
    </w:p>
    <w:p>
      <w:pPr>
        <w:pStyle w:val="Normal"/>
      </w:pPr>
      <w:r>
        <w:rPr>
          <w:rFonts w:ascii="Times New Roman" w:hAnsi="Times New Roman" w:eastAsia="SimSun" w:cs="Times New Roman"/>
          <w:color w:val="1A1A1A"/>
          <w:sz w:val="24"/>
          <w:szCs w:val="24"/>
        </w:rPr>
        <w:t>The following sequence executes automatically upon completion of the Downblending Completion Milestone:</w:t>
      </w:r>
    </w:p>
    <w:p>
      <w:pPr>
        <w:pStyle w:val="Normal"/>
        <w:numPr>
          <w:ilvl w:val="0"/>
          <w:numId w:val="5"/>
        </w:numPr>
      </w:pPr>
      <w:r>
        <w:rPr>
          <w:b/>
          <w:rFonts w:ascii="Times New Roman" w:hAnsi="Times New Roman" w:eastAsia="SimSun" w:cs="Times New Roman"/>
          <w:color w:val="1A1A1A"/>
          <w:sz w:val="24"/>
          <w:szCs w:val="24"/>
        </w:rPr>
        <w:t xml:space="preserve">IAEA Certification: </w:t>
      </w:r>
      <w:r>
        <w:rPr>
          <w:rFonts w:ascii="Times New Roman" w:hAnsi="Times New Roman" w:eastAsia="SimSun" w:cs="Times New Roman"/>
          <w:color w:val="1A1A1A"/>
          <w:sz w:val="24"/>
          <w:szCs w:val="24"/>
        </w:rPr>
        <w:t>The IAEA Director General issues the Downblending Completion Certificate, containing all elements specified in Article 1.7 and confirming that all five sub-elements in Article 3.2.1 are satisfied.</w:t>
      </w:r>
    </w:p>
    <w:p>
      <w:pPr>
        <w:pStyle w:val="Normal"/>
        <w:numPr>
          <w:ilvl w:val="0"/>
          <w:numId w:val="5"/>
        </w:numPr>
      </w:pPr>
      <w:r>
        <w:rPr>
          <w:b/>
          <w:rFonts w:ascii="Times New Roman" w:hAnsi="Times New Roman" w:eastAsia="SimSun" w:cs="Times New Roman"/>
          <w:color w:val="1A1A1A"/>
          <w:sz w:val="24"/>
          <w:szCs w:val="24"/>
        </w:rPr>
        <w:t xml:space="preserve">Simultaneous Transmission: </w:t>
      </w:r>
      <w:r>
        <w:rPr>
          <w:rFonts w:ascii="Times New Roman" w:hAnsi="Times New Roman" w:eastAsia="SimSun" w:cs="Times New Roman"/>
          <w:color w:val="1A1A1A"/>
          <w:sz w:val="24"/>
          <w:szCs w:val="24"/>
        </w:rPr>
        <w:t>The IAEA transmits the certificate simultaneously to the Joint Secretariat, the PCC, and the Escrow Agent within the same 60-minute window.</w:t>
      </w:r>
    </w:p>
    <w:p>
      <w:pPr>
        <w:pStyle w:val="Normal"/>
        <w:numPr>
          <w:ilvl w:val="0"/>
          <w:numId w:val="5"/>
        </w:numPr>
      </w:pPr>
      <w:r>
        <w:rPr>
          <w:b/>
          <w:rFonts w:ascii="Times New Roman" w:hAnsi="Times New Roman" w:eastAsia="SimSun" w:cs="Times New Roman"/>
          <w:color w:val="1A1A1A"/>
          <w:sz w:val="24"/>
          <w:szCs w:val="24"/>
        </w:rPr>
        <w:t xml:space="preserve">Joint Secretariat Verification: </w:t>
      </w:r>
      <w:r>
        <w:rPr>
          <w:rFonts w:ascii="Times New Roman" w:hAnsi="Times New Roman" w:eastAsia="SimSun" w:cs="Times New Roman"/>
          <w:color w:val="1A1A1A"/>
          <w:sz w:val="24"/>
          <w:szCs w:val="24"/>
        </w:rPr>
        <w:t>The Joint Secretariat verifies the certificate, logs it, and forwards it within 6 hours.</w:t>
      </w:r>
    </w:p>
    <w:p>
      <w:pPr>
        <w:pStyle w:val="Normal"/>
        <w:numPr>
          <w:ilvl w:val="0"/>
          <w:numId w:val="5"/>
        </w:numPr>
      </w:pPr>
      <w:r>
        <w:rPr>
          <w:b/>
          <w:rFonts w:ascii="Times New Roman" w:hAnsi="Times New Roman" w:eastAsia="SimSun" w:cs="Times New Roman"/>
          <w:color w:val="1A1A1A"/>
          <w:sz w:val="24"/>
          <w:szCs w:val="24"/>
        </w:rPr>
        <w:t xml:space="preserve">PCC Review and Joint Instruction: </w:t>
      </w:r>
      <w:r>
        <w:rPr>
          <w:rFonts w:ascii="Times New Roman" w:hAnsi="Times New Roman" w:eastAsia="SimSun" w:cs="Times New Roman"/>
          <w:color w:val="1A1A1A"/>
          <w:sz w:val="24"/>
          <w:szCs w:val="24"/>
        </w:rPr>
        <w:t>The PCC convenes within 48 hours and, provided both representatives agree, issues a single Joint Disbursement Instruction authorizing simultaneous release of: $2.5 billion from Pool A and $5 billion from Pool B.</w:t>
      </w:r>
    </w:p>
    <w:p>
      <w:pPr>
        <w:pStyle w:val="Normal"/>
        <w:numPr>
          <w:ilvl w:val="0"/>
          <w:numId w:val="5"/>
        </w:numPr>
      </w:pPr>
      <w:r>
        <w:rPr>
          <w:b/>
          <w:rFonts w:ascii="Times New Roman" w:hAnsi="Times New Roman" w:eastAsia="SimSun" w:cs="Times New Roman"/>
          <w:color w:val="1A1A1A"/>
          <w:sz w:val="24"/>
          <w:szCs w:val="24"/>
        </w:rPr>
        <w:t xml:space="preserve">Escrow Agent Execution: </w:t>
      </w:r>
      <w:r>
        <w:rPr>
          <w:rFonts w:ascii="Times New Roman" w:hAnsi="Times New Roman" w:eastAsia="SimSun" w:cs="Times New Roman"/>
          <w:color w:val="1A1A1A"/>
          <w:sz w:val="24"/>
          <w:szCs w:val="24"/>
        </w:rPr>
        <w:t>The Escrow Agent executes both transfers simultaneously within 24 hours of verification.</w:t>
      </w:r>
    </w:p>
    <w:p>
      <w:pPr>
        <w:pStyle w:val="Normal"/>
        <w:numPr>
          <w:ilvl w:val="0"/>
          <w:numId w:val="5"/>
        </w:numPr>
      </w:pPr>
      <w:r>
        <w:rPr>
          <w:b/>
          <w:rFonts w:ascii="Times New Roman" w:hAnsi="Times New Roman" w:eastAsia="SimSun" w:cs="Times New Roman"/>
          <w:color w:val="1A1A1A"/>
          <w:sz w:val="24"/>
          <w:szCs w:val="24"/>
        </w:rPr>
        <w:t xml:space="preserve">Final Confirmation and Account Closure: </w:t>
      </w:r>
      <w:r>
        <w:rPr>
          <w:rFonts w:ascii="Times New Roman" w:hAnsi="Times New Roman" w:eastAsia="SimSun" w:cs="Times New Roman"/>
          <w:color w:val="1A1A1A"/>
          <w:sz w:val="24"/>
          <w:szCs w:val="24"/>
        </w:rPr>
        <w:t>The Escrow Agent issues final Release Confirmation Certificates for both pools, transfers Interest Accrual, and closes both escrow accounts.</w:t>
      </w:r>
    </w:p>
    <w:p>
      <w:pPr>
        <w:pStyle w:val="Heading1"/>
      </w:pPr>
      <w:bookmarkStart w:name="_Toc005" w:id="6"/>
      <w:r>
        <w:rPr>
          <w:rFonts w:ascii="Times New Roman" w:hAnsi="Times New Roman" w:eastAsia="SimHei" w:cs="Times New Roman"/>
          <w:b/>
          <w:color w:val="1E3A5F"/>
          <w:sz w:val="32"/>
          <w:szCs w:val="32"/>
        </w:rPr>
        <w:t>Article 4: Synchronized Disbursement</w:t>
      </w:r>
      <w:bookmarkEnd w:id="6"/>
    </w:p>
    <w:p>
      <w:pPr>
        <w:pStyle w:val="Heading2"/>
      </w:pPr>
      <w:r>
        <w:rPr>
          <w:rFonts w:ascii="Times New Roman" w:hAnsi="Times New Roman" w:eastAsia="SimHei" w:cs="Times New Roman"/>
          <w:b/>
          <w:color w:val="4A6B8A"/>
          <w:sz w:val="28"/>
          <w:szCs w:val="28"/>
        </w:rPr>
        <w:t>4.1 Principle of Simultaneous Release</w:t>
      </w:r>
    </w:p>
    <w:p>
      <w:pPr>
        <w:pStyle w:val="Normal"/>
      </w:pPr>
      <w:r>
        <w:rPr>
          <w:rFonts w:ascii="Times New Roman" w:hAnsi="Times New Roman" w:eastAsia="SimSun" w:cs="Times New Roman"/>
          <w:color w:val="1A1A1A"/>
          <w:sz w:val="24"/>
          <w:szCs w:val="24"/>
        </w:rPr>
        <w:t>Both Pool A and Pool B disburse simultaneously upon each Release Trigger. No pool disburses independently; no tranche releases from one pool without the corresponding tranche releasing from the other pool at the same time. Simultaneous release means that the Escrow Agent executes both transfers within the same 24-hour operational window, using the same Joint Disbursement Instruction as the authorization for both. If a technical or operational issue prevents simultaneous execution, the Escrow Agent holds both tranches until the issue resolves and then executes both together. The Escrow Agent does not release one pool’s tranche and withhold the other.</w:t>
      </w:r>
    </w:p>
    <w:p>
      <w:pPr>
        <w:pStyle w:val="Normal"/>
      </w:pPr>
      <w:r>
        <w:rPr>
          <w:rFonts w:ascii="Times New Roman" w:hAnsi="Times New Roman" w:eastAsia="SimSun" w:cs="Times New Roman"/>
          <w:color w:val="1A1A1A"/>
          <w:sz w:val="24"/>
          <w:szCs w:val="24"/>
        </w:rPr>
        <w:t>The principle of simultaneous release reflects the architecture of Synchronized Reciprocal Motion: both Parties move forward together or not at all. Neither Party receives its benefit without the other Party receiving its corresponding benefit. This symmetry eliminates the incentive to defect: defection by one Party yields no advantage because the defector gains nothing that the other Party does not also gain. The architecture transforms the interaction from a zero-sum contest into a positive-sum arrangement.</w:t>
      </w:r>
    </w:p>
    <w:p>
      <w:pPr>
        <w:pStyle w:val="Heading2"/>
      </w:pPr>
      <w:r>
        <w:rPr>
          <w:rFonts w:ascii="Times New Roman" w:hAnsi="Times New Roman" w:eastAsia="SimHei" w:cs="Times New Roman"/>
          <w:b/>
          <w:color w:val="4A6B8A"/>
          <w:sz w:val="28"/>
          <w:szCs w:val="28"/>
        </w:rPr>
        <w:t>4.2 Joint Disbursement Instruction Requirements</w:t>
      </w:r>
    </w:p>
    <w:p>
      <w:pPr>
        <w:pStyle w:val="Normal"/>
      </w:pPr>
      <w:r>
        <w:rPr>
          <w:rFonts w:ascii="Times New Roman" w:hAnsi="Times New Roman" w:eastAsia="SimSun" w:cs="Times New Roman"/>
          <w:color w:val="1A1A1A"/>
          <w:sz w:val="24"/>
          <w:szCs w:val="24"/>
        </w:rPr>
        <w:t>The PCC issues a single Joint Disbursement Instruction for each tranche, authorizing simultaneous release from both pools. The Joint Disbursement Instruction specifies:</w:t>
      </w:r>
    </w:p>
    <w:p>
      <w:pPr>
        <w:pStyle w:val="Normal"/>
        <w:numPr>
          <w:ilvl w:val="0"/>
          <w:numId w:val="7"/>
        </w:numPr>
      </w:pPr>
      <w:r>
        <w:rPr>
          <w:b/>
          <w:rFonts w:ascii="Times New Roman" w:hAnsi="Times New Roman" w:eastAsia="SimSun" w:cs="Times New Roman"/>
          <w:color w:val="1A1A1A"/>
          <w:sz w:val="24"/>
          <w:szCs w:val="24"/>
        </w:rPr>
        <w:t xml:space="preserve">Pool A Amount: </w:t>
      </w:r>
      <w:r>
        <w:rPr>
          <w:rFonts w:ascii="Times New Roman" w:hAnsi="Times New Roman" w:eastAsia="SimSun" w:cs="Times New Roman"/>
          <w:color w:val="1A1A1A"/>
          <w:sz w:val="24"/>
          <w:szCs w:val="24"/>
        </w:rPr>
        <w:t>The exact amount to be released from Pool A, denominated in United States Dollars.</w:t>
      </w:r>
    </w:p>
    <w:p>
      <w:pPr>
        <w:pStyle w:val="Normal"/>
        <w:numPr>
          <w:ilvl w:val="0"/>
          <w:numId w:val="7"/>
        </w:numPr>
      </w:pPr>
      <w:r>
        <w:rPr>
          <w:b/>
          <w:rFonts w:ascii="Times New Roman" w:hAnsi="Times New Roman" w:eastAsia="SimSun" w:cs="Times New Roman"/>
          <w:color w:val="1A1A1A"/>
          <w:sz w:val="24"/>
          <w:szCs w:val="24"/>
        </w:rPr>
        <w:t xml:space="preserve">Pool B Amount: </w:t>
      </w:r>
      <w:r>
        <w:rPr>
          <w:rFonts w:ascii="Times New Roman" w:hAnsi="Times New Roman" w:eastAsia="SimSun" w:cs="Times New Roman"/>
          <w:color w:val="1A1A1A"/>
          <w:sz w:val="24"/>
          <w:szCs w:val="24"/>
        </w:rPr>
        <w:t>The exact amount to be released from Pool B, denominated in United States Dollars.</w:t>
      </w:r>
    </w:p>
    <w:p>
      <w:pPr>
        <w:pStyle w:val="Normal"/>
        <w:numPr>
          <w:ilvl w:val="0"/>
          <w:numId w:val="7"/>
        </w:numPr>
      </w:pPr>
      <w:r>
        <w:rPr>
          <w:b/>
          <w:rFonts w:ascii="Times New Roman" w:hAnsi="Times New Roman" w:eastAsia="SimSun" w:cs="Times New Roman"/>
          <w:color w:val="1A1A1A"/>
          <w:sz w:val="24"/>
          <w:szCs w:val="24"/>
        </w:rPr>
        <w:t xml:space="preserve">Recipient Accounts: </w:t>
      </w:r>
      <w:r>
        <w:rPr>
          <w:rFonts w:ascii="Times New Roman" w:hAnsi="Times New Roman" w:eastAsia="SimSun" w:cs="Times New Roman"/>
          <w:color w:val="1A1A1A"/>
          <w:sz w:val="24"/>
          <w:szCs w:val="24"/>
        </w:rPr>
        <w:t>The designated recipient account for each pool: Pool A funds transfer to the US-Qatar Joint Oversight Escrow disbursement account; Pool B funds transfer to the Central Bank of Iran account specified by Iran.</w:t>
      </w:r>
    </w:p>
    <w:p>
      <w:pPr>
        <w:pStyle w:val="Normal"/>
        <w:numPr>
          <w:ilvl w:val="0"/>
          <w:numId w:val="7"/>
        </w:numPr>
      </w:pPr>
      <w:r>
        <w:rPr>
          <w:b/>
          <w:rFonts w:ascii="Times New Roman" w:hAnsi="Times New Roman" w:eastAsia="SimSun" w:cs="Times New Roman"/>
          <w:color w:val="1A1A1A"/>
          <w:sz w:val="24"/>
          <w:szCs w:val="24"/>
        </w:rPr>
        <w:t xml:space="preserve">Triggering Certificate: </w:t>
      </w:r>
      <w:r>
        <w:rPr>
          <w:rFonts w:ascii="Times New Roman" w:hAnsi="Times New Roman" w:eastAsia="SimSun" w:cs="Times New Roman"/>
          <w:color w:val="1A1A1A"/>
          <w:sz w:val="24"/>
          <w:szCs w:val="24"/>
        </w:rPr>
        <w:t>The specific IAEA Verification Certificate (by unique certificate number) that authorizes the release.</w:t>
      </w:r>
    </w:p>
    <w:p>
      <w:pPr>
        <w:pStyle w:val="Normal"/>
        <w:numPr>
          <w:ilvl w:val="0"/>
          <w:numId w:val="7"/>
        </w:numPr>
      </w:pPr>
      <w:r>
        <w:rPr>
          <w:b/>
          <w:rFonts w:ascii="Times New Roman" w:hAnsi="Times New Roman" w:eastAsia="SimSun" w:cs="Times New Roman"/>
          <w:color w:val="1A1A1A"/>
          <w:sz w:val="24"/>
          <w:szCs w:val="24"/>
        </w:rPr>
        <w:t xml:space="preserve">Execution Deadline: </w:t>
      </w:r>
      <w:r>
        <w:rPr>
          <w:rFonts w:ascii="Times New Roman" w:hAnsi="Times New Roman" w:eastAsia="SimSun" w:cs="Times New Roman"/>
          <w:color w:val="1A1A1A"/>
          <w:sz w:val="24"/>
          <w:szCs w:val="24"/>
        </w:rPr>
        <w:t>The date by which the Escrow Agent executes the transfer, calculated as 24 hours from verification of the instruction.</w:t>
      </w:r>
    </w:p>
    <w:p>
      <w:pPr>
        <w:pStyle w:val="Normal"/>
        <w:numPr>
          <w:ilvl w:val="0"/>
          <w:numId w:val="7"/>
        </w:numPr>
      </w:pPr>
      <w:r>
        <w:rPr>
          <w:b/>
          <w:rFonts w:ascii="Times New Roman" w:hAnsi="Times New Roman" w:eastAsia="SimSun" w:cs="Times New Roman"/>
          <w:color w:val="1A1A1A"/>
          <w:sz w:val="24"/>
          <w:szCs w:val="24"/>
        </w:rPr>
        <w:t xml:space="preserve">Signatures: </w:t>
      </w:r>
      <w:r>
        <w:rPr>
          <w:rFonts w:ascii="Times New Roman" w:hAnsi="Times New Roman" w:eastAsia="SimSun" w:cs="Times New Roman"/>
          <w:color w:val="1A1A1A"/>
          <w:sz w:val="24"/>
          <w:szCs w:val="24"/>
        </w:rPr>
        <w:t>Affirmative signatures from both PCC co-chairs, or, if the expedited arbitration panel has issued a binding determination under Article 1.12: one co-chair signature plus the panel’s authorization certificate.</w:t>
      </w:r>
    </w:p>
    <w:p>
      <w:pPr>
        <w:pStyle w:val="Heading2"/>
      </w:pPr>
      <w:r>
        <w:rPr>
          <w:rFonts w:ascii="Times New Roman" w:hAnsi="Times New Roman" w:eastAsia="SimHei" w:cs="Times New Roman"/>
          <w:b/>
          <w:color w:val="4A6B8A"/>
          <w:sz w:val="28"/>
          <w:szCs w:val="28"/>
        </w:rPr>
        <w:t>4.3 Escrow Agent Verification of Joint Disbursement Instruction</w:t>
      </w:r>
    </w:p>
    <w:p>
      <w:pPr>
        <w:pStyle w:val="Normal"/>
      </w:pPr>
      <w:r>
        <w:rPr>
          <w:rFonts w:ascii="Times New Roman" w:hAnsi="Times New Roman" w:eastAsia="SimSun" w:cs="Times New Roman"/>
          <w:color w:val="1A1A1A"/>
          <w:sz w:val="24"/>
          <w:szCs w:val="24"/>
        </w:rPr>
        <w:t>Before executing any Joint Disbursement Instruction, the Escrow Agent verifies:</w:t>
      </w:r>
    </w:p>
    <w:p>
      <w:pPr>
        <w:pStyle w:val="Normal"/>
        <w:numPr>
          <w:ilvl w:val="0"/>
          <w:numId w:val="7"/>
        </w:numPr>
      </w:pPr>
      <w:r>
        <w:rPr>
          <w:b/>
          <w:rFonts w:ascii="Times New Roman" w:hAnsi="Times New Roman" w:eastAsia="SimSun" w:cs="Times New Roman"/>
          <w:color w:val="1A1A1A"/>
          <w:sz w:val="24"/>
          <w:szCs w:val="24"/>
        </w:rPr>
        <w:t xml:space="preserve">Completeness: </w:t>
      </w:r>
      <w:r>
        <w:rPr>
          <w:rFonts w:ascii="Times New Roman" w:hAnsi="Times New Roman" w:eastAsia="SimSun" w:cs="Times New Roman"/>
          <w:color w:val="1A1A1A"/>
          <w:sz w:val="24"/>
          <w:szCs w:val="24"/>
        </w:rPr>
        <w:t>The instruction contains all six mandatory elements specified in Article 1.11.</w:t>
      </w:r>
    </w:p>
    <w:p>
      <w:pPr>
        <w:pStyle w:val="Normal"/>
        <w:numPr>
          <w:ilvl w:val="0"/>
          <w:numId w:val="7"/>
        </w:numPr>
      </w:pPr>
      <w:r>
        <w:rPr>
          <w:b/>
          <w:rFonts w:ascii="Times New Roman" w:hAnsi="Times New Roman" w:eastAsia="SimSun" w:cs="Times New Roman"/>
          <w:color w:val="1A1A1A"/>
          <w:sz w:val="24"/>
          <w:szCs w:val="24"/>
        </w:rPr>
        <w:t xml:space="preserve">Authenticity: </w:t>
      </w:r>
      <w:r>
        <w:rPr>
          <w:rFonts w:ascii="Times New Roman" w:hAnsi="Times New Roman" w:eastAsia="SimSun" w:cs="Times New Roman"/>
          <w:color w:val="1A1A1A"/>
          <w:sz w:val="24"/>
          <w:szCs w:val="24"/>
        </w:rPr>
        <w:t>The signatures on the instruction match the signature specimens on file with the Escrow Agent. The Escrow Agent exercises reasonable care in comparing signatures and uses any additional verification methods (including direct communication with the signatories) that a professional escrow agent of ordinary prudence would employ.</w:t>
      </w:r>
    </w:p>
    <w:p>
      <w:pPr>
        <w:pStyle w:val="Normal"/>
        <w:numPr>
          <w:ilvl w:val="0"/>
          <w:numId w:val="7"/>
        </w:numPr>
      </w:pPr>
      <w:r>
        <w:rPr>
          <w:b/>
          <w:rFonts w:ascii="Times New Roman" w:hAnsi="Times New Roman" w:eastAsia="SimSun" w:cs="Times New Roman"/>
          <w:color w:val="1A1A1A"/>
          <w:sz w:val="24"/>
          <w:szCs w:val="24"/>
        </w:rPr>
        <w:t xml:space="preserve">Trigger Validity: </w:t>
      </w:r>
      <w:r>
        <w:rPr>
          <w:rFonts w:ascii="Times New Roman" w:hAnsi="Times New Roman" w:eastAsia="SimSun" w:cs="Times New Roman"/>
          <w:color w:val="1A1A1A"/>
          <w:sz w:val="24"/>
          <w:szCs w:val="24"/>
        </w:rPr>
        <w:t>The instruction references an IAEA Verification Certificate that has not already been acted upon. The Escrow Agent cross-references the certificate number against its internal register of executed releases.</w:t>
      </w:r>
    </w:p>
    <w:p>
      <w:pPr>
        <w:pStyle w:val="Normal"/>
        <w:numPr>
          <w:ilvl w:val="0"/>
          <w:numId w:val="7"/>
        </w:numPr>
      </w:pPr>
      <w:r>
        <w:rPr>
          <w:b/>
          <w:rFonts w:ascii="Times New Roman" w:hAnsi="Times New Roman" w:eastAsia="SimSun" w:cs="Times New Roman"/>
          <w:color w:val="1A1A1A"/>
          <w:sz w:val="24"/>
          <w:szCs w:val="24"/>
        </w:rPr>
        <w:t xml:space="preserve">Suspension Status: </w:t>
      </w:r>
      <w:r>
        <w:rPr>
          <w:rFonts w:ascii="Times New Roman" w:hAnsi="Times New Roman" w:eastAsia="SimSun" w:cs="Times New Roman"/>
          <w:color w:val="1A1A1A"/>
          <w:sz w:val="24"/>
          <w:szCs w:val="24"/>
        </w:rPr>
        <w:t>The referenced tranche is not under automatic suspension under Article 5. If the tranche is suspended, the Escrow Agent withholds execution and refers the matter to the PCC.</w:t>
      </w:r>
    </w:p>
    <w:p>
      <w:pPr>
        <w:pStyle w:val="Normal"/>
        <w:numPr>
          <w:ilvl w:val="0"/>
          <w:numId w:val="7"/>
        </w:numPr>
      </w:pPr>
      <w:r>
        <w:rPr>
          <w:b/>
          <w:rFonts w:ascii="Times New Roman" w:hAnsi="Times New Roman" w:eastAsia="SimSun" w:cs="Times New Roman"/>
          <w:color w:val="1A1A1A"/>
          <w:sz w:val="24"/>
          <w:szCs w:val="24"/>
        </w:rPr>
        <w:t xml:space="preserve">Legal Compliance: </w:t>
      </w:r>
      <w:r>
        <w:rPr>
          <w:rFonts w:ascii="Times New Roman" w:hAnsi="Times New Roman" w:eastAsia="SimSun" w:cs="Times New Roman"/>
          <w:color w:val="1A1A1A"/>
          <w:sz w:val="24"/>
          <w:szCs w:val="24"/>
        </w:rPr>
        <w:t>Execution of the instruction does not violate applicable Qatari law, international sanctions binding on Qatar, or the Escrow Agent’s fiduciary duty under Article 1.1. If the Escrow Agent determines that execution would violate such law or duty, it withholds execution, notifies both Parties and the Joint Secretariat within 24 hours, and refers the matter to the PCC for resolution.</w:t>
      </w:r>
    </w:p>
    <w:p>
      <w:pPr>
        <w:pStyle w:val="Heading2"/>
      </w:pPr>
      <w:r>
        <w:rPr>
          <w:rFonts w:ascii="Times New Roman" w:hAnsi="Times New Roman" w:eastAsia="SimHei" w:cs="Times New Roman"/>
          <w:b/>
          <w:color w:val="4A6B8A"/>
          <w:sz w:val="28"/>
          <w:szCs w:val="28"/>
        </w:rPr>
        <w:t>4.4 Unreasonable Withholding Safeguard</w:t>
      </w:r>
    </w:p>
    <w:p>
      <w:pPr>
        <w:pStyle w:val="Normal"/>
      </w:pPr>
      <w:r>
        <w:rPr>
          <w:rFonts w:ascii="Times New Roman" w:hAnsi="Times New Roman" w:eastAsia="SimSun" w:cs="Times New Roman"/>
          <w:color w:val="1A1A1A"/>
          <w:sz w:val="24"/>
          <w:szCs w:val="24"/>
        </w:rPr>
        <w:t>If either PCC co-chair unreasonably withholds signature on a Joint Disbursement Instruction after the IAEA has issued the corresponding Verification Certificate, the following safeguard activates:</w:t>
      </w:r>
    </w:p>
    <w:p>
      <w:pPr>
        <w:pStyle w:val="Normal"/>
        <w:numPr>
          <w:ilvl w:val="0"/>
          <w:numId w:val="8"/>
        </w:numPr>
      </w:pPr>
      <w:r>
        <w:rPr>
          <w:b/>
          <w:rFonts w:ascii="Times New Roman" w:hAnsi="Times New Roman" w:eastAsia="SimSun" w:cs="Times New Roman"/>
          <w:color w:val="1A1A1A"/>
          <w:sz w:val="24"/>
          <w:szCs w:val="24"/>
        </w:rPr>
        <w:t xml:space="preserve">Referral to Guarantor Matrix: </w:t>
      </w:r>
      <w:r>
        <w:rPr>
          <w:rFonts w:ascii="Times New Roman" w:hAnsi="Times New Roman" w:eastAsia="SimSun" w:cs="Times New Roman"/>
          <w:color w:val="1A1A1A"/>
          <w:sz w:val="24"/>
          <w:szCs w:val="24"/>
        </w:rPr>
        <w:t>The non-withholding co-chair refers the matter to the Guarantor Matrix within 72 hours of the withholding, providing the IAEA Verification Certificate, the draft Joint Disbursement Instruction, and a statement of the basis for the referral.</w:t>
      </w:r>
    </w:p>
    <w:p>
      <w:pPr>
        <w:pStyle w:val="Normal"/>
        <w:numPr>
          <w:ilvl w:val="0"/>
          <w:numId w:val="8"/>
        </w:numPr>
      </w:pPr>
      <w:r>
        <w:rPr>
          <w:b/>
          <w:rFonts w:ascii="Times New Roman" w:hAnsi="Times New Roman" w:eastAsia="SimSun" w:cs="Times New Roman"/>
          <w:color w:val="1A1A1A"/>
          <w:sz w:val="24"/>
          <w:szCs w:val="24"/>
        </w:rPr>
        <w:t xml:space="preserve">Expedited Arbitration Panel: </w:t>
      </w:r>
      <w:r>
        <w:rPr>
          <w:rFonts w:ascii="Times New Roman" w:hAnsi="Times New Roman" w:eastAsia="SimSun" w:cs="Times New Roman"/>
          <w:color w:val="1A1A1A"/>
          <w:sz w:val="24"/>
          <w:szCs w:val="24"/>
        </w:rPr>
        <w:t>The Guarantor Matrix convenes an expedited arbitration panel within 14 days. The panel comprises three arbitrators: one nominated by the Iranian Party, one nominated by the United States Party, and one nominated by the Guarantor Matrix chair. The panel operates under the arbitration rules of the Guarantor Matrix.</w:t>
      </w:r>
    </w:p>
    <w:p>
      <w:pPr>
        <w:pStyle w:val="Normal"/>
        <w:numPr>
          <w:ilvl w:val="0"/>
          <w:numId w:val="8"/>
        </w:numPr>
      </w:pPr>
      <w:r>
        <w:rPr>
          <w:b/>
          <w:rFonts w:ascii="Times New Roman" w:hAnsi="Times New Roman" w:eastAsia="SimSun" w:cs="Times New Roman"/>
          <w:color w:val="1A1A1A"/>
          <w:sz w:val="24"/>
          <w:szCs w:val="24"/>
        </w:rPr>
        <w:t xml:space="preserve">Binding Determination: </w:t>
      </w:r>
      <w:r>
        <w:rPr>
          <w:rFonts w:ascii="Times New Roman" w:hAnsi="Times New Roman" w:eastAsia="SimSun" w:cs="Times New Roman"/>
          <w:color w:val="1A1A1A"/>
          <w:sz w:val="24"/>
          <w:szCs w:val="24"/>
        </w:rPr>
        <w:t>The panel determines whether the withholding is unreasonable based on: the technical sufficiency of the IAEA Verification Certificate; the terms of this Annex; and the good-faith obligations of the Parties under the Islamabad Accord. If the panel determines the withholding is unreasonable, it issues a binding determination authorizing the Escrow Agent to execute the release upon receipt of a single co-chair signature accompanied by the panel’s authorization certificate.</w:t>
      </w:r>
    </w:p>
    <w:p>
      <w:pPr>
        <w:pStyle w:val="Normal"/>
        <w:numPr>
          <w:ilvl w:val="0"/>
          <w:numId w:val="8"/>
        </w:numPr>
      </w:pPr>
      <w:r>
        <w:rPr>
          <w:b/>
          <w:rFonts w:ascii="Times New Roman" w:hAnsi="Times New Roman" w:eastAsia="SimSun" w:cs="Times New Roman"/>
          <w:color w:val="1A1A1A"/>
          <w:sz w:val="24"/>
          <w:szCs w:val="24"/>
        </w:rPr>
        <w:t xml:space="preserve">No Delay of Other Obligations: </w:t>
      </w:r>
      <w:r>
        <w:rPr>
          <w:rFonts w:ascii="Times New Roman" w:hAnsi="Times New Roman" w:eastAsia="SimSun" w:cs="Times New Roman"/>
          <w:color w:val="1A1A1A"/>
          <w:sz w:val="24"/>
          <w:szCs w:val="24"/>
        </w:rPr>
        <w:t>The arbitration process does not delay or suspend any other obligation under this Annex or the Islamabad Accord. The non-withholding Party continues to perform all its obligations pending the panel’s determination.</w:t>
      </w:r>
    </w:p>
    <w:p>
      <w:pPr>
        <w:pStyle w:val="Heading2"/>
      </w:pPr>
      <w:r>
        <w:rPr>
          <w:rFonts w:ascii="Times New Roman" w:hAnsi="Times New Roman" w:eastAsia="SimHei" w:cs="Times New Roman"/>
          <w:b/>
          <w:color w:val="4A6B8A"/>
          <w:sz w:val="28"/>
          <w:szCs w:val="28"/>
        </w:rPr>
        <w:t>4.5 Transfer Execution and Confirmation</w:t>
      </w:r>
    </w:p>
    <w:p>
      <w:pPr>
        <w:pStyle w:val="Normal"/>
      </w:pPr>
      <w:r>
        <w:rPr>
          <w:rFonts w:ascii="Times New Roman" w:hAnsi="Times New Roman" w:eastAsia="SimSun" w:cs="Times New Roman"/>
          <w:color w:val="1A1A1A"/>
          <w:sz w:val="24"/>
          <w:szCs w:val="24"/>
        </w:rPr>
        <w:t>Upon verification of a valid Joint Disbursement Instruction, the Escrow Agent executes both transfers simultaneously within 24 hours. The Escrow Agent uses standard SWIFT wire transfer mechanisms or such other secure electronic transfer systems as both Parties approve. The Escrow Agent issues a Release Confirmation Certificate for each pool within 6 hours of transfer execution, containing: the date and time of transfer; the amount transferred; the recipient account; the triggering IAEA Verification Certificate number; and the reference number of the Joint Disbursement Instruction. The Escrow Agent transmits both certificates to the Joint Secretariat, which updates the official compliance register within 24 hours.</w:t>
      </w:r>
    </w:p>
    <w:p>
      <w:pPr>
        <w:pStyle w:val="Heading2"/>
      </w:pPr>
      <w:r>
        <w:rPr>
          <w:rFonts w:ascii="Times New Roman" w:hAnsi="Times New Roman" w:eastAsia="SimHei" w:cs="Times New Roman"/>
          <w:b/>
          <w:color w:val="4A6B8A"/>
          <w:sz w:val="28"/>
          <w:szCs w:val="28"/>
        </w:rPr>
        <w:t>4.6 Technical Failure Protocol</w:t>
      </w:r>
    </w:p>
    <w:p>
      <w:pPr>
        <w:pStyle w:val="Normal"/>
      </w:pPr>
      <w:r>
        <w:rPr>
          <w:rFonts w:ascii="Times New Roman" w:hAnsi="Times New Roman" w:eastAsia="SimSun" w:cs="Times New Roman"/>
          <w:color w:val="1A1A1A"/>
          <w:sz w:val="24"/>
          <w:szCs w:val="24"/>
        </w:rPr>
        <w:t>If a technical failure prevents the Escrow Agent from executing a simultaneous transfer (including SWIFT system outage, cybersecurity incident, or force majeure affecting the Escrow Agent's banking systems), the Escrow Agent immediately notifies both Parties and the Joint Secretariat. The Escrow Agent holds both tranches until the technical issue resolves and then executes both transfers together. The Escrow Agent does not execute a partial transfer or release one pool while holding the other. The technical failure does not reset any timeline under this Annex; all deadlines pause during the technical failure and resume upon restoration of normal operations. For force majeure events beyond technical banking failures, including war, cyberattack, natural disaster, major radiological event, closure of airspace, or severe disruption of international banking systems, Article 11 governs.</w:t>
      </w:r>
    </w:p>
    <w:p>
      <w:pPr>
        <w:pStyle w:val="Heading2"/>
      </w:pPr>
      <w:r>
        <w:rPr>
          <w:rFonts w:ascii="Times New Roman" w:hAnsi="Times New Roman" w:eastAsia="SimHei" w:cs="Times New Roman"/>
          <w:b/>
          <w:color w:val="4A6B8A"/>
          <w:sz w:val="28"/>
          <w:szCs w:val="28"/>
        </w:rPr>
        <w:t>4.7 Interest Accrual Distribution</w:t>
      </w:r>
    </w:p>
    <w:p>
      <w:pPr>
        <w:pStyle w:val="Normal"/>
      </w:pPr>
      <w:r>
        <w:rPr>
          <w:rFonts w:ascii="Times New Roman" w:hAnsi="Times New Roman" w:eastAsia="SimSun" w:cs="Times New Roman"/>
          <w:color w:val="1A1A1A"/>
          <w:sz w:val="24"/>
          <w:szCs w:val="24"/>
        </w:rPr>
        <w:t>Upon release of the final tranche from both pools, the Escrow Agent calculates the total Interest Accrual for each pool and distributes it as follows: Interest Accrual for Pool A transfers to the US-Qatar Joint Oversight Escrow disbursement account for allocation to humanitarian and agricultural procurement. Interest Accrual for Pool B transfers to the Central Bank of Iran account specified for Pool B receipts. The Escrow Agent publishes a final accounting statement showing: the principal amounts held for each pool; the interest rate applied; the calculation period for each pool; the gross interest earned; any applicable fees or withholding taxes under Qatari law; and the net interest distributed. The Escrow Agent provides this statement to both Parties and the Joint Secretariat within 14 days of the final tranche release.</w:t>
      </w:r>
    </w:p>
    <w:p>
      <w:pPr>
        <w:pStyle w:val="Heading1"/>
      </w:pPr>
      <w:bookmarkStart w:name="_Toc006" w:id="7"/>
      <w:r>
        <w:rPr>
          <w:rFonts w:ascii="Times New Roman" w:hAnsi="Times New Roman" w:eastAsia="SimHei" w:cs="Times New Roman"/>
          <w:b/>
          <w:color w:val="1E3A5F"/>
          <w:sz w:val="32"/>
          <w:szCs w:val="32"/>
        </w:rPr>
        <w:t>Article 5: Step-Back, Earn-Back, and Compliance Resilience Architecture</w:t>
      </w:r>
      <w:bookmarkEnd w:id="7"/>
    </w:p>
    <w:p>
      <w:pPr>
        <w:pStyle w:val="Normal"/>
      </w:pPr>
      <w:r>
        <w:rPr>
          <w:rFonts w:ascii="Times New Roman" w:hAnsi="Times New Roman" w:eastAsia="SimSun" w:cs="Times New Roman"/>
          <w:color w:val="1A1A1A"/>
          <w:sz w:val="24"/>
          <w:szCs w:val="24"/>
        </w:rPr>
        <w:t>This Article establishes the Step-Back and Earn-Back system as the exclusive compliance mechanism for this Annex. The Parties expressly exclude snapback, clawback, or retroactive penalty mechanisms. Step-Back suspends future releases only; it does not affect funds already released. Earn-Back restores forward motion upon verified compliance. The architecture recognizes that compliance failures occur in complex negotiations, that sustainable agreements require mechanisms for recovery rather than punishment, and that the threat of retroactive penalties undermines the trust necessary for sustained cooperation.</w:t>
      </w:r>
    </w:p>
    <w:p>
      <w:pPr>
        <w:pStyle w:val="Heading2"/>
      </w:pPr>
      <w:r>
        <w:rPr>
          <w:rFonts w:ascii="Times New Roman" w:hAnsi="Times New Roman" w:eastAsia="SimHei" w:cs="Times New Roman"/>
          <w:b/>
          <w:color w:val="4A6B8A"/>
          <w:sz w:val="28"/>
          <w:szCs w:val="28"/>
        </w:rPr>
        <w:t>5.1 Step-Back: Automatic Suspension</w:t>
      </w:r>
    </w:p>
    <w:p>
      <w:pPr>
        <w:pStyle w:val="Heading3"/>
      </w:pPr>
      <w:r>
        <w:rPr>
          <w:rFonts w:ascii="Times New Roman" w:hAnsi="Times New Roman" w:eastAsia="SimHei" w:cs="Times New Roman"/>
          <w:b/>
          <w:color w:val="4A4A4A"/>
          <w:sz w:val="26"/>
          <w:szCs w:val="26"/>
        </w:rPr>
        <w:t>5.1.1 Step-Back Triggers</w:t>
      </w:r>
    </w:p>
    <w:p>
      <w:pPr>
        <w:pStyle w:val="Normal"/>
      </w:pPr>
      <w:r>
        <w:rPr>
          <w:rFonts w:ascii="Times New Roman" w:hAnsi="Times New Roman" w:eastAsia="SimSun" w:cs="Times New Roman"/>
          <w:color w:val="1A1A1A"/>
          <w:sz w:val="24"/>
          <w:szCs w:val="24"/>
        </w:rPr>
        <w:t>Step-Back activates automatically when any of the following conditions occurs:</w:t>
      </w:r>
    </w:p>
    <w:p>
      <w:pPr>
        <w:pStyle w:val="Normal"/>
        <w:numPr>
          <w:ilvl w:val="0"/>
          <w:numId w:val="9"/>
        </w:numPr>
      </w:pPr>
      <w:r>
        <w:rPr>
          <w:b/>
          <w:rFonts w:ascii="Times New Roman" w:hAnsi="Times New Roman" w:eastAsia="SimSun" w:cs="Times New Roman"/>
          <w:color w:val="1A1A1A"/>
          <w:sz w:val="24"/>
          <w:szCs w:val="24"/>
        </w:rPr>
        <w:t xml:space="preserve">Milestone Deadline Expiration: </w:t>
      </w:r>
      <w:r>
        <w:rPr>
          <w:rFonts w:ascii="Times New Roman" w:hAnsi="Times New Roman" w:eastAsia="SimSun" w:cs="Times New Roman"/>
          <w:color w:val="1A1A1A"/>
          <w:sz w:val="24"/>
          <w:szCs w:val="24"/>
        </w:rPr>
        <w:t>The IAEA has not issued the applicable Verification Certificate by the hard-cap deadline specified in Article 7.2 for the relevant tranche. The hard-cap deadline is a firm, non-extendable date. If the IAEA has not issued the certificate by the hard-cap date, Step-Back activates automatically on the following business day without further notice or action by either Party.</w:t>
      </w:r>
    </w:p>
    <w:p>
      <w:pPr>
        <w:pStyle w:val="Normal"/>
        <w:numPr>
          <w:ilvl w:val="0"/>
          <w:numId w:val="9"/>
        </w:numPr>
      </w:pPr>
      <w:r>
        <w:rPr>
          <w:b/>
          <w:rFonts w:ascii="Times New Roman" w:hAnsi="Times New Roman" w:eastAsia="SimSun" w:cs="Times New Roman"/>
          <w:color w:val="1A1A1A"/>
          <w:sz w:val="24"/>
          <w:szCs w:val="24"/>
        </w:rPr>
        <w:t xml:space="preserve">IAEA Non-Compliance Finding: </w:t>
      </w:r>
      <w:r>
        <w:rPr>
          <w:rFonts w:ascii="Times New Roman" w:hAnsi="Times New Roman" w:eastAsia="SimSun" w:cs="Times New Roman"/>
          <w:color w:val="1A1A1A"/>
          <w:sz w:val="24"/>
          <w:szCs w:val="24"/>
        </w:rPr>
        <w:t>The IAEA issues a formal non-compliance finding regarding Iran’s obligations under Annexes O, P, or V, and the non-compliance relates directly to a Release Trigger milestone. The IAEA issues this finding through a Director General statement or Board of Governors resolution. The IAEA’s technical judgment on compliance is binding and is not subject to override by either Party.</w:t>
      </w:r>
    </w:p>
    <w:p>
      <w:pPr>
        <w:pStyle w:val="Normal"/>
        <w:numPr>
          <w:ilvl w:val="0"/>
          <w:numId w:val="9"/>
        </w:numPr>
      </w:pPr>
      <w:r>
        <w:rPr>
          <w:b/>
          <w:rFonts w:ascii="Times New Roman" w:hAnsi="Times New Roman" w:eastAsia="SimSun" w:cs="Times New Roman"/>
          <w:color w:val="1A1A1A"/>
          <w:sz w:val="24"/>
          <w:szCs w:val="24"/>
        </w:rPr>
        <w:t xml:space="preserve">Material Breach by Iran: </w:t>
      </w:r>
      <w:r>
        <w:rPr>
          <w:rFonts w:ascii="Times New Roman" w:hAnsi="Times New Roman" w:eastAsia="SimSun" w:cs="Times New Roman"/>
          <w:color w:val="1A1A1A"/>
          <w:sz w:val="24"/>
          <w:szCs w:val="24"/>
        </w:rPr>
        <w:t>Iran materially breaches a specific, identifiable obligation under this Annex, including: failure to place the 60% enriched uranium stockpile under IAEA dual-key custody as required by Article 3.1.1; interference with IAEA monitoring equipment, inspectors, or verification activities; diversion of downblended material from the approved disposition pathway; or provision of false information to the IAEA regarding the stockpile, its location, or its disposition. The Joint Secretariat documents the material breach and transmits the documentation to the PCC within 48 hours.</w:t>
      </w:r>
    </w:p>
    <w:p>
      <w:pPr>
        <w:pStyle w:val="Normal"/>
        <w:numPr>
          <w:ilvl w:val="0"/>
          <w:numId w:val="9"/>
        </w:numPr>
      </w:pPr>
      <w:r>
        <w:rPr>
          <w:b/>
          <w:rFonts w:ascii="Times New Roman" w:hAnsi="Times New Roman" w:eastAsia="SimSun" w:cs="Times New Roman"/>
          <w:color w:val="1A1A1A"/>
          <w:sz w:val="24"/>
          <w:szCs w:val="24"/>
        </w:rPr>
        <w:t xml:space="preserve">Material Breach by the United States: </w:t>
      </w:r>
      <w:r>
        <w:rPr>
          <w:rFonts w:ascii="Times New Roman" w:hAnsi="Times New Roman" w:eastAsia="SimSun" w:cs="Times New Roman"/>
          <w:color w:val="1A1A1A"/>
          <w:sz w:val="24"/>
          <w:szCs w:val="24"/>
        </w:rPr>
        <w:t>The United States materially breaches a specific, identifiable obligation under this Annex, including: failure to transfer the full $12 Billion Asset Pool into escrow within the timeframe specified in the Islamabad Accord; failure to cooperate with the US-Qatar Joint Oversight Escrow mechanism for Pool A; unilateral freezing, seizing, or attaching escrow funds without authorization under this Annex; or unreasonable withholding of Joint Disbursement Instruction signatures after the IAEA has issued a valid Verification Certificate, where the withholding is determined unreasonable by the expedited arbitration panel under Article 4.4.</w:t>
      </w:r>
    </w:p>
    <w:p>
      <w:pPr>
        <w:pStyle w:val="Heading3"/>
      </w:pPr>
      <w:r>
        <w:rPr>
          <w:rFonts w:ascii="Times New Roman" w:hAnsi="Times New Roman" w:eastAsia="SimHei" w:cs="Times New Roman"/>
          <w:b/>
          <w:color w:val="4A4A4A"/>
          <w:sz w:val="26"/>
          <w:szCs w:val="26"/>
        </w:rPr>
        <w:t>5.1.2 Effects of Step-Back</w:t>
      </w:r>
    </w:p>
    <w:p>
      <w:pPr>
        <w:pStyle w:val="Normal"/>
      </w:pPr>
      <w:r>
        <w:rPr>
          <w:rFonts w:ascii="Times New Roman" w:hAnsi="Times New Roman" w:eastAsia="SimSun" w:cs="Times New Roman"/>
          <w:color w:val="1A1A1A"/>
          <w:sz w:val="24"/>
          <w:szCs w:val="24"/>
        </w:rPr>
        <w:t>Upon activation of Step-Back, the following effects occur automatically:</w:t>
      </w:r>
    </w:p>
    <w:p>
      <w:pPr>
        <w:pStyle w:val="Normal"/>
        <w:numPr>
          <w:ilvl w:val="0"/>
          <w:numId w:val="10"/>
        </w:numPr>
      </w:pPr>
      <w:r>
        <w:rPr>
          <w:b/>
          <w:rFonts w:ascii="Times New Roman" w:hAnsi="Times New Roman" w:eastAsia="SimSun" w:cs="Times New Roman"/>
          <w:color w:val="1A1A1A"/>
          <w:sz w:val="24"/>
          <w:szCs w:val="24"/>
        </w:rPr>
        <w:t xml:space="preserve">Suspension of Future Releases: </w:t>
      </w:r>
      <w:r>
        <w:rPr>
          <w:rFonts w:ascii="Times New Roman" w:hAnsi="Times New Roman" w:eastAsia="SimSun" w:cs="Times New Roman"/>
          <w:color w:val="1A1A1A"/>
          <w:sz w:val="24"/>
          <w:szCs w:val="24"/>
        </w:rPr>
        <w:t>The Escrow Agent suspends all future tranche releases from both pools. No Joint Disbursement Instruction for a future tranche is valid while Step-Back is active. The Escrow Agent rejects any such instruction and refers it to the PCC.</w:t>
      </w:r>
    </w:p>
    <w:p>
      <w:pPr>
        <w:pStyle w:val="Normal"/>
        <w:numPr>
          <w:ilvl w:val="0"/>
          <w:numId w:val="10"/>
        </w:numPr>
      </w:pPr>
      <w:r>
        <w:rPr>
          <w:b/>
          <w:rFonts w:ascii="Times New Roman" w:hAnsi="Times New Roman" w:eastAsia="SimSun" w:cs="Times New Roman"/>
          <w:color w:val="1A1A1A"/>
          <w:sz w:val="24"/>
          <w:szCs w:val="24"/>
        </w:rPr>
        <w:t xml:space="preserve">No Effect on Released Funds: </w:t>
      </w:r>
      <w:r>
        <w:rPr>
          <w:rFonts w:ascii="Times New Roman" w:hAnsi="Times New Roman" w:eastAsia="SimSun" w:cs="Times New Roman"/>
          <w:color w:val="1A1A1A"/>
          <w:sz w:val="24"/>
          <w:szCs w:val="24"/>
        </w:rPr>
        <w:t>Step-Back does not affect, impair, or claw back any funds already released from either pool. Funds already in the US-Qatar Joint Oversight Escrow disbursement account or the Central Bank of Iran remain the property of the respective recipients. Step-Back is prospective only.</w:t>
      </w:r>
    </w:p>
    <w:p>
      <w:pPr>
        <w:pStyle w:val="Normal"/>
        <w:numPr>
          <w:ilvl w:val="0"/>
          <w:numId w:val="10"/>
        </w:numPr>
      </w:pPr>
      <w:r>
        <w:rPr>
          <w:b/>
          <w:rFonts w:ascii="Times New Roman" w:hAnsi="Times New Roman" w:eastAsia="SimSun" w:cs="Times New Roman"/>
          <w:color w:val="1A1A1A"/>
          <w:sz w:val="24"/>
          <w:szCs w:val="24"/>
        </w:rPr>
        <w:t xml:space="preserve">Continuation of Interest Accrual: </w:t>
      </w:r>
      <w:r>
        <w:rPr>
          <w:rFonts w:ascii="Times New Roman" w:hAnsi="Times New Roman" w:eastAsia="SimSun" w:cs="Times New Roman"/>
          <w:color w:val="1A1A1A"/>
          <w:sz w:val="24"/>
          <w:szCs w:val="24"/>
        </w:rPr>
        <w:t>Interest accrues during a Step-Back period and the Escrow Agent holds that interest separately from the principal. Upon Earn-Back, the Escrow Agent releases the suspended tranche together with all interest that accrued during the Step-Back period, calculated at the same rate applicable prior to Step-Back. If Step-Back persists for more than 180 consecutive days, the Joint Commission determines, by consensus, an alternative disposition of accrued interest. The Escrow Agent continues to publish monthly statements.</w:t>
      </w:r>
    </w:p>
    <w:p>
      <w:pPr>
        <w:pStyle w:val="Normal"/>
        <w:numPr>
          <w:ilvl w:val="0"/>
          <w:numId w:val="10"/>
        </w:numPr>
      </w:pPr>
      <w:r>
        <w:rPr>
          <w:b/>
          <w:rFonts w:ascii="Times New Roman" w:hAnsi="Times New Roman" w:eastAsia="SimSun" w:cs="Times New Roman"/>
          <w:color w:val="1A1A1A"/>
          <w:sz w:val="24"/>
          <w:szCs w:val="24"/>
        </w:rPr>
        <w:t xml:space="preserve">IAEA Access Continues: </w:t>
      </w:r>
      <w:r>
        <w:rPr>
          <w:rFonts w:ascii="Times New Roman" w:hAnsi="Times New Roman" w:eastAsia="SimSun" w:cs="Times New Roman"/>
          <w:color w:val="1A1A1A"/>
          <w:sz w:val="24"/>
          <w:szCs w:val="24"/>
        </w:rPr>
        <w:t>Step-Back does not terminate or suspend Iran’s obligations regarding IAEA access, monitoring, or safeguards. Iran continues to cooperate fully with the IAEA during Step-Back. Any failure to maintain IAEA cooperation during Step-Back constitutes a separate material breach.</w:t>
      </w:r>
    </w:p>
    <w:p>
      <w:pPr>
        <w:pStyle w:val="Normal"/>
        <w:numPr>
          <w:ilvl w:val="0"/>
          <w:numId w:val="10"/>
        </w:numPr>
      </w:pPr>
      <w:r>
        <w:rPr>
          <w:b/>
          <w:rFonts w:ascii="Times New Roman" w:hAnsi="Times New Roman" w:eastAsia="SimSun" w:cs="Times New Roman"/>
          <w:color w:val="1A1A1A"/>
          <w:sz w:val="24"/>
          <w:szCs w:val="24"/>
        </w:rPr>
        <w:t xml:space="preserve">Notification: </w:t>
      </w:r>
      <w:r>
        <w:rPr>
          <w:rFonts w:ascii="Times New Roman" w:hAnsi="Times New Roman" w:eastAsia="SimSun" w:cs="Times New Roman"/>
          <w:color w:val="1A1A1A"/>
          <w:sz w:val="24"/>
          <w:szCs w:val="24"/>
        </w:rPr>
        <w:t>The Joint Secretariat notifies both Parties and the Escrow Agent of the Step-Back activation within 24 hours of the triggering event. The notification includes: the specific trigger; the date of activation; the tranches affected; and the requirements for Earn-Back.</w:t>
      </w:r>
    </w:p>
    <w:p>
      <w:pPr>
        <w:pStyle w:val="Heading2"/>
      </w:pPr>
      <w:r>
        <w:rPr>
          <w:rFonts w:ascii="Times New Roman" w:hAnsi="Times New Roman" w:eastAsia="SimHei" w:cs="Times New Roman"/>
          <w:b/>
          <w:color w:val="4A6B8A"/>
          <w:sz w:val="28"/>
          <w:szCs w:val="28"/>
        </w:rPr>
        <w:t>5.2 Non-Clawback Principle</w:t>
      </w:r>
    </w:p>
    <w:p>
      <w:pPr>
        <w:pStyle w:val="Heading3"/>
      </w:pPr>
      <w:r>
        <w:rPr>
          <w:rFonts w:ascii="Times New Roman" w:hAnsi="Times New Roman" w:eastAsia="SimHei" w:cs="Times New Roman"/>
          <w:b/>
          <w:color w:val="4A4A4A"/>
          <w:sz w:val="26"/>
          <w:szCs w:val="26"/>
        </w:rPr>
        <w:t>5.2.1 Absolute Prohibition on Clawback</w:t>
      </w:r>
    </w:p>
    <w:p>
      <w:pPr>
        <w:pStyle w:val="Normal"/>
      </w:pPr>
      <w:r>
        <w:rPr>
          <w:rFonts w:ascii="Times New Roman" w:hAnsi="Times New Roman" w:eastAsia="SimSun" w:cs="Times New Roman"/>
          <w:color w:val="1A1A1A"/>
          <w:sz w:val="24"/>
          <w:szCs w:val="24"/>
        </w:rPr>
        <w:t>The Parties affirm the absolute prohibition on clawback of any funds already released. Under no circumstances does either Party demand, seek, or obtain the return of funds that have been released from escrow and transferred to the designated recipient. The following scenarios illustrate the non-clawback principle:</w:t>
      </w:r>
    </w:p>
    <w:p>
      <w:pPr>
        <w:pStyle w:val="Normal"/>
        <w:numPr>
          <w:ilvl w:val="0"/>
          <w:numId w:val="11"/>
        </w:numPr>
      </w:pPr>
      <w:r>
        <w:rPr>
          <w:b/>
          <w:rFonts w:ascii="Times New Roman" w:hAnsi="Times New Roman" w:eastAsia="SimSun" w:cs="Times New Roman"/>
          <w:color w:val="1A1A1A"/>
          <w:sz w:val="24"/>
          <w:szCs w:val="24"/>
        </w:rPr>
        <w:t xml:space="preserve">Post-Release Non-Compliance: </w:t>
      </w:r>
      <w:r>
        <w:rPr>
          <w:rFonts w:ascii="Times New Roman" w:hAnsi="Times New Roman" w:eastAsia="SimSun" w:cs="Times New Roman"/>
          <w:color w:val="1A1A1A"/>
          <w:sz w:val="24"/>
          <w:szCs w:val="24"/>
        </w:rPr>
        <w:t>If Iran completes Tranche 1, receives the corresponding funds, and subsequently fails to meet the Tranche 2 milestone by the hard-cap deadline, the United States does not seek return of the Tranche 1 funds. Step-Back suspends Tranche 2 only.</w:t>
      </w:r>
    </w:p>
    <w:p>
      <w:pPr>
        <w:pStyle w:val="Normal"/>
        <w:numPr>
          <w:ilvl w:val="0"/>
          <w:numId w:val="11"/>
        </w:numPr>
      </w:pPr>
      <w:r>
        <w:rPr>
          <w:b/>
          <w:rFonts w:ascii="Times New Roman" w:hAnsi="Times New Roman" w:eastAsia="SimSun" w:cs="Times New Roman"/>
          <w:color w:val="1A1A1A"/>
          <w:sz w:val="24"/>
          <w:szCs w:val="24"/>
        </w:rPr>
        <w:t xml:space="preserve">Post-Release Political Dispute: </w:t>
      </w:r>
      <w:r>
        <w:rPr>
          <w:rFonts w:ascii="Times New Roman" w:hAnsi="Times New Roman" w:eastAsia="SimSun" w:cs="Times New Roman"/>
          <w:color w:val="1A1A1A"/>
          <w:sz w:val="24"/>
          <w:szCs w:val="24"/>
        </w:rPr>
        <w:t>If political relations between the Parties deteriorate after a tranche release, neither Party uses the deterioration as grounds to demand return of released funds. Released funds remain the property of the recipient.</w:t>
      </w:r>
    </w:p>
    <w:p>
      <w:pPr>
        <w:pStyle w:val="Normal"/>
        <w:numPr>
          <w:ilvl w:val="0"/>
          <w:numId w:val="11"/>
        </w:numPr>
      </w:pPr>
      <w:r>
        <w:rPr>
          <w:b/>
          <w:rFonts w:ascii="Times New Roman" w:hAnsi="Times New Roman" w:eastAsia="SimSun" w:cs="Times New Roman"/>
          <w:color w:val="1A1A1A"/>
          <w:sz w:val="24"/>
          <w:szCs w:val="24"/>
        </w:rPr>
        <w:t xml:space="preserve">Post-Release IAEA Finding: </w:t>
      </w:r>
      <w:r>
        <w:rPr>
          <w:rFonts w:ascii="Times New Roman" w:hAnsi="Times New Roman" w:eastAsia="SimSun" w:cs="Times New Roman"/>
          <w:color w:val="1A1A1A"/>
          <w:sz w:val="24"/>
          <w:szCs w:val="24"/>
        </w:rPr>
        <w:t>If the IAEA issues a non-compliance finding regarding activities that occurred before a tranche release, the finding does not trigger clawback of that tranche. Step-Back suspends future tranches only, but released tranches remain with the recipient.</w:t>
      </w:r>
    </w:p>
    <w:p>
      <w:pPr>
        <w:pStyle w:val="Normal"/>
        <w:numPr>
          <w:ilvl w:val="0"/>
          <w:numId w:val="11"/>
        </w:numPr>
      </w:pPr>
      <w:r>
        <w:rPr>
          <w:b/>
          <w:rFonts w:ascii="Times New Roman" w:hAnsi="Times New Roman" w:eastAsia="SimSun" w:cs="Times New Roman"/>
          <w:color w:val="1A1A1A"/>
          <w:sz w:val="24"/>
          <w:szCs w:val="24"/>
        </w:rPr>
        <w:t xml:space="preserve">Escrow Agent Liability: </w:t>
      </w:r>
      <w:r>
        <w:rPr>
          <w:rFonts w:ascii="Times New Roman" w:hAnsi="Times New Roman" w:eastAsia="SimSun" w:cs="Times New Roman"/>
          <w:color w:val="1A1A1A"/>
          <w:sz w:val="24"/>
          <w:szCs w:val="24"/>
        </w:rPr>
        <w:t>The Escrow Agent bears no liability for the proper use of funds after release. The Escrow Agent’s fiduciary duty extends only to the safe custody and accurate disbursement of escrow funds. Once funds leave the escrow account, the Escrow Agent’s responsibility ends.</w:t>
      </w:r>
    </w:p>
    <w:p>
      <w:pPr>
        <w:pStyle w:val="Heading3"/>
      </w:pPr>
      <w:r>
        <w:rPr>
          <w:rFonts w:ascii="Times New Roman" w:hAnsi="Times New Roman" w:eastAsia="SimHei" w:cs="Times New Roman"/>
          <w:b/>
          <w:color w:val="4A4A4A"/>
          <w:sz w:val="26"/>
          <w:szCs w:val="26"/>
        </w:rPr>
        <w:t>5.2.2 Rationale for Non-Clawback</w:t>
      </w:r>
    </w:p>
    <w:p>
      <w:pPr>
        <w:pStyle w:val="Normal"/>
      </w:pPr>
      <w:r>
        <w:rPr>
          <w:rFonts w:ascii="Times New Roman" w:hAnsi="Times New Roman" w:eastAsia="SimSun" w:cs="Times New Roman"/>
          <w:color w:val="1A1A1A"/>
          <w:sz w:val="24"/>
          <w:szCs w:val="24"/>
        </w:rPr>
        <w:t>The non-clawback principle is not a concession; it is a structural feature. Clawback provisions in prior agreements proved toxic because they created perverse incentives: the Party that feared future clawback had an incentive to delay or obstruct compliance, while the Party that relied on clawback as a threat had an incentive to manufacture compliance failures. Both dynamics destroyed trust and undermined agreement sustainability. The non-clawback principle eliminates these perverse incentives by making each tranche a permanent, irreversible transaction. Both Parties know that what is released stays released. This clarity enables both Parties to plan, invest, and cooperate with confidence.</w:t>
      </w:r>
    </w:p>
    <w:p>
      <w:pPr>
        <w:pStyle w:val="Heading2"/>
      </w:pPr>
      <w:r>
        <w:rPr>
          <w:rFonts w:ascii="Times New Roman" w:hAnsi="Times New Roman" w:eastAsia="SimHei" w:cs="Times New Roman"/>
          <w:b/>
          <w:color w:val="4A6B8A"/>
          <w:sz w:val="28"/>
          <w:szCs w:val="28"/>
        </w:rPr>
        <w:t>5.3 Earn-Back: Restoration of Forward Motion</w:t>
      </w:r>
    </w:p>
    <w:p>
      <w:pPr>
        <w:pStyle w:val="Heading3"/>
      </w:pPr>
      <w:r>
        <w:rPr>
          <w:rFonts w:ascii="Times New Roman" w:hAnsi="Times New Roman" w:eastAsia="SimHei" w:cs="Times New Roman"/>
          <w:b/>
          <w:color w:val="4A4A4A"/>
          <w:sz w:val="26"/>
          <w:szCs w:val="26"/>
        </w:rPr>
        <w:t>5.3.1 Earn-Back Procedure</w:t>
      </w:r>
    </w:p>
    <w:p>
      <w:pPr>
        <w:pStyle w:val="Normal"/>
      </w:pPr>
      <w:r>
        <w:rPr>
          <w:rFonts w:ascii="Times New Roman" w:hAnsi="Times New Roman" w:eastAsia="SimSun" w:cs="Times New Roman"/>
          <w:color w:val="1A1A1A"/>
          <w:sz w:val="24"/>
          <w:szCs w:val="24"/>
        </w:rPr>
        <w:t>Earn-Back occurs when the Party that triggered the Step-Back completes the originally required milestone and obtains the corresponding IAEA Verification Certificate. The procedure is:</w:t>
      </w:r>
    </w:p>
    <w:p>
      <w:pPr>
        <w:pStyle w:val="Normal"/>
        <w:numPr>
          <w:ilvl w:val="0"/>
          <w:numId w:val="13"/>
        </w:numPr>
      </w:pPr>
      <w:r>
        <w:rPr>
          <w:b/>
          <w:rFonts w:ascii="Times New Roman" w:hAnsi="Times New Roman" w:eastAsia="SimSun" w:cs="Times New Roman"/>
          <w:color w:val="1A1A1A"/>
          <w:sz w:val="24"/>
          <w:szCs w:val="24"/>
        </w:rPr>
        <w:t xml:space="preserve">Milestone Completion: </w:t>
      </w:r>
      <w:r>
        <w:rPr>
          <w:rFonts w:ascii="Times New Roman" w:hAnsi="Times New Roman" w:eastAsia="SimSun" w:cs="Times New Roman"/>
          <w:color w:val="1A1A1A"/>
          <w:sz w:val="24"/>
          <w:szCs w:val="24"/>
        </w:rPr>
        <w:t>The non-complying Party completes the milestone that triggered the Step-Back, in full, to the IAEA’s satisfaction.</w:t>
      </w:r>
    </w:p>
    <w:p>
      <w:pPr>
        <w:pStyle w:val="Normal"/>
        <w:numPr>
          <w:ilvl w:val="0"/>
          <w:numId w:val="13"/>
        </w:numPr>
      </w:pPr>
      <w:r>
        <w:rPr>
          <w:b/>
          <w:rFonts w:ascii="Times New Roman" w:hAnsi="Times New Roman" w:eastAsia="SimSun" w:cs="Times New Roman"/>
          <w:color w:val="1A1A1A"/>
          <w:sz w:val="24"/>
          <w:szCs w:val="24"/>
        </w:rPr>
        <w:t xml:space="preserve">IAEA Certification: </w:t>
      </w:r>
      <w:r>
        <w:rPr>
          <w:rFonts w:ascii="Times New Roman" w:hAnsi="Times New Roman" w:eastAsia="SimSun" w:cs="Times New Roman"/>
          <w:color w:val="1A1A1A"/>
          <w:sz w:val="24"/>
          <w:szCs w:val="24"/>
        </w:rPr>
        <w:t>The IAEA issues the applicable Verification Certificate, confirming that the milestone is complete and all sub-elements are satisfied.</w:t>
      </w:r>
    </w:p>
    <w:p>
      <w:pPr>
        <w:pStyle w:val="Normal"/>
        <w:numPr>
          <w:ilvl w:val="0"/>
          <w:numId w:val="13"/>
        </w:numPr>
      </w:pPr>
      <w:r>
        <w:rPr>
          <w:b/>
          <w:rFonts w:ascii="Times New Roman" w:hAnsi="Times New Roman" w:eastAsia="SimSun" w:cs="Times New Roman"/>
          <w:color w:val="1A1A1A"/>
          <w:sz w:val="24"/>
          <w:szCs w:val="24"/>
        </w:rPr>
        <w:t xml:space="preserve">Transmission to Joint Secretariat: </w:t>
      </w:r>
      <w:r>
        <w:rPr>
          <w:rFonts w:ascii="Times New Roman" w:hAnsi="Times New Roman" w:eastAsia="SimSun" w:cs="Times New Roman"/>
          <w:color w:val="1A1A1A"/>
          <w:sz w:val="24"/>
          <w:szCs w:val="24"/>
        </w:rPr>
        <w:t>The IAEA transmits the certificate to the Joint Secretariat, which verifies it and forwards it to both Parties within 6 hours.</w:t>
      </w:r>
    </w:p>
    <w:p>
      <w:pPr>
        <w:pStyle w:val="Normal"/>
        <w:numPr>
          <w:ilvl w:val="0"/>
          <w:numId w:val="13"/>
        </w:numPr>
      </w:pPr>
      <w:r>
        <w:rPr>
          <w:b/>
          <w:rFonts w:ascii="Times New Roman" w:hAnsi="Times New Roman" w:eastAsia="SimSun" w:cs="Times New Roman"/>
          <w:color w:val="1A1A1A"/>
          <w:sz w:val="24"/>
          <w:szCs w:val="24"/>
        </w:rPr>
        <w:t xml:space="preserve">PCC Review: </w:t>
      </w:r>
      <w:r>
        <w:rPr>
          <w:rFonts w:ascii="Times New Roman" w:hAnsi="Times New Roman" w:eastAsia="SimSun" w:cs="Times New Roman"/>
          <w:color w:val="1A1A1A"/>
          <w:sz w:val="24"/>
          <w:szCs w:val="24"/>
        </w:rPr>
        <w:t>The PCC convenes within 48 hours. The PCC reviews the certificate and, provided both representatives agree, issues a Joint Disbursement Instruction for the suspended tranche.</w:t>
      </w:r>
    </w:p>
    <w:p>
      <w:pPr>
        <w:pStyle w:val="Normal"/>
        <w:numPr>
          <w:ilvl w:val="0"/>
          <w:numId w:val="13"/>
        </w:numPr>
      </w:pPr>
      <w:r>
        <w:rPr>
          <w:b/>
          <w:rFonts w:ascii="Times New Roman" w:hAnsi="Times New Roman" w:eastAsia="SimSun" w:cs="Times New Roman"/>
          <w:color w:val="1A1A1A"/>
          <w:sz w:val="24"/>
          <w:szCs w:val="24"/>
        </w:rPr>
        <w:t xml:space="preserve">Escrow Agent Execution: </w:t>
      </w:r>
      <w:r>
        <w:rPr>
          <w:rFonts w:ascii="Times New Roman" w:hAnsi="Times New Roman" w:eastAsia="SimSun" w:cs="Times New Roman"/>
          <w:color w:val="1A1A1A"/>
          <w:sz w:val="24"/>
          <w:szCs w:val="24"/>
        </w:rPr>
        <w:t>The Escrow Agent executes the release of the suspended tranche from both pools simultaneously within 24 hours.</w:t>
      </w:r>
    </w:p>
    <w:p>
      <w:pPr>
        <w:pStyle w:val="Normal"/>
        <w:numPr>
          <w:ilvl w:val="0"/>
          <w:numId w:val="13"/>
        </w:numPr>
      </w:pPr>
      <w:r>
        <w:rPr>
          <w:b/>
          <w:rFonts w:ascii="Times New Roman" w:hAnsi="Times New Roman" w:eastAsia="SimSun" w:cs="Times New Roman"/>
          <w:color w:val="1A1A1A"/>
          <w:sz w:val="24"/>
          <w:szCs w:val="24"/>
        </w:rPr>
        <w:t xml:space="preserve">Restoration: </w:t>
      </w:r>
      <w:r>
        <w:rPr>
          <w:rFonts w:ascii="Times New Roman" w:hAnsi="Times New Roman" w:eastAsia="SimSun" w:cs="Times New Roman"/>
          <w:color w:val="1A1A1A"/>
          <w:sz w:val="24"/>
          <w:szCs w:val="24"/>
        </w:rPr>
        <w:t>Upon execution, the Parties return to the position they would have occupied had the Step-Back never occurred. No penalty, no prejudice, no additional conditions apply.</w:t>
      </w:r>
    </w:p>
    <w:p>
      <w:pPr>
        <w:pStyle w:val="Heading3"/>
      </w:pPr>
      <w:r>
        <w:rPr>
          <w:rFonts w:ascii="Times New Roman" w:hAnsi="Times New Roman" w:eastAsia="SimHei" w:cs="Times New Roman"/>
          <w:b/>
          <w:color w:val="4A4A4A"/>
          <w:sz w:val="26"/>
          <w:szCs w:val="26"/>
        </w:rPr>
        <w:t>5.3.2 Earn-Back Is Automatic upon Compliance</w:t>
      </w:r>
    </w:p>
    <w:p>
      <w:pPr>
        <w:pStyle w:val="Normal"/>
      </w:pPr>
      <w:r>
        <w:rPr>
          <w:rFonts w:ascii="Times New Roman" w:hAnsi="Times New Roman" w:eastAsia="SimSun" w:cs="Times New Roman"/>
          <w:color w:val="1A1A1A"/>
          <w:sz w:val="24"/>
          <w:szCs w:val="24"/>
        </w:rPr>
        <w:t>Earn-Back is not discretionary. If the non-complying Party completes the required milestone and the IAEA issues the Verification Certificate, Earn-Back follows as a matter of structural logic. Neither Party blocks Earn-Back by raising new conditions, renegotiating terms, or demanding additional concessions. The purpose of Earn-Back is to restore the Parties to cooperation, not to extract new advantages from a temporary compliance failure. If a PCC co-chair unreasonably withholds signature on the Earn-Back Joint Disbursement Instruction, the safeguard in Article 4.4 applies.</w:t>
      </w:r>
    </w:p>
    <w:p>
      <w:pPr>
        <w:pStyle w:val="Heading3"/>
      </w:pPr>
      <w:r>
        <w:rPr>
          <w:rFonts w:ascii="Times New Roman" w:hAnsi="Times New Roman" w:eastAsia="SimHei" w:cs="Times New Roman"/>
          <w:b/>
          <w:color w:val="4A4A4A"/>
          <w:sz w:val="26"/>
          <w:szCs w:val="26"/>
        </w:rPr>
        <w:t>5.3.3 Good-Faith Facilitation During Step-Back</w:t>
      </w:r>
    </w:p>
    <w:p>
      <w:pPr>
        <w:pStyle w:val="Normal"/>
      </w:pPr>
      <w:r>
        <w:rPr>
          <w:rFonts w:ascii="Times New Roman" w:hAnsi="Times New Roman" w:eastAsia="SimSun" w:cs="Times New Roman"/>
          <w:color w:val="1A1A1A"/>
          <w:sz w:val="24"/>
          <w:szCs w:val="24"/>
        </w:rPr>
        <w:t>During an active Step-Back, both Parties undertake to facilitate the conditions necessary for Earn-Back. Good-faith facilitation includes:</w:t>
      </w:r>
    </w:p>
    <w:p>
      <w:pPr>
        <w:pStyle w:val="Normal"/>
        <w:numPr>
          <w:ilvl w:val="0"/>
          <w:numId w:val="13"/>
        </w:numPr>
      </w:pPr>
      <w:r>
        <w:rPr>
          <w:b/>
          <w:rFonts w:ascii="Times New Roman" w:hAnsi="Times New Roman" w:eastAsia="SimSun" w:cs="Times New Roman"/>
          <w:color w:val="1A1A1A"/>
          <w:sz w:val="24"/>
          <w:szCs w:val="24"/>
        </w:rPr>
        <w:t xml:space="preserve">Continued IAEA Cooperation: </w:t>
      </w:r>
      <w:r>
        <w:rPr>
          <w:rFonts w:ascii="Times New Roman" w:hAnsi="Times New Roman" w:eastAsia="SimSun" w:cs="Times New Roman"/>
          <w:color w:val="1A1A1A"/>
          <w:sz w:val="24"/>
          <w:szCs w:val="24"/>
        </w:rPr>
        <w:t>Iran continues to cooperate fully with the IAEA, maintaining all access, monitoring, and safeguards arrangements established before the Step-Back.</w:t>
      </w:r>
    </w:p>
    <w:p>
      <w:pPr>
        <w:pStyle w:val="Normal"/>
        <w:numPr>
          <w:ilvl w:val="0"/>
          <w:numId w:val="13"/>
        </w:numPr>
      </w:pPr>
      <w:r>
        <w:rPr>
          <w:b/>
          <w:rFonts w:ascii="Times New Roman" w:hAnsi="Times New Roman" w:eastAsia="SimSun" w:cs="Times New Roman"/>
          <w:color w:val="1A1A1A"/>
          <w:sz w:val="24"/>
          <w:szCs w:val="24"/>
        </w:rPr>
        <w:t xml:space="preserve">Technical Assistance: </w:t>
      </w:r>
      <w:r>
        <w:rPr>
          <w:rFonts w:ascii="Times New Roman" w:hAnsi="Times New Roman" w:eastAsia="SimSun" w:cs="Times New Roman"/>
          <w:color w:val="1A1A1A"/>
          <w:sz w:val="24"/>
          <w:szCs w:val="24"/>
        </w:rPr>
        <w:t>The United States supports, and does not obstruct, technical assistance to Iran for completing the required milestone, including through the IAEA Technical Cooperation Programme.</w:t>
      </w:r>
    </w:p>
    <w:p>
      <w:pPr>
        <w:pStyle w:val="Normal"/>
        <w:numPr>
          <w:ilvl w:val="0"/>
          <w:numId w:val="13"/>
        </w:numPr>
      </w:pPr>
      <w:r>
        <w:rPr>
          <w:b/>
          <w:rFonts w:ascii="Times New Roman" w:hAnsi="Times New Roman" w:eastAsia="SimSun" w:cs="Times New Roman"/>
          <w:color w:val="1A1A1A"/>
          <w:sz w:val="24"/>
          <w:szCs w:val="24"/>
        </w:rPr>
        <w:t xml:space="preserve">Dialogue Maintenance: </w:t>
      </w:r>
      <w:r>
        <w:rPr>
          <w:rFonts w:ascii="Times New Roman" w:hAnsi="Times New Roman" w:eastAsia="SimSun" w:cs="Times New Roman"/>
          <w:color w:val="1A1A1A"/>
          <w:sz w:val="24"/>
          <w:szCs w:val="24"/>
        </w:rPr>
        <w:t>Both Parties maintain regular communication through the Joint Secretariat and the PCC, meeting at least every 14 days during Step-Back to review progress and address obstacles.</w:t>
      </w:r>
    </w:p>
    <w:p>
      <w:pPr>
        <w:pStyle w:val="Normal"/>
        <w:numPr>
          <w:ilvl w:val="0"/>
          <w:numId w:val="13"/>
        </w:numPr>
      </w:pPr>
      <w:r>
        <w:rPr>
          <w:b/>
          <w:rFonts w:ascii="Times New Roman" w:hAnsi="Times New Roman" w:eastAsia="SimSun" w:cs="Times New Roman"/>
          <w:color w:val="1A1A1A"/>
          <w:sz w:val="24"/>
          <w:szCs w:val="24"/>
        </w:rPr>
        <w:t xml:space="preserve">No Punitive Measures: </w:t>
      </w:r>
      <w:r>
        <w:rPr>
          <w:rFonts w:ascii="Times New Roman" w:hAnsi="Times New Roman" w:eastAsia="SimSun" w:cs="Times New Roman"/>
          <w:color w:val="1A1A1A"/>
          <w:sz w:val="24"/>
          <w:szCs w:val="24"/>
        </w:rPr>
        <w:t>Neither Party imposes new sanctions, restrictions, or punitive measures on the other during Step-Back. Existing sanctions remain in force, but no new measures are added.</w:t>
      </w:r>
    </w:p>
    <w:p>
      <w:pPr>
        <w:pStyle w:val="Normal"/>
        <w:numPr>
          <w:ilvl w:val="0"/>
          <w:numId w:val="13"/>
        </w:numPr>
      </w:pPr>
      <w:r>
        <w:rPr>
          <w:b/>
          <w:rFonts w:ascii="Times New Roman" w:hAnsi="Times New Roman" w:eastAsia="SimSun" w:cs="Times New Roman"/>
          <w:color w:val="1A1A1A"/>
          <w:sz w:val="24"/>
          <w:szCs w:val="24"/>
        </w:rPr>
        <w:t xml:space="preserve">Escrow Agent Continuity: </w:t>
      </w:r>
      <w:r>
        <w:rPr>
          <w:rFonts w:ascii="Times New Roman" w:hAnsi="Times New Roman" w:eastAsia="SimSun" w:cs="Times New Roman"/>
          <w:color w:val="1A1A1A"/>
          <w:sz w:val="24"/>
          <w:szCs w:val="24"/>
        </w:rPr>
        <w:t>The Escrow Agent continues to administer both pools during Step-Back, maintaining segregation, security, and interest accrual.</w:t>
      </w:r>
    </w:p>
    <w:p>
      <w:pPr>
        <w:pStyle w:val="Heading3"/>
      </w:pPr>
      <w:r>
        <w:rPr>
          <w:rFonts w:ascii="Times New Roman" w:hAnsi="Times New Roman" w:eastAsia="SimHei" w:cs="Times New Roman"/>
          <w:b/>
          <w:color w:val="4A4A4A"/>
          <w:sz w:val="26"/>
          <w:szCs w:val="26"/>
        </w:rPr>
        <w:t>5.3.4 Clean Compliance Verification</w:t>
      </w:r>
    </w:p>
    <w:p>
      <w:pPr>
        <w:pStyle w:val="Normal"/>
      </w:pPr>
      <w:r>
        <w:rPr>
          <w:rFonts w:ascii="Times New Roman" w:hAnsi="Times New Roman" w:eastAsia="SimSun" w:cs="Times New Roman"/>
          <w:color w:val="1A1A1A"/>
          <w:sz w:val="24"/>
          <w:szCs w:val="24"/>
        </w:rPr>
        <w:t>Clean compliance for purposes of Earn-Back means the simultaneous satisfaction of all four conditions: (a) the IAEA records no new non-compliance findings during the relevant period; (b) the Party cooperates fully with all IAEA inspections and verification activities; (c) no material breach of any obligation under this Annex occurs; and (d) the Party achieves and maintains all required verification milestones. The IAEA verifies clean compliance and issues a Certificate of Clean Compliance at the conclusion of the relevant period. The certificate specifies: (i) the period of compliance verified; (ii) the specific obligations satisfied; (iii) any discrepancies or anomalies the IAEA notes; and (iv) a statement of full compliance. If a Party achieves clean compliance for a portion of the required period but not the entire period, partial Earn-Back activates proportional to the period of compliance, provided the Party demonstrates substantial progress toward full compliance.</w:t>
      </w:r>
    </w:p>
    <w:p>
      <w:pPr>
        <w:pStyle w:val="Heading2"/>
      </w:pPr>
      <w:r>
        <w:rPr>
          <w:rFonts w:ascii="Times New Roman" w:hAnsi="Times New Roman" w:eastAsia="SimHei" w:cs="Times New Roman"/>
          <w:b/>
          <w:color w:val="4A6B8A"/>
          <w:sz w:val="28"/>
          <w:szCs w:val="28"/>
        </w:rPr>
        <w:t>5.4 Three-Level Severity Framework</w:t>
      </w:r>
    </w:p>
    <w:p>
      <w:pPr>
        <w:pStyle w:val="Normal"/>
      </w:pPr>
      <w:r>
        <w:rPr>
          <w:rFonts w:ascii="Times New Roman" w:hAnsi="Times New Roman" w:eastAsia="SimSun" w:cs="Times New Roman"/>
          <w:color w:val="1A1A1A"/>
          <w:sz w:val="24"/>
          <w:szCs w:val="24"/>
        </w:rPr>
        <w:t>The Step-Back system operates at three levels of severity, allowing calibrated responses to different types of compliance failures:</w:t>
      </w:r>
    </w:p>
    <w:p>
      <w:pPr>
        <w:pStyle w:val="Normal"/>
      </w:pPr>
      <w:r>
        <w:rPr>
          <w:rFonts w:ascii="Times New Roman" w:hAnsi="Times New Roman" w:eastAsia="SimSun" w:cs="Times New Roman"/>
          <w:color w:val="1A1A1A"/>
          <w:sz w:val="24"/>
          <w:szCs w:val="24"/>
        </w:rPr>
        <w:t>Level 1: Technical Delay: A Level 1 Step-Back occurs when a milestone is not completed by the target date but the IAEA confirms that Iran is making substantive progress and that completion is achievable within the hard-cap period. Level 1 triggers enhanced monitoring and reporting but does not suspend the release timeline. The PCC meets weekly instead of fortnightly. The IAEA provides weekly progress reports. No funds are suspended.</w:t>
      </w:r>
    </w:p>
    <w:p>
      <w:pPr>
        <w:pStyle w:val="Normal"/>
      </w:pPr>
      <w:r>
        <w:rPr>
          <w:rFonts w:ascii="Times New Roman" w:hAnsi="Times New Roman" w:eastAsia="SimSun" w:cs="Times New Roman"/>
          <w:color w:val="1A1A1A"/>
          <w:sz w:val="24"/>
          <w:szCs w:val="24"/>
        </w:rPr>
        <w:t>Level 2: Hard-Cap Breach: A Level 2 Step-Back occurs when a milestone is not completed by the hard-cap deadline. Level 2 triggers automatic suspension of the next tranche. All effects under Article 5.1.2 apply. Earn-Back requires completion of the original milestone plus submission of a remediation plan to the PCC.</w:t>
      </w:r>
    </w:p>
    <w:p>
      <w:pPr>
        <w:pStyle w:val="Normal"/>
      </w:pPr>
      <w:r>
        <w:rPr>
          <w:rFonts w:ascii="Times New Roman" w:hAnsi="Times New Roman" w:eastAsia="SimSun" w:cs="Times New Roman"/>
          <w:color w:val="1A1A1A"/>
          <w:sz w:val="24"/>
          <w:szCs w:val="24"/>
        </w:rPr>
        <w:t>Level 3: Material Breach: A Level 3 Step-Back occurs when a Party commits a material breach as defined in Article 5.1.1. Level 3 triggers suspension of all future tranches and activation of the dispute resolution procedures under Article 8. Earn-Back requires: completion of the original milestone; a binding commitment not to repeat the breach; and acceptance of enhanced monitoring for a period of 90 days following Earn-Back.</w:t>
      </w:r>
    </w:p>
    <w:p>
      <w:pPr>
        <w:pStyle w:val="Heading1"/>
      </w:pPr>
      <w:bookmarkStart w:name="_Toc007" w:id="8"/>
      <w:r>
        <w:rPr>
          <w:rFonts w:ascii="Times New Roman" w:hAnsi="Times New Roman" w:eastAsia="SimHei" w:cs="Times New Roman"/>
          <w:b/>
          <w:color w:val="1E3A5F"/>
          <w:sz w:val="32"/>
          <w:szCs w:val="32"/>
        </w:rPr>
        <w:t>Article 6: Sovereign Use of Released Funds and Non-Directed Procurement</w:t>
      </w:r>
      <w:bookmarkEnd w:id="8"/>
    </w:p>
    <w:p>
      <w:pPr>
        <w:pStyle w:val="Normal"/>
      </w:pPr>
      <w:r>
        <w:rPr>
          <w:rFonts w:ascii="Times New Roman" w:hAnsi="Times New Roman" w:eastAsia="SimSun" w:cs="Times New Roman"/>
          <w:color w:val="1A1A1A"/>
          <w:sz w:val="24"/>
          <w:szCs w:val="24"/>
        </w:rPr>
        <w:t>This Article establishes the sovereign rights of the Islamic Republic of Iran over all funds released from escrow, the limitations on external direction of procurement, and the specific conditions that apply to each pool. The Parties affirm that Iran is a sovereign state with the exclusive right to determine its own economic, industrial, and development policies. No provision of this Annex derogates from that sovereignty.</w:t>
      </w:r>
    </w:p>
    <w:p>
      <w:pPr>
        <w:pStyle w:val="Heading2"/>
      </w:pPr>
      <w:r>
        <w:rPr>
          <w:rFonts w:ascii="Times New Roman" w:hAnsi="Times New Roman" w:eastAsia="SimHei" w:cs="Times New Roman"/>
          <w:b/>
          <w:color w:val="4A6B8A"/>
          <w:sz w:val="28"/>
          <w:szCs w:val="28"/>
        </w:rPr>
        <w:t>6.1 Sovereignty Principle</w:t>
      </w:r>
    </w:p>
    <w:p>
      <w:pPr>
        <w:pStyle w:val="Normal"/>
      </w:pPr>
      <w:r>
        <w:rPr>
          <w:rFonts w:ascii="Times New Roman" w:hAnsi="Times New Roman" w:eastAsia="SimSun" w:cs="Times New Roman"/>
          <w:color w:val="1A1A1A"/>
          <w:sz w:val="24"/>
          <w:szCs w:val="24"/>
        </w:rPr>
        <w:t>The Islamic Republic of Iran exercises full, exclusive, and undivided sovereignty over all funds released from escrow. This sovereignty includes: the right to determine the purposes for which released funds are used, subject only to the permitted-use restrictions that attach to Pool A under Article 2.2.2; the right to select suppliers, contractors, and commercial partners without external direction or coercion; the right to determine the currency, timing, and method of expenditure; the right to allocate funds among national, provincial, and sectoral priorities according to Iran’s own development plans; and the right to retain, invest, or reinvest any unspent funds without restriction. No Party, international organization, escrow agent, or third party exercises any form of oversight, approval, or veto over Iran’s sovereign use of released funds, except as expressly provided in Article 2.2.4 regarding Pool A joint oversight.</w:t>
      </w:r>
    </w:p>
    <w:p>
      <w:pPr>
        <w:pStyle w:val="Heading2"/>
      </w:pPr>
      <w:r>
        <w:rPr>
          <w:rFonts w:ascii="Times New Roman" w:hAnsi="Times New Roman" w:eastAsia="SimHei" w:cs="Times New Roman"/>
          <w:b/>
          <w:color w:val="4A6B8A"/>
          <w:sz w:val="28"/>
          <w:szCs w:val="28"/>
        </w:rPr>
        <w:t>6.2 Pool B: Unconditional Sovereign Use</w:t>
      </w:r>
    </w:p>
    <w:p>
      <w:pPr>
        <w:pStyle w:val="Normal"/>
      </w:pPr>
      <w:r>
        <w:rPr>
          <w:rFonts w:ascii="Times New Roman" w:hAnsi="Times New Roman" w:eastAsia="SimSun" w:cs="Times New Roman"/>
          <w:color w:val="1A1A1A"/>
          <w:sz w:val="24"/>
          <w:szCs w:val="24"/>
        </w:rPr>
        <w:t>Funds released from Pool B carry no conditions, restrictions, or oversight requirements of any kind. The Central Bank of Iran receives Pool B funds directly from the Neutral Qatar Escrow. No joint approval, no oversight mechanism, no reporting requirement, and no procurement direction attaches to Pool B funds. Iran uses Pool B funds for any purpose consistent with its sovereign interests and applicable international law, including: infrastructure reconstruction and development; energy sector modernization; industrial and manufacturing investment; healthcare and pharmaceutical procurement; agricultural development and food security; scientific research and technological advancement; and general budget support and macroeconomic stabilization. The United States, Qatar, the PCC, and all other entities affirm that they exercise no authority, express or implied, over Iran’s use of Pool B funds.</w:t>
      </w:r>
    </w:p>
    <w:p>
      <w:pPr>
        <w:pStyle w:val="Heading2"/>
      </w:pPr>
      <w:r>
        <w:rPr>
          <w:rFonts w:ascii="Times New Roman" w:hAnsi="Times New Roman" w:eastAsia="SimHei" w:cs="Times New Roman"/>
          <w:b/>
          <w:color w:val="4A6B8A"/>
          <w:sz w:val="28"/>
          <w:szCs w:val="28"/>
        </w:rPr>
        <w:t>6.3 Pool A: Permitted Uses and Joint Oversight</w:t>
      </w:r>
    </w:p>
    <w:p>
      <w:pPr>
        <w:pStyle w:val="Normal"/>
      </w:pPr>
      <w:r>
        <w:rPr>
          <w:rFonts w:ascii="Times New Roman" w:hAnsi="Times New Roman" w:eastAsia="SimSun" w:cs="Times New Roman"/>
          <w:color w:val="1A1A1A"/>
          <w:sz w:val="24"/>
          <w:szCs w:val="24"/>
        </w:rPr>
        <w:t>Funds released from Pool A are subject to the permitted-use restrictions in Article 2.2.2 and the joint oversight mechanism in Article 2.2.4. These restrictions apply only to Pool A and do not extend to Pool B or to any other Iranian funds. The permitted uses for Pool A are: food and agricultural commodities; medical supplies and pharmaceuticals; humanitarian goods as defined by UN OCHA and the ICRC; and agricultural inputs including seeds, fertilizers, and equipment. The joint oversight mechanism requires that both the United States and Qatar jointly approve each Pool A disbursement request. This oversight applies only to the release of funds from the escrow account to the disbursement account; it does not extend to procurement decisions made by Iranian authorities after funds reach the disbursement account.</w:t>
      </w:r>
    </w:p>
    <w:p>
      <w:pPr>
        <w:pStyle w:val="Heading2"/>
      </w:pPr>
      <w:r>
        <w:rPr>
          <w:rFonts w:ascii="Times New Roman" w:hAnsi="Times New Roman" w:eastAsia="SimHei" w:cs="Times New Roman"/>
          <w:b/>
          <w:color w:val="4A6B8A"/>
          <w:sz w:val="28"/>
          <w:szCs w:val="28"/>
        </w:rPr>
        <w:t>6.4 Priority Consideration: Fair and Transparent Evaluation</w:t>
      </w:r>
    </w:p>
    <w:p>
      <w:pPr>
        <w:pStyle w:val="Normal"/>
      </w:pPr>
      <w:r>
        <w:rPr>
          <w:rFonts w:ascii="Times New Roman" w:hAnsi="Times New Roman" w:eastAsia="SimSun" w:cs="Times New Roman"/>
          <w:color w:val="1A1A1A"/>
          <w:sz w:val="24"/>
          <w:szCs w:val="24"/>
        </w:rPr>
        <w:t>Iranian procurement authorities provide Priority Consideration when procuring goods using Pool A funds. Priority Consideration requires a fair and transparent evaluation process that includes suppliers from all countries alongside other qualified bidders. The evaluation process employs objective criteria including price, quality, delivery timeline, and technical specifications. For the avoidance of doubt: no supplier receives a price preference; no quota or minimum purchase requirement applies to any country or supplier; no guaranteed contract award goes to any specific supplier; and no qualified supplier is excluded from the evaluation process. The final procurement decision remains with the Islamic Republic of Iran, based on the best overall value to Iran. Priority Consideration applies solely to Pool A and does not attach to Pool B.</w:t>
      </w:r>
    </w:p>
    <w:p>
      <w:pPr>
        <w:pStyle w:val="Heading2"/>
      </w:pPr>
      <w:r>
        <w:rPr>
          <w:rFonts w:ascii="Times New Roman" w:hAnsi="Times New Roman" w:eastAsia="SimHei" w:cs="Times New Roman"/>
          <w:b/>
          <w:color w:val="4A6B8A"/>
          <w:sz w:val="28"/>
          <w:szCs w:val="28"/>
        </w:rPr>
        <w:t>6.5 Procurement Prohibitions</w:t>
      </w:r>
    </w:p>
    <w:p>
      <w:pPr>
        <w:pStyle w:val="Normal"/>
      </w:pPr>
      <w:r>
        <w:rPr>
          <w:rFonts w:ascii="Times New Roman" w:hAnsi="Times New Roman" w:eastAsia="SimSun" w:cs="Times New Roman"/>
          <w:color w:val="1A1A1A"/>
          <w:sz w:val="24"/>
          <w:szCs w:val="24"/>
        </w:rPr>
        <w:t>The following procurement practices are prohibited in connection with the use of Pool A funds:</w:t>
      </w:r>
    </w:p>
    <w:p>
      <w:pPr>
        <w:pStyle w:val="Normal"/>
        <w:numPr>
          <w:ilvl w:val="0"/>
          <w:numId w:val="14"/>
        </w:numPr>
      </w:pPr>
      <w:r>
        <w:rPr>
          <w:b/>
          <w:rFonts w:ascii="Times New Roman" w:hAnsi="Times New Roman" w:eastAsia="SimSun" w:cs="Times New Roman"/>
          <w:color w:val="1A1A1A"/>
          <w:sz w:val="24"/>
          <w:szCs w:val="24"/>
        </w:rPr>
        <w:t xml:space="preserve">Price Preferences: </w:t>
      </w:r>
      <w:r>
        <w:rPr>
          <w:rFonts w:ascii="Times New Roman" w:hAnsi="Times New Roman" w:eastAsia="SimSun" w:cs="Times New Roman"/>
          <w:color w:val="1A1A1A"/>
          <w:sz w:val="24"/>
          <w:szCs w:val="24"/>
        </w:rPr>
        <w:t>No price preference for any supplier, country, or commercial bloc. All suppliers compete on price on equal terms.</w:t>
      </w:r>
    </w:p>
    <w:p>
      <w:pPr>
        <w:pStyle w:val="Normal"/>
        <w:numPr>
          <w:ilvl w:val="0"/>
          <w:numId w:val="14"/>
        </w:numPr>
      </w:pPr>
      <w:r>
        <w:rPr>
          <w:b/>
          <w:rFonts w:ascii="Times New Roman" w:hAnsi="Times New Roman" w:eastAsia="SimSun" w:cs="Times New Roman"/>
          <w:color w:val="1A1A1A"/>
          <w:sz w:val="24"/>
          <w:szCs w:val="24"/>
        </w:rPr>
        <w:t xml:space="preserve">Quotas and Minimums: </w:t>
      </w:r>
      <w:r>
        <w:rPr>
          <w:rFonts w:ascii="Times New Roman" w:hAnsi="Times New Roman" w:eastAsia="SimSun" w:cs="Times New Roman"/>
          <w:color w:val="1A1A1A"/>
          <w:sz w:val="24"/>
          <w:szCs w:val="24"/>
        </w:rPr>
        <w:t>No quota, minimum purchase requirement, or volume guarantee for any supplier, country, or commercial bloc.</w:t>
      </w:r>
    </w:p>
    <w:p>
      <w:pPr>
        <w:pStyle w:val="Normal"/>
        <w:numPr>
          <w:ilvl w:val="0"/>
          <w:numId w:val="14"/>
        </w:numPr>
      </w:pPr>
      <w:r>
        <w:rPr>
          <w:b/>
          <w:rFonts w:ascii="Times New Roman" w:hAnsi="Times New Roman" w:eastAsia="SimSun" w:cs="Times New Roman"/>
          <w:color w:val="1A1A1A"/>
          <w:sz w:val="24"/>
          <w:szCs w:val="24"/>
        </w:rPr>
        <w:t xml:space="preserve">Guaranteed Awards: </w:t>
      </w:r>
      <w:r>
        <w:rPr>
          <w:rFonts w:ascii="Times New Roman" w:hAnsi="Times New Roman" w:eastAsia="SimSun" w:cs="Times New Roman"/>
          <w:color w:val="1A1A1A"/>
          <w:sz w:val="24"/>
          <w:szCs w:val="24"/>
        </w:rPr>
        <w:t>No guaranteed contract award, set-aside, or exclusive supplier arrangement.</w:t>
      </w:r>
    </w:p>
    <w:p>
      <w:pPr>
        <w:pStyle w:val="Normal"/>
        <w:numPr>
          <w:ilvl w:val="0"/>
          <w:numId w:val="14"/>
        </w:numPr>
      </w:pPr>
      <w:r>
        <w:rPr>
          <w:b/>
          <w:rFonts w:ascii="Times New Roman" w:hAnsi="Times New Roman" w:eastAsia="SimSun" w:cs="Times New Roman"/>
          <w:color w:val="1A1A1A"/>
          <w:sz w:val="24"/>
          <w:szCs w:val="24"/>
        </w:rPr>
        <w:t xml:space="preserve">Exclusion of Qualified Bidders: </w:t>
      </w:r>
      <w:r>
        <w:rPr>
          <w:rFonts w:ascii="Times New Roman" w:hAnsi="Times New Roman" w:eastAsia="SimSun" w:cs="Times New Roman"/>
          <w:color w:val="1A1A1A"/>
          <w:sz w:val="24"/>
          <w:szCs w:val="24"/>
        </w:rPr>
        <w:t>No qualified supplier is excluded from the evaluation process based on nationality, political alignment, or any criterion other than failure to meet the objective technical and commercial requirements of the procurement.</w:t>
      </w:r>
    </w:p>
    <w:p>
      <w:pPr>
        <w:pStyle w:val="Normal"/>
        <w:numPr>
          <w:ilvl w:val="0"/>
          <w:numId w:val="14"/>
        </w:numPr>
      </w:pPr>
      <w:r>
        <w:rPr>
          <w:b/>
          <w:rFonts w:ascii="Times New Roman" w:hAnsi="Times New Roman" w:eastAsia="SimSun" w:cs="Times New Roman"/>
          <w:color w:val="1A1A1A"/>
          <w:sz w:val="24"/>
          <w:szCs w:val="24"/>
        </w:rPr>
        <w:t xml:space="preserve">Coercion and Direction: </w:t>
      </w:r>
      <w:r>
        <w:rPr>
          <w:rFonts w:ascii="Times New Roman" w:hAnsi="Times New Roman" w:eastAsia="SimSun" w:cs="Times New Roman"/>
          <w:color w:val="1A1A1A"/>
          <w:sz w:val="24"/>
          <w:szCs w:val="24"/>
        </w:rPr>
        <w:t>No Party, escrow agent, or third party coerces, directs, or unduly influences Iranian procurement decisions. Iran retains full discretion over the final award.</w:t>
      </w:r>
    </w:p>
    <w:p>
      <w:pPr>
        <w:pStyle w:val="Heading2"/>
      </w:pPr>
      <w:r>
        <w:rPr>
          <w:rFonts w:ascii="Times New Roman" w:hAnsi="Times New Roman" w:eastAsia="SimHei" w:cs="Times New Roman"/>
          <w:b/>
          <w:color w:val="4A6B8A"/>
          <w:sz w:val="28"/>
          <w:szCs w:val="28"/>
        </w:rPr>
        <w:t>6.6 No Conditionality Beyond This Annex</w:t>
      </w:r>
    </w:p>
    <w:p>
      <w:pPr>
        <w:pStyle w:val="Normal"/>
      </w:pPr>
      <w:r>
        <w:rPr>
          <w:rFonts w:ascii="Times New Roman" w:hAnsi="Times New Roman" w:eastAsia="SimSun" w:cs="Times New Roman"/>
          <w:color w:val="1A1A1A"/>
          <w:sz w:val="24"/>
          <w:szCs w:val="24"/>
        </w:rPr>
        <w:t>No condition, requirement, or obligation beyond those expressly stated in this Annex attaches to the release or use of escrow funds. The following do not constitute conditions for release: Iran’s acceptance of additional nuclear obligations beyond those specified in Annexes O, P, V, and Z of the Islamabad Accord; Iran’s adoption of specific economic, financial, or trade policies; Iran’s diplomatic posture toward any third country; Iran’s domestic political arrangements or governance structure; or Iran’s participation in any regional security arrangement. The release of funds depends exclusively on the IAEA verification milestones specified in Article 3 of this Annex.</w:t>
      </w:r>
    </w:p>
    <w:p>
      <w:pPr>
        <w:pStyle w:val="Heading2"/>
      </w:pPr>
      <w:r>
        <w:rPr>
          <w:rFonts w:ascii="Times New Roman" w:hAnsi="Times New Roman" w:eastAsia="SimHei" w:cs="Times New Roman"/>
          <w:b/>
          <w:color w:val="4A6B8A"/>
          <w:sz w:val="28"/>
          <w:szCs w:val="28"/>
        </w:rPr>
        <w:t>6.7 Non-Derogation from NPT Rights</w:t>
      </w:r>
    </w:p>
    <w:p>
      <w:pPr>
        <w:pStyle w:val="Normal"/>
      </w:pPr>
      <w:r>
        <w:rPr>
          <w:rFonts w:ascii="Times New Roman" w:hAnsi="Times New Roman" w:eastAsia="SimSun" w:cs="Times New Roman"/>
          <w:color w:val="1A1A1A"/>
          <w:sz w:val="24"/>
          <w:szCs w:val="24"/>
        </w:rPr>
        <w:t>Nothing in this Annex derogates from Iran's rights under Article IV of the Treaty on the Non-Proliferation of Nuclear Weapons (NPT). Specifically:</w:t>
      </w:r>
    </w:p>
    <w:p>
      <w:pPr>
        <w:pStyle w:val="Normal"/>
        <w:numPr>
          <w:ilvl w:val="0"/>
          <w:numId w:val="15"/>
        </w:numPr>
      </w:pPr>
      <w:r>
        <w:rPr>
          <w:b/>
          <w:rFonts w:ascii="Times New Roman" w:hAnsi="Times New Roman" w:eastAsia="SimSun" w:cs="Times New Roman"/>
          <w:color w:val="1A1A1A"/>
          <w:sz w:val="24"/>
          <w:szCs w:val="24"/>
        </w:rPr>
        <w:t xml:space="preserve">Right to Peaceful Nuclear Energy: </w:t>
      </w:r>
      <w:r>
        <w:rPr>
          <w:rFonts w:ascii="Times New Roman" w:hAnsi="Times New Roman" w:eastAsia="SimSun" w:cs="Times New Roman"/>
          <w:color w:val="1A1A1A"/>
          <w:sz w:val="24"/>
          <w:szCs w:val="24"/>
        </w:rPr>
        <w:t>This Annex does not restrict Iran’s right to research, produce, and use nuclear energy for peaceful purposes, including enrichment to the Civilian Enrichment Level of 3.67% U-235 for civilian nuclear power generation and research, subject to IAEA safeguards.</w:t>
      </w:r>
    </w:p>
    <w:p>
      <w:pPr>
        <w:pStyle w:val="Normal"/>
        <w:numPr>
          <w:ilvl w:val="0"/>
          <w:numId w:val="15"/>
        </w:numPr>
      </w:pPr>
      <w:r>
        <w:rPr>
          <w:b/>
          <w:rFonts w:ascii="Times New Roman" w:hAnsi="Times New Roman" w:eastAsia="SimSun" w:cs="Times New Roman"/>
          <w:color w:val="1A1A1A"/>
          <w:sz w:val="24"/>
          <w:szCs w:val="24"/>
        </w:rPr>
        <w:t xml:space="preserve">Right to Nuclear Fuel Cycle: </w:t>
      </w:r>
      <w:r>
        <w:rPr>
          <w:rFonts w:ascii="Times New Roman" w:hAnsi="Times New Roman" w:eastAsia="SimSun" w:cs="Times New Roman"/>
          <w:color w:val="1A1A1A"/>
          <w:sz w:val="24"/>
          <w:szCs w:val="24"/>
        </w:rPr>
        <w:t>This Annex does not require Iran to dismantle, suspend, or limit its civilian nuclear fuel cycle, including enrichment, conversion, fuel fabrication, or reprocessing for civilian purposes under IAEA safeguards.</w:t>
      </w:r>
    </w:p>
    <w:p>
      <w:pPr>
        <w:pStyle w:val="Normal"/>
        <w:numPr>
          <w:ilvl w:val="0"/>
          <w:numId w:val="15"/>
        </w:numPr>
      </w:pPr>
      <w:r>
        <w:rPr>
          <w:b/>
          <w:rFonts w:ascii="Times New Roman" w:hAnsi="Times New Roman" w:eastAsia="SimSun" w:cs="Times New Roman"/>
          <w:color w:val="1A1A1A"/>
          <w:sz w:val="24"/>
          <w:szCs w:val="24"/>
        </w:rPr>
        <w:t xml:space="preserve">Right to Technical Cooperation: </w:t>
      </w:r>
      <w:r>
        <w:rPr>
          <w:rFonts w:ascii="Times New Roman" w:hAnsi="Times New Roman" w:eastAsia="SimSun" w:cs="Times New Roman"/>
          <w:color w:val="1A1A1A"/>
          <w:sz w:val="24"/>
          <w:szCs w:val="24"/>
        </w:rPr>
        <w:t>This Annex does not restrict Iran’s access to nuclear technology, materials, or equipment for peaceful purposes through IAEA Technical Cooperation or other legitimate channels.</w:t>
      </w:r>
    </w:p>
    <w:p>
      <w:pPr>
        <w:pStyle w:val="Normal"/>
        <w:numPr>
          <w:ilvl w:val="0"/>
          <w:numId w:val="15"/>
        </w:numPr>
      </w:pPr>
      <w:r>
        <w:rPr>
          <w:b/>
          <w:rFonts w:ascii="Times New Roman" w:hAnsi="Times New Roman" w:eastAsia="SimSun" w:cs="Times New Roman"/>
          <w:color w:val="1A1A1A"/>
          <w:sz w:val="24"/>
          <w:szCs w:val="24"/>
        </w:rPr>
        <w:t xml:space="preserve">No Precedent for Future Restrictions: </w:t>
      </w:r>
      <w:r>
        <w:rPr>
          <w:rFonts w:ascii="Times New Roman" w:hAnsi="Times New Roman" w:eastAsia="SimSun" w:cs="Times New Roman"/>
          <w:color w:val="1A1A1A"/>
          <w:sz w:val="24"/>
          <w:szCs w:val="24"/>
        </w:rPr>
        <w:t>No provision of this Annex establishes a precedent for future restrictions on Iran’s peaceful nuclear program. This Annex addresses only the 60% enriched uranium stockpile and the associated frozen assets. It does not address Iran’s broader nuclear program or capabilities.</w:t>
      </w:r>
    </w:p>
    <w:p>
      <w:pPr>
        <w:pStyle w:val="Heading1"/>
      </w:pPr>
      <w:bookmarkStart w:name="_Toc008" w:id="9"/>
      <w:r>
        <w:rPr>
          <w:rFonts w:ascii="Times New Roman" w:hAnsi="Times New Roman" w:eastAsia="SimHei" w:cs="Times New Roman"/>
          <w:b/>
          <w:color w:val="1E3A5F"/>
          <w:sz w:val="32"/>
          <w:szCs w:val="32"/>
        </w:rPr>
        <w:t>Article 7: Duration, Supersession, and Interpretation</w:t>
      </w:r>
      <w:bookmarkEnd w:id="9"/>
    </w:p>
    <w:p>
      <w:pPr>
        <w:pStyle w:val="Heading2"/>
      </w:pPr>
      <w:r>
        <w:rPr>
          <w:rFonts w:ascii="Times New Roman" w:hAnsi="Times New Roman" w:eastAsia="SimHei" w:cs="Times New Roman"/>
          <w:b/>
          <w:color w:val="4A6B8A"/>
          <w:sz w:val="28"/>
          <w:szCs w:val="28"/>
        </w:rPr>
        <w:t>7.1 60-Day Initial Operating Period</w:t>
      </w:r>
    </w:p>
    <w:p>
      <w:pPr>
        <w:pStyle w:val="Normal"/>
      </w:pPr>
      <w:r>
        <w:rPr>
          <w:rFonts w:ascii="Times New Roman" w:hAnsi="Times New Roman" w:eastAsia="SimSun" w:cs="Times New Roman"/>
          <w:color w:val="1A1A1A"/>
          <w:sz w:val="24"/>
          <w:szCs w:val="24"/>
        </w:rPr>
        <w:t>The Two-Pool Synchronized Disbursement mechanism operates within a 60-Day Initial Operating Period, commencing on the date the Escrow Agent issues the Deposit Confirmation Certificates under Article 2.1. The 60-Day Period provides the framework within which both tranches target release. The schedule is:</w:t>
      </w:r>
    </w:p>
    <w:p>
      <w:pPr>
        <w:pStyle w:val="Normal"/>
        <w:numPr>
          <w:ilvl w:val="0"/>
          <w:numId w:val="16"/>
        </w:numPr>
      </w:pPr>
      <w:r>
        <w:rPr>
          <w:b/>
          <w:rFonts w:ascii="Times New Roman" w:hAnsi="Times New Roman" w:eastAsia="SimSun" w:cs="Times New Roman"/>
          <w:color w:val="1A1A1A"/>
          <w:sz w:val="24"/>
          <w:szCs w:val="24"/>
        </w:rPr>
        <w:t xml:space="preserve">Days 1–5: </w:t>
      </w:r>
      <w:r>
        <w:rPr>
          <w:rFonts w:ascii="Times New Roman" w:hAnsi="Times New Roman" w:eastAsia="SimSun" w:cs="Times New Roman"/>
          <w:color w:val="1A1A1A"/>
          <w:sz w:val="24"/>
          <w:szCs w:val="24"/>
        </w:rPr>
        <w:t>Escrow establishment, deposit verification, and PCC certification of pool division. Both pools are fully funded and operational by Day 5.</w:t>
      </w:r>
    </w:p>
    <w:p>
      <w:pPr>
        <w:pStyle w:val="Normal"/>
        <w:numPr>
          <w:ilvl w:val="0"/>
          <w:numId w:val="16"/>
        </w:numPr>
      </w:pPr>
      <w:r>
        <w:rPr>
          <w:b/>
          <w:rFonts w:ascii="Times New Roman" w:hAnsi="Times New Roman" w:eastAsia="SimSun" w:cs="Times New Roman"/>
          <w:color w:val="1A1A1A"/>
          <w:sz w:val="24"/>
          <w:szCs w:val="24"/>
        </w:rPr>
        <w:t xml:space="preserve">Days 6–44: </w:t>
      </w:r>
      <w:r>
        <w:rPr>
          <w:rFonts w:ascii="Times New Roman" w:hAnsi="Times New Roman" w:eastAsia="SimSun" w:cs="Times New Roman"/>
          <w:color w:val="1A1A1A"/>
          <w:sz w:val="24"/>
          <w:szCs w:val="24"/>
        </w:rPr>
        <w:t>Active verification period for Tranche 1. The IAEA conducts inspections, establishes dual-key custody, installs monitoring equipment, and completes the baseline inventory. The target for Tranche 1 release is Day 45.</w:t>
      </w:r>
    </w:p>
    <w:p>
      <w:pPr>
        <w:pStyle w:val="Normal"/>
        <w:numPr>
          <w:ilvl w:val="0"/>
          <w:numId w:val="16"/>
        </w:numPr>
      </w:pPr>
      <w:r>
        <w:rPr>
          <w:b/>
          <w:rFonts w:ascii="Times New Roman" w:hAnsi="Times New Roman" w:eastAsia="SimSun" w:cs="Times New Roman"/>
          <w:color w:val="1A1A1A"/>
          <w:sz w:val="24"/>
          <w:szCs w:val="24"/>
        </w:rPr>
        <w:t xml:space="preserve">Day 45 (Target) / Day 60 (Hard Cap): </w:t>
      </w:r>
      <w:r>
        <w:rPr>
          <w:rFonts w:ascii="Times New Roman" w:hAnsi="Times New Roman" w:eastAsia="SimSun" w:cs="Times New Roman"/>
          <w:color w:val="1A1A1A"/>
          <w:sz w:val="24"/>
          <w:szCs w:val="24"/>
        </w:rPr>
        <w:t>Tranche 1 releases upon IAEA issuance of the National HEU Verification and Custody Certificate. The target date is Day 45. If the certificate issues before Day 45, release occurs immediately upon certification. If the certificate has not issued by Day 60 (the hard cap), Step-Back activates automatically under Article 5.</w:t>
      </w:r>
    </w:p>
    <w:p>
      <w:pPr>
        <w:pStyle w:val="Normal"/>
        <w:numPr>
          <w:ilvl w:val="0"/>
          <w:numId w:val="16"/>
        </w:numPr>
      </w:pPr>
      <w:r>
        <w:rPr>
          <w:b/>
          <w:rFonts w:ascii="Times New Roman" w:hAnsi="Times New Roman" w:eastAsia="SimSun" w:cs="Times New Roman"/>
          <w:color w:val="1A1A1A"/>
          <w:sz w:val="24"/>
          <w:szCs w:val="24"/>
        </w:rPr>
        <w:t xml:space="preserve">Days 46–59: </w:t>
      </w:r>
      <w:r>
        <w:rPr>
          <w:rFonts w:ascii="Times New Roman" w:hAnsi="Times New Roman" w:eastAsia="SimSun" w:cs="Times New Roman"/>
          <w:color w:val="1A1A1A"/>
          <w:sz w:val="24"/>
          <w:szCs w:val="24"/>
        </w:rPr>
        <w:t>If Tranche 1 releases on or before Day 45, the active downblending period for Tranche 2 commences immediately. The IAEA monitors downblending operations, verifies mass balance, and tracks the disposition pathway. The target for Tranche 2 release is Day 60.</w:t>
      </w:r>
    </w:p>
    <w:p>
      <w:pPr>
        <w:pStyle w:val="Normal"/>
        <w:numPr>
          <w:ilvl w:val="0"/>
          <w:numId w:val="16"/>
        </w:numPr>
      </w:pPr>
      <w:r>
        <w:rPr>
          <w:b/>
          <w:rFonts w:ascii="Times New Roman" w:hAnsi="Times New Roman" w:eastAsia="SimSun" w:cs="Times New Roman"/>
          <w:color w:val="1A1A1A"/>
          <w:sz w:val="24"/>
          <w:szCs w:val="24"/>
        </w:rPr>
        <w:t xml:space="preserve">Day 60 (Target) / Day 90 (Hard Cap): </w:t>
      </w:r>
      <w:r>
        <w:rPr>
          <w:rFonts w:ascii="Times New Roman" w:hAnsi="Times New Roman" w:eastAsia="SimSun" w:cs="Times New Roman"/>
          <w:color w:val="1A1A1A"/>
          <w:sz w:val="24"/>
          <w:szCs w:val="24"/>
        </w:rPr>
        <w:t>Tranche 2 releases upon IAEA issuance of the Downblending Completion Certificate. The target date is Day 60. If the certificate issues before Day 60, release occurs immediately upon certification. If the certificate has not issued by Day 90 (the hard cap), Step-Back activates automatically under Article 5.</w:t>
      </w:r>
    </w:p>
    <w:p>
      <w:pPr>
        <w:pStyle w:val="Normal"/>
        <w:numPr>
          <w:ilvl w:val="0"/>
          <w:numId w:val="16"/>
        </w:numPr>
      </w:pPr>
      <w:r>
        <w:rPr>
          <w:b/>
          <w:rFonts w:ascii="Times New Roman" w:hAnsi="Times New Roman" w:eastAsia="SimSun" w:cs="Times New Roman"/>
          <w:color w:val="1A1A1A"/>
          <w:sz w:val="24"/>
          <w:szCs w:val="24"/>
        </w:rPr>
        <w:t xml:space="preserve">Day 90: </w:t>
      </w:r>
      <w:r>
        <w:rPr>
          <w:rFonts w:ascii="Times New Roman" w:hAnsi="Times New Roman" w:eastAsia="SimSun" w:cs="Times New Roman"/>
          <w:color w:val="1A1A1A"/>
          <w:sz w:val="24"/>
          <w:szCs w:val="24"/>
        </w:rPr>
        <w:t>Maximum duration of the Initial Operating Period. All milestones complete by Day 90 under normal circumstances. If Step-Back is active at Day 90, the Earn-Back procedures of Article 5.3 continue to apply beyond Day 90 until the milestone is completed and the suspended tranche releases.</w:t>
      </w:r>
    </w:p>
    <w:p>
      <w:pPr>
        <w:pStyle w:val="Heading2"/>
      </w:pPr>
      <w:r>
        <w:rPr>
          <w:rFonts w:ascii="Times New Roman" w:hAnsi="Times New Roman" w:eastAsia="SimHei" w:cs="Times New Roman"/>
          <w:b/>
          <w:color w:val="4A6B8A"/>
          <w:sz w:val="28"/>
          <w:szCs w:val="28"/>
        </w:rPr>
        <w:t>7.2 Automatic Extension for Earn-Back</w:t>
      </w:r>
    </w:p>
    <w:p>
      <w:pPr>
        <w:pStyle w:val="Normal"/>
      </w:pPr>
      <w:r>
        <w:rPr>
          <w:rFonts w:ascii="Times New Roman" w:hAnsi="Times New Roman" w:eastAsia="SimSun" w:cs="Times New Roman"/>
          <w:color w:val="1A1A1A"/>
          <w:sz w:val="24"/>
          <w:szCs w:val="24"/>
        </w:rPr>
        <w:t>If Step-Back is active at the expiration of the 60-Day Initial Operating Period, the escrow period extends automatically for the duration necessary to complete the Earn-Back procedure. The extension is not time-limited; it continues until the non-complying Party completes the required milestone and the Escrow Agent releases the suspended tranche. During the extension, the Escrow Agent continues to administer both pools, Interest Accrual continues, and all other provisions of this Annex remain in full force. Neither Party terminates the escrow or demands return of the escrowed funds during an extension.</w:t>
      </w:r>
    </w:p>
    <w:p>
      <w:pPr>
        <w:pStyle w:val="Heading2"/>
      </w:pPr>
      <w:r>
        <w:rPr>
          <w:rFonts w:ascii="Times New Roman" w:hAnsi="Times New Roman" w:eastAsia="SimHei" w:cs="Times New Roman"/>
          <w:b/>
          <w:color w:val="4A6B8A"/>
          <w:sz w:val="28"/>
          <w:szCs w:val="28"/>
        </w:rPr>
        <w:t>7.3 Supersession</w:t>
      </w:r>
    </w:p>
    <w:p>
      <w:pPr>
        <w:pStyle w:val="Normal"/>
      </w:pPr>
      <w:r>
        <w:rPr>
          <w:rFonts w:ascii="Times New Roman" w:hAnsi="Times New Roman" w:eastAsia="SimSun" w:cs="Times New Roman"/>
          <w:color w:val="1A1A1A"/>
          <w:sz w:val="24"/>
          <w:szCs w:val="24"/>
        </w:rPr>
        <w:t>This Annex supersedes and replaces all prior provisions in the Islamabad Accord and its annexes that address the release of frozen Iranian assets, escrow mechanisms, or the linkage between nuclear milestones and financial release. Specifically, this Annex supersedes: any prior provisions regarding a single escrow pool; any prior tranche structures that are inconsistent with the Two-Pool Synchronized Disbursement architecture; any prior timelines for milestone completion and fund release; any prior definitions of Release Triggers, IAEA verification requirements, or disbursement conditions; and any prior dispute resolution mechanisms specific to escrow and financial release matters. In the event of a conflict between this Annex and any other provision of the Islamabad Accord regarding escrow, financial release, or the linkage between verification and disbursement, this Annex governs.</w:t>
      </w:r>
    </w:p>
    <w:p>
      <w:pPr>
        <w:pStyle w:val="Heading2"/>
      </w:pPr>
      <w:r>
        <w:rPr>
          <w:rFonts w:ascii="Times New Roman" w:hAnsi="Times New Roman" w:eastAsia="SimHei" w:cs="Times New Roman"/>
          <w:b/>
          <w:color w:val="4A6B8A"/>
          <w:sz w:val="28"/>
          <w:szCs w:val="28"/>
        </w:rPr>
        <w:t>7.4 Interpretation</w:t>
      </w:r>
    </w:p>
    <w:p>
      <w:pPr>
        <w:pStyle w:val="Normal"/>
      </w:pPr>
      <w:r>
        <w:rPr>
          <w:rFonts w:ascii="Times New Roman" w:hAnsi="Times New Roman" w:eastAsia="SimSun" w:cs="Times New Roman"/>
          <w:color w:val="1A1A1A"/>
          <w:sz w:val="24"/>
          <w:szCs w:val="24"/>
        </w:rPr>
        <w:t>The following principles govern the interpretation of this Annex:</w:t>
      </w:r>
    </w:p>
    <w:p>
      <w:pPr>
        <w:pStyle w:val="Normal"/>
        <w:numPr>
          <w:ilvl w:val="0"/>
          <w:numId w:val="17"/>
        </w:numPr>
      </w:pPr>
      <w:r>
        <w:rPr>
          <w:b/>
          <w:rFonts w:ascii="Times New Roman" w:hAnsi="Times New Roman" w:eastAsia="SimSun" w:cs="Times New Roman"/>
          <w:color w:val="1A1A1A"/>
          <w:sz w:val="24"/>
          <w:szCs w:val="24"/>
        </w:rPr>
        <w:t xml:space="preserve">Good Faith: </w:t>
      </w:r>
      <w:r>
        <w:rPr>
          <w:rFonts w:ascii="Times New Roman" w:hAnsi="Times New Roman" w:eastAsia="SimSun" w:cs="Times New Roman"/>
          <w:color w:val="1A1A1A"/>
          <w:sz w:val="24"/>
          <w:szCs w:val="24"/>
        </w:rPr>
        <w:t>Both Parties interpret and apply this Annex in good faith, seeking to give effect to its purposes and principles.</w:t>
      </w:r>
    </w:p>
    <w:p>
      <w:pPr>
        <w:pStyle w:val="Normal"/>
        <w:numPr>
          <w:ilvl w:val="0"/>
          <w:numId w:val="17"/>
        </w:numPr>
      </w:pPr>
      <w:r>
        <w:rPr>
          <w:b/>
          <w:rFonts w:ascii="Times New Roman" w:hAnsi="Times New Roman" w:eastAsia="SimSun" w:cs="Times New Roman"/>
          <w:color w:val="1A1A1A"/>
          <w:sz w:val="24"/>
          <w:szCs w:val="24"/>
        </w:rPr>
        <w:t xml:space="preserve">Plain Meaning: </w:t>
      </w:r>
      <w:r>
        <w:rPr>
          <w:rFonts w:ascii="Times New Roman" w:hAnsi="Times New Roman" w:eastAsia="SimSun" w:cs="Times New Roman"/>
          <w:color w:val="1A1A1A"/>
          <w:sz w:val="24"/>
          <w:szCs w:val="24"/>
        </w:rPr>
        <w:t>Terms carry their plain, ordinary meaning unless a specific definition in Article 1 applies.</w:t>
      </w:r>
    </w:p>
    <w:p>
      <w:pPr>
        <w:pStyle w:val="Normal"/>
        <w:numPr>
          <w:ilvl w:val="0"/>
          <w:numId w:val="17"/>
        </w:numPr>
      </w:pPr>
      <w:r>
        <w:rPr>
          <w:b/>
          <w:rFonts w:ascii="Times New Roman" w:hAnsi="Times New Roman" w:eastAsia="SimSun" w:cs="Times New Roman"/>
          <w:color w:val="1A1A1A"/>
          <w:sz w:val="24"/>
          <w:szCs w:val="24"/>
        </w:rPr>
        <w:t xml:space="preserve">Harmonious Construction: </w:t>
      </w:r>
      <w:r>
        <w:rPr>
          <w:rFonts w:ascii="Times New Roman" w:hAnsi="Times New Roman" w:eastAsia="SimSun" w:cs="Times New Roman"/>
          <w:color w:val="1A1A1A"/>
          <w:sz w:val="24"/>
          <w:szCs w:val="24"/>
        </w:rPr>
        <w:t>If a provision of this Annex appears to conflict with another provision, the Parties construe both provisions harmoniously to give maximum effect to both. If harmonious construction is impossible, the more specific provision governs the more general provision.</w:t>
      </w:r>
    </w:p>
    <w:p>
      <w:pPr>
        <w:pStyle w:val="Normal"/>
        <w:numPr>
          <w:ilvl w:val="0"/>
          <w:numId w:val="17"/>
        </w:numPr>
      </w:pPr>
      <w:r>
        <w:rPr>
          <w:b/>
          <w:rFonts w:ascii="Times New Roman" w:hAnsi="Times New Roman" w:eastAsia="SimSun" w:cs="Times New Roman"/>
          <w:color w:val="1A1A1A"/>
          <w:sz w:val="24"/>
          <w:szCs w:val="24"/>
        </w:rPr>
        <w:t xml:space="preserve">Pro-Compliance Bias: </w:t>
      </w:r>
      <w:r>
        <w:rPr>
          <w:rFonts w:ascii="Times New Roman" w:hAnsi="Times New Roman" w:eastAsia="SimSun" w:cs="Times New Roman"/>
          <w:color w:val="1A1A1A"/>
          <w:sz w:val="24"/>
          <w:szCs w:val="24"/>
        </w:rPr>
        <w:t>In cases of ambiguity, the Parties adopt the interpretation that maximizes the likelihood of successful milestone completion and fund release, rather than the interpretation that maximizes grounds for suspension or non-release.</w:t>
      </w:r>
    </w:p>
    <w:p>
      <w:pPr>
        <w:pStyle w:val="Normal"/>
        <w:numPr>
          <w:ilvl w:val="0"/>
          <w:numId w:val="17"/>
        </w:numPr>
      </w:pPr>
      <w:r>
        <w:rPr>
          <w:b/>
          <w:rFonts w:ascii="Times New Roman" w:hAnsi="Times New Roman" w:eastAsia="SimSun" w:cs="Times New Roman"/>
          <w:color w:val="1A1A1A"/>
          <w:sz w:val="24"/>
          <w:szCs w:val="24"/>
        </w:rPr>
        <w:t xml:space="preserve">No Unilateral Interpretation: </w:t>
      </w:r>
      <w:r>
        <w:rPr>
          <w:rFonts w:ascii="Times New Roman" w:hAnsi="Times New Roman" w:eastAsia="SimSun" w:cs="Times New Roman"/>
          <w:color w:val="1A1A1A"/>
          <w:sz w:val="24"/>
          <w:szCs w:val="24"/>
        </w:rPr>
        <w:t>Neither Party imposes its interpretation unilaterally. Disputes over interpretation are resolved through the procedures of Article 8.</w:t>
      </w:r>
    </w:p>
    <w:p>
      <w:pPr>
        <w:pStyle w:val="Normal"/>
        <w:numPr>
          <w:ilvl w:val="0"/>
          <w:numId w:val="17"/>
        </w:numPr>
      </w:pPr>
      <w:r>
        <w:rPr>
          <w:b/>
          <w:rFonts w:ascii="Times New Roman" w:hAnsi="Times New Roman" w:eastAsia="SimSun" w:cs="Times New Roman"/>
          <w:color w:val="1A1A1A"/>
          <w:sz w:val="24"/>
          <w:szCs w:val="24"/>
        </w:rPr>
        <w:t xml:space="preserve">Terminology Alignment: </w:t>
      </w:r>
      <w:r>
        <w:rPr>
          <w:rFonts w:ascii="Times New Roman" w:hAnsi="Times New Roman" w:eastAsia="SimSun" w:cs="Times New Roman"/>
          <w:color w:val="1A1A1A"/>
          <w:sz w:val="24"/>
          <w:szCs w:val="24"/>
        </w:rPr>
        <w:t>This Annex uses the term “Step-Back” to describe the automatic suspension of future releases and the term “Earn-Back” to describe the restoration of forward motion upon verified compliance. These terms replace any prior terminology, including "snapback," "rollback," or other formulations used in earlier agreements or negotiating documents.</w:t>
      </w:r>
    </w:p>
    <w:p>
      <w:pPr>
        <w:pStyle w:val="Heading2"/>
      </w:pPr>
      <w:r>
        <w:rPr>
          <w:rFonts w:ascii="Times New Roman" w:hAnsi="Times New Roman" w:eastAsia="SimHei" w:cs="Times New Roman"/>
          <w:b/>
          <w:color w:val="4A6B8A"/>
          <w:sz w:val="28"/>
          <w:szCs w:val="28"/>
        </w:rPr>
        <w:t>7.5 No Precedent</w:t>
      </w:r>
    </w:p>
    <w:p>
      <w:pPr>
        <w:pStyle w:val="Normal"/>
      </w:pPr>
      <w:r>
        <w:rPr>
          <w:rFonts w:ascii="Times New Roman" w:hAnsi="Times New Roman" w:eastAsia="SimSun" w:cs="Times New Roman"/>
          <w:color w:val="1A1A1A"/>
          <w:sz w:val="24"/>
          <w:szCs w:val="24"/>
        </w:rPr>
        <w:t>The Two-Pool Synchronized Disbursement architecture established in this Annex exists for the specific circumstances of this Agreement and creates no precedent for any other financial or escrow arrangement. No Party cites this Annex as a model, template, or basis for any other agreement involving frozen assets, escrow mechanisms, or the linkage between verification and financial release. This Annex addresses exclusively the Islamic Republic of Iran and the United States of America and the specific $12 Billion Asset Pool referenced herein.</w:t>
      </w:r>
    </w:p>
    <w:p>
      <w:pPr>
        <w:pStyle w:val="Heading1"/>
      </w:pPr>
      <w:bookmarkStart w:name="_Toc009" w:id="10"/>
      <w:r>
        <w:rPr>
          <w:rFonts w:ascii="Times New Roman" w:hAnsi="Times New Roman" w:eastAsia="SimHei" w:cs="Times New Roman"/>
          <w:b/>
          <w:color w:val="1E3A5F"/>
          <w:sz w:val="32"/>
          <w:szCs w:val="32"/>
        </w:rPr>
        <w:t>Article 8: Good-Faith Facilitation and Dispute Resolution</w:t>
      </w:r>
      <w:bookmarkEnd w:id="10"/>
    </w:p>
    <w:p>
      <w:pPr>
        <w:pStyle w:val="Heading2"/>
      </w:pPr>
      <w:r>
        <w:rPr>
          <w:rFonts w:ascii="Times New Roman" w:hAnsi="Times New Roman" w:eastAsia="SimHei" w:cs="Times New Roman"/>
          <w:b/>
          <w:color w:val="4A6B8A"/>
          <w:sz w:val="28"/>
          <w:szCs w:val="28"/>
        </w:rPr>
        <w:t>8.1 Good-Faith Obligation</w:t>
      </w:r>
    </w:p>
    <w:p>
      <w:pPr>
        <w:pStyle w:val="Normal"/>
      </w:pPr>
      <w:r>
        <w:rPr>
          <w:rFonts w:ascii="Times New Roman" w:hAnsi="Times New Roman" w:eastAsia="SimSun" w:cs="Times New Roman"/>
          <w:color w:val="1A1A1A"/>
          <w:sz w:val="24"/>
          <w:szCs w:val="24"/>
        </w:rPr>
        <w:t>Both Parties undertake to perform their obligations under this Annex in good faith. Good faith requires: honest and transparent communication through the Joint Secretariat; proactive cooperation with the IAEA, the Escrow Agent, and the PCC; refraining from actions that frustrate the purposes of this Annex; and seeking constructive solutions to obstacles rather than exploiting technicalities to delay or block progress. Good faith is not a vague aspiration; it is a binding obligation enforceable through the dispute resolution procedures of this Article and the Islamabad Accord.</w:t>
      </w:r>
    </w:p>
    <w:p>
      <w:pPr>
        <w:pStyle w:val="Heading2"/>
      </w:pPr>
      <w:r>
        <w:rPr>
          <w:rFonts w:ascii="Times New Roman" w:hAnsi="Times New Roman" w:eastAsia="SimHei" w:cs="Times New Roman"/>
          <w:b/>
          <w:color w:val="4A6B8A"/>
          <w:sz w:val="28"/>
          <w:szCs w:val="28"/>
        </w:rPr>
        <w:t>8.2 Direct Consultation</w:t>
      </w:r>
    </w:p>
    <w:p>
      <w:pPr>
        <w:pStyle w:val="Normal"/>
      </w:pPr>
      <w:r>
        <w:rPr>
          <w:rFonts w:ascii="Times New Roman" w:hAnsi="Times New Roman" w:eastAsia="SimSun" w:cs="Times New Roman"/>
          <w:color w:val="1A1A1A"/>
          <w:sz w:val="24"/>
          <w:szCs w:val="24"/>
        </w:rPr>
        <w:t>If a dispute arises regarding the interpretation, application, or performance of this Annex, the Parties first attempt to resolve the dispute through direct consultation. Either Party initiates direct consultation by submitting a written notice to the Joint Secretariat, which forwards the notice to the other Party within 24 hours. The Parties meet within 14 days of the notice, either in person or through secure videoconference, to seek a mutually acceptable resolution. Direct consultation is confidential; neither Party discloses the content of consultation discussions to third parties without the other Party’s consent. If direct consultation does not resolve the dispute within 30 days of the notice, either Party escalates the dispute under Article 8.3.</w:t>
      </w:r>
    </w:p>
    <w:p>
      <w:pPr>
        <w:pStyle w:val="Heading2"/>
      </w:pPr>
      <w:r>
        <w:rPr>
          <w:rFonts w:ascii="Times New Roman" w:hAnsi="Times New Roman" w:eastAsia="SimHei" w:cs="Times New Roman"/>
          <w:b/>
          <w:color w:val="4A6B8A"/>
          <w:sz w:val="28"/>
          <w:szCs w:val="28"/>
        </w:rPr>
        <w:t>8.3 PCC Mediation</w:t>
      </w:r>
    </w:p>
    <w:p>
      <w:pPr>
        <w:pStyle w:val="Normal"/>
      </w:pPr>
      <w:r>
        <w:rPr>
          <w:rFonts w:ascii="Times New Roman" w:hAnsi="Times New Roman" w:eastAsia="SimSun" w:cs="Times New Roman"/>
          <w:color w:val="1A1A1A"/>
          <w:sz w:val="24"/>
          <w:szCs w:val="24"/>
        </w:rPr>
        <w:t>If direct consultation fails to resolve the dispute, either Party refers the matter to the PCC for mediation. The PCC convenes a special mediation session within 14 days of the referral. The PCC hears both Parties’ positions, reviews the relevant documents and IAEA reports, and seeks to facilitate a mutually acceptable resolution. PCC mediation is non-binding unless both Parties expressly agree to be bound by the PCC’s recommendation. If the PCC fails to achieve a mutually acceptable resolution within 30 days of convening, either Party escalates the dispute under Article 8.4.</w:t>
      </w:r>
    </w:p>
    <w:p>
      <w:pPr>
        <w:pStyle w:val="Heading2"/>
      </w:pPr>
      <w:r>
        <w:rPr>
          <w:rFonts w:ascii="Times New Roman" w:hAnsi="Times New Roman" w:eastAsia="SimHei" w:cs="Times New Roman"/>
          <w:b/>
          <w:color w:val="4A6B8A"/>
          <w:sz w:val="28"/>
          <w:szCs w:val="28"/>
        </w:rPr>
        <w:t>8.4 Guarantor Matrix Arbitration</w:t>
      </w:r>
    </w:p>
    <w:p>
      <w:pPr>
        <w:pStyle w:val="Normal"/>
      </w:pPr>
      <w:r>
        <w:rPr>
          <w:rFonts w:ascii="Times New Roman" w:hAnsi="Times New Roman" w:eastAsia="SimSun" w:cs="Times New Roman"/>
          <w:color w:val="1A1A1A"/>
          <w:sz w:val="24"/>
          <w:szCs w:val="24"/>
        </w:rPr>
        <w:t>If PCC mediation fails to resolve the dispute, either Party refers the matter to the Guarantor Matrix for binding arbitration. The Guarantor Matrix convenes an arbitration panel within 21 days. The panel comprises three arbitrators: one nominated by the Iranian Party, one nominated by the United States Party, and one nominated by the Guarantor Matrix chair. The panel operates under the arbitration rules of the Guarantor Matrix. The panel’s determination is final and binding on both Parties. The panel has authority to: interpret any provision of this Annex; determine whether a Party has complied with its obligations; order specific performance; authorize or prohibit specific actions by either Party or the Escrow Agent; and award costs. The Escrow Agent acts in accordance with the panel’s determinations.</w:t>
      </w:r>
    </w:p>
    <w:p>
      <w:pPr>
        <w:pStyle w:val="Heading2"/>
      </w:pPr>
      <w:r>
        <w:rPr>
          <w:rFonts w:ascii="Times New Roman" w:hAnsi="Times New Roman" w:eastAsia="SimHei" w:cs="Times New Roman"/>
          <w:b/>
          <w:color w:val="4A6B8A"/>
          <w:sz w:val="28"/>
          <w:szCs w:val="28"/>
        </w:rPr>
        <w:t>8.5 Expedited Procedure for Time-Sensitive Disputes</w:t>
      </w:r>
    </w:p>
    <w:p>
      <w:pPr>
        <w:pStyle w:val="Normal"/>
      </w:pPr>
      <w:r>
        <w:rPr>
          <w:rFonts w:ascii="Times New Roman" w:hAnsi="Times New Roman" w:eastAsia="SimSun" w:cs="Times New Roman"/>
          <w:color w:val="1A1A1A"/>
          <w:sz w:val="24"/>
          <w:szCs w:val="24"/>
        </w:rPr>
        <w:t>For disputes that require resolution within a compressed timeframe to prevent automatic Step-Back or other time-bound consequences, either Party invokes the expedited procedure by notifying the Joint Secretariat, the PCC, and the Guarantor Matrix simultaneously. The expedited procedure compresses all timelines: the PCC convenes within 7 days; the arbitration panel convenes within 14 days; the panel issues its determination within 21 days of convening; and the Escrow Agent acts within 48 hours of the determination. During the expedited procedure, all time-bound consequences under this Annex (including Step-Back activation) are suspended pending the panel’s determination.</w:t>
      </w:r>
    </w:p>
    <w:p>
      <w:pPr>
        <w:pStyle w:val="Heading2"/>
      </w:pPr>
      <w:r>
        <w:rPr>
          <w:rFonts w:ascii="Times New Roman" w:hAnsi="Times New Roman" w:eastAsia="SimHei" w:cs="Times New Roman"/>
          <w:b/>
          <w:color w:val="4A6B8A"/>
          <w:sz w:val="28"/>
          <w:szCs w:val="28"/>
        </w:rPr>
        <w:t>8.6 Continued Performance During Dispute</w:t>
      </w:r>
    </w:p>
    <w:p>
      <w:pPr>
        <w:pStyle w:val="Normal"/>
      </w:pPr>
      <w:r>
        <w:rPr>
          <w:rFonts w:ascii="Times New Roman" w:hAnsi="Times New Roman" w:eastAsia="SimSun" w:cs="Times New Roman"/>
          <w:color w:val="1A1A1A"/>
          <w:sz w:val="24"/>
          <w:szCs w:val="24"/>
        </w:rPr>
        <w:t>Pending resolution of any dispute, both Parties continue to perform all obligations under this Annex that are not the subject of the dispute. Neither Party suspends IAEA cooperation, escrow administration, or other Annex obligations pending dispute resolution. The Escrow Agent continues to administer both pools and to act on valid Joint Disbursement Instructions during the dispute, unless the arbitration panel specifically orders otherwise.</w:t>
      </w:r>
    </w:p>
    <w:p>
      <w:pPr>
        <w:pStyle w:val="Heading2"/>
      </w:pPr>
      <w:r>
        <w:rPr>
          <w:rFonts w:ascii="Times New Roman" w:hAnsi="Times New Roman" w:eastAsia="SimHei" w:cs="Times New Roman"/>
          <w:b/>
          <w:color w:val="4A6B8A"/>
          <w:sz w:val="28"/>
          <w:szCs w:val="28"/>
        </w:rPr>
        <w:t>8.7 Escrow Agent Neutrality in Disputes</w:t>
      </w:r>
    </w:p>
    <w:p>
      <w:pPr>
        <w:pStyle w:val="Normal"/>
      </w:pPr>
      <w:r>
        <w:rPr>
          <w:rFonts w:ascii="Times New Roman" w:hAnsi="Times New Roman" w:eastAsia="SimSun" w:cs="Times New Roman"/>
          <w:color w:val="1A1A1A"/>
          <w:sz w:val="24"/>
          <w:szCs w:val="24"/>
        </w:rPr>
        <w:t>The Escrow Agent remains strictly neutral in all disputes between the Parties. The Escrow Agent does not take sides, offer opinions on the merits of the dispute, or act on instructions from one Party against the other. The Escrow Agent acts exclusively on: valid Joint Disbursement Instructions; binding determinations of the arbitration panel; and its own independent guardian authority under Article 2.4. The Escrow Agent's fiduciary duty to both Parties requires impartiality in all circumstances.</w:t>
      </w:r>
    </w:p>
    <w:p>
      <w:pPr>
        <w:pStyle w:val="Normal"/>
      </w:pPr>
      <w:r>
        <w:rPr>
          <w:rFonts w:ascii="Times New Roman" w:hAnsi="Times New Roman" w:eastAsia="SimSun" w:cs="Times New Roman"/>
          <w:color w:val="1A1A1A"/>
          <w:sz w:val="24"/>
          <w:szCs w:val="24"/>
        </w:rPr>
        <w:t>For the complete dispute escalation hierarchy, including Joint Secretariat facilitation, PCC mediation, Senior Officials Meeting, Foreign Ministers consultation, Guarantor Matrix good offices, binding arbitration, and Joint Commission review, with strict timelines for each stage, see Article 12.</w:t>
      </w:r>
    </w:p>
    <w:p>
      <w:pPr>
        <w:pStyle w:val="Heading1"/>
        <w:pageBreakBefore w:val="1"/>
      </w:pPr>
      <w:r>
        <w:rPr>
          <w:rFonts w:ascii="Times New Roman" w:hAnsi="Times New Roman" w:eastAsia="SimHei" w:cs="Times New Roman"/>
          <w:b/>
          <w:color w:val="1E3A5F"/>
          <w:sz w:val="32"/>
          <w:szCs w:val="32"/>
        </w:rPr>
        <w:t>Article 9: U.S. Sanctions-Specific Obligations and Regulatory Good-Faith</w:t>
      </w:r>
    </w:p>
    <w:p>
      <w:pPr>
        <w:pStyle w:val="Normal"/>
      </w:pPr>
      <w:r>
        <w:rPr>
          <w:rFonts w:ascii="Times New Roman" w:hAnsi="Times New Roman" w:eastAsia="SimSun" w:cs="Times New Roman"/>
          <w:color w:val="1A1A1A"/>
          <w:sz w:val="24"/>
          <w:szCs w:val="24"/>
        </w:rPr>
        <w:t>This Article identifies the specific U.S. sanctions authorities subject to suspension, waiver, or termination under this Annex and closes the regulatory chill loophole through binding good-faith obligations. Without this explicit enumeration, disputes over the scope of sanctions relief are inevitable.</w:t>
      </w:r>
    </w:p>
    <w:p>
      <w:pPr>
        <w:pStyle w:val="Heading2"/>
      </w:pPr>
      <w:r>
        <w:rPr>
          <w:rFonts w:ascii="Times New Roman" w:hAnsi="Times New Roman" w:eastAsia="SimHei" w:cs="Times New Roman"/>
          <w:b/>
          <w:color w:val="4A6B8A"/>
          <w:sz w:val="28"/>
          <w:szCs w:val="28"/>
        </w:rPr>
        <w:t>9.1 Enumerated Sanctions Authorities</w:t>
      </w:r>
    </w:p>
    <w:p>
      <w:pPr>
        <w:pStyle w:val="Normal"/>
      </w:pPr>
      <w:r>
        <w:rPr>
          <w:rFonts w:ascii="Times New Roman" w:hAnsi="Times New Roman" w:eastAsia="SimSun" w:cs="Times New Roman"/>
          <w:color w:val="1A1A1A"/>
          <w:sz w:val="24"/>
          <w:szCs w:val="24"/>
        </w:rPr>
        <w:t>The United States suspends, waives, or terminates the following sanctions authorities, programs, and restrictions in connection with each tranche release under this Annex. The suspension, waiver, or termination of each authority corresponds to the tranche specified and takes effect upon the Escrow Agent's execution of that tranche release.</w:t>
      </w:r>
    </w:p>
    <w:p>
      <w:pPr>
        <w:pStyle w:val="Normal"/>
      </w:pPr>
      <w:r>
        <w:rPr>
          <w:rFonts w:ascii="Times New Roman" w:hAnsi="Times New Roman" w:eastAsia="SimSun" w:cs="Times New Roman"/>
          <w:color w:val="1A1A1A"/>
          <w:sz w:val="24"/>
          <w:szCs w:val="24"/>
        </w:rPr>
        <w:t>1. Secondary Banking Sanctions: The framework architecture excludes the application of secondary banking sanctions to foreign financial institutions engaging in transactions authorized under this Annex. This exclusion covers transactions involving the Central Bank of Iran, the Escrow Agent (Qatar Central Bank), and any intermediary banks facilitating the transfer of funds from either pool. Foreign financial institutions processing authorized transactions face no penalty, threat of penalty, or loss of U.S. market access.</w:t>
      </w:r>
    </w:p>
    <w:p>
      <w:pPr>
        <w:pStyle w:val="Normal"/>
      </w:pPr>
      <w:r>
        <w:rPr>
          <w:rFonts w:ascii="Times New Roman" w:hAnsi="Times New Roman" w:eastAsia="SimSun" w:cs="Times New Roman"/>
          <w:color w:val="1A1A1A"/>
          <w:sz w:val="24"/>
          <w:szCs w:val="24"/>
        </w:rPr>
        <w:t>2. Oil Export Restrictions: The framework architecture excludes restrictions on the purchase, import, transport, or insurance of Iranian-origin petroleum and petroleum products by any jurisdiction. This exclusion encompasses both direct U.S. restrictions and secondary restrictions on third-country purchasers and transporters.</w:t>
      </w:r>
    </w:p>
    <w:p>
      <w:pPr>
        <w:pStyle w:val="Normal"/>
      </w:pPr>
      <w:r>
        <w:rPr>
          <w:rFonts w:ascii="Times New Roman" w:hAnsi="Times New Roman" w:eastAsia="SimSun" w:cs="Times New Roman"/>
          <w:color w:val="1A1A1A"/>
          <w:sz w:val="24"/>
          <w:szCs w:val="24"/>
        </w:rPr>
        <w:t>3. Shipping Restrictions: The framework architecture excludes sanctions on Iranian-flagged vessels, vessels calling at Iranian ports, and vessels transporting goods to or from Iran in connection with authorized transactions. This exclusion covers port access, bunkering services, classification society services, and maritime insurance.</w:t>
      </w:r>
    </w:p>
    <w:p>
      <w:pPr>
        <w:pStyle w:val="Normal"/>
      </w:pPr>
      <w:r>
        <w:rPr>
          <w:rFonts w:ascii="Times New Roman" w:hAnsi="Times New Roman" w:eastAsia="SimSun" w:cs="Times New Roman"/>
          <w:color w:val="1A1A1A"/>
          <w:sz w:val="24"/>
          <w:szCs w:val="24"/>
        </w:rPr>
        <w:t>4. Insurance Restrictions: The framework architecture excludes sanctions on insurers, reinsurers, brokers, and underwriters providing coverage for transactions, vessels, cargoes, or facilities connected to the activities authorized under this Annex. This exclusion covers marine, cargo, liability, and project risk insurance.</w:t>
      </w:r>
    </w:p>
    <w:p>
      <w:pPr>
        <w:pStyle w:val="Normal"/>
      </w:pPr>
      <w:r>
        <w:rPr>
          <w:rFonts w:ascii="Times New Roman" w:hAnsi="Times New Roman" w:eastAsia="SimSun" w:cs="Times New Roman"/>
          <w:color w:val="1A1A1A"/>
          <w:sz w:val="24"/>
          <w:szCs w:val="24"/>
        </w:rPr>
        <w:t>5. SWIFT Access: The framework architecture excludes restrictions on the use of the SWIFT network by designated Iranian financial institutions for messaging related to transactions authorized under this Annex. Iranian banks re-establish SWIFT connectivity for authorized payment flows.</w:t>
      </w:r>
    </w:p>
    <w:p>
      <w:pPr>
        <w:pStyle w:val="Normal"/>
      </w:pPr>
      <w:r>
        <w:rPr>
          <w:rFonts w:ascii="Times New Roman" w:hAnsi="Times New Roman" w:eastAsia="SimSun" w:cs="Times New Roman"/>
          <w:color w:val="1A1A1A"/>
          <w:sz w:val="24"/>
          <w:szCs w:val="24"/>
        </w:rPr>
        <w:t>6. Asset Unfreezing: The framework architecture excludes the freezing, blocking, or attachment of Iranian sovereign assets, including assets of the Central Bank of Iran, the National Development Fund of Iran, and other Iranian state entities, provided those assets relate to or derive from transactions authorized under this Annex.</w:t>
      </w:r>
    </w:p>
    <w:p>
      <w:pPr>
        <w:pStyle w:val="Normal"/>
      </w:pPr>
      <w:r>
        <w:rPr>
          <w:rFonts w:ascii="Times New Roman" w:hAnsi="Times New Roman" w:eastAsia="SimSun" w:cs="Times New Roman"/>
          <w:color w:val="1A1A1A"/>
          <w:sz w:val="24"/>
          <w:szCs w:val="24"/>
        </w:rPr>
        <w:t>7. Currency and Clearing Restrictions: The framework architecture excludes restrictions on the use of the U.S. dollar, euro, or other major currencies in connection with authorized Iranian transactions, as well as restrictions on access to U.S. and European clearing and settlement systems for authorized transactions.</w:t>
      </w:r>
    </w:p>
    <w:p>
      <w:pPr>
        <w:pStyle w:val="Heading2"/>
      </w:pPr>
      <w:r>
        <w:rPr>
          <w:rFonts w:ascii="Times New Roman" w:hAnsi="Times New Roman" w:eastAsia="SimHei" w:cs="Times New Roman"/>
          <w:b/>
          <w:color w:val="4A6B8A"/>
          <w:sz w:val="28"/>
          <w:szCs w:val="28"/>
        </w:rPr>
        <w:t>9.2 Publication of Sanctions Relief Determinations</w:t>
      </w:r>
    </w:p>
    <w:p>
      <w:pPr>
        <w:pStyle w:val="Normal"/>
      </w:pPr>
      <w:r>
        <w:rPr>
          <w:rFonts w:ascii="Times New Roman" w:hAnsi="Times New Roman" w:eastAsia="SimSun" w:cs="Times New Roman"/>
          <w:color w:val="1A1A1A"/>
          <w:sz w:val="24"/>
          <w:szCs w:val="24"/>
        </w:rPr>
        <w:t>The United States publishes a Sanctions Relief Determination for each tranche release within 7 days of the Escrow Agent's execution of that release. Each determination identifies by legal citation the specific statutes, executive orders, regulations, and directives suspended, waived, or terminated, and confirms that the activities enumerated in Article 9.1 are not sanctionable. The determination carries the force of an official U.S. government position and is binding on all U.S. regulatory agencies. If the United States fails to publish a Sanctions Relief Determination within the 7-day period, or fails to implement the corresponding relief measures within 30 days of the IAEA Verification Certificate, the following consequences apply automatically: (a) the United States triggers a Level 2 Step-Back under Article 5.4; (b) the PCC convenes an emergency session within 72 hours to review the failure; and (c) the non-implemented relief measures go to the expedited arbitration panel under Article 8.5, which has the authority to order specific performance and award damages against the United States.</w:t>
      </w:r>
    </w:p>
    <w:p>
      <w:pPr>
        <w:pStyle w:val="Heading2"/>
      </w:pPr>
      <w:r>
        <w:rPr>
          <w:rFonts w:ascii="Times New Roman" w:hAnsi="Times New Roman" w:eastAsia="SimHei" w:cs="Times New Roman"/>
          <w:b/>
          <w:color w:val="4A6B8A"/>
          <w:sz w:val="28"/>
          <w:szCs w:val="28"/>
        </w:rPr>
        <w:t>9.3 Regulatory Good-Faith Obligation</w:t>
      </w:r>
    </w:p>
    <w:p>
      <w:pPr>
        <w:pStyle w:val="Normal"/>
      </w:pPr>
      <w:r>
        <w:rPr>
          <w:rFonts w:ascii="Times New Roman" w:hAnsi="Times New Roman" w:eastAsia="SimSun" w:cs="Times New Roman"/>
          <w:color w:val="1A1A1A"/>
          <w:sz w:val="24"/>
          <w:szCs w:val="24"/>
        </w:rPr>
        <w:t>Neither Party takes administrative, regulatory, or informal actions designed to discourage otherwise lawful transactions authorized under this Annex. This obligation encompasses: informal guidance or advisories that characterize authorized transactions as high-risk or discouraged; enhanced reporting requirements or examination scrutiny targeted at institutions processing authorized transactions; and any other regulatory action that produces a chilling effect on transactions the framework explicitly authorizes. Good faith under this Article is not discretionary; it is a binding operational requirement. Either Party demonstrates compliance through the objective absence of chilling measures during the 12-month period following each tranche release.</w:t>
      </w:r>
    </w:p>
    <w:p>
      <w:pPr>
        <w:pStyle w:val="Heading2"/>
      </w:pPr>
      <w:r>
        <w:rPr>
          <w:rFonts w:ascii="Times New Roman" w:hAnsi="Times New Roman" w:eastAsia="SimHei" w:cs="Times New Roman"/>
          <w:b/>
          <w:color w:val="4A6B8A"/>
          <w:sz w:val="28"/>
          <w:szCs w:val="28"/>
        </w:rPr>
        <w:t>9.4 Technical Consultation on Sanctions Implementation</w:t>
      </w:r>
    </w:p>
    <w:p>
      <w:pPr>
        <w:pStyle w:val="Normal"/>
      </w:pPr>
      <w:r>
        <w:rPr>
          <w:rFonts w:ascii="Times New Roman" w:hAnsi="Times New Roman" w:eastAsia="SimSun" w:cs="Times New Roman"/>
          <w:color w:val="1A1A1A"/>
          <w:sz w:val="24"/>
          <w:szCs w:val="24"/>
        </w:rPr>
        <w:t>The Parties establish a Technical Sanctions Consultation mechanism co-chaired by representatives of the U.S. Department of the Treasury and the Central Bank of Iran. This mechanism convenes within 10 days of either Party's request to address ambiguities in sanctions implementation, clarify the scope of authorized activities, and resolve specific cases where institutions express uncertainty about the permissibility of contemplated transactions. The mechanism issues written guidance within 14 days of each consultation. This guidance carries authoritative weight for institutions relying on it in good faith.</w:t>
      </w:r>
    </w:p>
    <w:p>
      <w:pPr>
        <w:pStyle w:val="Heading2"/>
      </w:pPr>
      <w:r>
        <w:rPr>
          <w:rFonts w:ascii="Times New Roman" w:hAnsi="Times New Roman" w:eastAsia="SimHei" w:cs="Times New Roman"/>
          <w:b/>
          <w:color w:val="4A6B8A"/>
          <w:sz w:val="28"/>
          <w:szCs w:val="28"/>
        </w:rPr>
        <w:t>9.5 Congressional Authorization Failure</w:t>
      </w:r>
    </w:p>
    <w:p>
      <w:pPr>
        <w:pStyle w:val="Normal"/>
      </w:pPr>
      <w:r>
        <w:rPr>
          <w:rFonts w:ascii="Times New Roman" w:hAnsi="Times New Roman" w:eastAsia="SimSun" w:cs="Times New Roman"/>
          <w:color w:val="1A1A1A"/>
          <w:sz w:val="24"/>
          <w:szCs w:val="24"/>
        </w:rPr>
        <w:t>The Parties acknowledge that certain sanctions relief measures depend on legislative action by the United States Congress. The United States makes a good-faith effort to secure such legislative authorization and reports quarterly to the Joint Commission on its progress. If legislative authorization does not occur within 180 days of a tranche release, the following occurs: (a) the United States is not in breach of this Annex for failure to implement relief requiring legislative action; (b) the Joint Commission convenes to assess the impact on this Annex's implementation; and (c) the Parties negotiate alternative relief measures that fall within the United States' executive authority. The Parties implement such alternative measures within 60 days of Joint Commission approval. This provision does not relieve the United States of its obligation to exercise all available executive authority pending legislative action.</w:t>
      </w:r>
    </w:p>
    <w:p>
      <w:pPr>
        <w:pStyle w:val="Heading1"/>
      </w:pPr>
      <w:r>
        <w:rPr>
          <w:rFonts w:ascii="Times New Roman" w:hAnsi="Times New Roman" w:eastAsia="SimHei" w:cs="Times New Roman"/>
          <w:b/>
          <w:color w:val="1E3A5F"/>
          <w:sz w:val="32"/>
          <w:szCs w:val="32"/>
        </w:rPr>
        <w:t>Article 10: Commercial Comfort Measures</w:t>
      </w:r>
    </w:p>
    <w:p>
      <w:pPr>
        <w:pStyle w:val="Normal"/>
      </w:pPr>
      <w:r>
        <w:rPr>
          <w:rFonts w:ascii="Times New Roman" w:hAnsi="Times New Roman" w:eastAsia="SimSun" w:cs="Times New Roman"/>
          <w:color w:val="1A1A1A"/>
          <w:sz w:val="24"/>
          <w:szCs w:val="24"/>
        </w:rPr>
        <w:t>Businesses return to the Iranian market only upon receipt of clear, authoritative legal guidance confirming that their transactions are not sanctionable. This Article establishes mandatory publication requirements that close the certainty gap between political agreement and commercial reality.</w:t>
      </w:r>
    </w:p>
    <w:p>
      <w:pPr>
        <w:pStyle w:val="Heading2"/>
      </w:pPr>
      <w:r>
        <w:rPr>
          <w:rFonts w:ascii="Times New Roman" w:hAnsi="Times New Roman" w:eastAsia="SimHei" w:cs="Times New Roman"/>
          <w:b/>
          <w:color w:val="4A6B8A"/>
          <w:sz w:val="28"/>
          <w:szCs w:val="28"/>
        </w:rPr>
        <w:t>10.1 OFAC Guidance Publication</w:t>
      </w:r>
    </w:p>
    <w:p>
      <w:pPr>
        <w:pStyle w:val="Normal"/>
      </w:pPr>
      <w:r>
        <w:rPr>
          <w:rFonts w:ascii="Times New Roman" w:hAnsi="Times New Roman" w:eastAsia="SimSun" w:cs="Times New Roman"/>
          <w:color w:val="1A1A1A"/>
          <w:sz w:val="24"/>
          <w:szCs w:val="24"/>
        </w:rPr>
        <w:t>The United States publishes updated OFAC guidance within 14 days of each tranche release. This guidance addresses: the specific activities that are not sanctionable under the relief package; the due diligence standard that financial institutions and businesses apply when conducting authorized transactions; the documentation requirements that demonstrate the authorized character of a transaction; and the process for obtaining specific licenses for activities at the margin of the authorized scope. The guidance includes FAQs, advisory opinions, and compliance best practices.</w:t>
      </w:r>
    </w:p>
    <w:p>
      <w:pPr>
        <w:pStyle w:val="Heading2"/>
      </w:pPr>
      <w:r>
        <w:rPr>
          <w:rFonts w:ascii="Times New Roman" w:hAnsi="Times New Roman" w:eastAsia="SimHei" w:cs="Times New Roman"/>
          <w:b/>
          <w:color w:val="4A6B8A"/>
          <w:sz w:val="28"/>
          <w:szCs w:val="28"/>
        </w:rPr>
        <w:t>10.2 EU Implementing Regulations</w:t>
      </w:r>
    </w:p>
    <w:p>
      <w:pPr>
        <w:pStyle w:val="Normal"/>
      </w:pPr>
      <w:r>
        <w:rPr>
          <w:rFonts w:ascii="Times New Roman" w:hAnsi="Times New Roman" w:eastAsia="SimSun" w:cs="Times New Roman"/>
          <w:color w:val="1A1A1A"/>
          <w:sz w:val="24"/>
          <w:szCs w:val="24"/>
        </w:rPr>
        <w:t>The European Union publishes implementing regulations giving effect to the sanctions relief commitments within 21 days of each tranche release. These regulations take direct effect in all EU member states and cover: the removal of Iranian banks from the EU sanctions list; the restoration of SWIFT access for designated Iranian financial institutions; the authorization of euro-denominated transactions with Iranian counterparties; and the lifting of restrictions on European insurers and reinsurers providing coverage for Iranian-related transactions.</w:t>
      </w:r>
    </w:p>
    <w:p>
      <w:pPr>
        <w:pStyle w:val="Heading2"/>
      </w:pPr>
      <w:r>
        <w:rPr>
          <w:rFonts w:ascii="Times New Roman" w:hAnsi="Times New Roman" w:eastAsia="SimHei" w:cs="Times New Roman"/>
          <w:b/>
          <w:color w:val="4A6B8A"/>
          <w:sz w:val="28"/>
          <w:szCs w:val="28"/>
        </w:rPr>
        <w:t>10.3 Comfort Letters</w:t>
      </w:r>
    </w:p>
    <w:p>
      <w:pPr>
        <w:pStyle w:val="Normal"/>
      </w:pPr>
      <w:r>
        <w:rPr>
          <w:rFonts w:ascii="Times New Roman" w:hAnsi="Times New Roman" w:eastAsia="SimSun" w:cs="Times New Roman"/>
          <w:color w:val="1A1A1A"/>
          <w:sz w:val="24"/>
          <w:szCs w:val="24"/>
        </w:rPr>
        <w:t>The United States, through the Department of the Treasury, issues Comfort Letters to major international banks within 30 days of each tranche release. These letters confirm: that the U.S. government does not intend to impose sanctions on transactions consistent with the published OFAC guidance; that the U.S. government views transactions under this Annex as consistent with U.S. foreign policy interests; and that any change in this position triggers 90 days' advance notice through the Joint Secretariat before new sanctions take effect. Comfort Letters are addressed to specific banks upon request but carry general applicability for similarly situated institutions.</w:t>
      </w:r>
    </w:p>
    <w:p>
      <w:pPr>
        <w:pStyle w:val="Heading2"/>
      </w:pPr>
      <w:r>
        <w:rPr>
          <w:rFonts w:ascii="Times New Roman" w:hAnsi="Times New Roman" w:eastAsia="SimHei" w:cs="Times New Roman"/>
          <w:b/>
          <w:color w:val="4A6B8A"/>
          <w:sz w:val="28"/>
          <w:szCs w:val="28"/>
        </w:rPr>
        <w:t>10.4 Banking Advisories</w:t>
      </w:r>
    </w:p>
    <w:p>
      <w:pPr>
        <w:pStyle w:val="Normal"/>
      </w:pPr>
      <w:r>
        <w:rPr>
          <w:rFonts w:ascii="Times New Roman" w:hAnsi="Times New Roman" w:eastAsia="SimSun" w:cs="Times New Roman"/>
          <w:color w:val="1A1A1A"/>
          <w:sz w:val="24"/>
          <w:szCs w:val="24"/>
        </w:rPr>
        <w:t>The Escrow Agent, in coordination with the Joint Secretariat, publishes Banking Advisories within 7 days of each tranche release. These advisories confirm: the legal basis for the transfer; the sanctions status of the receiving accounts; the compliance documentation accompanying the transfer; and the procedures for correspondent banks handling downstream transactions. The Escrow Agent makes these advisories available to all correspondent banks in the transfer chain upon request.</w:t>
      </w:r>
    </w:p>
    <w:p>
      <w:pPr>
        <w:pStyle w:val="Heading2"/>
      </w:pPr>
      <w:r>
        <w:rPr>
          <w:rFonts w:ascii="Times New Roman" w:hAnsi="Times New Roman" w:eastAsia="SimHei" w:cs="Times New Roman"/>
          <w:b/>
          <w:color w:val="4A6B8A"/>
          <w:sz w:val="28"/>
          <w:szCs w:val="28"/>
        </w:rPr>
        <w:t>10.5 Compliance with Deadlines</w:t>
      </w:r>
    </w:p>
    <w:p>
      <w:pPr>
        <w:pStyle w:val="Normal"/>
      </w:pPr>
      <w:r>
        <w:rPr>
          <w:rFonts w:ascii="Times New Roman" w:hAnsi="Times New Roman" w:eastAsia="SimSun" w:cs="Times New Roman"/>
          <w:color w:val="1A1A1A"/>
          <w:sz w:val="24"/>
          <w:szCs w:val="24"/>
        </w:rPr>
        <w:t>Failure to publish any comfort measure within the specified deadline constitutes a Level 1 Step-Back event under Article 5.4. The Joint Secretariat tracks publication deadlines and notifies both Parties and the PCC of any delay within 48 hours of the missed deadline. The non-complying Party publishes the comfort measure and provides an explanation for the delay within 7 days of notification.</w:t>
      </w:r>
    </w:p>
    <w:p>
      <w:pPr>
        <w:pStyle w:val="Heading1"/>
      </w:pPr>
      <w:r>
        <w:rPr>
          <w:rFonts w:ascii="Times New Roman" w:hAnsi="Times New Roman" w:eastAsia="SimHei" w:cs="Times New Roman"/>
          <w:b/>
          <w:color w:val="1E3A5F"/>
          <w:sz w:val="32"/>
          <w:szCs w:val="32"/>
        </w:rPr>
        <w:t>Article 11: Force Majeure</w:t>
      </w:r>
    </w:p>
    <w:p>
      <w:pPr>
        <w:pStyle w:val="Normal"/>
      </w:pPr>
      <w:r>
        <w:rPr>
          <w:rFonts w:ascii="Times New Roman" w:hAnsi="Times New Roman" w:eastAsia="SimSun" w:cs="Times New Roman"/>
          <w:color w:val="1A1A1A"/>
          <w:sz w:val="24"/>
          <w:szCs w:val="24"/>
        </w:rPr>
        <w:t>This Article expands the force majeure framework beyond the technical failure protocol in Article 4.6 to encompass catastrophic events that prevent either Party from performing its obligations under this Annex. Force majeure suspends performance obligations without triggering Step-Back, provided the affected Party notifies and resumes performance as specified herein.</w:t>
      </w:r>
    </w:p>
    <w:p>
      <w:pPr>
        <w:pStyle w:val="Heading2"/>
      </w:pPr>
      <w:r>
        <w:rPr>
          <w:rFonts w:ascii="Times New Roman" w:hAnsi="Times New Roman" w:eastAsia="SimHei" w:cs="Times New Roman"/>
          <w:b/>
          <w:color w:val="4A6B8A"/>
          <w:sz w:val="28"/>
          <w:szCs w:val="28"/>
        </w:rPr>
        <w:t>11.1 Force Majeure Events</w:t>
      </w:r>
    </w:p>
    <w:p>
      <w:pPr>
        <w:pStyle w:val="Normal"/>
      </w:pPr>
      <w:r>
        <w:rPr>
          <w:rFonts w:ascii="Times New Roman" w:hAnsi="Times New Roman" w:eastAsia="SimSun" w:cs="Times New Roman"/>
          <w:color w:val="1A1A1A"/>
          <w:sz w:val="24"/>
          <w:szCs w:val="24"/>
        </w:rPr>
        <w:t>The following events constitute force majeure under this Annex, provided they directly prevent a Party from performing its obligations and are beyond the reasonable control of that Party: war or armed conflict involving either Party or the Escrow Agent, whether declared or undeclared; cyberattack on the Escrow Agent's systems, the Joint Secretariat's communications infrastructure, or the IAEA's verification systems that materially disrupts operations for more than 48 hours; natural disaster including earthquake, flood, hurricane, pandemic, or other catastrophic environmental event that prevents personnel from accessing facilities or systems necessary for performance; major radiological event affecting facilities where downblending or verification activities occur; closure of airspace or international shipping lanes that prevents IAEA inspectors from reaching or departing Iranian facilities; and severe disruption of international banking systems including SWIFT outage, correspondent banking collapse, or systemic cyberattack on financial infrastructure that prevents fund transfers for more than 72 hours.</w:t>
      </w:r>
    </w:p>
    <w:p>
      <w:pPr>
        <w:pStyle w:val="Heading2"/>
      </w:pPr>
      <w:r>
        <w:rPr>
          <w:rFonts w:ascii="Times New Roman" w:hAnsi="Times New Roman" w:eastAsia="SimHei" w:cs="Times New Roman"/>
          <w:b/>
          <w:color w:val="4A6B8A"/>
          <w:sz w:val="28"/>
          <w:szCs w:val="28"/>
        </w:rPr>
        <w:t>11.2 Notification and Effect</w:t>
      </w:r>
    </w:p>
    <w:p>
      <w:pPr>
        <w:pStyle w:val="Normal"/>
      </w:pPr>
      <w:r>
        <w:rPr>
          <w:rFonts w:ascii="Times New Roman" w:hAnsi="Times New Roman" w:eastAsia="SimSun" w:cs="Times New Roman"/>
          <w:color w:val="1A1A1A"/>
          <w:sz w:val="24"/>
          <w:szCs w:val="24"/>
        </w:rPr>
        <w:t>The affected Party notifies the Joint Secretariat and the other Party within 24 hours of the force majeure event. The notification describes: the nature of the event; the specific obligations affected; the estimated duration of the disruption; and the measures the affected Party undertakes to resume performance. Upon receipt of timely notification, all performance timelines under this Annex pause for the duration of the force majeure event. Step-Back does not activate during a verified force majeure period. Interest continues to accrue on escrowed funds during the force majeure period.</w:t>
      </w:r>
    </w:p>
    <w:p>
      <w:pPr>
        <w:pStyle w:val="Heading2"/>
      </w:pPr>
      <w:r>
        <w:rPr>
          <w:rFonts w:ascii="Times New Roman" w:hAnsi="Times New Roman" w:eastAsia="SimHei" w:cs="Times New Roman"/>
          <w:b/>
          <w:color w:val="4A6B8A"/>
          <w:sz w:val="28"/>
          <w:szCs w:val="28"/>
        </w:rPr>
        <w:t>11.3 Duration and Resumption</w:t>
      </w:r>
    </w:p>
    <w:p>
      <w:pPr>
        <w:pStyle w:val="Normal"/>
      </w:pPr>
      <w:r>
        <w:rPr>
          <w:rFonts w:ascii="Times New Roman" w:hAnsi="Times New Roman" w:eastAsia="SimSun" w:cs="Times New Roman"/>
          <w:color w:val="1A1A1A"/>
          <w:sz w:val="24"/>
          <w:szCs w:val="24"/>
        </w:rPr>
        <w:t>A force majeure period does not exceed 90 days without renewal. The affected Party submits a renewal notification every 90 days if the event persists, demonstrating continued inability to perform. If the force majeure event continues for more than 180 days, either Party refers the matter to the Joint Commission for review. The Joint Commission determines whether the Annex remains viable or whether the Parties negotiate adapted terms. Upon cessation of the force majeure event, the affected Party resumes performance within 14 days and all paused timelines restart from their pre-interruption position.</w:t>
      </w:r>
    </w:p>
    <w:p>
      <w:pPr>
        <w:pStyle w:val="Heading2"/>
      </w:pPr>
      <w:r>
        <w:rPr>
          <w:rFonts w:ascii="Times New Roman" w:hAnsi="Times New Roman" w:eastAsia="SimHei" w:cs="Times New Roman"/>
          <w:b/>
          <w:color w:val="4A6B8A"/>
          <w:sz w:val="28"/>
          <w:szCs w:val="28"/>
        </w:rPr>
        <w:t>11.4 Force Majeure and Earn-Back</w:t>
      </w:r>
    </w:p>
    <w:p>
      <w:pPr>
        <w:pStyle w:val="Normal"/>
      </w:pPr>
      <w:r>
        <w:rPr>
          <w:rFonts w:ascii="Times New Roman" w:hAnsi="Times New Roman" w:eastAsia="SimSun" w:cs="Times New Roman"/>
          <w:color w:val="1A1A1A"/>
          <w:sz w:val="24"/>
          <w:szCs w:val="24"/>
        </w:rPr>
        <w:t>(a) A force majeure event that prevents a Party from completing a milestone pauses the Earn-Back timeline for the duration of the event. (b) Upon cessation of the force majeure event, the Earn-Back timeline resumes from its pre-interruption position. The framework treats time elapsed during force majeure as outside the Earn-Back period. (c) If a force majeure event continues for more than 90 days, the Earn-Back timeline extends automatically for an additional period equal to the duration of the force majeure event. (d) The framework architecture excludes force majeure events from the definition of breach. Step-Back activation under Article 5.1.1 excludes force majeure events as triggers. (e) If a force majeure event affects the Escrow Agent's ability to disburse funds, the Escrow Agent holds the funds and disburses them upon cessation of the event. The framework architecture excludes delay attributable to force majeure affecting the Escrow Agent from Step-Back activation.</w:t>
      </w:r>
    </w:p>
    <w:p>
      <w:pPr>
        <w:pStyle w:val="Heading1"/>
      </w:pPr>
      <w:r>
        <w:rPr>
          <w:rFonts w:ascii="Times New Roman" w:hAnsi="Times New Roman" w:eastAsia="SimHei" w:cs="Times New Roman"/>
          <w:b/>
          <w:color w:val="1E3A5F"/>
          <w:sz w:val="32"/>
          <w:szCs w:val="32"/>
        </w:rPr>
        <w:t>Article 12: Dedicated Dispute Escalation Ladder</w:t>
      </w:r>
    </w:p>
    <w:p>
      <w:pPr>
        <w:pStyle w:val="Normal"/>
      </w:pPr>
      <w:r>
        <w:rPr>
          <w:rFonts w:ascii="Times New Roman" w:hAnsi="Times New Roman" w:eastAsia="SimSun" w:cs="Times New Roman"/>
          <w:color w:val="1A1A1A"/>
          <w:sz w:val="24"/>
          <w:szCs w:val="24"/>
        </w:rPr>
        <w:t>This Article establishes a complete, mandatory escalation hierarchy for all disputes arising under this Annex. The Parties resolve disputes through the following sequential stages, each with strict timelines. No Party bypasses a stage without demonstrating that the previous stage failed to produce resolution within its allotted timeframe.</w:t>
      </w:r>
    </w:p>
    <w:p>
      <w:pPr>
        <w:pStyle w:val="Heading2"/>
      </w:pPr>
      <w:r>
        <w:rPr>
          <w:rFonts w:ascii="Times New Roman" w:hAnsi="Times New Roman" w:eastAsia="SimHei" w:cs="Times New Roman"/>
          <w:b/>
          <w:color w:val="4A6B8A"/>
          <w:sz w:val="28"/>
          <w:szCs w:val="28"/>
        </w:rPr>
        <w:t>12.1 Stage One: Joint Secretariat Facilitation</w:t>
      </w:r>
    </w:p>
    <w:p>
      <w:pPr>
        <w:pStyle w:val="Normal"/>
      </w:pPr>
      <w:r>
        <w:rPr>
          <w:rFonts w:ascii="Times New Roman" w:hAnsi="Times New Roman" w:eastAsia="SimSun" w:cs="Times New Roman"/>
          <w:color w:val="1A1A1A"/>
          <w:sz w:val="24"/>
          <w:szCs w:val="24"/>
        </w:rPr>
        <w:t>Either Party submits a written dispute notice to the Joint Secretariat. The Joint Secretariat acknowledges receipt within 24 hours and convenes a facilitation session within 7 days. The Joint Secretariat hears both Parties' positions, reviews the documentary record, and proposes a non-binding resolution within 14 days of the session. This stage resolves the dispute or exhausts its 21-day period before either Party escalates.</w:t>
      </w:r>
    </w:p>
    <w:p>
      <w:pPr>
        <w:pStyle w:val="Heading2"/>
      </w:pPr>
      <w:r>
        <w:rPr>
          <w:rFonts w:ascii="Times New Roman" w:hAnsi="Times New Roman" w:eastAsia="SimHei" w:cs="Times New Roman"/>
          <w:b/>
          <w:color w:val="4A6B8A"/>
          <w:sz w:val="28"/>
          <w:szCs w:val="28"/>
        </w:rPr>
        <w:t>12.2 Stage Two: Political and Compliance Council (PCC)</w:t>
      </w:r>
    </w:p>
    <w:p>
      <w:pPr>
        <w:pStyle w:val="Normal"/>
      </w:pPr>
      <w:r>
        <w:rPr>
          <w:rFonts w:ascii="Times New Roman" w:hAnsi="Times New Roman" w:eastAsia="SimSun" w:cs="Times New Roman"/>
          <w:color w:val="1A1A1A"/>
          <w:sz w:val="24"/>
          <w:szCs w:val="24"/>
        </w:rPr>
        <w:t>If Joint Secretariat facilitation does not resolve the dispute, either Party refers the matter to the PCC within 7 days of Stage One's conclusion. The PCC convenes within 14 days of referral. The PCC reviews the positions, considers the Joint Secretariat's facilitation record, and issues a recommendation within 21 days of convening. PCC recommendations are non-binding unless both Parties expressly accept them. If either Party rejects the recommendation, the dispute escalates to Stage Three.</w:t>
      </w:r>
    </w:p>
    <w:p>
      <w:pPr>
        <w:pStyle w:val="Heading2"/>
      </w:pPr>
      <w:r>
        <w:rPr>
          <w:rFonts w:ascii="Times New Roman" w:hAnsi="Times New Roman" w:eastAsia="SimHei" w:cs="Times New Roman"/>
          <w:b/>
          <w:color w:val="4A6B8A"/>
          <w:sz w:val="28"/>
          <w:szCs w:val="28"/>
        </w:rPr>
        <w:t>12.3 Stage Three: Senior Officials Meeting</w:t>
      </w:r>
    </w:p>
    <w:p>
      <w:pPr>
        <w:pStyle w:val="Normal"/>
      </w:pPr>
      <w:r>
        <w:rPr>
          <w:rFonts w:ascii="Times New Roman" w:hAnsi="Times New Roman" w:eastAsia="SimSun" w:cs="Times New Roman"/>
          <w:color w:val="1A1A1A"/>
          <w:sz w:val="24"/>
          <w:szCs w:val="24"/>
        </w:rPr>
        <w:t>If the PCC does not achieve resolution, either Party refers the dispute to a Senior Officials Meeting within 7 days. The Senior Officials Meeting comprises the deputy foreign ministers or equivalent rank officials from both Parties. The meeting convenes within 21 days of referral, in a mutually agreed location or through secure videoconference. The Senior Officials negotiate directly and issue a joint statement or agreed resolution within 14 days of convening. If no agreement emerges, the dispute escalates to Stage Four.</w:t>
      </w:r>
    </w:p>
    <w:p>
      <w:pPr>
        <w:pStyle w:val="Heading2"/>
      </w:pPr>
      <w:r>
        <w:rPr>
          <w:rFonts w:ascii="Times New Roman" w:hAnsi="Times New Roman" w:eastAsia="SimHei" w:cs="Times New Roman"/>
          <w:b/>
          <w:color w:val="4A6B8A"/>
          <w:sz w:val="28"/>
          <w:szCs w:val="28"/>
        </w:rPr>
        <w:t>12.4 Stage Four: Foreign Ministers</w:t>
      </w:r>
    </w:p>
    <w:p>
      <w:pPr>
        <w:pStyle w:val="Normal"/>
      </w:pPr>
      <w:r>
        <w:rPr>
          <w:rFonts w:ascii="Times New Roman" w:hAnsi="Times New Roman" w:eastAsia="SimSun" w:cs="Times New Roman"/>
          <w:color w:val="1A1A1A"/>
          <w:sz w:val="24"/>
          <w:szCs w:val="24"/>
        </w:rPr>
        <w:t>If Senior Officials fail to resolve the dispute, either Party refers the matter to the Foreign Ministers of both Parties within 7 days. The Foreign Ministers meet within 28 days of referral, either in person or through secure videoconference. The Foreign Ministers have full authority to resolve any dispute under this Annex through political agreement. The Foreign Ministers issue a binding determination or refer the matter to arbitration within 21 days of their meeting.</w:t>
      </w:r>
    </w:p>
    <w:p>
      <w:pPr>
        <w:pStyle w:val="Heading2"/>
      </w:pPr>
      <w:r>
        <w:rPr>
          <w:rFonts w:ascii="Times New Roman" w:hAnsi="Times New Roman" w:eastAsia="SimHei" w:cs="Times New Roman"/>
          <w:b/>
          <w:color w:val="4A6B8A"/>
          <w:sz w:val="28"/>
          <w:szCs w:val="28"/>
        </w:rPr>
        <w:t>12.5 Stage Five: Guarantor Matrix</w:t>
      </w:r>
    </w:p>
    <w:p>
      <w:pPr>
        <w:pStyle w:val="Normal"/>
      </w:pPr>
      <w:r>
        <w:rPr>
          <w:rFonts w:ascii="Times New Roman" w:hAnsi="Times New Roman" w:eastAsia="SimSun" w:cs="Times New Roman"/>
          <w:color w:val="1A1A1A"/>
          <w:sz w:val="24"/>
          <w:szCs w:val="24"/>
        </w:rPr>
        <w:t>If the Foreign Ministers do not resolve the dispute within their 21-day period, either Party refers the matter to the Guarantor Matrix within 7 days. The Guarantor Matrix convenes within 14 days and exercises its good offices to facilitate a resolution. The Guarantor Matrix has the authority to: propose compromise solutions; appoint independent technical experts to assess disputed facts; and recommend specific performance measures. The Guarantor Matrix produces a report within 21 days of convening. If the dispute remains unresolved, either Party escalates to Stage Six.</w:t>
      </w:r>
    </w:p>
    <w:p>
      <w:pPr>
        <w:pStyle w:val="Heading2"/>
      </w:pPr>
      <w:r>
        <w:rPr>
          <w:rFonts w:ascii="Times New Roman" w:hAnsi="Times New Roman" w:eastAsia="SimHei" w:cs="Times New Roman"/>
          <w:b/>
          <w:color w:val="4A6B8A"/>
          <w:sz w:val="28"/>
          <w:szCs w:val="28"/>
        </w:rPr>
        <w:t>12.6 Stage Six: Binding Arbitration</w:t>
      </w:r>
    </w:p>
    <w:p>
      <w:pPr>
        <w:pStyle w:val="Normal"/>
      </w:pPr>
      <w:r>
        <w:rPr>
          <w:rFonts w:ascii="Times New Roman" w:hAnsi="Times New Roman" w:eastAsia="SimSun" w:cs="Times New Roman"/>
          <w:color w:val="1A1A1A"/>
          <w:sz w:val="24"/>
          <w:szCs w:val="24"/>
        </w:rPr>
        <w:t>If the Guarantor Matrix does not achieve resolution, either Party invokes binding arbitration. The arbitration panel comprises three arbitrators: one nominated by the Iranian Party, one by the United States Party, and one by the Guarantor Matrix chair. The panel convenes within 21 days of invocation and issues a binding determination within 90 days of convening. The panel's determination is final and binding on both Parties. The panel has authority to: interpret any provision of this Annex; determine compliance; order specific performance; authorize or prohibit specific actions; and award costs. The Escrow Agent acts in accordance with binding panel determinations.</w:t>
      </w:r>
    </w:p>
    <w:p>
      <w:pPr>
        <w:pStyle w:val="Heading2"/>
      </w:pPr>
      <w:r>
        <w:rPr>
          <w:rFonts w:ascii="Times New Roman" w:hAnsi="Times New Roman" w:eastAsia="SimHei" w:cs="Times New Roman"/>
          <w:b/>
          <w:color w:val="4A6B8A"/>
          <w:sz w:val="28"/>
          <w:szCs w:val="28"/>
        </w:rPr>
        <w:t>12.7 Stage Seven: Joint Commission Review</w:t>
      </w:r>
    </w:p>
    <w:p>
      <w:pPr>
        <w:pStyle w:val="Normal"/>
      </w:pPr>
      <w:r>
        <w:rPr>
          <w:rFonts w:ascii="Times New Roman" w:hAnsi="Times New Roman" w:eastAsia="SimSun" w:cs="Times New Roman"/>
          <w:color w:val="1A1A1A"/>
          <w:sz w:val="24"/>
          <w:szCs w:val="24"/>
        </w:rPr>
        <w:t>If either Party contests the enforceability of an arbitration determination on grounds of procedural irregularity or fundamental error, that Party refers the matter to the Joint Commission within 14 days of the determination. The Joint Commission reviews the procedural integrity of the arbitration but does not re-open the merits of the underlying dispute. The Joint Commission confirms, modifies, or vacates the determination within 30 days. The Joint Commission's decision on procedural matters is final. This stage does not suspend the enforcement of the arbitration determination unless the Joint Commission specifically orders a stay.</w:t>
      </w:r>
    </w:p>
    <w:p>
      <w:pPr>
        <w:pStyle w:val="Heading2"/>
      </w:pPr>
      <w:r>
        <w:rPr>
          <w:rFonts w:ascii="Times New Roman" w:hAnsi="Times New Roman" w:eastAsia="SimHei" w:cs="Times New Roman"/>
          <w:b/>
          <w:color w:val="4A6B8A"/>
          <w:sz w:val="28"/>
          <w:szCs w:val="28"/>
        </w:rPr>
        <w:t>12.8 Timeline Compression for Time-Sensitive Disputes</w:t>
      </w:r>
    </w:p>
    <w:p>
      <w:pPr>
        <w:pStyle w:val="Normal"/>
      </w:pPr>
      <w:r>
        <w:rPr>
          <w:rFonts w:ascii="Times New Roman" w:hAnsi="Times New Roman" w:eastAsia="SimSun" w:cs="Times New Roman"/>
          <w:color w:val="1A1A1A"/>
          <w:sz w:val="24"/>
          <w:szCs w:val="24"/>
        </w:rPr>
        <w:t>For disputes that require resolution within a compressed timeframe to prevent automatic Step-Back or other time-bound consequences, either Party invokes the expedited escalation ladder. The expedited procedure compresses all stage timelines by 50 percent: Joint Secretariat facilitation convenes within 3 days and resolves within 10 days; the PCC convenes within 7 days and issues recommendations within 10 days; Senior Officials meet within 10 days; Foreign Ministers meet within 14 days; the Guarantor Matrix convenes within 7 days; and the arbitration panel convenes within 10 days and issues a determination within 45 days. During the expedited procedure, all time-bound consequences under this Annex are suspended pending the arbitration panel's determination.</w:t>
      </w:r>
    </w:p>
    <w:p>
      <w:pPr>
        <w:pStyle w:val="Heading2"/>
      </w:pPr>
      <w:r>
        <w:rPr>
          <w:rFonts w:ascii="Times New Roman" w:hAnsi="Times New Roman" w:eastAsia="SimHei" w:cs="Times New Roman"/>
          <w:b/>
          <w:color w:val="4A6B8A"/>
          <w:sz w:val="28"/>
          <w:szCs w:val="28"/>
        </w:rPr>
        <w:t>12.9 No Bypass</w:t>
      </w:r>
    </w:p>
    <w:p>
      <w:pPr>
        <w:pStyle w:val="Normal"/>
      </w:pPr>
      <w:r>
        <w:rPr>
          <w:rFonts w:ascii="Times New Roman" w:hAnsi="Times New Roman" w:eastAsia="SimSun" w:cs="Times New Roman"/>
          <w:color w:val="1A1A1A"/>
          <w:sz w:val="24"/>
          <w:szCs w:val="24"/>
        </w:rPr>
        <w:t>Neither Party bypasses any stage of the escalation ladder without demonstrating that the previous stage exhausted its allotted timeframe without producing a resolution. A Party that bypasses a stage without this demonstration loses standing to invoke the dispute resolution procedures for that specific dispute until the bypassed stage completes. This rule ensures that every dispute receives full consideration at every appropriate level before escalation to binding adjudication.</w:t>
      </w:r>
    </w:p>
    <w:p>
      <w:pPr>
        <w:pStyle w:val="Normal"/>
        <w:sectPr>
          <w:headerReference w:type="default" r:id="R8764fca02c9a4174"/>
          <w:footerReference w:type="default" r:id="R6dd80b0fe3264371"/>
          <w:type w:val="nextPage"/>
          <w:pgSz w:w="11906" w:h="16838"/>
          <w:pgMar w:top="1440" w:right="1440" w:bottom="1440" w:left="1440" w:header="720" w:footer="720"/>
        </w:sectPr>
      </w:pPr>
    </w:p>
    <w:p>
      <w:pPr>
        <w:pStyle w:val="Heading1"/>
      </w:pPr>
      <w:bookmarkStart w:name="_Toc010" w:id="11"/>
      <w:r>
        <w:rPr>
          <w:rFonts w:ascii="Times New Roman" w:hAnsi="Times New Roman" w:eastAsia="SimHei" w:cs="Times New Roman"/>
          <w:b/>
          <w:color w:val="1E3A5F"/>
          <w:sz w:val="32"/>
          <w:szCs w:val="32"/>
        </w:rPr>
        <w:t>Signature Block</w:t>
      </w:r>
      <w:bookmarkEnd w:id="11"/>
    </w:p>
    <w:p>
      <w:pPr>
        <w:pStyle w:val="Normal"/>
      </w:pPr>
      <w:r>
        <w:rPr>
          <w:rFonts w:ascii="Times New Roman" w:hAnsi="Times New Roman" w:eastAsia="SimSun" w:cs="Times New Roman"/>
          <w:color w:val="1A1A1A"/>
          <w:sz w:val="24"/>
          <w:szCs w:val="24"/>
        </w:rPr>
        <w:t>In witness whereof, the undersigned, being duly authorized by their respective governments, have signed this Annex ES: Escrow and Trigger Sequence Protocol (Two-Pool Synchronized Disbursement) and affix their seals on the date indicated below.</w:t>
      </w:r>
    </w:p>
    <w:p>
      <w:pPr>
        <w:pStyle w:val="Heading2"/>
      </w:pPr>
      <w:r>
        <w:rPr>
          <w:rFonts w:ascii="Times New Roman" w:hAnsi="Times New Roman" w:eastAsia="SimHei" w:cs="Times New Roman"/>
          <w:b/>
          <w:color w:val="4A6B8A"/>
          <w:sz w:val="28"/>
          <w:szCs w:val="28"/>
        </w:rPr>
        <w:t>For the Islamic Republic of Iran:</w:t>
      </w:r>
    </w:p>
    <w:p>
      <w:pPr>
        <w:pStyle w:val="Normal"/>
        <w:spacing w:before="200"/>
      </w:pPr>
      <w:r>
        <w:rPr>
          <w:sz w:val="24"/>
          <w:rFonts w:ascii="Times New Roman" w:hAnsi="Times New Roman" w:eastAsia="SimSun" w:cs="Times New Roman"/>
          <w:color w:val="1A1A1A"/>
          <w:szCs w:val="24"/>
        </w:rPr>
        <w:t>_________________________________</w:t>
      </w:r>
    </w:p>
    <w:p>
      <w:pPr>
        <w:pStyle w:val="Normal"/>
      </w:pPr>
      <w:r>
        <w:rPr>
          <w:sz w:val="22"/>
          <w:rFonts w:ascii="Times New Roman" w:hAnsi="Times New Roman" w:eastAsia="SimSun" w:cs="Times New Roman"/>
          <w:color w:val="1A1A1A"/>
          <w:szCs w:val="22"/>
        </w:rPr>
        <w:t>Name:</w:t>
      </w:r>
    </w:p>
    <w:p>
      <w:pPr>
        <w:pStyle w:val="Normal"/>
      </w:pPr>
      <w:r>
        <w:rPr>
          <w:sz w:val="22"/>
          <w:rFonts w:ascii="Times New Roman" w:hAnsi="Times New Roman" w:eastAsia="SimSun" w:cs="Times New Roman"/>
          <w:color w:val="1A1A1A"/>
          <w:szCs w:val="22"/>
        </w:rPr>
        <w:t>Title:</w:t>
      </w:r>
    </w:p>
    <w:p>
      <w:pPr>
        <w:pStyle w:val="Normal"/>
      </w:pPr>
      <w:r>
        <w:rPr>
          <w:sz w:val="22"/>
          <w:rFonts w:ascii="Times New Roman" w:hAnsi="Times New Roman" w:eastAsia="SimSun" w:cs="Times New Roman"/>
          <w:color w:val="1A1A1A"/>
          <w:szCs w:val="22"/>
        </w:rPr>
        <w:t>Date:</w:t>
      </w:r>
    </w:p>
    <w:p>
      <w:pPr>
        <w:pStyle w:val="Heading2"/>
      </w:pPr>
      <w:r>
        <w:rPr>
          <w:rFonts w:ascii="Times New Roman" w:hAnsi="Times New Roman" w:eastAsia="SimHei" w:cs="Times New Roman"/>
          <w:b/>
          <w:color w:val="4A6B8A"/>
          <w:sz w:val="28"/>
          <w:szCs w:val="28"/>
        </w:rPr>
        <w:t>For the United States of America:</w:t>
      </w:r>
    </w:p>
    <w:p>
      <w:pPr>
        <w:pStyle w:val="Normal"/>
        <w:spacing w:before="200"/>
      </w:pPr>
      <w:r>
        <w:rPr>
          <w:sz w:val="24"/>
          <w:rFonts w:ascii="Times New Roman" w:hAnsi="Times New Roman" w:eastAsia="SimSun" w:cs="Times New Roman"/>
          <w:color w:val="1A1A1A"/>
          <w:szCs w:val="24"/>
        </w:rPr>
        <w:t>_________________________________</w:t>
      </w:r>
    </w:p>
    <w:p>
      <w:pPr>
        <w:pStyle w:val="Normal"/>
      </w:pPr>
      <w:r>
        <w:rPr>
          <w:sz w:val="22"/>
          <w:rFonts w:ascii="Times New Roman" w:hAnsi="Times New Roman" w:eastAsia="SimSun" w:cs="Times New Roman"/>
          <w:color w:val="1A1A1A"/>
          <w:szCs w:val="22"/>
        </w:rPr>
        <w:t>Name:</w:t>
      </w:r>
    </w:p>
    <w:p>
      <w:pPr>
        <w:pStyle w:val="Normal"/>
      </w:pPr>
      <w:r>
        <w:rPr>
          <w:sz w:val="22"/>
          <w:rFonts w:ascii="Times New Roman" w:hAnsi="Times New Roman" w:eastAsia="SimSun" w:cs="Times New Roman"/>
          <w:color w:val="1A1A1A"/>
          <w:szCs w:val="22"/>
        </w:rPr>
        <w:t>Title:</w:t>
      </w:r>
    </w:p>
    <w:p>
      <w:pPr>
        <w:pStyle w:val="Normal"/>
      </w:pPr>
      <w:r>
        <w:rPr>
          <w:sz w:val="22"/>
          <w:rFonts w:ascii="Times New Roman" w:hAnsi="Times New Roman" w:eastAsia="SimSun" w:cs="Times New Roman"/>
          <w:color w:val="1A1A1A"/>
          <w:szCs w:val="22"/>
        </w:rPr>
        <w:t>Date:</w:t>
      </w:r>
    </w:p>
    <w:p>
      <w:pPr>
        <w:pStyle w:val="Heading2"/>
      </w:pPr>
      <w:r>
        <w:rPr>
          <w:rFonts w:ascii="Times New Roman" w:hAnsi="Times New Roman" w:eastAsia="SimHei" w:cs="Times New Roman"/>
          <w:b/>
          <w:color w:val="4A6B8A"/>
          <w:sz w:val="28"/>
          <w:szCs w:val="28"/>
        </w:rPr>
        <w:t>For the State of Qatar (Escrow Agent):</w:t>
      </w:r>
    </w:p>
    <w:p>
      <w:pPr>
        <w:pStyle w:val="Normal"/>
        <w:spacing w:before="200"/>
      </w:pPr>
      <w:r>
        <w:rPr>
          <w:sz w:val="24"/>
          <w:rFonts w:ascii="Times New Roman" w:hAnsi="Times New Roman" w:eastAsia="SimSun" w:cs="Times New Roman"/>
          <w:color w:val="1A1A1A"/>
          <w:szCs w:val="24"/>
        </w:rPr>
        <w:t>_________________________________</w:t>
      </w:r>
    </w:p>
    <w:p>
      <w:pPr>
        <w:pStyle w:val="Normal"/>
      </w:pPr>
      <w:r>
        <w:rPr>
          <w:sz w:val="22"/>
          <w:rFonts w:ascii="Times New Roman" w:hAnsi="Times New Roman" w:eastAsia="SimSun" w:cs="Times New Roman"/>
          <w:color w:val="1A1A1A"/>
          <w:szCs w:val="22"/>
        </w:rPr>
        <w:t>Name:</w:t>
      </w:r>
    </w:p>
    <w:p>
      <w:pPr>
        <w:pStyle w:val="Normal"/>
      </w:pPr>
      <w:r>
        <w:rPr>
          <w:sz w:val="22"/>
          <w:rFonts w:ascii="Times New Roman" w:hAnsi="Times New Roman" w:eastAsia="SimSun" w:cs="Times New Roman"/>
          <w:color w:val="1A1A1A"/>
          <w:szCs w:val="22"/>
        </w:rPr>
        <w:t>Title:</w:t>
      </w:r>
    </w:p>
    <w:p>
      <w:pPr>
        <w:pStyle w:val="Normal"/>
      </w:pPr>
      <w:r>
        <w:rPr>
          <w:sz w:val="22"/>
          <w:rFonts w:ascii="Times New Roman" w:hAnsi="Times New Roman" w:eastAsia="SimSun" w:cs="Times New Roman"/>
          <w:color w:val="1A1A1A"/>
          <w:szCs w:val="22"/>
        </w:rPr>
        <w:t>Date:</w:t>
      </w:r>
    </w:p>
    <w:p>
      <w:pPr>
        <w:pStyle w:val="Heading1"/>
      </w:pPr>
      <w:r>
        <w:rPr>
          <w:rFonts w:ascii="Times New Roman" w:hAnsi="Times New Roman" w:eastAsia="SimHei" w:cs="Times New Roman"/>
          <w:b/>
          <w:color w:val="1E3A5F"/>
          <w:sz w:val="32"/>
          <w:szCs w:val="32"/>
        </w:rPr>
        <w:t>Article 13: Partial Performance Rules</w:t>
      </w:r>
    </w:p>
    <w:p>
      <w:pPr>
        <w:pStyle w:val="Normal"/>
      </w:pPr>
      <w:r>
        <w:rPr>
          <w:rFonts w:ascii="Times New Roman" w:hAnsi="Times New Roman" w:eastAsia="SimSun" w:cs="Times New Roman"/>
          <w:color w:val="1A1A1A"/>
          <w:sz w:val="24"/>
          <w:szCs w:val="24"/>
        </w:rPr>
        <w:t>This Article introduces a calibrated partial performance framework that replaces the binary completion model with a graduated system. Under this framework, substantial but incomplete progress toward a milestone yields proportionate benefits, increasing the resilience of the Annex against all-or-nothing failures.</w:t>
      </w:r>
    </w:p>
    <w:p>
      <w:pPr>
        <w:pStyle w:val="Heading2"/>
      </w:pPr>
      <w:r>
        <w:rPr>
          <w:rFonts w:ascii="Times New Roman" w:hAnsi="Times New Roman" w:eastAsia="SimHei" w:cs="Times New Roman"/>
          <w:b/>
          <w:color w:val="4A6B8A"/>
          <w:sz w:val="28"/>
          <w:szCs w:val="28"/>
        </w:rPr>
        <w:t>13.1 Conditional Progress Certificates</w:t>
      </w:r>
    </w:p>
    <w:p>
      <w:pPr>
        <w:pStyle w:val="Normal"/>
      </w:pPr>
      <w:r>
        <w:rPr>
          <w:rFonts w:ascii="Times New Roman" w:hAnsi="Times New Roman" w:eastAsia="SimSun" w:cs="Times New Roman"/>
          <w:color w:val="1A1A1A"/>
          <w:sz w:val="24"/>
          <w:szCs w:val="24"/>
        </w:rPr>
        <w:t>The IAEA issues Conditional Progress Certificates when Iran completes between 75 percent and 99 percent of a defined milestone within the hard-cap period. A Conditional Progress Certificate specifies: the percentage of the milestone completed; the specific sub-elements satisfied; the remaining sub-elements requiring completion; the IAEA's technical assessment of whether the remaining work is achievable; and a recommended completion timeline not exceeding 45 days from the certificate date. The IAEA bases the percentage completion on objective, measurable criteria defined in the milestone specifications in Article 3.</w:t>
      </w:r>
    </w:p>
    <w:p>
      <w:pPr>
        <w:pStyle w:val="Heading2"/>
      </w:pPr>
      <w:r>
        <w:rPr>
          <w:rFonts w:ascii="Times New Roman" w:hAnsi="Times New Roman" w:eastAsia="SimHei" w:cs="Times New Roman"/>
          <w:b/>
          <w:color w:val="4A6B8A"/>
          <w:sz w:val="28"/>
          <w:szCs w:val="28"/>
        </w:rPr>
        <w:t>13.2 Effects of Conditional Progress Certification</w:t>
      </w:r>
    </w:p>
    <w:p>
      <w:pPr>
        <w:pStyle w:val="Normal"/>
      </w:pPr>
      <w:r>
        <w:rPr>
          <w:rFonts w:ascii="Times New Roman" w:hAnsi="Times New Roman" w:eastAsia="SimSun" w:cs="Times New Roman"/>
          <w:color w:val="1A1A1A"/>
          <w:sz w:val="24"/>
          <w:szCs w:val="24"/>
        </w:rPr>
        <w:t>A Conditional Progress Certificate produces the following effects: the PCC convenes within 14 days to review the certificate and determine the appropriate proportionate response; the Escrow Agent releases a partial tranche from both pools equal to the completion percentage certified by the IAEA (for example, 85 percent milestone completion triggers release of 85 percent of the applicable tranche amounts); Level 1 enhanced monitoring activates, including weekly IAEA reporting and continuous on-site inspector presence; and the hard-cap deadline for the remaining portion extends by 45 days from the certificate date. The partial release does not affect the Step-Back architecture: failure to complete the remaining portion within the extended period triggers Level 2 Step-Back on the unreleased balance only.</w:t>
      </w:r>
    </w:p>
    <w:p>
      <w:pPr>
        <w:pStyle w:val="Heading2"/>
      </w:pPr>
      <w:r>
        <w:rPr>
          <w:rFonts w:ascii="Times New Roman" w:hAnsi="Times New Roman" w:eastAsia="SimHei" w:cs="Times New Roman"/>
          <w:b/>
          <w:color w:val="4A6B8A"/>
          <w:sz w:val="28"/>
          <w:szCs w:val="28"/>
        </w:rPr>
        <w:t>13.3 Proportionate Release Mechanics</w:t>
      </w:r>
    </w:p>
    <w:p>
      <w:pPr>
        <w:pStyle w:val="Normal"/>
      </w:pPr>
      <w:r>
        <w:rPr>
          <w:rFonts w:ascii="Times New Roman" w:hAnsi="Times New Roman" w:eastAsia="SimSun" w:cs="Times New Roman"/>
          <w:color w:val="1A1A1A"/>
          <w:sz w:val="24"/>
          <w:szCs w:val="24"/>
        </w:rPr>
        <w:t>The proportionate release operates as follows. For Tranche 1, the IAEA certifies X percent completion of the National HEU Verification and Custody Milestone. The Escrow Agent releases X percent of $1.5 billion from Pool A (to the US-Qatar Joint Oversight Escrow) and X percent of $3 billion from Pool B (to the Central Bank of Iran). For Tranche 2, the IAEA certifies Y percent completion of the Downblending Completion Milestone. The Escrow Agent releases Y percent of $2.5 billion from Pool A and Y percent of $5 billion from Pool B. The Joint Disbursement Instruction for a partial release specifies the certified completion percentage and the calculated partial amounts. All other release procedures from Article 4 apply to partial releases with necessary adjustments.</w:t>
      </w:r>
    </w:p>
    <w:p>
      <w:pPr>
        <w:pStyle w:val="Heading2"/>
      </w:pPr>
      <w:r>
        <w:rPr>
          <w:rFonts w:ascii="Times New Roman" w:hAnsi="Times New Roman" w:eastAsia="SimHei" w:cs="Times New Roman"/>
          <w:b/>
          <w:color w:val="4A6B8A"/>
          <w:sz w:val="28"/>
          <w:szCs w:val="28"/>
        </w:rPr>
        <w:t>13.4 Final Completion and Full Release</w:t>
      </w:r>
    </w:p>
    <w:p>
      <w:pPr>
        <w:pStyle w:val="Normal"/>
      </w:pPr>
      <w:r>
        <w:rPr>
          <w:rFonts w:ascii="Times New Roman" w:hAnsi="Times New Roman" w:eastAsia="SimSun" w:cs="Times New Roman"/>
          <w:color w:val="1A1A1A"/>
          <w:sz w:val="24"/>
          <w:szCs w:val="24"/>
        </w:rPr>
        <w:t>Upon IAEA certification of 100 percent milestone completion following a Conditional Progress Certificate, the Escrow Agent releases the remaining balance of both tranches simultaneously. The final release restores the Parties to the position they occupy upon normal full completion. No penalty, no prejudice, and no additional conditions attach to the final release. The Joint Secretariat updates the official compliance register to reflect full milestone completion.</w:t>
      </w:r>
    </w:p>
    <w:p>
      <w:pPr>
        <w:pStyle w:val="Heading2"/>
      </w:pPr>
      <w:r>
        <w:rPr>
          <w:rFonts w:ascii="Times New Roman" w:hAnsi="Times New Roman" w:eastAsia="SimHei" w:cs="Times New Roman"/>
          <w:b/>
          <w:color w:val="4A6B8A"/>
          <w:sz w:val="28"/>
          <w:szCs w:val="28"/>
        </w:rPr>
        <w:t>13.5 Interest Accrual for Partial Releases</w:t>
      </w:r>
    </w:p>
    <w:p>
      <w:pPr>
        <w:pStyle w:val="Normal"/>
      </w:pPr>
      <w:r>
        <w:rPr>
          <w:rFonts w:ascii="Times New Roman" w:hAnsi="Times New Roman" w:eastAsia="SimSun" w:cs="Times New Roman"/>
          <w:color w:val="1A1A1A"/>
          <w:sz w:val="24"/>
          <w:szCs w:val="24"/>
        </w:rPr>
        <w:t>When a Conditional Progress Certificate triggers a partial release under Article 13.2: (a) the Escrow Agent calculates interest accrual on the full principal amount through the date of partial release; (b) the partial release carries a proportionate share of interest accrual, calculated as: (partial release percentage) multiplied by (total interest accrued through release date); (c) the remaining principal and remaining interest continue to accrue interest at the same rate until final release; (d) upon final release, the Escrow Agent releases the remaining principal together with all interest accrued on the remaining principal since the partial release; and (e) the Escrow Agent provides a detailed accounting of interest calculations with each partial and final release.</w:t>
      </w:r>
    </w:p>
    <w:p>
      <w:pPr>
        <w:pStyle w:val="Heading2"/>
      </w:pPr>
      <w:r>
        <w:rPr>
          <w:rFonts w:ascii="Times New Roman" w:hAnsi="Times New Roman" w:eastAsia="SimHei" w:cs="Times New Roman"/>
          <w:b/>
          <w:color w:val="4A6B8A"/>
          <w:sz w:val="28"/>
          <w:szCs w:val="28"/>
        </w:rPr>
        <w:t>13.6 Conditional Progress Certificate Timeline</w:t>
      </w:r>
    </w:p>
    <w:p>
      <w:pPr>
        <w:pStyle w:val="Normal"/>
      </w:pPr>
      <w:r>
        <w:rPr>
          <w:rFonts w:ascii="Times New Roman" w:hAnsi="Times New Roman" w:eastAsia="SimSun" w:cs="Times New Roman"/>
          <w:color w:val="1A1A1A"/>
          <w:sz w:val="24"/>
          <w:szCs w:val="24"/>
        </w:rPr>
        <w:t>(a) Within 14 days of the hard-cap deadline for a milestone, the IAEA assesses whether Iran completes between 75 percent and 99 percent of the milestone. (b) If the IAEA determines that the threshold is met, the IAEA issues a Conditional Progress Certificate within 7 days of completing its assessment. (c) If the IAEA determines that less than 75 percent of the milestone is complete, no Conditional Progress Certificate issues, and Level 2 Step-Back activates under Article 5.4. (d) If the IAEA determines that 100 percent of the milestone is complete, the IAEA issues the applicable Verification Certificate, and full release occurs under Article 3 or Article 4.</w:t>
      </w:r>
    </w:p>
    <w:p>
      <w:pPr>
        <w:pStyle w:val="Heading1"/>
      </w:pPr>
      <w:r>
        <w:rPr>
          <w:rFonts w:ascii="Times New Roman" w:hAnsi="Times New Roman" w:eastAsia="SimHei" w:cs="Times New Roman"/>
          <w:b/>
          <w:color w:val="1E3A5F"/>
          <w:sz w:val="32"/>
          <w:szCs w:val="32"/>
        </w:rPr>
        <w:t>Article 14: Sanctions Re-Imposition Procedure</w:t>
      </w:r>
    </w:p>
    <w:p>
      <w:pPr>
        <w:pStyle w:val="Normal"/>
      </w:pPr>
      <w:r>
        <w:rPr>
          <w:rFonts w:ascii="Times New Roman" w:hAnsi="Times New Roman" w:eastAsia="SimSun" w:cs="Times New Roman"/>
          <w:color w:val="1A1A1A"/>
          <w:sz w:val="24"/>
          <w:szCs w:val="24"/>
        </w:rPr>
        <w:t>This Article establishes a deliberate, consensus-based procedure for re-imposing sanctions in the event of severe non-compliance. The Parties explicitly reject automatic snapback. However, a defined endpoint exists for sustained material breach that exhausts the Earn-Back and resilience mechanisms.</w:t>
      </w:r>
    </w:p>
    <w:p>
      <w:pPr>
        <w:pStyle w:val="Heading2"/>
      </w:pPr>
      <w:r>
        <w:rPr>
          <w:rFonts w:ascii="Times New Roman" w:hAnsi="Times New Roman" w:eastAsia="SimHei" w:cs="Times New Roman"/>
          <w:b/>
          <w:color w:val="4A6B8A"/>
          <w:sz w:val="28"/>
          <w:szCs w:val="28"/>
        </w:rPr>
        <w:t>14.1 Trigger: Persistent Level 3 Material Breach</w:t>
      </w:r>
    </w:p>
    <w:p>
      <w:pPr>
        <w:pStyle w:val="Normal"/>
      </w:pPr>
      <w:r>
        <w:rPr>
          <w:rFonts w:ascii="Times New Roman" w:hAnsi="Times New Roman" w:eastAsia="SimSun" w:cs="Times New Roman"/>
          <w:color w:val="1A1A1A"/>
          <w:sz w:val="24"/>
          <w:szCs w:val="24"/>
        </w:rPr>
        <w:t>The sanctions re-imposition procedure activates only when a Level 3 Material Breach, as defined in Article 5.4, persists for 180 consecutive days without successful Earn-Back. The 180-day period commences on the date the Joint Secretariat issues the Step-Back notification under Article 5.1.2. During this 180-day period, the Earn-Back procedures of Article 5.3 remain fully available. The non-complying Party restores full compliance at any point during this period and Earn-Back follows as specified.</w:t>
      </w:r>
    </w:p>
    <w:p>
      <w:pPr>
        <w:pStyle w:val="Heading2"/>
      </w:pPr>
      <w:r>
        <w:rPr>
          <w:rFonts w:ascii="Times New Roman" w:hAnsi="Times New Roman" w:eastAsia="SimHei" w:cs="Times New Roman"/>
          <w:b/>
          <w:color w:val="4A6B8A"/>
          <w:sz w:val="28"/>
          <w:szCs w:val="28"/>
        </w:rPr>
        <w:t>14.2 Joint Commission Review</w:t>
      </w:r>
    </w:p>
    <w:p>
      <w:pPr>
        <w:pStyle w:val="Normal"/>
      </w:pPr>
      <w:r>
        <w:rPr>
          <w:rFonts w:ascii="Times New Roman" w:hAnsi="Times New Roman" w:eastAsia="SimSun" w:cs="Times New Roman"/>
          <w:color w:val="1A1A1A"/>
          <w:sz w:val="24"/>
          <w:szCs w:val="24"/>
        </w:rPr>
        <w:t>If the 180-day period expires without Earn-Back, either Party refers the matter to the Joint Commission. The Joint Commission convenes within 30 days of the referral. The Joint Commission reviews: the nature and severity of the material breach; the non-complying Party's efforts to achieve compliance during the 180-day period; the feasibility of continued cooperation under the Annex; and the proportionality of prospective sanctions re-imposition. The Joint Commission assesses whether the breach is remediable and whether the Parties' shared interest in the Annex's survival justifies additional time or adapted terms.</w:t>
      </w:r>
    </w:p>
    <w:p>
      <w:pPr>
        <w:pStyle w:val="Heading2"/>
      </w:pPr>
      <w:r>
        <w:rPr>
          <w:rFonts w:ascii="Times New Roman" w:hAnsi="Times New Roman" w:eastAsia="SimHei" w:cs="Times New Roman"/>
          <w:b/>
          <w:color w:val="4A6B8A"/>
          <w:sz w:val="28"/>
          <w:szCs w:val="28"/>
        </w:rPr>
        <w:t>14.3 Consensus Determination</w:t>
      </w:r>
    </w:p>
    <w:p>
      <w:pPr>
        <w:pStyle w:val="Normal"/>
      </w:pPr>
      <w:r>
        <w:rPr>
          <w:rFonts w:ascii="Times New Roman" w:hAnsi="Times New Roman" w:eastAsia="SimSun" w:cs="Times New Roman"/>
          <w:color w:val="1A1A1A"/>
          <w:sz w:val="24"/>
          <w:szCs w:val="24"/>
        </w:rPr>
        <w:t>The Joint Commission determines by consensus whether to re-impose sanctions. Consensus requires affirmative votes from both Iranian and United States representatives on the Joint Commission. Without consensus, no re-imposition occurs. The Joint Commission has three options: declare the breach remediable and extend the Earn-Back period by an additional 90 days with modified terms; determine that the Annex is no longer viable and initiate orderly termination procedures under Article 7; or authorize prospective suspension of future relief measures only, without clawback of already-released funds, consistent with the non-clawback principle in Article 5.2.</w:t>
      </w:r>
    </w:p>
    <w:p>
      <w:pPr>
        <w:pStyle w:val="Heading2"/>
      </w:pPr>
      <w:r>
        <w:rPr>
          <w:rFonts w:ascii="Times New Roman" w:hAnsi="Times New Roman" w:eastAsia="SimHei" w:cs="Times New Roman"/>
          <w:b/>
          <w:color w:val="4A6B8A"/>
          <w:sz w:val="28"/>
          <w:szCs w:val="28"/>
        </w:rPr>
        <w:t>14.4 No Automatic Snapback</w:t>
      </w:r>
    </w:p>
    <w:p>
      <w:pPr>
        <w:pStyle w:val="Normal"/>
      </w:pPr>
      <w:r>
        <w:rPr>
          <w:rFonts w:ascii="Times New Roman" w:hAnsi="Times New Roman" w:eastAsia="SimSun" w:cs="Times New Roman"/>
          <w:color w:val="1A1A1A"/>
          <w:sz w:val="24"/>
          <w:szCs w:val="24"/>
        </w:rPr>
        <w:t>Under no circumstances does sanctions re-imposition occur automatically. The Joint Commission's consensus determination is a mandatory prerequisite. No single Party, no automatic trigger, and no external actor re-imposes sanctions without the Joint Commission's deliberation and consensus. This architecture ensures that sanctions re-imposition is a considered, collective decision rather than a reflexive punitive reaction. The 180-day window provides ample opportunity for diplomatic resolution, technical assistance, and political accommodation before any re-imposition question arises.</w:t>
      </w:r>
    </w:p>
    <w:p>
      <w:pPr>
        <w:pStyle w:val="Heading2"/>
      </w:pPr>
      <w:r>
        <w:rPr>
          <w:rFonts w:ascii="Times New Roman" w:hAnsi="Times New Roman" w:eastAsia="SimHei" w:cs="Times New Roman"/>
          <w:b/>
          <w:color w:val="4A6B8A"/>
          <w:sz w:val="28"/>
          <w:szCs w:val="28"/>
        </w:rPr>
        <w:t>14.5 Prospective Effect of Re-Imposition</w:t>
      </w:r>
    </w:p>
    <w:p>
      <w:pPr>
        <w:pStyle w:val="Normal"/>
      </w:pPr>
      <w:r>
        <w:rPr>
          <w:rFonts w:ascii="Times New Roman" w:hAnsi="Times New Roman" w:eastAsia="SimSun" w:cs="Times New Roman"/>
          <w:color w:val="1A1A1A"/>
          <w:sz w:val="24"/>
          <w:szCs w:val="24"/>
        </w:rPr>
        <w:t>If the Joint Commission authorizes sanctions re-imposition by consensus, the re-imposition applies prospectively only. Already-released funds remain with the recipients. Already-completed verification milestones retain their validity. The re-imposition suspends future relief measures that have not yet become due. This prospective-only principle is non-derogable. The Joint Commission specifies the scope, duration, and conditions for lifting the re-imposition in its consensus determination.</w:t>
      </w:r>
    </w:p>
    <w:p>
      <w:pPr>
        <w:pStyle w:val="Heading1"/>
      </w:pPr>
      <w:r>
        <w:rPr>
          <w:rFonts w:ascii="Times New Roman" w:hAnsi="Times New Roman" w:eastAsia="SimHei" w:cs="Times New Roman"/>
          <w:b/>
          <w:color w:val="1E3A5F"/>
          <w:sz w:val="32"/>
          <w:szCs w:val="32"/>
        </w:rPr>
        <w:t>Article 15: Successor Government Continuity</w:t>
      </w:r>
    </w:p>
    <w:p>
      <w:pPr>
        <w:pStyle w:val="Normal"/>
      </w:pPr>
      <w:r>
        <w:rPr>
          <w:rFonts w:ascii="Times New Roman" w:hAnsi="Times New Roman" w:eastAsia="SimSun" w:cs="Times New Roman"/>
          <w:color w:val="1A1A1A"/>
          <w:sz w:val="24"/>
          <w:szCs w:val="24"/>
        </w:rPr>
        <w:t>This Article ensures that the obligations under this Annex bind successor governments and survive changes in domestic administration. The failure of prior agreements to include this provision created a major structural weakness; this Annex closes that gap.</w:t>
      </w:r>
    </w:p>
    <w:p>
      <w:pPr>
        <w:pStyle w:val="Heading2"/>
      </w:pPr>
      <w:r>
        <w:rPr>
          <w:rFonts w:ascii="Times New Roman" w:hAnsi="Times New Roman" w:eastAsia="SimHei" w:cs="Times New Roman"/>
          <w:b/>
          <w:color w:val="4A6B8A"/>
          <w:sz w:val="28"/>
          <w:szCs w:val="28"/>
        </w:rPr>
        <w:t>15.1 Binding Effect on Successor Governments</w:t>
      </w:r>
    </w:p>
    <w:p>
      <w:pPr>
        <w:pStyle w:val="Normal"/>
      </w:pPr>
      <w:r>
        <w:rPr>
          <w:rFonts w:ascii="Times New Roman" w:hAnsi="Times New Roman" w:eastAsia="SimSun" w:cs="Times New Roman"/>
          <w:color w:val="1A1A1A"/>
          <w:sz w:val="24"/>
          <w:szCs w:val="24"/>
        </w:rPr>
        <w:t>Obligations under this Annex bind successor governments of both Parties and survive changes in domestic administration, including but not limited to: national elections; changes in executive leadership; parliamentary votes of no confidence; constitutional transitions; and any other change in the composition or orientation of the governing authority. A successor government assumes all obligations, benefits, and procedural positions of its predecessor under this Annex without interruption. No successor government renounces, repudiates, or suspends this Annex on the ground that it was concluded by a prior administration.</w:t>
      </w:r>
    </w:p>
    <w:p>
      <w:pPr>
        <w:pStyle w:val="Heading2"/>
      </w:pPr>
      <w:r>
        <w:rPr>
          <w:rFonts w:ascii="Times New Roman" w:hAnsi="Times New Roman" w:eastAsia="SimHei" w:cs="Times New Roman"/>
          <w:b/>
          <w:color w:val="4A6B8A"/>
          <w:sz w:val="28"/>
          <w:szCs w:val="28"/>
        </w:rPr>
        <w:t>15.2 Continuity of Institutions</w:t>
      </w:r>
    </w:p>
    <w:p>
      <w:pPr>
        <w:pStyle w:val="Normal"/>
      </w:pPr>
      <w:r>
        <w:rPr>
          <w:rFonts w:ascii="Times New Roman" w:hAnsi="Times New Roman" w:eastAsia="SimSun" w:cs="Times New Roman"/>
          <w:color w:val="1A1A1A"/>
          <w:sz w:val="24"/>
          <w:szCs w:val="24"/>
        </w:rPr>
        <w:t>Institutional arrangements under this Annex continue without interruption through government transitions. The PCC maintains its composition and function regardless of changes in either Party's government. The Joint Secretariat continues its operations. The Escrow Agent's mandate and fiduciary duty persist. IAEA verification activities proceed without disruption. Each Party notifies the Joint Secretariat of any government transition within 7 days and confirms the continuing validity of its representatives' authority within 14 days.</w:t>
      </w:r>
    </w:p>
    <w:p>
      <w:pPr>
        <w:pStyle w:val="Heading2"/>
      </w:pPr>
      <w:r>
        <w:rPr>
          <w:rFonts w:ascii="Times New Roman" w:hAnsi="Times New Roman" w:eastAsia="SimHei" w:cs="Times New Roman"/>
          <w:b/>
          <w:color w:val="4A6B8A"/>
          <w:sz w:val="28"/>
          <w:szCs w:val="28"/>
        </w:rPr>
        <w:t>15.3 Domestic Approval</w:t>
      </w:r>
    </w:p>
    <w:p>
      <w:pPr>
        <w:pStyle w:val="Normal"/>
      </w:pPr>
      <w:r>
        <w:rPr>
          <w:rFonts w:ascii="Times New Roman" w:hAnsi="Times New Roman" w:eastAsia="SimSun" w:cs="Times New Roman"/>
          <w:color w:val="1A1A1A"/>
          <w:sz w:val="24"/>
          <w:szCs w:val="24"/>
        </w:rPr>
        <w:t>Each Party undertakes to secure whatever domestic legislative, executive, or regulatory approval is necessary to give this Annex binding effect beyond the term of the current administration. This undertaking includes: submitting the Annex for legislative approval where constitutionally required; issuing executive directives or regulatory guidance embedding the Annex's obligations in domestic law; and designating the Annex as a treaty or international agreement under domestic law where applicable. Neither Party invokes domestic procedural requirements as a ground for delaying or avoiding performance of its obligations.</w:t>
      </w:r>
    </w:p>
    <w:p>
      <w:pPr>
        <w:pStyle w:val="Heading1"/>
      </w:pPr>
      <w:r>
        <w:rPr>
          <w:rFonts w:ascii="Times New Roman" w:hAnsi="Times New Roman" w:eastAsia="SimHei" w:cs="Times New Roman"/>
          <w:b/>
          <w:color w:val="1E3A5F"/>
          <w:sz w:val="32"/>
          <w:szCs w:val="32"/>
        </w:rPr>
        <w:t>Article 16: Annual Sustainability Review</w:t>
      </w:r>
    </w:p>
    <w:p>
      <w:pPr>
        <w:pStyle w:val="Normal"/>
      </w:pPr>
      <w:r>
        <w:rPr>
          <w:rFonts w:ascii="Times New Roman" w:hAnsi="Times New Roman" w:eastAsia="SimSun" w:cs="Times New Roman"/>
          <w:color w:val="1A1A1A"/>
          <w:sz w:val="24"/>
          <w:szCs w:val="24"/>
        </w:rPr>
        <w:t>This Article establishes a recurring review mechanism that allows the Parties to assess implementation, address emerging challenges, and recommend modifications. The review operates on a 12-month cycle and provides a peaceful adaptation pathway that prevents the Annex from becoming outdated or unworkable.</w:t>
      </w:r>
    </w:p>
    <w:p>
      <w:pPr>
        <w:pStyle w:val="Heading2"/>
      </w:pPr>
      <w:r>
        <w:rPr>
          <w:rFonts w:ascii="Times New Roman" w:hAnsi="Times New Roman" w:eastAsia="SimHei" w:cs="Times New Roman"/>
          <w:b/>
          <w:color w:val="4A6B8A"/>
          <w:sz w:val="28"/>
          <w:szCs w:val="28"/>
        </w:rPr>
        <w:t>16.1 Review Components</w:t>
      </w:r>
    </w:p>
    <w:p>
      <w:pPr>
        <w:pStyle w:val="Normal"/>
      </w:pPr>
      <w:r>
        <w:rPr>
          <w:rFonts w:ascii="Times New Roman" w:hAnsi="Times New Roman" w:eastAsia="SimSun" w:cs="Times New Roman"/>
          <w:color w:val="1A1A1A"/>
          <w:sz w:val="24"/>
          <w:szCs w:val="24"/>
        </w:rPr>
        <w:t>Every 12 months from the date of the first tranche release, the Joint Commission conducts a comprehensive sustainability review. The review comprises three mandatory components: the IAEA presents a technical assessment of Iran's nuclear activities under the Annex, including verification results, monitoring data, and compliance findings; the Escrow Agent presents a financial report covering the status of all escrowed and released funds, interest accrual, disbursement records, and audit findings; and the Joint Commission assesses overall implementation, identifies operational obstacles, evaluates the effectiveness of the Step-Back and Earn-Back mechanisms, and reviews the functioning of the dispute resolution procedures.</w:t>
      </w:r>
    </w:p>
    <w:p>
      <w:pPr>
        <w:pStyle w:val="Heading2"/>
      </w:pPr>
      <w:r>
        <w:rPr>
          <w:rFonts w:ascii="Times New Roman" w:hAnsi="Times New Roman" w:eastAsia="SimHei" w:cs="Times New Roman"/>
          <w:b/>
          <w:color w:val="4A6B8A"/>
          <w:sz w:val="28"/>
          <w:szCs w:val="28"/>
        </w:rPr>
        <w:t>16.2 Procedure</w:t>
      </w:r>
    </w:p>
    <w:p>
      <w:pPr>
        <w:pStyle w:val="Normal"/>
      </w:pPr>
      <w:r>
        <w:rPr>
          <w:rFonts w:ascii="Times New Roman" w:hAnsi="Times New Roman" w:eastAsia="SimSun" w:cs="Times New Roman"/>
          <w:color w:val="1A1A1A"/>
          <w:sz w:val="24"/>
          <w:szCs w:val="24"/>
        </w:rPr>
        <w:t>The Joint Secretariat convenes the Annual Sustainability Review by issuing a formal convocation to both Parties, the IAEA, and the Escrow Agent at least 60 days before the review date. The IAEA submits its technical assessment to the Joint Secretariat 30 days before the review. The Escrow Agent submits its financial report 30 days before the review. Both Parties submit written observations on the IAEA assessment and the Escrow Agent report 14 days before the review. The Joint Commission meets in person or through secure videoconference over a 3-day period to deliberate and adopt recommendations.</w:t>
      </w:r>
    </w:p>
    <w:p>
      <w:pPr>
        <w:pStyle w:val="Heading2"/>
      </w:pPr>
      <w:r>
        <w:rPr>
          <w:rFonts w:ascii="Times New Roman" w:hAnsi="Times New Roman" w:eastAsia="SimHei" w:cs="Times New Roman"/>
          <w:b/>
          <w:color w:val="4A6B8A"/>
          <w:sz w:val="28"/>
          <w:szCs w:val="28"/>
        </w:rPr>
        <w:t>16.3 Recommendations and Modifications</w:t>
      </w:r>
    </w:p>
    <w:p>
      <w:pPr>
        <w:pStyle w:val="Normal"/>
      </w:pPr>
      <w:r>
        <w:rPr>
          <w:rFonts w:ascii="Times New Roman" w:hAnsi="Times New Roman" w:eastAsia="SimSun" w:cs="Times New Roman"/>
          <w:color w:val="1A1A1A"/>
          <w:sz w:val="24"/>
          <w:szCs w:val="24"/>
        </w:rPr>
        <w:t>The Joint Commission adopts recommendations by consensus. Recommendations address: technical adjustments to verification procedures based on operational experience; modifications to timelines reflecting actual implementation conditions; enhancements to the dispute resolution or resilience mechanisms; and any other matter the Joint Commission identifies as necessary for the Annex's continued effectiveness. Recommendations that modify the Annex's substantive obligations require adoption by both Parties through an exchange of notes through the Joint Secretariat. Technical and procedural recommendations take effect upon Joint Commission adoption unless either Party objects within 30 days.</w:t>
      </w:r>
    </w:p>
    <w:p>
      <w:pPr>
        <w:pStyle w:val="Heading2"/>
      </w:pPr>
      <w:r>
        <w:rPr>
          <w:rFonts w:ascii="Times New Roman" w:hAnsi="Times New Roman" w:eastAsia="SimHei" w:cs="Times New Roman"/>
          <w:b/>
          <w:color w:val="4A6B8A"/>
          <w:sz w:val="28"/>
          <w:szCs w:val="28"/>
        </w:rPr>
        <w:t>16.4 No Unilateral Modification</w:t>
      </w:r>
    </w:p>
    <w:p>
      <w:pPr>
        <w:pStyle w:val="Normal"/>
      </w:pPr>
      <w:r>
        <w:rPr>
          <w:rFonts w:ascii="Times New Roman" w:hAnsi="Times New Roman" w:eastAsia="SimSun" w:cs="Times New Roman"/>
          <w:color w:val="1A1A1A"/>
          <w:sz w:val="24"/>
          <w:szCs w:val="24"/>
        </w:rPr>
        <w:t>Neither Party modifies this Annex unilaterally. The Annual Sustainability Review is the exclusive channel for formal modification recommendations. Either Party initiates an extraordinary review outside the 12-month cycle by submitting a written request to the Joint Secretariat demonstrating that changed circumstances require immediate review. The Joint Commission convenes an extraordinary session within 30 days of such a request. The three-quarters majority of the Joint Commission determines whether the extraordinary review proceeds.</w:t>
      </w:r>
    </w:p>
    <w:p>
      <w:pPr>
        <w:pStyle w:val="Heading2"/>
      </w:pPr>
      <w:r>
        <w:rPr>
          <w:rFonts w:ascii="Times New Roman" w:hAnsi="Times New Roman" w:eastAsia="SimHei" w:cs="Times New Roman"/>
          <w:b/>
          <w:color w:val="4A6B8A"/>
          <w:sz w:val="28"/>
          <w:szCs w:val="28"/>
        </w:rPr>
        <w:t>16.5 Transparency</w:t>
      </w:r>
    </w:p>
    <w:p>
      <w:pPr>
        <w:pStyle w:val="Normal"/>
      </w:pPr>
      <w:r>
        <w:rPr>
          <w:rFonts w:ascii="Times New Roman" w:hAnsi="Times New Roman" w:eastAsia="SimSun" w:cs="Times New Roman"/>
          <w:color w:val="1A1A1A"/>
          <w:sz w:val="24"/>
          <w:szCs w:val="24"/>
        </w:rPr>
        <w:t>The Joint Secretariat publishes a sanitized public summary of the Annual Sustainability Review within 30 days of its conclusion. The summary describes the review's scope, the general state of implementation, and any recommendations adopted, without disclosing classified verification data or commercially sensitive financial information. Both Parties receive the full, unredacted review documents. The IAEA and the Escrow Agent receive copies of the Joint Commission's recommendations relevant to their respective functions.</w:t>
      </w:r>
    </w:p>
    <w:p>
      <w:pPr>
        <w:pStyle w:val="Heading2"/>
      </w:pPr>
      <w:r>
        <w:rPr>
          <w:rFonts w:ascii="Times New Roman" w:hAnsi="Times New Roman" w:eastAsia="SimHei" w:cs="Times New Roman"/>
          <w:b/>
          <w:color w:val="4A6B8A"/>
          <w:sz w:val="28"/>
          <w:szCs w:val="28"/>
        </w:rPr>
        <w:t>Affirmation</w:t>
      </w:r>
    </w:p>
    <w:p>
      <w:pPr>
        <w:pStyle w:val="Normal"/>
      </w:pPr>
      <w:r>
        <w:rPr>
          <w:rFonts w:ascii="Times New Roman" w:hAnsi="Times New Roman" w:eastAsia="SimSun" w:cs="Times New Roman"/>
          <w:color w:val="1A1A1A"/>
          <w:sz w:val="24"/>
          <w:szCs w:val="24"/>
        </w:rPr>
        <w:t>The Parties affirm that this Annex constitutes a binding, enforceable international agreement. Each Party confirms that it has the full authority and legal capacity to enter into this Annex and to perform its obligations hereunder. Each Party confirms that the execution of this Annex does not conflict with any existing treaty, law, or international obligation binding upon it. The Parties further affirm that no specific country, supplier, or product is named, preferred, or guaranteed any advantage in this Annex. All procurement is subject to fair, transparent, and competitive evaluation based on objective criteria. The Parties affirm Iran’s rights under Article IV of the Treaty on the Non-Proliferation of Nuclear Weapons, including the right to develop, produce, and use nuclear energy for peaceful purposes, and the right to enrich uranium to the Civilian Enrichment Level of 3.67% U-235 subject to IAEA safeguards. The Parties affirm that the 60% enriched uranium stockpile is downblended to the Civilian Enrichment Level (CEL) (3.67% U-235) or lower and converted into peaceful products through one or more IAEA-approved pathways, which includes agricultural fertilizer through Pathway W, converting weapons-grade material into food security: from bombs to bread.</w:t>
      </w:r>
    </w:p>
    <w:p>
      <w:pPr>
        <w:pStyle w:val="Heading2"/>
      </w:pPr>
      <w:r>
        <w:rPr>
          <w:rFonts w:ascii="Times New Roman" w:hAnsi="Times New Roman" w:eastAsia="SimHei" w:cs="Times New Roman"/>
          <w:b/>
          <w:color w:val="4A6B8A"/>
          <w:sz w:val="28"/>
          <w:szCs w:val="28"/>
        </w:rPr>
        <w:t>Pakistan: Witnessing State</w:t>
      </w:r>
    </w:p>
    <w:p>
      <w:pPr>
        <w:pStyle w:val="Normal"/>
      </w:pPr>
      <w:r>
        <w:rPr>
          <w:rFonts w:ascii="Times New Roman" w:hAnsi="Times New Roman" w:eastAsia="SimSun" w:cs="Times New Roman"/>
          <w:color w:val="1A1A1A"/>
          <w:sz w:val="24"/>
          <w:szCs w:val="24"/>
        </w:rPr>
        <w:t>The Islamic Republic of Pakistan, as a Witnessing State to the Islamabad Accord, witnesses the signature of this Annex and affirms its commitment to the peaceful purposes and verification principles set forth herein. Pakistan, as a nuclear-armed state and member of the international non-proliferation regime, lends its standing to the integrity of the verification and escrow mechanisms established in this Annex. Pakistan receives copies of all IAEA Verification Certificates and Joint Disbursement Instructions through the Joint Secretariat. Pakistan has the right to attend PCC meetings as an observer, without voting rights. Pakistan does not assume any financial obligation, liability, or enforcement responsibility under this Annex. Pakistan’s role as Witnessing State is diplomatic, not financial or legal.</w:t>
      </w:r>
    </w:p>
    <w:p>
      <w:pPr>
        <w:pStyle w:val="Normal"/>
        <w:spacing w:before="200"/>
      </w:pPr>
      <w:r>
        <w:rPr>
          <w:sz w:val="24"/>
          <w:rFonts w:ascii="Times New Roman" w:hAnsi="Times New Roman" w:eastAsia="SimSun" w:cs="Times New Roman"/>
          <w:color w:val="1A1A1A"/>
          <w:szCs w:val="24"/>
        </w:rPr>
        <w:t>_________________________________</w:t>
      </w:r>
    </w:p>
    <w:p>
      <w:pPr>
        <w:pStyle w:val="Normal"/>
      </w:pPr>
      <w:r>
        <w:rPr>
          <w:sz w:val="22"/>
          <w:rFonts w:ascii="Times New Roman" w:hAnsi="Times New Roman" w:eastAsia="SimSun" w:cs="Times New Roman"/>
          <w:color w:val="1A1A1A"/>
          <w:szCs w:val="22"/>
        </w:rPr>
        <w:t>Name:</w:t>
      </w:r>
    </w:p>
    <w:p>
      <w:pPr>
        <w:pStyle w:val="Normal"/>
      </w:pPr>
      <w:r>
        <w:rPr>
          <w:sz w:val="22"/>
          <w:rFonts w:ascii="Times New Roman" w:hAnsi="Times New Roman" w:eastAsia="SimSun" w:cs="Times New Roman"/>
          <w:color w:val="1A1A1A"/>
          <w:szCs w:val="22"/>
        </w:rPr>
        <w:t>Title:</w:t>
      </w:r>
    </w:p>
    <w:p>
      <w:pPr>
        <w:pStyle w:val="Normal"/>
      </w:pPr>
      <w:r>
        <w:rPr>
          <w:sz w:val="22"/>
          <w:rFonts w:ascii="Times New Roman" w:hAnsi="Times New Roman" w:eastAsia="SimSun" w:cs="Times New Roman"/>
          <w:color w:val="1A1A1A"/>
          <w:szCs w:val="22"/>
        </w:rPr>
        <w:t>Date:</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6e6e6e"/>
        <w:sz w:val="18"/>
      </w:rPr>
      <w:t xml:space="preserve">Page </w:t>
    </w:r>
    <w:r>
      <w:rPr>
        <w:color w:val="6e6e6e"/>
        <w:sz w:val="18"/>
      </w:rPr>
      <w:instrText xml:space="preserve"> PAGE </w:instrText>
    </w:r>
    <w:r>
      <w:rPr>
        <w:color w:val="6e6e6e"/>
        <w:sz w:val="18"/>
      </w:rPr>
      <w:fldChar w:fldCharType="separate"/>
    </w:r>
    <w:r>
      <w:rPr>
        <w:color w:val="6e6e6e"/>
        <w:sz w:val="18"/>
      </w:rPr>
      <w:t>1</w:t>
    </w:r>
    <w:r>
      <w:rPr>
        <w:color w:val="6e6e6e"/>
        <w:sz w:val="18"/>
      </w:rPr>
      <w:fldChar w:fldCharType="end"/>
    </w:r>
    <w:r>
      <w:rPr>
        <w:color w:val="6e6e6e"/>
        <w:sz w:val="18"/>
      </w:rPr>
      <w:t xml:space="preserve"/>
    </w:r>
    <w:r>
      <w:rPr>
        <w:color w:val="6e6e6e"/>
        <w:sz w:val="18"/>
      </w:rPr>
      <w:t xml:space="preserve">1</w:t>
    </w:r>
    <w:r>
      <w:rPr>
        <w:color w:val="6e6e6e"/>
        <w:sz w:val="18"/>
      </w:rPr>
      <w:t xml:space="preserve"/>
    </w:r>
    <w:r>
      <w:rPr>
        <w:color w:val="6e6e6e"/>
        <w:sz w:val="18"/>
      </w:rPr>
      <w:t xml:space="preserve"> of </w:t>
    </w:r>
    <w:r>
      <w:rPr>
        <w:color w:val="6e6e6e"/>
        <w:sz w:val="18"/>
      </w:rPr>
      <w:t xml:space="preserve"/>
    </w:r>
    <w:r>
      <w:rPr>
        <w:color w:val="6e6e6e"/>
        <w:sz w:val="18"/>
      </w:rPr>
      <w:instrText xml:space="preserve"> NUMPAGES </w:instrText>
    </w:r>
    <w:r>
      <w:rPr>
        <w:color w:val="6e6e6e"/>
        <w:sz w:val="18"/>
      </w:rPr>
      <w:fldChar w:fldCharType="separate"/>
    </w:r>
    <w:r>
      <w:rPr>
        <w:color w:val="6e6e6e"/>
        <w:sz w:val="18"/>
      </w:rPr>
      <w:t>1</w:t>
    </w:r>
    <w:r>
      <w:rPr>
        <w:color w:val="6e6e6e"/>
        <w:sz w:val="18"/>
      </w:rPr>
      <w:fldChar w:fldCharType="end"/>
    </w:r>
    <w:r>
      <w:rPr>
        <w:color w:val="6e6e6e"/>
        <w:sz w:val="18"/>
      </w:rPr>
      <w:t xml:space="preserve"/>
    </w:r>
    <w:r>
      <w:rPr>
        <w:color w:val="6e6e6e"/>
        <w:sz w:val="18"/>
      </w:rPr>
      <w:t xml:space="preserve">1</w:t>
    </w:r>
  </w:p>
</w:ftr>
</file>

<file path=word/header1.xml><?xml version="1.0" encoding="utf-8"?>
<w:hdr xmlns:w="http://schemas.openxmlformats.org/wordprocessingml/2006/main">
  <w:p>
    <w:pPr>
      <w:pBdr>
        <w:bottom w:val="single" w:color="c0c0c0" w:sz="4"/>
      </w:pBdr>
      <w:jc w:val="right"/>
    </w:pPr>
    <w:r>
      <w:rPr>
        <w:i/>
        <w:color w:val="6e6e6e"/>
        <w:sz w:val="18"/>
      </w:rPr>
      <w:t>Annex ES — Two-Pool Synchronized Disbursement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Times New Roman" w:hAnsi="Times New Roman" w:eastAsia="SimSun"/>
      <w:color w:val="1a1a1a"/>
      <w:sz w:val="24"/>
    </w:rPr>
  </w:style>
  <w:style w:type="paragraph" w:styleId="Heading1">
    <w:name w:val="heading 1"/>
    <w:basedOn w:val="Normal"/>
    <w:pPr>
      <w:keepNext/>
      <w:keepLines/>
      <w:spacing w:before="480" w:after="240"/>
      <w:jc w:val="left"/>
      <w:outlineLvl w:val="0"/>
    </w:pPr>
    <w:rPr>
      <w:rFonts w:ascii="Times New Roman" w:hAnsi="Times New Roman" w:eastAsia="SimHei"/>
      <w:b/>
      <w:color w:val="1E3A5F"/>
      <w:sz w:val="32"/>
    </w:rPr>
  </w:style>
  <w:style w:type="paragraph" w:styleId="Heading2">
    <w:name w:val="heading 2"/>
    <w:basedOn w:val="Normal"/>
    <w:pPr>
      <w:keepNext/>
      <w:keepLines/>
      <w:spacing w:before="360" w:after="200"/>
      <w:jc w:val="left"/>
      <w:outlineLvl w:val="1"/>
    </w:pPr>
    <w:rPr>
      <w:rFonts w:ascii="Times New Roman" w:hAnsi="Times New Roman" w:eastAsia="SimHei"/>
      <w:b/>
      <w:color w:val="4A6B8A"/>
      <w:sz w:val="28"/>
    </w:rPr>
  </w:style>
  <w:style w:type="paragraph" w:styleId="Heading3">
    <w:name w:val="heading 3"/>
    <w:basedOn w:val="Normal"/>
    <w:pPr>
      <w:keepNext/>
      <w:keepLines/>
      <w:spacing w:before="280" w:after="160"/>
      <w:jc w:val="left"/>
      <w:outlineLvl w:val="2"/>
    </w:pPr>
    <w:rPr>
      <w:rFonts w:ascii="Times New Roman" w:hAnsi="Times New Roman" w:eastAsia="SimHei"/>
      <w:b/>
      <w:color w:val="4a4a4a"/>
      <w:sz w:val="26"/>
    </w:rPr>
  </w:style>
  <w:style w:type="paragraph" w:styleId="Caption">
    <w:name w:val="Caption"/>
    <w:basedOn w:val="Normal"/>
    <w:pPr>
      <w:spacing w:before="60" w:after="320"/>
      <w:jc w:val="center"/>
    </w:pPr>
    <w:rPr>
      <w:color w:val="6e6e6e"/>
      <w:sz w:val="20"/>
    </w:rPr>
  </w:style>
  <w:style w:type="paragraph" w:styleId="TOC1">
    <w:name w:val="toc 1"/>
    <w:basedOn w:val="Normal"/>
    <w:pPr>
      <w:tabs>
        <w:tab w:val="right" w:leader="dot" w:pos="9350"/>
      </w:tabs>
      <w:spacing w:before="200" w:after="60"/>
      <w:ind w:left="0"/>
    </w:pPr>
    <w:rPr>
      <w:b/>
      <w:color w:val="1a1a1a"/>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_rels/document.xml.rels><?xml version='1.0' encoding='UTF-8'?>
<Relationships xmlns="http://schemas.openxmlformats.org/package/2006/relationships"><Relationship Id="R43467c9938484b56" Type="http://schemas.openxmlformats.org/officeDocument/2006/relationships/settings" Target="settings.xml" /><Relationship Id="R6dd80b0fe3264371" Type="http://schemas.openxmlformats.org/officeDocument/2006/relationships/footer" Target="footer1.xml" /><Relationship Id="R8764fca02c9a4174" Type="http://schemas.openxmlformats.org/officeDocument/2006/relationships/header" Target="header1.xml" /><Relationship Id="R9c24aa2e60c64af1" Type="http://schemas.openxmlformats.org/officeDocument/2006/relationships/numbering" Target="numbering.xml" /><Relationship Id="Rb64e76ae41a14b6e" Type="http://schemas.openxmlformats.org/officeDocument/2006/relationships/styles" Target="styles.xml" /></Relationships>
</file>