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ae8e6842c472419d"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p>
    <w:p>
      <w:pPr>
        <w:spacing w:before="4000"/>
      </w:pPr>
      <w:r/>
    </w:p>
    <w:p>
      <w:pPr>
        <w:spacing w:after="120"/>
        <w:jc w:val="center"/>
      </w:pPr>
      <w:r>
        <w:rPr>
          <w:rFonts w:ascii="Cambria" w:hAnsi="Cambria"/>
          <w:color w:val="a6894a"/>
          <w:spacing w:val="60"/>
          <w:sz w:val="28"/>
        </w:rPr>
        <w:t>ANNEX EV</w:t>
      </w:r>
    </w:p>
    <w:p>
      <w:pPr>
        <w:spacing w:after="200"/>
        <w:jc w:val="center"/>
      </w:pPr>
      <w:r>
        <w:rPr>
          <w:rFonts w:ascii="Cambria" w:hAnsi="Cambria"/>
          <w:b/>
          <w:color w:val="1a2744"/>
          <w:spacing w:val="20"/>
          <w:sz w:val="52"/>
        </w:rPr>
        <w:t>Verification and Transparency Protocol</w:t>
      </w:r>
    </w:p>
    <w:p>
      <w:pPr>
        <w:spacing w:after="400"/>
        <w:jc w:val="center"/>
      </w:pPr>
      <w:r>
        <w:rPr>
          <w:rFonts w:ascii="Cambria" w:hAnsi="Cambria"/>
          <w:color w:val="1A1A1A"/>
          <w:sz w:val="22"/>
        </w:rPr>
        <w:t>A Unified Verification Architecture for the MENOC Framework</w:t>
      </w:r>
    </w:p>
    <w:p>
      <w:pPr>
        <w:spacing w:after="80"/>
        <w:jc w:val="center"/>
      </w:pPr>
      <w:r>
        <w:rPr>
          <w:rFonts w:ascii="Cambria" w:hAnsi="Cambria"/>
          <w:color w:val="1A1A1A"/>
          <w:sz w:val="18"/>
        </w:rPr>
        <w:t>A Modular  ·  Self-Contained  ·  Incorporable by Reference Protocol</w:t>
      </w:r>
    </w:p>
    <w:p>
      <w:pPr>
        <w:spacing w:after="80"/>
        <w:jc w:val="center"/>
      </w:pPr>
      <w:r>
        <w:rPr>
          <w:rFonts w:ascii="Cambria" w:hAnsi="Cambria"/>
          <w:color w:val="1A1A1A"/>
          <w:sz w:val="18"/>
        </w:rPr>
        <w:t>For the Islamabad Accord / MENOC Framework</w:t>
      </w:r>
    </w:p>
    <w:p>
      <w:pPr>
        <w:spacing w:before="3000"/>
        <w:jc w:val="center"/>
      </w:pPr>
      <w:r>
        <w:rPr>
          <w:rFonts w:ascii="Cambria" w:hAnsi="Cambria"/>
          <w:color w:val="1A1A1A"/>
          <w:sz w:val="18"/>
        </w:rPr>
        <w:t>Version 1.0  ·  June 2026</w:t>
      </w:r>
    </w:p>
    <w:p>
      <w:pPr>
        <w:sectPr>
          <w:type w:val="nextPage"/>
          <w:pgSz w:w="11906" w:h="16838"/>
          <w:pgMar w:top="0" w:right="0" w:bottom="0" w:left="0" w:header="0" w:footer="0"/>
          <w:titlePg/>
        </w:sectPr>
      </w:pPr>
    </w:p>
    <w:p>
      <w:pPr>
        <w:pStyle w:val="Heading1"/>
      </w:pPr>
      <w:r>
        <w:t>Table of Contents</w:t>
      </w:r>
      <w:bookmarkStart w:name="_Toc000" w:id="1"/>
      <w:bookmarkEnd w:id="1"/>
    </w:p>
    <w:p>
      <w:pPr>
        <w:spacing w:after="300"/>
      </w:pPr>
      <w:r>
        <w:rPr>
          <w:color w:val="1A1A1A"/>
          <w:sz w:val="18"/>
        </w:rPr>
        <w:t>Right-click the TOC and select "Update Field" to refresh page numbers</w:t>
      </w:r>
    </w:p>
    <w:p>
      <w:r>
        <w:fldChar w:fldCharType="begin"/>
      </w:r>
      <w:r>
        <w:instrText xml:space="preserve"> TOC \o "1-3" \h \z \u </w:instrText>
      </w:r>
      <w:r>
        <w:fldChar w:fldCharType="separate"/>
      </w:r>
    </w:p>
    <w:p>
      <w:pPr>
        <w:pStyle w:val="TOC1"/>
      </w:pPr>
      <w:r>
        <w:t>Preamble</w:t>
      </w:r>
      <w:r>
        <w:tab/>
      </w:r>
      <w:r>
        <w:t>3</w:t>
      </w:r>
    </w:p>
    <w:p>
      <w:pPr>
        <w:pStyle w:val="TOC1"/>
      </w:pPr>
      <w:r>
        <w:t>Article 1: Definitions</w:t>
      </w:r>
      <w:r>
        <w:tab/>
      </w:r>
      <w:r>
        <w:t>5</w:t>
      </w:r>
    </w:p>
    <w:p>
      <w:pPr>
        <w:pStyle w:val="TOC1"/>
      </w:pPr>
      <w:r>
        <w:t>Article 2: The Verification Standard</w:t>
      </w:r>
      <w:r>
        <w:tab/>
      </w:r>
      <w:r>
        <w:t>9</w:t>
      </w:r>
    </w:p>
    <w:p>
      <w:pPr>
        <w:pStyle w:val="TOC1"/>
      </w:pPr>
      <w:r>
        <w:t>Article 3: Access and Monitoring</w:t>
      </w:r>
      <w:r>
        <w:tab/>
      </w:r>
      <w:r>
        <w:t>11</w:t>
      </w:r>
    </w:p>
    <w:p>
      <w:pPr>
        <w:pStyle w:val="TOC1"/>
      </w:pPr>
      <w:r>
        <w:t>Article 4: Verification Milestones</w:t>
      </w:r>
      <w:r>
        <w:tab/>
      </w:r>
      <w:r>
        <w:t>14</w:t>
      </w:r>
    </w:p>
    <w:p>
      <w:pPr>
        <w:pStyle w:val="TOC1"/>
      </w:pPr>
      <w:r>
        <w:t>Article 5: Dispute Resolution for Verification Matters</w:t>
      </w:r>
      <w:r>
        <w:tab/>
      </w:r>
      <w:r>
        <w:t>17</w:t>
      </w:r>
    </w:p>
    <w:p>
      <w:pPr>
        <w:pStyle w:val="TOC1"/>
      </w:pPr>
      <w:r>
        <w:t>Article 6: Verification Reports and Transparency</w:t>
      </w:r>
      <w:r>
        <w:tab/>
      </w:r>
      <w:r>
        <w:t>20</w:t>
      </w:r>
    </w:p>
    <w:p>
      <w:pPr>
        <w:pStyle w:val="TOC1"/>
      </w:pPr>
      <w:r>
        <w:t>Article 7: Relationship to Other Annexes</w:t>
      </w:r>
      <w:r>
        <w:tab/>
      </w:r>
      <w:r>
        <w:t>22</w:t>
      </w:r>
    </w:p>
    <w:p>
      <w:pPr>
        <w:pStyle w:val="TOC1"/>
      </w:pPr>
      <w:r>
        <w:t>Article 8: Duration and Amendment</w:t>
      </w:r>
      <w:r>
        <w:tab/>
      </w:r>
      <w:r>
        <w:t>23</w:t>
      </w:r>
    </w:p>
    <w:p>
      <w:pPr>
        <w:pStyle w:val="TOC1"/>
      </w:pPr>
      <w:r>
        <w:t>Signature Block</w:t>
      </w:r>
      <w:r>
        <w:tab/>
      </w:r>
      <w:r>
        <w:t>24</w:t>
      </w:r>
    </w:p>
    <w:p>
      <w:pPr>
        <w:pStyle w:val="TOC1"/>
      </w:pPr>
      <w:r>
        <w:t>Summary</w:t>
      </w:r>
      <w:r>
        <w:tab/>
      </w:r>
      <w:r>
        <w:t>26</w:t>
      </w:r>
    </w:p>
    <w:p>
      <w:r>
        <w:fldChar w:fldCharType="end"/>
      </w:r>
    </w:p>
    <w:p>
      <w:pPr>
        <w:sectPr>
          <w:type w:val="nextPage"/>
          <w:pgSz w:w="11906" w:h="16838"/>
          <w:pgMar w:top="1800" w:right="1440" w:bottom="1440" w:left="1440" w:header="720" w:footer="720"/>
        </w:sectPr>
      </w:pPr>
    </w:p>
    <w:p>
      <w:pPr>
        <w:pStyle w:val="Heading1"/>
      </w:pPr>
      <w:r>
        <w:t>Preamble</w:t>
      </w:r>
      <w:bookmarkStart w:name="_TocPreamble" w:id="2"/>
      <w:bookmarkEnd w:id="2"/>
    </w:p>
    <w:p>
      <w:r>
        <w:t>The Parties recognize that verifiable assurance of the exclusively peaceful nature of Iran's nuclear activities constitutes the foundation upon which all other elements of this Framework rest, including sanctions relief, escrow release, and reconstruction financing.</w:t>
      </w:r>
    </w:p>
    <w:p>
      <w:r>
        <w:t>The Parties further recognize that the verification architecture serves multiple masters simultaneously:</w:t>
      </w:r>
    </w:p>
    <w:p>
      <w:pPr>
        <w:ind w:left="720" w:hanging="360"/>
      </w:pPr>
      <w:r>
        <w:rPr>
          <w:b/>
        </w:rPr>
        <w:t>(a) </w:t>
      </w:r>
      <w:r>
        <w:t>The IAEA requires unimpeded access, continuous monitoring, and the authority to issue objective technical findings without political interference.</w:t>
      </w:r>
    </w:p>
    <w:p>
      <w:pPr>
        <w:ind w:left="720" w:hanging="360"/>
      </w:pPr>
      <w:r>
        <w:rPr>
          <w:b/>
        </w:rPr>
        <w:t>(b) </w:t>
      </w:r>
      <w:r>
        <w:t>Iran requires preservation of its sovereign rights under the NPT, protection of its legitimate national security interests, and assurance that verification does not become a tool for political pressure.</w:t>
      </w:r>
    </w:p>
    <w:p>
      <w:pPr>
        <w:ind w:left="720" w:hanging="360"/>
      </w:pPr>
      <w:r>
        <w:rPr>
          <w:b/>
        </w:rPr>
        <w:t>(c) </w:t>
      </w:r>
      <w:r>
        <w:t>The United States and partner states require confidence that Iran's nuclear activities remain exclusively peaceful, that the 60% stockpile undergoes irreversible transformation, and that any deviation triggers a proportionate and predictable response.</w:t>
      </w:r>
    </w:p>
    <w:p>
      <w:pPr>
        <w:ind w:left="720" w:hanging="360"/>
      </w:pPr>
      <w:r>
        <w:rPr>
          <w:b/>
        </w:rPr>
        <w:t>(d) </w:t>
      </w:r>
      <w:r>
        <w:t>The Joint Management Board and Joint Commission require a clear, objective, and unambiguous verification standard against which to measure compliance and authorize disbursements.</w:t>
      </w:r>
    </w:p>
    <w:p>
      <w:r>
        <w:t>This Annex establishes a unified verification architecture that serves all these requirements simultaneously. This Annex does not amend, supersede, or replace Iran's NPT Safeguards Agreement or Additional Protocol. This Annex operates as a supplementary transparency framework that reinforces existing IAEA safeguards obligations.</w:t>
      </w:r>
    </w:p>
    <w:p>
      <w:r>
        <w:t>The Parties affirm that verification functions as a technical, not political, activity. The IAEA's technical findings bind all Parties for purposes of this Framework. No Party rejects, reinterprets, or overrides an IAEA technical finding for political reasons. Disputes regarding the interpretation of IAEA findings resolve through the procedures of this Annex and the MENOC Charter.</w:t>
      </w:r>
    </w:p>
    <w:p>
      <w:pPr>
        <w:pStyle w:val="Heading1"/>
      </w:pPr>
      <w:r>
        <w:t>Article 1: Definitions</w:t>
      </w:r>
      <w:bookmarkStart w:name="_TocArt1" w:id="3"/>
      <w:bookmarkEnd w:id="3"/>
    </w:p>
    <w:p>
      <w:r>
        <w:t>For the purposes of this Annex, the following terms carry the meanings set out below. Terms not defined in this Article retain the meanings given in the MENOC Charter, Annex ES, or other relevant documents. Where a conflict exists, the definition in this Annex governs for verification-related matters.</w:t>
      </w:r>
    </w:p>
    <w:p>
      <w:pPr>
        <w:pStyle w:val="Heading2"/>
      </w:pPr>
      <w:r>
        <w:t>1.1 IAEA Verification Certificate</w:t>
      </w:r>
    </w:p>
    <w:p>
      <w:r>
        <w:t>"IAEA Verification Certificate" means an official, signed certificate issued by the Director General of the IAEA confirming the completion of a specific, pre-defined nuclear milestone identified in this Framework. Each certificate contains:</w:t>
      </w:r>
    </w:p>
    <w:p>
      <w:pPr>
        <w:ind w:left="720" w:hanging="360"/>
      </w:pPr>
      <w:r>
        <w:rPr>
          <w:b/>
        </w:rPr>
        <w:t>(a) </w:t>
      </w:r>
      <w:r>
        <w:t>A unique certificate number;</w:t>
      </w:r>
    </w:p>
    <w:p>
      <w:pPr>
        <w:ind w:left="720" w:hanging="360"/>
      </w:pPr>
      <w:r>
        <w:rPr>
          <w:b/>
        </w:rPr>
        <w:t>(b) </w:t>
      </w:r>
      <w:r>
        <w:t>The date and time of issuance;</w:t>
      </w:r>
    </w:p>
    <w:p>
      <w:pPr>
        <w:ind w:left="720" w:hanging="360"/>
      </w:pPr>
      <w:r>
        <w:rPr>
          <w:b/>
        </w:rPr>
        <w:t>(c) </w:t>
      </w:r>
      <w:r>
        <w:t>The specific milestone certified as complete;</w:t>
      </w:r>
    </w:p>
    <w:p>
      <w:pPr>
        <w:ind w:left="720" w:hanging="360"/>
      </w:pPr>
      <w:r>
        <w:rPr>
          <w:b/>
        </w:rPr>
        <w:t>(d) </w:t>
      </w:r>
      <w:r>
        <w:t>A detailed technical description of the verified activities;</w:t>
      </w:r>
    </w:p>
    <w:p>
      <w:pPr>
        <w:ind w:left="720" w:hanging="360"/>
      </w:pPr>
      <w:r>
        <w:rPr>
          <w:b/>
        </w:rPr>
        <w:t>(e) </w:t>
      </w:r>
      <w:r>
        <w:t>The names and credentials of the IAEA inspectors who conducted the verification;</w:t>
      </w:r>
    </w:p>
    <w:p>
      <w:pPr>
        <w:ind w:left="720" w:hanging="360"/>
      </w:pPr>
      <w:r>
        <w:rPr>
          <w:b/>
        </w:rPr>
        <w:t>(f) </w:t>
      </w:r>
      <w:r>
        <w:t>References to the specific IAEA safeguards agreements and Additional Protocol provisions under which the verification occurred;</w:t>
      </w:r>
    </w:p>
    <w:p>
      <w:pPr>
        <w:ind w:left="720" w:hanging="360"/>
      </w:pPr>
      <w:r>
        <w:rPr>
          <w:b/>
        </w:rPr>
        <w:t>(g) </w:t>
      </w:r>
      <w:r>
        <w:t>A statement that the milestone satisfies the criteria defined in the applicable Annex; and</w:t>
      </w:r>
    </w:p>
    <w:p>
      <w:pPr>
        <w:ind w:left="720" w:hanging="360"/>
      </w:pPr>
      <w:r>
        <w:rPr>
          <w:b/>
        </w:rPr>
        <w:t>(h) </w:t>
      </w:r>
      <w:r>
        <w:t>The Director General's signature and the IAEA's official seal.</w:t>
      </w:r>
    </w:p>
    <w:p>
      <w:r>
        <w:t>No other form of IAEA communication constitutes an IAEA Verification Certificate for purposes of this Framework.</w:t>
      </w:r>
    </w:p>
    <w:p>
      <w:pPr>
        <w:pStyle w:val="Heading2"/>
      </w:pPr>
      <w:r>
        <w:t>1.2 National HEU Verification and Custody Certificate</w:t>
      </w:r>
    </w:p>
    <w:p>
      <w:r>
        <w:t>"National HEU Verification and Custody Certificate" means the specific IAEA Verification Certificate confirming that Iran has completed the National HEU Verification and Custody Milestone, as defined in Annex ES Article 3.1.1.</w:t>
      </w:r>
    </w:p>
    <w:p>
      <w:pPr>
        <w:pStyle w:val="Heading2"/>
      </w:pPr>
      <w:r>
        <w:t>1.3 Downblending Completion Certificate</w:t>
      </w:r>
    </w:p>
    <w:p>
      <w:r>
        <w:t>"Downblending Completion Certificate" means the specific IAEA Verification Certificate confirming that Iran has completed the Downblending Completion Milestone, as defined in Annex ES Article 3.2.1.</w:t>
      </w:r>
    </w:p>
    <w:p>
      <w:pPr>
        <w:pStyle w:val="Heading2"/>
      </w:pPr>
      <w:r>
        <w:t>1.4 Covered Facilities</w:t>
      </w:r>
    </w:p>
    <w:p>
      <w:r>
        <w:t>"Covered Facilities" means the nuclear facilities subject to verification under this Framework, including:</w:t>
      </w:r>
    </w:p>
    <w:p>
      <w:pPr>
        <w:ind w:left="720" w:hanging="360"/>
      </w:pPr>
      <w:r>
        <w:rPr>
          <w:b/>
        </w:rPr>
        <w:t>(a) </w:t>
      </w:r>
      <w:r>
        <w:t>The Fordow Fuel Enrichment Plant (FFEP);</w:t>
      </w:r>
    </w:p>
    <w:p>
      <w:pPr>
        <w:ind w:left="720" w:hanging="360"/>
      </w:pPr>
      <w:r>
        <w:rPr>
          <w:b/>
        </w:rPr>
        <w:t>(b) </w:t>
      </w:r>
      <w:r>
        <w:t>The Natanz Enrichment Complex, comprising the Fuel Enrichment Plant (FEP) and the Pilot Fuel Enrichment Plant (PFEP);</w:t>
      </w:r>
    </w:p>
    <w:p>
      <w:pPr>
        <w:ind w:left="720" w:hanging="360"/>
      </w:pPr>
      <w:r>
        <w:rPr>
          <w:b/>
        </w:rPr>
        <w:t>(c) </w:t>
      </w:r>
      <w:r>
        <w:t>The Isfahan Nuclear Technology Center, comprising conversion and fuel fabrication facilities;</w:t>
      </w:r>
    </w:p>
    <w:p>
      <w:pPr>
        <w:ind w:left="720" w:hanging="360"/>
      </w:pPr>
      <w:r>
        <w:rPr>
          <w:b/>
        </w:rPr>
        <w:t>(d) </w:t>
      </w:r>
      <w:r>
        <w:t>Any additional facilities designated by mutual agreement of the Parties and approved by the IAEA Board of Governors.</w:t>
      </w:r>
    </w:p>
    <w:p>
      <w:pPr>
        <w:pStyle w:val="Heading2"/>
      </w:pPr>
      <w:r>
        <w:t>1.5 Damaged Sites Protocol</w:t>
      </w:r>
    </w:p>
    <w:p>
      <w:r>
        <w:t>"Damaged Sites Protocol" means the special access framework established under Annex LAES, governing IAEA access to facilities damaged during the 2025 military strikes, including the specific procedures for Safety Hold invocation, phased re-entry, and baseline verification.</w:t>
      </w:r>
    </w:p>
    <w:p>
      <w:pPr>
        <w:pStyle w:val="Heading2"/>
      </w:pPr>
      <w:r>
        <w:t>1.6 Safety Hold</w:t>
      </w:r>
    </w:p>
    <w:p>
      <w:r>
        <w:t>"Safety Hold" means the mechanism under the Damaged Sites Protocol by which Iran temporarily restricts IAEA access to specific areas of a Covered Facility on legitimate safety grounds. Safety Hold does not constitute a breach of this Framework. No penalty attaches to a properly invoked Safety Hold.</w:t>
      </w:r>
    </w:p>
    <w:p>
      <w:pPr>
        <w:pStyle w:val="Heading2"/>
      </w:pPr>
      <w:r>
        <w:t>1.7 Baseline Inventory</w:t>
      </w:r>
    </w:p>
    <w:p>
      <w:r>
        <w:t>"Baseline Inventory" means the comprehensive inventory of the entire 60% enriched uranium stockpile established under Annex ES Article 3.1.1, including mass spectrometry verification of enrichment levels, isotopic composition, and physical form.</w:t>
      </w:r>
    </w:p>
    <w:p>
      <w:pPr>
        <w:pStyle w:val="Heading2"/>
      </w:pPr>
      <w:r>
        <w:t>1.8 Breakout Buffer</w:t>
      </w:r>
    </w:p>
    <w:p>
      <w:r>
        <w:t>"Breakout Buffer" means the period of time, measured in months, required to reconvert transformed material to weapons-usable form. The Downblending Completion Milestone requires a minimum Breakout Buffer of 12 months, as verified by the IAEA.</w:t>
      </w:r>
    </w:p>
    <w:p>
      <w:pPr>
        <w:pStyle w:val="Heading2"/>
      </w:pPr>
      <w:r>
        <w:t>1.9 Material Unaccounted For (MUF)</w:t>
      </w:r>
    </w:p>
    <w:p>
      <w:r>
        <w:t>"Material Unaccounted For" or "MUF" means the difference between the expected quantity of nuclear material and the quantity actually measured, as defined in IAEA safeguards procedures. MUF within established detection thresholds does not constitute a breach. MUF exceeding detection thresholds triggers a joint technical review under Article 5.</w:t>
      </w:r>
    </w:p>
    <w:p>
      <w:pPr>
        <w:pStyle w:val="Heading2"/>
      </w:pPr>
      <w:r>
        <w:t>1.10 Joint Technical Review Panel</w:t>
      </w:r>
    </w:p>
    <w:p>
      <w:r>
        <w:t>"Joint Technical Review Panel" means a panel convened under Article 5 to resolve technical disputes regarding IAEA findings. The Panel comprises three independent nuclear safeguards experts: one nominated by each Party in dispute and one by the IAEA Director General.</w:t>
      </w:r>
    </w:p>
    <w:p>
      <w:pPr>
        <w:pStyle w:val="Heading2"/>
      </w:pPr>
      <w:r>
        <w:t>1.11 Verification Data</w:t>
      </w:r>
    </w:p>
    <w:p>
      <w:r>
        <w:t>"Verification Data" means all data collected by the IAEA through inspections, monitoring equipment, environmental sampling, and other verification activities at Covered Facilities. Verification Data constitutes IAEA property. No Party receives raw verification data directly. Parties receive only the Baseline Verification Certificate and summary reports approved by the IAEA Director General.</w:t>
      </w:r>
    </w:p>
    <w:p>
      <w:pPr>
        <w:pStyle w:val="Heading1"/>
      </w:pPr>
      <w:r>
        <w:t>Article 2: The Verification Standard</w:t>
      </w:r>
      <w:bookmarkStart w:name="_TocArt2" w:id="4"/>
      <w:bookmarkEnd w:id="4"/>
    </w:p>
    <w:p>
      <w:pPr>
        <w:pStyle w:val="Heading2"/>
      </w:pPr>
      <w:r>
        <w:t>2.1 IAEA-Led Verification</w:t>
      </w:r>
    </w:p>
    <w:p>
      <w:r>
        <w:t>The IAEA serves as the sole verification authority under this Framework. No member state conducts independent verification activities at Covered Facilities. Partner state observers accompany IAEA inspection teams only under IAEA authority and IAEA procedural control.</w:t>
      </w:r>
    </w:p>
    <w:p>
      <w:pPr>
        <w:pStyle w:val="Heading2"/>
      </w:pPr>
      <w:r>
        <w:t>2.2 IAEA Authority</w:t>
      </w:r>
    </w:p>
    <w:p>
      <w:r>
        <w:t>The IAEA exercises full authority over:</w:t>
      </w:r>
    </w:p>
    <w:p>
      <w:pPr>
        <w:ind w:left="720" w:hanging="360"/>
      </w:pPr>
      <w:r>
        <w:rPr>
          <w:b/>
        </w:rPr>
        <w:t>(a) </w:t>
      </w:r>
      <w:r>
        <w:t>The scope, duration, and method of inspections;</w:t>
      </w:r>
    </w:p>
    <w:p>
      <w:pPr>
        <w:ind w:left="720" w:hanging="360"/>
      </w:pPr>
      <w:r>
        <w:rPr>
          <w:b/>
        </w:rPr>
        <w:t>(b) </w:t>
      </w:r>
      <w:r>
        <w:t>The installation, operation, and maintenance of monitoring equipment;</w:t>
      </w:r>
    </w:p>
    <w:p>
      <w:pPr>
        <w:ind w:left="720" w:hanging="360"/>
      </w:pPr>
      <w:r>
        <w:rPr>
          <w:b/>
        </w:rPr>
        <w:t>(c) </w:t>
      </w:r>
      <w:r>
        <w:t>The collection, analysis, and interpretation of verification data;</w:t>
      </w:r>
    </w:p>
    <w:p>
      <w:pPr>
        <w:ind w:left="720" w:hanging="360"/>
      </w:pPr>
      <w:r>
        <w:rPr>
          <w:b/>
        </w:rPr>
        <w:t>(d) </w:t>
      </w:r>
      <w:r>
        <w:t>The issuance of Verification Certificates;</w:t>
      </w:r>
    </w:p>
    <w:p>
      <w:pPr>
        <w:ind w:left="720" w:hanging="360"/>
      </w:pPr>
      <w:r>
        <w:rPr>
          <w:b/>
        </w:rPr>
        <w:t>(e) </w:t>
      </w:r>
      <w:r>
        <w:t>The assessment of compliance with milestones; and</w:t>
      </w:r>
    </w:p>
    <w:p>
      <w:pPr>
        <w:ind w:left="720" w:hanging="360"/>
      </w:pPr>
      <w:r>
        <w:rPr>
          <w:b/>
        </w:rPr>
        <w:t>(f) </w:t>
      </w:r>
      <w:r>
        <w:t>The identification of any discrepancies, anomalies, or potential breaches.</w:t>
      </w:r>
    </w:p>
    <w:p>
      <w:pPr>
        <w:pStyle w:val="Heading2"/>
      </w:pPr>
      <w:r>
        <w:t>2.3 IAEA Obligations</w:t>
      </w:r>
    </w:p>
    <w:p>
      <w:r>
        <w:t>The IAEA undertakes to:</w:t>
      </w:r>
    </w:p>
    <w:p>
      <w:pPr>
        <w:ind w:left="720" w:hanging="360"/>
      </w:pPr>
      <w:r>
        <w:rPr>
          <w:b/>
        </w:rPr>
        <w:t>(a) </w:t>
      </w:r>
      <w:r>
        <w:t>Conduct verification activities in a professional, objective, and technically sound manner;</w:t>
      </w:r>
    </w:p>
    <w:p>
      <w:pPr>
        <w:ind w:left="720" w:hanging="360"/>
      </w:pPr>
      <w:r>
        <w:rPr>
          <w:b/>
        </w:rPr>
        <w:t>(b) </w:t>
      </w:r>
      <w:r>
        <w:t>Apply IAEA safeguards standards and procedures consistently;</w:t>
      </w:r>
    </w:p>
    <w:p>
      <w:pPr>
        <w:ind w:left="720" w:hanging="360"/>
      </w:pPr>
      <w:r>
        <w:rPr>
          <w:b/>
        </w:rPr>
        <w:t>(c) </w:t>
      </w:r>
      <w:r>
        <w:t>Provide timely notification of verification activities to both Parties through the Joint Secretariat;</w:t>
      </w:r>
    </w:p>
    <w:p>
      <w:pPr>
        <w:ind w:left="720" w:hanging="360"/>
      </w:pPr>
      <w:r>
        <w:rPr>
          <w:b/>
        </w:rPr>
        <w:t>(d) </w:t>
      </w:r>
      <w:r>
        <w:t>Transmit preliminary findings to both Parties within 24 hours of completing a verification activity;</w:t>
      </w:r>
    </w:p>
    <w:p>
      <w:pPr>
        <w:ind w:left="720" w:hanging="360"/>
      </w:pPr>
      <w:r>
        <w:rPr>
          <w:b/>
        </w:rPr>
        <w:t>(e) </w:t>
      </w:r>
      <w:r>
        <w:t>Issue Verification Certificates promptly upon milestone completion;</w:t>
      </w:r>
    </w:p>
    <w:p>
      <w:pPr>
        <w:ind w:left="720" w:hanging="360"/>
      </w:pPr>
      <w:r>
        <w:rPr>
          <w:b/>
        </w:rPr>
        <w:t>(f) </w:t>
      </w:r>
      <w:r>
        <w:t>Provide the Joint Management Board with summary reports and the Baseline Verification Certificate; and</w:t>
      </w:r>
    </w:p>
    <w:p>
      <w:pPr>
        <w:ind w:left="720" w:hanging="360"/>
      </w:pPr>
      <w:r>
        <w:rPr>
          <w:b/>
        </w:rPr>
        <w:t>(g) </w:t>
      </w:r>
      <w:r>
        <w:t>Maintain the confidentiality of verification data consistent with IAEA safeguards practices.</w:t>
      </w:r>
    </w:p>
    <w:p>
      <w:pPr>
        <w:pStyle w:val="Heading2"/>
      </w:pPr>
      <w:r>
        <w:t>2.4 Consistency with Safeguards Agreement</w:t>
      </w:r>
    </w:p>
    <w:p>
      <w:r>
        <w:t>Nothing in this Annex amends, supersedes, or otherwise alters Iran's NPT Safeguards Agreement. This Annex operates as a supplementary transparency mechanism that reinforces existing safeguards obligations. IAEA safeguards remain the primary verification mechanism. MENOC transparency mechanisms supplement but do not replace IAEA verification.</w:t>
      </w:r>
    </w:p>
    <w:p>
      <w:pPr>
        <w:pStyle w:val="Heading1"/>
      </w:pPr>
      <w:r>
        <w:t>Article 3: Access and Monitoring</w:t>
      </w:r>
      <w:bookmarkStart w:name="_TocArt3" w:id="5"/>
      <w:bookmarkEnd w:id="5"/>
    </w:p>
    <w:p>
      <w:pPr>
        <w:pStyle w:val="Heading2"/>
      </w:pPr>
      <w:r>
        <w:t>3.1 Permanent IAEA Presence</w:t>
      </w:r>
    </w:p>
    <w:p>
      <w:r>
        <w:t>IAEA inspectors maintain continuous presence at all Covered Facilities. Inspector access follows the Damaged Sites Protocol (Annex LAES) and standard IAEA safeguards procedures.</w:t>
      </w:r>
    </w:p>
    <w:p>
      <w:pPr>
        <w:pStyle w:val="Heading2"/>
      </w:pPr>
      <w:r>
        <w:t>3.2 Unimpeded Access</w:t>
      </w:r>
    </w:p>
    <w:p>
      <w:pPr>
        <w:pStyle w:val="Normal"/>
      </w:pPr>
      <w:r>
        <w:rPr>
          <w:rFonts w:ascii="Cambria" w:hAnsi="Cambria" w:eastAsia="Microsoft YaHei" w:cs="Cambria"/>
          <w:color w:val="1A1A1A"/>
          <w:sz w:val="21"/>
          <w:szCs w:val="21"/>
        </w:rPr>
        <w:t>Iran provides IAEA inspectors with immediate, unimpeded access to all areas, equipment, persons, and records necessary for verification. This includes:</w:t>
      </w:r>
    </w:p>
    <w:p>
      <w:pPr>
        <w:pStyle w:val="Normal"/>
        <w:ind w:left="720" w:hanging="360"/>
      </w:pPr>
      <w:r>
        <w:rPr>
          <w:b/>
          <w:rFonts w:ascii="Cambria" w:hAnsi="Cambria" w:eastAsia="Microsoft YaHei" w:cs="Cambria"/>
          <w:color w:val="1A1A1A"/>
          <w:sz w:val="21"/>
          <w:szCs w:val="21"/>
        </w:rPr>
        <w:t xml:space="preserve">(a) </w:t>
      </w:r>
      <w:r>
        <w:rPr>
          <w:rFonts w:ascii="Cambria" w:hAnsi="Cambria" w:eastAsia="Microsoft YaHei" w:cs="Cambria"/>
          <w:color w:val="1A1A1A"/>
          <w:sz w:val="21"/>
          <w:szCs w:val="21"/>
        </w:rPr>
        <w:t>Enrichment halls and cascade areas;</w:t>
      </w:r>
    </w:p>
    <w:p>
      <w:pPr>
        <w:pStyle w:val="Normal"/>
        <w:ind w:left="720" w:hanging="360"/>
      </w:pPr>
      <w:r>
        <w:rPr>
          <w:b/>
          <w:rFonts w:ascii="Cambria" w:hAnsi="Cambria" w:eastAsia="Microsoft YaHei" w:cs="Cambria"/>
          <w:color w:val="1A1A1A"/>
          <w:sz w:val="21"/>
          <w:szCs w:val="21"/>
        </w:rPr>
        <w:t xml:space="preserve">(b) </w:t>
      </w:r>
      <w:r>
        <w:rPr>
          <w:rFonts w:ascii="Cambria" w:hAnsi="Cambria" w:eastAsia="Microsoft YaHei" w:cs="Cambria"/>
          <w:color w:val="1A1A1A"/>
          <w:sz w:val="21"/>
          <w:szCs w:val="21"/>
        </w:rPr>
        <w:t>Storage areas for feed, product, and tails;</w:t>
      </w:r>
    </w:p>
    <w:p>
      <w:pPr>
        <w:pStyle w:val="Normal"/>
        <w:ind w:left="720" w:hanging="360"/>
      </w:pPr>
      <w:r>
        <w:rPr>
          <w:b/>
          <w:rFonts w:ascii="Cambria" w:hAnsi="Cambria" w:eastAsia="Microsoft YaHei" w:cs="Cambria"/>
          <w:color w:val="1A1A1A"/>
          <w:sz w:val="21"/>
          <w:szCs w:val="21"/>
        </w:rPr>
        <w:t xml:space="preserve">(c) </w:t>
      </w:r>
      <w:r>
        <w:rPr>
          <w:rFonts w:ascii="Cambria" w:hAnsi="Cambria" w:eastAsia="Microsoft YaHei" w:cs="Cambria"/>
          <w:color w:val="1A1A1A"/>
          <w:sz w:val="21"/>
          <w:szCs w:val="21"/>
        </w:rPr>
        <w:t>Conversion and fuel fabrication facilities;</w:t>
      </w:r>
    </w:p>
    <w:p>
      <w:pPr>
        <w:pStyle w:val="Normal"/>
        <w:ind w:left="720" w:hanging="360"/>
      </w:pPr>
      <w:r>
        <w:rPr>
          <w:b/>
          <w:rFonts w:ascii="Cambria" w:hAnsi="Cambria" w:eastAsia="Microsoft YaHei" w:cs="Cambria"/>
          <w:color w:val="1A1A1A"/>
          <w:sz w:val="21"/>
          <w:szCs w:val="21"/>
        </w:rPr>
        <w:t xml:space="preserve">(d) </w:t>
      </w:r>
      <w:r>
        <w:rPr>
          <w:rFonts w:ascii="Cambria" w:hAnsi="Cambria" w:eastAsia="Microsoft YaHei" w:cs="Cambria"/>
          <w:color w:val="1A1A1A"/>
          <w:sz w:val="21"/>
          <w:szCs w:val="21"/>
        </w:rPr>
        <w:t>Laboratory and analytical facilities;</w:t>
      </w:r>
    </w:p>
    <w:p>
      <w:pPr>
        <w:pStyle w:val="Normal"/>
        <w:ind w:left="720" w:hanging="360"/>
      </w:pPr>
      <w:r>
        <w:rPr>
          <w:b/>
          <w:rFonts w:ascii="Cambria" w:hAnsi="Cambria" w:eastAsia="Microsoft YaHei" w:cs="Cambria"/>
          <w:color w:val="1A1A1A"/>
          <w:sz w:val="21"/>
          <w:szCs w:val="21"/>
        </w:rPr>
        <w:t xml:space="preserve">(e) </w:t>
      </w:r>
      <w:r>
        <w:rPr>
          <w:rFonts w:ascii="Cambria" w:hAnsi="Cambria" w:eastAsia="Microsoft YaHei" w:cs="Cambria"/>
          <w:color w:val="1A1A1A"/>
          <w:sz w:val="21"/>
          <w:szCs w:val="21"/>
        </w:rPr>
        <w:t>Records and documentation regarding material accountancy;</w:t>
      </w:r>
    </w:p>
    <w:p>
      <w:pPr>
        <w:pStyle w:val="Normal"/>
        <w:ind w:left="720" w:hanging="360"/>
      </w:pPr>
      <w:r>
        <w:rPr>
          <w:b/>
          <w:rFonts w:ascii="Cambria" w:hAnsi="Cambria" w:eastAsia="Microsoft YaHei" w:cs="Cambria"/>
          <w:color w:val="1A1A1A"/>
          <w:sz w:val="21"/>
          <w:szCs w:val="21"/>
        </w:rPr>
        <w:t xml:space="preserve">(f) </w:t>
      </w:r>
      <w:r>
        <w:rPr>
          <w:rFonts w:ascii="Cambria" w:hAnsi="Cambria" w:eastAsia="Microsoft YaHei" w:cs="Cambria"/>
          <w:color w:val="1A1A1A"/>
          <w:sz w:val="21"/>
          <w:szCs w:val="21"/>
        </w:rPr>
        <w:t>Personnel interviews as necessary for verification; and</w:t>
      </w:r>
    </w:p>
    <w:p>
      <w:pPr>
        <w:pStyle w:val="Normal"/>
        <w:ind w:left="720" w:hanging="360"/>
      </w:pPr>
      <w:r>
        <w:rPr>
          <w:b/>
          <w:rFonts w:ascii="Cambria" w:hAnsi="Cambria" w:eastAsia="Microsoft YaHei" w:cs="Cambria"/>
          <w:color w:val="1A1A1A"/>
          <w:sz w:val="21"/>
          <w:szCs w:val="21"/>
        </w:rPr>
        <w:t xml:space="preserve">(g) </w:t>
      </w:r>
      <w:r>
        <w:rPr>
          <w:rFonts w:ascii="Cambria" w:hAnsi="Cambria" w:eastAsia="Microsoft YaHei" w:cs="Cambria"/>
          <w:color w:val="1A1A1A"/>
          <w:sz w:val="21"/>
          <w:szCs w:val="21"/>
        </w:rPr>
        <w:t>Any other location requested by the IAEA within the scope of its verification mandate.</w:t>
      </w:r>
    </w:p>
    <w:p>
      <w:pPr>
        <w:pStyle w:val="Heading2"/>
      </w:pPr>
      <w:r>
        <w:rPr>
          <w:rFonts w:ascii="Cambria" w:hAnsi="Cambria" w:eastAsia="Cambria" w:cs="Cambria"/>
          <w:b/>
          <w:color w:val="1A1A1A"/>
          <w:sz w:val="26"/>
          <w:szCs w:val="26"/>
        </w:rPr>
        <w:t>3.3 Safety Hold</w:t>
      </w:r>
    </w:p>
    <w:p>
      <w:pPr>
        <w:pStyle w:val="Normal"/>
      </w:pPr>
      <w:r>
        <w:rPr>
          <w:rFonts w:ascii="Cambria" w:hAnsi="Cambria" w:eastAsia="Microsoft YaHei" w:cs="Cambria"/>
          <w:color w:val="1A1A1A"/>
          <w:sz w:val="21"/>
          <w:szCs w:val="21"/>
        </w:rPr>
        <w:t>The Safety Hold mechanism under Annex LAES applies to all Covered Facilities. Iran invokes a Safety Hold on legitimate safety grounds. No penalty attaches to a properly invoked Safety Hold. Iran notifies the Joint Management Board and IAEA within 24 hours of invoking a Safety Hold and provides the technical basis for the invocation.</w:t>
      </w:r>
    </w:p>
    <w:p>
      <w:pPr>
        <w:pStyle w:val="Normal"/>
      </w:pPr>
      <w:r>
        <w:rPr>
          <w:rFonts w:ascii="Cambria" w:hAnsi="Cambria" w:eastAsia="Microsoft YaHei" w:cs="Cambria"/>
          <w:color w:val="1A1A1A"/>
          <w:sz w:val="21"/>
          <w:szCs w:val="21"/>
        </w:rPr>
        <w:t>A Joint Safety Assessment, conducted by a Joint Technical Team comprising the Agency Radiation Safety Officer and Iranian nuclear safety officials, determines whether physical access is safe, whether modified access is appropriate, or whether access remains unsafe. The Assessment produces a binding determination within 10 days of Safety Hold invocation.</w:t>
      </w:r>
    </w:p>
    <w:p>
      <w:pPr>
        <w:pStyle w:val="Normal"/>
      </w:pPr>
      <w:r>
        <w:rPr>
          <w:rFonts w:ascii="Cambria" w:hAnsi="Cambria" w:eastAsia="Microsoft YaHei" w:cs="Cambria"/>
          <w:color w:val="1A1A1A"/>
          <w:sz w:val="21"/>
          <w:szCs w:val="21"/>
        </w:rPr>
        <w:t>If either Party disputes the Joint Safety Assessment determination, the matter escalates to the Independent Technical Review Panel under Annex LAES Article 4.6. The Panel comprises three qualified technical experts from the Standing Technical Roster: one nominated by each Party and one selected by the IAEA Director General.</w:t>
      </w:r>
    </w:p>
    <w:p>
      <w:pPr>
        <w:pStyle w:val="Heading2"/>
      </w:pPr>
      <w:r>
        <w:rPr>
          <w:rFonts w:ascii="Cambria" w:hAnsi="Cambria" w:eastAsia="Cambria" w:cs="Cambria"/>
          <w:b/>
          <w:color w:val="1A1A1A"/>
          <w:sz w:val="26"/>
          <w:szCs w:val="26"/>
        </w:rPr>
        <w:t>3.4 Continuous Monitoring Equipment</w:t>
      </w:r>
    </w:p>
    <w:p>
      <w:pPr>
        <w:pStyle w:val="Normal"/>
      </w:pPr>
      <w:r>
        <w:rPr>
          <w:rFonts w:ascii="Cambria" w:hAnsi="Cambria" w:eastAsia="Microsoft YaHei" w:cs="Cambria"/>
          <w:color w:val="1A1A1A"/>
          <w:sz w:val="21"/>
          <w:szCs w:val="21"/>
        </w:rPr>
        <w:t>All Covered Facilities maintain real-time monitoring equipment, including:</w:t>
      </w:r>
    </w:p>
    <w:p>
      <w:pPr>
        <w:pStyle w:val="Normal"/>
        <w:ind w:left="720" w:hanging="360"/>
      </w:pPr>
      <w:r>
        <w:rPr>
          <w:b/>
          <w:rFonts w:ascii="Cambria" w:hAnsi="Cambria" w:eastAsia="Microsoft YaHei" w:cs="Cambria"/>
          <w:color w:val="1A1A1A"/>
          <w:sz w:val="21"/>
          <w:szCs w:val="21"/>
        </w:rPr>
        <w:t xml:space="preserve">(a) </w:t>
      </w:r>
      <w:r>
        <w:rPr>
          <w:rFonts w:ascii="Cambria" w:hAnsi="Cambria" w:eastAsia="Microsoft YaHei" w:cs="Cambria"/>
          <w:color w:val="1A1A1A"/>
          <w:sz w:val="21"/>
          <w:szCs w:val="21"/>
        </w:rPr>
        <w:t>Tamper-indicating seals on all containers and storage vessels containing nuclear material;</w:t>
      </w:r>
    </w:p>
    <w:p>
      <w:pPr>
        <w:pStyle w:val="Normal"/>
        <w:ind w:left="720" w:hanging="360"/>
      </w:pPr>
      <w:r>
        <w:rPr>
          <w:b/>
          <w:rFonts w:ascii="Cambria" w:hAnsi="Cambria" w:eastAsia="Microsoft YaHei" w:cs="Cambria"/>
          <w:color w:val="1A1A1A"/>
          <w:sz w:val="21"/>
          <w:szCs w:val="21"/>
        </w:rPr>
        <w:t xml:space="preserve">(b) </w:t>
      </w:r>
      <w:r>
        <w:rPr>
          <w:rFonts w:ascii="Cambria" w:hAnsi="Cambria" w:eastAsia="Microsoft YaHei" w:cs="Cambria"/>
          <w:color w:val="1A1A1A"/>
          <w:sz w:val="21"/>
          <w:szCs w:val="21"/>
        </w:rPr>
        <w:t>Radiation detectors monitoring material movement;</w:t>
      </w:r>
    </w:p>
    <w:p>
      <w:pPr>
        <w:pStyle w:val="Normal"/>
        <w:ind w:left="720" w:hanging="360"/>
      </w:pPr>
      <w:r>
        <w:rPr>
          <w:b/>
          <w:rFonts w:ascii="Cambria" w:hAnsi="Cambria" w:eastAsia="Microsoft YaHei" w:cs="Cambria"/>
          <w:color w:val="1A1A1A"/>
          <w:sz w:val="21"/>
          <w:szCs w:val="21"/>
        </w:rPr>
        <w:t xml:space="preserve">(c) </w:t>
      </w:r>
      <w:r>
        <w:rPr>
          <w:rFonts w:ascii="Cambria" w:hAnsi="Cambria" w:eastAsia="Microsoft YaHei" w:cs="Cambria"/>
          <w:color w:val="1A1A1A"/>
          <w:sz w:val="21"/>
          <w:szCs w:val="21"/>
        </w:rPr>
        <w:t>Surveillance cameras covering all access points and material handling areas;</w:t>
      </w:r>
    </w:p>
    <w:p>
      <w:pPr>
        <w:pStyle w:val="Normal"/>
        <w:ind w:left="720" w:hanging="360"/>
      </w:pPr>
      <w:r>
        <w:rPr>
          <w:b/>
          <w:rFonts w:ascii="Cambria" w:hAnsi="Cambria" w:eastAsia="Microsoft YaHei" w:cs="Cambria"/>
          <w:color w:val="1A1A1A"/>
          <w:sz w:val="21"/>
          <w:szCs w:val="21"/>
        </w:rPr>
        <w:t xml:space="preserve">(d) </w:t>
      </w:r>
      <w:r>
        <w:rPr>
          <w:rFonts w:ascii="Cambria" w:hAnsi="Cambria" w:eastAsia="Microsoft YaHei" w:cs="Cambria"/>
          <w:color w:val="1A1A1A"/>
          <w:sz w:val="21"/>
          <w:szCs w:val="21"/>
        </w:rPr>
        <w:t>Environmental sampling stations detecting unauthorized processing activity;</w:t>
      </w:r>
    </w:p>
    <w:p>
      <w:pPr>
        <w:pStyle w:val="Normal"/>
        <w:ind w:left="720" w:hanging="360"/>
      </w:pPr>
      <w:r>
        <w:rPr>
          <w:b/>
          <w:rFonts w:ascii="Cambria" w:hAnsi="Cambria" w:eastAsia="Microsoft YaHei" w:cs="Cambria"/>
          <w:color w:val="1A1A1A"/>
          <w:sz w:val="21"/>
          <w:szCs w:val="21"/>
        </w:rPr>
        <w:t xml:space="preserve">(e) </w:t>
      </w:r>
      <w:r>
        <w:rPr>
          <w:rFonts w:ascii="Cambria" w:hAnsi="Cambria" w:eastAsia="Microsoft YaHei" w:cs="Cambria"/>
          <w:color w:val="1A1A1A"/>
          <w:sz w:val="21"/>
          <w:szCs w:val="21"/>
        </w:rPr>
        <w:t>Sensors measuring enrichment levels in real time;</w:t>
      </w:r>
    </w:p>
    <w:p>
      <w:pPr>
        <w:pStyle w:val="Normal"/>
        <w:ind w:left="720" w:hanging="360"/>
      </w:pPr>
      <w:r>
        <w:rPr>
          <w:b/>
          <w:rFonts w:ascii="Cambria" w:hAnsi="Cambria" w:eastAsia="Microsoft YaHei" w:cs="Cambria"/>
          <w:color w:val="1A1A1A"/>
          <w:sz w:val="21"/>
          <w:szCs w:val="21"/>
        </w:rPr>
        <w:t xml:space="preserve">(f) </w:t>
      </w:r>
      <w:r>
        <w:rPr>
          <w:rFonts w:ascii="Cambria" w:hAnsi="Cambria" w:eastAsia="Microsoft YaHei" w:cs="Cambria"/>
          <w:color w:val="1A1A1A"/>
          <w:sz w:val="21"/>
          <w:szCs w:val="21"/>
        </w:rPr>
        <w:t>Data transmission systems providing continuous feeds to IAEA headquarters and the Joint Secretariat.</w:t>
      </w:r>
    </w:p>
    <w:p>
      <w:pPr>
        <w:pStyle w:val="Normal"/>
      </w:pPr>
      <w:r>
        <w:rPr>
          <w:rFonts w:ascii="Cambria" w:hAnsi="Cambria" w:eastAsia="Microsoft YaHei" w:cs="Cambria"/>
          <w:color w:val="1A1A1A"/>
          <w:sz w:val="21"/>
          <w:szCs w:val="21"/>
        </w:rPr>
        <w:t>The IAEA confirms that all monitoring systems are operational, that data transmission is functioning, and that Iran has provided all necessary cooperation for installation and maintenance.</w:t>
      </w:r>
    </w:p>
    <w:p>
      <w:pPr>
        <w:pStyle w:val="Heading2"/>
      </w:pPr>
      <w:r>
        <w:rPr>
          <w:rFonts w:ascii="Cambria" w:hAnsi="Cambria" w:eastAsia="Cambria" w:cs="Cambria"/>
          <w:b/>
          <w:color w:val="1A1A1A"/>
          <w:sz w:val="26"/>
          <w:szCs w:val="26"/>
        </w:rPr>
        <w:t>3.5 Data Sovereignty</w:t>
      </w:r>
    </w:p>
    <w:p>
      <w:pPr>
        <w:pStyle w:val="Normal"/>
      </w:pPr>
      <w:r>
        <w:rPr>
          <w:rFonts w:ascii="Cambria" w:hAnsi="Cambria" w:eastAsia="Microsoft YaHei" w:cs="Cambria"/>
          <w:color w:val="1A1A1A"/>
          <w:sz w:val="21"/>
          <w:szCs w:val="21"/>
        </w:rPr>
        <w:t>All raw verification data constitutes IAEA property. Members receive only the Baseline Verification Certificate and summary reports approved by the IAEA Director General. No raw telemetry goes directly to any member state. This framework architecture protects Iran's legitimate national security interests while providing partners with the assurance they require.</w:t>
      </w:r>
    </w:p>
    <w:p>
      <w:pPr>
        <w:pStyle w:val="Heading2"/>
      </w:pPr>
      <w:r>
        <w:rPr>
          <w:rFonts w:ascii="Cambria" w:hAnsi="Cambria" w:eastAsia="Cambria" w:cs="Cambria"/>
          <w:b/>
          <w:color w:val="1A1A1A"/>
          <w:sz w:val="26"/>
          <w:szCs w:val="26"/>
        </w:rPr>
        <w:t>3.6 No Surprises Notification Protocol</w:t>
      </w:r>
    </w:p>
    <w:p>
      <w:pPr>
        <w:pStyle w:val="Normal"/>
      </w:pPr>
      <w:r>
        <w:rPr>
          <w:rFonts w:ascii="Cambria" w:hAnsi="Cambria" w:eastAsia="Microsoft YaHei" w:cs="Cambria"/>
          <w:color w:val="1A1A1A"/>
          <w:sz w:val="21"/>
          <w:szCs w:val="21"/>
        </w:rPr>
        <w:t>Consistent with the Framework's governance principles, all notifications regarding verification activities route through the Joint Secretariat (Muscat). The No Surprises Protocol operates as follows:</w:t>
      </w:r>
    </w:p>
    <w:p>
      <w:pPr>
        <w:pStyle w:val="Normal"/>
        <w:ind w:left="720" w:hanging="360"/>
      </w:pPr>
      <w:r>
        <w:rPr>
          <w:b/>
          <w:rFonts w:ascii="Cambria" w:hAnsi="Cambria" w:eastAsia="Microsoft YaHei" w:cs="Cambria"/>
          <w:color w:val="1A1A1A"/>
          <w:sz w:val="21"/>
          <w:szCs w:val="21"/>
        </w:rPr>
        <w:t xml:space="preserve">(a) </w:t>
      </w:r>
      <w:r>
        <w:rPr>
          <w:rFonts w:ascii="Cambria" w:hAnsi="Cambria" w:eastAsia="Microsoft YaHei" w:cs="Cambria"/>
          <w:color w:val="1A1A1A"/>
          <w:sz w:val="21"/>
          <w:szCs w:val="21"/>
        </w:rPr>
        <w:t>Advance Notification: The IAEA provides both Parties, through the Joint Secretariat, at least 48 hours' advance notice of any inspection, verification activity, or technical assessment relevant to a milestone.</w:t>
      </w:r>
    </w:p>
    <w:p>
      <w:pPr>
        <w:pStyle w:val="Normal"/>
        <w:ind w:left="720" w:hanging="360"/>
      </w:pPr>
      <w:r>
        <w:rPr>
          <w:b/>
          <w:rFonts w:ascii="Cambria" w:hAnsi="Cambria" w:eastAsia="Microsoft YaHei" w:cs="Cambria"/>
          <w:color w:val="1A1A1A"/>
          <w:sz w:val="21"/>
          <w:szCs w:val="21"/>
        </w:rPr>
        <w:t xml:space="preserve">(b) </w:t>
      </w:r>
      <w:r>
        <w:rPr>
          <w:rFonts w:ascii="Cambria" w:hAnsi="Cambria" w:eastAsia="Microsoft YaHei" w:cs="Cambria"/>
          <w:color w:val="1A1A1A"/>
          <w:sz w:val="21"/>
          <w:szCs w:val="21"/>
        </w:rPr>
        <w:t>Preliminary Findings: Within 24 hours of completing a verification activity, the IAEA team leader transmits preliminary findings to both Parties through the Joint Secretariat.</w:t>
      </w:r>
    </w:p>
    <w:p>
      <w:pPr>
        <w:pStyle w:val="Normal"/>
        <w:ind w:left="720" w:hanging="360"/>
      </w:pPr>
      <w:r>
        <w:rPr>
          <w:b/>
          <w:rFonts w:ascii="Cambria" w:hAnsi="Cambria" w:eastAsia="Microsoft YaHei" w:cs="Cambria"/>
          <w:color w:val="1A1A1A"/>
          <w:sz w:val="21"/>
          <w:szCs w:val="21"/>
        </w:rPr>
        <w:t xml:space="preserve">(c) </w:t>
      </w:r>
      <w:r>
        <w:rPr>
          <w:rFonts w:ascii="Cambria" w:hAnsi="Cambria" w:eastAsia="Microsoft YaHei" w:cs="Cambria"/>
          <w:color w:val="1A1A1A"/>
          <w:sz w:val="21"/>
          <w:szCs w:val="21"/>
        </w:rPr>
        <w:t>No Unilateral Action: Neither Party takes any action affecting verification activities without providing at least 72 hours' advance notice through the Joint Secretariat.</w:t>
      </w:r>
    </w:p>
    <w:p>
      <w:pPr>
        <w:pStyle w:val="Normal"/>
        <w:ind w:left="720" w:hanging="360"/>
      </w:pPr>
      <w:r>
        <w:rPr>
          <w:b/>
          <w:rFonts w:ascii="Cambria" w:hAnsi="Cambria" w:eastAsia="Microsoft YaHei" w:cs="Cambria"/>
          <w:color w:val="1A1A1A"/>
          <w:sz w:val="21"/>
          <w:szCs w:val="21"/>
        </w:rPr>
        <w:t xml:space="preserve">(d) </w:t>
      </w:r>
      <w:r>
        <w:rPr>
          <w:rFonts w:ascii="Cambria" w:hAnsi="Cambria" w:eastAsia="Microsoft YaHei" w:cs="Cambria"/>
          <w:color w:val="1A1A1A"/>
          <w:sz w:val="21"/>
          <w:szCs w:val="21"/>
        </w:rPr>
        <w:t>Emergency Notification: In the event of a security threat, cyber incident, or other emergency affecting verification activities, the IAEA notifies both Parties and the Joint Secretariat immediately upon discovery.</w:t>
      </w:r>
    </w:p>
    <w:p>
      <w:pPr>
        <w:pStyle w:val="Heading1"/>
      </w:pPr>
      <w:bookmarkStart w:name="_TocArt4" w:id="6"/>
      <w:r>
        <w:rPr>
          <w:rFonts w:ascii="Cambria" w:hAnsi="Cambria" w:eastAsia="Cambria" w:cs="Cambria"/>
          <w:b/>
          <w:color w:val="1A2744"/>
          <w:sz w:val="36"/>
          <w:szCs w:val="36"/>
        </w:rPr>
        <w:t>Article 4: Verification Milestones</w:t>
      </w:r>
      <w:bookmarkEnd w:id="6"/>
    </w:p>
    <w:p>
      <w:pPr>
        <w:pStyle w:val="Heading2"/>
      </w:pPr>
      <w:r>
        <w:rPr>
          <w:rFonts w:ascii="Cambria" w:hAnsi="Cambria" w:eastAsia="Cambria" w:cs="Cambria"/>
          <w:b/>
          <w:color w:val="1A1A1A"/>
          <w:sz w:val="26"/>
          <w:szCs w:val="26"/>
        </w:rPr>
        <w:t>4.1 Overview</w:t>
      </w:r>
    </w:p>
    <w:p>
      <w:pPr>
        <w:pStyle w:val="Normal"/>
      </w:pPr>
      <w:r>
        <w:rPr>
          <w:rFonts w:ascii="Cambria" w:hAnsi="Cambria" w:eastAsia="Microsoft YaHei" w:cs="Cambria"/>
          <w:color w:val="1A1A1A"/>
          <w:sz w:val="21"/>
          <w:szCs w:val="21"/>
        </w:rPr>
        <w:t>This Framework establishes the following verification milestones. Completion of each milestone triggers specific benefits, including escrow release, sanctions relief, and reconstruction financing, as specified in the respective Annexes.</w:t>
      </w:r>
    </w:p>
    <w:tbl>
      <w:tblPr>
        <w:tblW w:w="5000" w:type="pct"/>
        <w:tblBorders>
          <w:top w:val="single" w:color="1a2744" w:sz="12"/>
          <w:left w:val="nil"/>
          <w:bottom w:val="single" w:color="1a2744" w:sz="12"/>
          <w:right w:val="nil"/>
          <w:insideH w:val="single" w:color="c8c3b5" w:sz="4"/>
          <w:insideV w:val="nil"/>
        </w:tblBorders>
      </w:tblPr>
      <w:tblGrid>
        <w:gridCol w:w="2600"/>
        <w:gridCol w:w="3400"/>
        <w:gridCol w:w="3000"/>
      </w:tblGrid>
      <w:tr>
        <w:trPr>
          <w:tblHeader w:val="1"/>
        </w:trPr>
        <w:tc>
          <w:tcPr>
            <w:tcW w:w="2600" w:type="dxa"/>
            <w:shd w:val="clear" w:fill="auto" w:color="auto"/>
          </w:tcPr>
          <w:p>
            <w:pPr>
              <w:pStyle w:val="Normal"/>
              <w:spacing w:before="40" w:after="40"/>
              <w:jc w:val="left"/>
            </w:pPr>
            <w:r>
              <w:rPr>
                <w:b/>
                <w:color w:val="1A1A1A"/>
                <w:sz w:val="19"/>
                <w:rFonts w:ascii="Cambria" w:hAnsi="Cambria" w:eastAsia="Microsoft YaHei" w:cs="Cambria"/>
                <w:szCs w:val="19"/>
              </w:rPr>
              <w:t>Milestone</w:t>
            </w:r>
          </w:p>
        </w:tc>
        <w:tc>
          <w:tcPr>
            <w:tcW w:w="3400" w:type="dxa"/>
            <w:shd w:val="clear" w:fill="auto" w:color="auto"/>
          </w:tcPr>
          <w:p>
            <w:pPr>
              <w:pStyle w:val="Normal"/>
              <w:spacing w:before="40" w:after="40"/>
              <w:jc w:val="left"/>
            </w:pPr>
            <w:r>
              <w:rPr>
                <w:b/>
                <w:color w:val="1A1A1A"/>
                <w:sz w:val="19"/>
                <w:rFonts w:ascii="Cambria" w:hAnsi="Cambria" w:eastAsia="Microsoft YaHei" w:cs="Cambria"/>
                <w:szCs w:val="19"/>
              </w:rPr>
              <w:t>Verification Certificate</w:t>
            </w:r>
          </w:p>
        </w:tc>
        <w:tc>
          <w:tcPr>
            <w:tcW w:w="3000" w:type="dxa"/>
            <w:shd w:val="clear" w:fill="auto" w:color="auto"/>
          </w:tcPr>
          <w:p>
            <w:pPr>
              <w:pStyle w:val="Normal"/>
              <w:spacing w:before="40" w:after="40"/>
              <w:jc w:val="left"/>
            </w:pPr>
            <w:r>
              <w:rPr>
                <w:b/>
                <w:color w:val="1A1A1A"/>
                <w:sz w:val="19"/>
                <w:rFonts w:ascii="Cambria" w:hAnsi="Cambria" w:eastAsia="Microsoft YaHei" w:cs="Cambria"/>
                <w:szCs w:val="19"/>
              </w:rPr>
              <w:t>Triggered Benefits</w:t>
            </w:r>
          </w:p>
        </w:tc>
      </w:tr>
      <w:tr>
        <w:tc>
          <w:tcPr>
            <w:tcW w:w="2600" w:type="dxa"/>
          </w:tcPr>
          <w:p>
            <w:pPr>
              <w:pStyle w:val="Normal"/>
              <w:spacing w:before="40" w:after="40"/>
              <w:jc w:val="left"/>
            </w:pPr>
            <w:r>
              <w:rPr>
                <w:color w:val="1A1A1A"/>
                <w:sz w:val="19"/>
                <w:rFonts w:ascii="Cambria" w:hAnsi="Cambria" w:eastAsia="Microsoft YaHei" w:cs="Cambria"/>
                <w:szCs w:val="19"/>
              </w:rPr>
              <w:t>National HEU Verification and Custody</w:t>
            </w:r>
          </w:p>
        </w:tc>
        <w:tc>
          <w:tcPr>
            <w:tcW w:w="3400" w:type="dxa"/>
          </w:tcPr>
          <w:p>
            <w:pPr>
              <w:pStyle w:val="Normal"/>
              <w:spacing w:before="40" w:after="40"/>
              <w:jc w:val="left"/>
            </w:pPr>
            <w:r>
              <w:rPr>
                <w:color w:val="1A1A1A"/>
                <w:sz w:val="19"/>
                <w:rFonts w:ascii="Cambria" w:hAnsi="Cambria" w:eastAsia="Microsoft YaHei" w:cs="Cambria"/>
                <w:szCs w:val="19"/>
              </w:rPr>
              <w:t>National HEU Verification and Custody Certificate</w:t>
            </w:r>
          </w:p>
        </w:tc>
        <w:tc>
          <w:tcPr>
            <w:tcW w:w="3000" w:type="dxa"/>
          </w:tcPr>
          <w:p>
            <w:pPr>
              <w:pStyle w:val="Normal"/>
              <w:spacing w:before="40" w:after="40"/>
              <w:jc w:val="left"/>
            </w:pPr>
            <w:r>
              <w:rPr>
                <w:color w:val="1A1A1A"/>
                <w:sz w:val="19"/>
                <w:rFonts w:ascii="Cambria" w:hAnsi="Cambria" w:eastAsia="Microsoft YaHei" w:cs="Cambria"/>
                <w:szCs w:val="19"/>
              </w:rPr>
              <w:t>Tranche 1 escrow release ($4.5B); Initial sanctions relief</w:t>
            </w:r>
          </w:p>
        </w:tc>
      </w:tr>
      <w:tr>
        <w:tc>
          <w:tcPr>
            <w:tcW w:w="2600" w:type="dxa"/>
          </w:tcPr>
          <w:p>
            <w:pPr>
              <w:pStyle w:val="Normal"/>
              <w:spacing w:before="40" w:after="40"/>
              <w:jc w:val="left"/>
            </w:pPr>
            <w:r>
              <w:rPr>
                <w:color w:val="1A1A1A"/>
                <w:sz w:val="19"/>
                <w:rFonts w:ascii="Cambria" w:hAnsi="Cambria" w:eastAsia="Microsoft YaHei" w:cs="Cambria"/>
                <w:szCs w:val="19"/>
              </w:rPr>
              <w:t>Downblending Completion</w:t>
            </w:r>
          </w:p>
        </w:tc>
        <w:tc>
          <w:tcPr>
            <w:tcW w:w="3400" w:type="dxa"/>
          </w:tcPr>
          <w:p>
            <w:pPr>
              <w:pStyle w:val="Normal"/>
              <w:spacing w:before="40" w:after="40"/>
              <w:jc w:val="left"/>
            </w:pPr>
            <w:r>
              <w:rPr>
                <w:color w:val="1A1A1A"/>
                <w:sz w:val="19"/>
                <w:rFonts w:ascii="Cambria" w:hAnsi="Cambria" w:eastAsia="Microsoft YaHei" w:cs="Cambria"/>
                <w:szCs w:val="19"/>
              </w:rPr>
              <w:t>Downblending Completion Certificate</w:t>
            </w:r>
          </w:p>
        </w:tc>
        <w:tc>
          <w:tcPr>
            <w:tcW w:w="3000" w:type="dxa"/>
          </w:tcPr>
          <w:p>
            <w:pPr>
              <w:pStyle w:val="Normal"/>
              <w:spacing w:before="40" w:after="40"/>
              <w:jc w:val="left"/>
            </w:pPr>
            <w:r>
              <w:rPr>
                <w:color w:val="1A1A1A"/>
                <w:sz w:val="19"/>
                <w:rFonts w:ascii="Cambria" w:hAnsi="Cambria" w:eastAsia="Microsoft YaHei" w:cs="Cambria"/>
                <w:szCs w:val="19"/>
              </w:rPr>
              <w:t>Tranche 2 escrow release ($7.5B); Full sanctions relief</w:t>
            </w:r>
          </w:p>
        </w:tc>
      </w:tr>
      <w:tr>
        <w:tc>
          <w:tcPr>
            <w:tcW w:w="2600" w:type="dxa"/>
          </w:tcPr>
          <w:p>
            <w:pPr>
              <w:pStyle w:val="Normal"/>
              <w:spacing w:before="40" w:after="40"/>
              <w:jc w:val="left"/>
            </w:pPr>
            <w:r>
              <w:rPr>
                <w:color w:val="1A1A1A"/>
                <w:sz w:val="19"/>
                <w:rFonts w:ascii="Cambria" w:hAnsi="Cambria" w:eastAsia="Microsoft YaHei" w:cs="Cambria"/>
                <w:szCs w:val="19"/>
              </w:rPr>
              <w:t>Additional milestones as specified in other Annexes</w:t>
            </w:r>
          </w:p>
        </w:tc>
        <w:tc>
          <w:tcPr>
            <w:tcW w:w="3400" w:type="dxa"/>
          </w:tcPr>
          <w:p>
            <w:pPr>
              <w:pStyle w:val="Normal"/>
              <w:spacing w:before="40" w:after="40"/>
              <w:jc w:val="left"/>
            </w:pPr>
            <w:r>
              <w:rPr>
                <w:color w:val="1A1A1A"/>
                <w:sz w:val="19"/>
                <w:rFonts w:ascii="Cambria" w:hAnsi="Cambria" w:eastAsia="Microsoft YaHei" w:cs="Cambria"/>
                <w:szCs w:val="19"/>
              </w:rPr>
              <w:t>Corresponding IAEA Verification Certificates</w:t>
            </w:r>
          </w:p>
        </w:tc>
        <w:tc>
          <w:tcPr>
            <w:tcW w:w="3000" w:type="dxa"/>
          </w:tcPr>
          <w:p>
            <w:pPr>
              <w:pStyle w:val="Normal"/>
              <w:spacing w:before="40" w:after="40"/>
              <w:jc w:val="left"/>
            </w:pPr>
            <w:r>
              <w:rPr>
                <w:color w:val="1A1A1A"/>
                <w:sz w:val="19"/>
                <w:rFonts w:ascii="Cambria" w:hAnsi="Cambria" w:eastAsia="Microsoft YaHei" w:cs="Cambria"/>
                <w:szCs w:val="19"/>
              </w:rPr>
              <w:t>Corresponding benefits</w:t>
            </w:r>
          </w:p>
        </w:tc>
      </w:tr>
    </w:tbl>
    <w:p>
      <w:pPr>
        <w:pStyle w:val="Heading2"/>
      </w:pPr>
      <w:r>
        <w:rPr>
          <w:rFonts w:ascii="Cambria" w:hAnsi="Cambria" w:eastAsia="Cambria" w:cs="Cambria"/>
          <w:b/>
          <w:color w:val="1A1A1A"/>
          <w:sz w:val="26"/>
          <w:szCs w:val="26"/>
        </w:rPr>
        <w:t>4.2 National HEU Verification and Custody Milestone</w:t>
      </w:r>
    </w:p>
    <w:p>
      <w:pPr>
        <w:pStyle w:val="Normal"/>
      </w:pPr>
      <w:r>
        <w:rPr>
          <w:rFonts w:ascii="Cambria" w:hAnsi="Cambria" w:eastAsia="Microsoft YaHei" w:cs="Cambria"/>
          <w:color w:val="1A1A1A"/>
          <w:sz w:val="21"/>
          <w:szCs w:val="21"/>
        </w:rPr>
        <w:t>The National HEU Verification and Custody Milestone requires that the IAEA confirms the following four elements:</w:t>
      </w:r>
    </w:p>
    <w:p>
      <w:pPr>
        <w:pStyle w:val="Normal"/>
        <w:ind w:left="720" w:hanging="360"/>
      </w:pPr>
      <w:r>
        <w:rPr>
          <w:b/>
          <w:rFonts w:ascii="Cambria" w:hAnsi="Cambria" w:eastAsia="Microsoft YaHei" w:cs="Cambria"/>
          <w:color w:val="1A1A1A"/>
          <w:sz w:val="21"/>
          <w:szCs w:val="21"/>
        </w:rPr>
        <w:t xml:space="preserve">(a) </w:t>
      </w:r>
      <w:r>
        <w:rPr>
          <w:rFonts w:ascii="Cambria" w:hAnsi="Cambria" w:eastAsia="Microsoft YaHei" w:cs="Cambria"/>
          <w:color w:val="1A1A1A"/>
          <w:sz w:val="21"/>
          <w:szCs w:val="21"/>
        </w:rPr>
        <w:t>Full Unimpeded Access: The IAEA has resumed full, unimpeded access to all declared nuclear facilities and all sites where 60% enriched uranium is stored. This includes access to enrichment halls, storage areas, conversion facilities, and any other location where 60% enriched uranium is present or has been present.</w:t>
      </w:r>
    </w:p>
    <w:p>
      <w:pPr>
        <w:pStyle w:val="Normal"/>
        <w:ind w:left="720" w:hanging="360"/>
      </w:pPr>
      <w:r>
        <w:rPr>
          <w:b/>
          <w:rFonts w:ascii="Cambria" w:hAnsi="Cambria" w:eastAsia="Microsoft YaHei" w:cs="Cambria"/>
          <w:color w:val="1A1A1A"/>
          <w:sz w:val="21"/>
          <w:szCs w:val="21"/>
        </w:rPr>
        <w:t xml:space="preserve">(b) </w:t>
      </w:r>
      <w:r>
        <w:rPr>
          <w:rFonts w:ascii="Cambria" w:hAnsi="Cambria" w:eastAsia="Microsoft YaHei" w:cs="Cambria"/>
          <w:color w:val="1A1A1A"/>
          <w:sz w:val="21"/>
          <w:szCs w:val="21"/>
        </w:rPr>
        <w:t>Baseline Inventory with Mass Spectrometry: The IAEA has completed a comprehensive baseline inventory of the entire 60% enriched uranium stockpile, comparing measured quantities against Iran's declared inventory. This inventory includes mass spectrometry verification of enrichment levels, isotopic composition, and physical form.</w:t>
      </w:r>
    </w:p>
    <w:p>
      <w:pPr>
        <w:pStyle w:val="Normal"/>
        <w:ind w:left="720" w:hanging="360"/>
      </w:pPr>
      <w:r>
        <w:rPr>
          <w:b/>
          <w:rFonts w:ascii="Cambria" w:hAnsi="Cambria" w:eastAsia="Microsoft YaHei" w:cs="Cambria"/>
          <w:color w:val="1A1A1A"/>
          <w:sz w:val="21"/>
          <w:szCs w:val="21"/>
        </w:rPr>
        <w:t xml:space="preserve">(c) </w:t>
      </w:r>
      <w:r>
        <w:rPr>
          <w:rFonts w:ascii="Cambria" w:hAnsi="Cambria" w:eastAsia="Microsoft YaHei" w:cs="Cambria"/>
          <w:color w:val="1A1A1A"/>
          <w:sz w:val="21"/>
          <w:szCs w:val="21"/>
        </w:rPr>
        <w:t>Dual-Key Custody: Iran has placed the entire 60% enriched uranium stockpile under IAEA dual-key custody, such that no unilateral Iranian access is possible. The IAEA installs seals, surveillance equipment, and tamper-indicating devices at all storage locations. The IAEA maintains continuous physical presence at facilities holding 60%-enriched uranium.</w:t>
      </w:r>
    </w:p>
    <w:p>
      <w:pPr>
        <w:pStyle w:val="Normal"/>
        <w:ind w:left="720" w:hanging="360"/>
      </w:pPr>
      <w:r>
        <w:rPr>
          <w:b/>
          <w:rFonts w:ascii="Cambria" w:hAnsi="Cambria" w:eastAsia="Microsoft YaHei" w:cs="Cambria"/>
          <w:color w:val="1A1A1A"/>
          <w:sz w:val="21"/>
          <w:szCs w:val="21"/>
        </w:rPr>
        <w:t xml:space="preserve">(d) </w:t>
      </w:r>
      <w:r>
        <w:rPr>
          <w:rFonts w:ascii="Cambria" w:hAnsi="Cambria" w:eastAsia="Microsoft YaHei" w:cs="Cambria"/>
          <w:color w:val="1A1A1A"/>
          <w:sz w:val="21"/>
          <w:szCs w:val="21"/>
        </w:rPr>
        <w:t>Continuous Monitoring Equipment: The IAEA has installed continuous monitoring equipment including seals, cameras, and sensors at all relevant facilities. The IAEA confirms that all monitoring systems are operational, that data transmission is functioning, and that Iran has provided all necessary cooperation for installation and maintenance.</w:t>
      </w:r>
    </w:p>
    <w:p>
      <w:pPr>
        <w:pStyle w:val="Heading2"/>
      </w:pPr>
      <w:r>
        <w:rPr>
          <w:rFonts w:ascii="Cambria" w:hAnsi="Cambria" w:eastAsia="Cambria" w:cs="Cambria"/>
          <w:b/>
          <w:color w:val="1A1A1A"/>
          <w:sz w:val="26"/>
          <w:szCs w:val="26"/>
        </w:rPr>
        <w:t>4.3 Downblending Completion Milestone</w:t>
      </w:r>
    </w:p>
    <w:p>
      <w:pPr>
        <w:pStyle w:val="Normal"/>
      </w:pPr>
      <w:r>
        <w:rPr>
          <w:rFonts w:ascii="Cambria" w:hAnsi="Cambria" w:eastAsia="Microsoft YaHei" w:cs="Cambria"/>
          <w:color w:val="1A1A1A"/>
          <w:sz w:val="21"/>
          <w:szCs w:val="21"/>
        </w:rPr>
        <w:t>The Downblending Completion Milestone requires that the IAEA confirms the following five elements:</w:t>
      </w:r>
    </w:p>
    <w:p>
      <w:pPr>
        <w:pStyle w:val="Normal"/>
        <w:ind w:left="720" w:hanging="360"/>
      </w:pPr>
      <w:r>
        <w:rPr>
          <w:b/>
          <w:rFonts w:ascii="Cambria" w:hAnsi="Cambria" w:eastAsia="Microsoft YaHei" w:cs="Cambria"/>
          <w:color w:val="1A1A1A"/>
          <w:sz w:val="21"/>
          <w:szCs w:val="21"/>
        </w:rPr>
        <w:t xml:space="preserve">(a) </w:t>
      </w:r>
      <w:r>
        <w:rPr>
          <w:rFonts w:ascii="Cambria" w:hAnsi="Cambria" w:eastAsia="Microsoft YaHei" w:cs="Cambria"/>
          <w:color w:val="1A1A1A"/>
          <w:sz w:val="21"/>
          <w:szCs w:val="21"/>
        </w:rPr>
        <w:t>Irreversible Transformation to Civilian Enrichment Level: The entire 60% enriched uranium stockpile has undergone irreversible transformation through downblending to the Civilian Enrichment Level (CEL) of 3.67% U-235 or lower. The IAEA confirms that the transformation is complete for 100% of the previously inventoried stockpile (within measurement tolerance).</w:t>
      </w:r>
    </w:p>
    <w:p>
      <w:pPr>
        <w:pStyle w:val="Normal"/>
        <w:ind w:left="720" w:hanging="360"/>
      </w:pPr>
      <w:r>
        <w:rPr>
          <w:b/>
          <w:rFonts w:ascii="Cambria" w:hAnsi="Cambria" w:eastAsia="Microsoft YaHei" w:cs="Cambria"/>
          <w:color w:val="1A1A1A"/>
          <w:sz w:val="21"/>
          <w:szCs w:val="21"/>
        </w:rPr>
        <w:t xml:space="preserve">(b) </w:t>
      </w:r>
      <w:r>
        <w:rPr>
          <w:rFonts w:ascii="Cambria" w:hAnsi="Cambria" w:eastAsia="Microsoft YaHei" w:cs="Cambria"/>
          <w:color w:val="1A1A1A"/>
          <w:sz w:val="21"/>
          <w:szCs w:val="21"/>
        </w:rPr>
        <w:t>IAEA-Approved Pathways: The transformation occurs through one or more IAEA-approved pathways, including in-situ downblending, conversion into phosphate-based agricultural fertilizer through Pathway W, transformation into other non-uranium forms, or export to a third-country facility. Iran selects the pathway, subject to IAEA technical approval.</w:t>
      </w:r>
    </w:p>
    <w:p>
      <w:pPr>
        <w:pStyle w:val="Normal"/>
        <w:ind w:left="720" w:hanging="360"/>
      </w:pPr>
      <w:r>
        <w:rPr>
          <w:b/>
          <w:rFonts w:ascii="Cambria" w:hAnsi="Cambria" w:eastAsia="Microsoft YaHei" w:cs="Cambria"/>
          <w:color w:val="1A1A1A"/>
          <w:sz w:val="21"/>
          <w:szCs w:val="21"/>
        </w:rPr>
        <w:t xml:space="preserve">(c) </w:t>
      </w:r>
      <w:r>
        <w:rPr>
          <w:rFonts w:ascii="Cambria" w:hAnsi="Cambria" w:eastAsia="Microsoft YaHei" w:cs="Cambria"/>
          <w:color w:val="1A1A1A"/>
          <w:sz w:val="21"/>
          <w:szCs w:val="21"/>
        </w:rPr>
        <w:t>Mass Balance Verification at 100%: The IAEA verifies the mass balance of all material, confirming that 100% of the stockpile (within measurement tolerance) is accounted for. Any material unaccounted for (MUF) exceeding established detection thresholds triggers a joint technical review.</w:t>
      </w:r>
    </w:p>
    <w:p>
      <w:pPr>
        <w:pStyle w:val="Normal"/>
        <w:ind w:left="720" w:hanging="360"/>
      </w:pPr>
      <w:r>
        <w:rPr>
          <w:b/>
          <w:rFonts w:ascii="Cambria" w:hAnsi="Cambria" w:eastAsia="Microsoft YaHei" w:cs="Cambria"/>
          <w:color w:val="1A1A1A"/>
          <w:sz w:val="21"/>
          <w:szCs w:val="21"/>
        </w:rPr>
        <w:t xml:space="preserve">(d) </w:t>
      </w:r>
      <w:r>
        <w:rPr>
          <w:rFonts w:ascii="Cambria" w:hAnsi="Cambria" w:eastAsia="Microsoft YaHei" w:cs="Cambria"/>
          <w:color w:val="1A1A1A"/>
          <w:sz w:val="21"/>
          <w:szCs w:val="21"/>
        </w:rPr>
        <w:t>12-Month Breakout Buffer Confirmation: The IAEA confirms that reconversion of the transformed material to weapons-usable form requires at least 12 months of detectable activity, measured against the IAEA's established safeguards criteria.</w:t>
      </w:r>
    </w:p>
    <w:p>
      <w:pPr>
        <w:pStyle w:val="Normal"/>
        <w:ind w:left="720" w:hanging="360"/>
      </w:pPr>
      <w:r>
        <w:rPr>
          <w:b/>
          <w:rFonts w:ascii="Cambria" w:hAnsi="Cambria" w:eastAsia="Microsoft YaHei" w:cs="Cambria"/>
          <w:color w:val="1A1A1A"/>
          <w:sz w:val="21"/>
          <w:szCs w:val="21"/>
        </w:rPr>
        <w:t xml:space="preserve">(e) </w:t>
      </w:r>
      <w:r>
        <w:rPr>
          <w:rFonts w:ascii="Cambria" w:hAnsi="Cambria" w:eastAsia="Microsoft YaHei" w:cs="Cambria"/>
          <w:color w:val="1A1A1A"/>
          <w:sz w:val="21"/>
          <w:szCs w:val="21"/>
        </w:rPr>
        <w:t>Pathway W Verification (if applicable): If Iran selects Pathway W, the IAEA verifies the complete conversion of the downblended uranium into phosphate-based agricultural fertilizer, confirming that the uranium is permanently dispersed into a dilute, non-recoverable form.</w:t>
      </w:r>
    </w:p>
    <w:p>
      <w:pPr>
        <w:pStyle w:val="Heading2"/>
      </w:pPr>
      <w:r>
        <w:rPr>
          <w:rFonts w:ascii="Cambria" w:hAnsi="Cambria" w:eastAsia="Cambria" w:cs="Cambria"/>
          <w:b/>
          <w:color w:val="1A1A1A"/>
          <w:sz w:val="26"/>
          <w:szCs w:val="26"/>
        </w:rPr>
        <w:t>4.4 Additional Milestones</w:t>
      </w:r>
    </w:p>
    <w:p>
      <w:pPr>
        <w:pStyle w:val="Normal"/>
      </w:pPr>
      <w:r>
        <w:rPr>
          <w:rFonts w:ascii="Cambria" w:hAnsi="Cambria" w:eastAsia="Microsoft YaHei" w:cs="Cambria"/>
          <w:color w:val="1A1A1A"/>
          <w:sz w:val="21"/>
          <w:szCs w:val="21"/>
        </w:rPr>
        <w:t>Additional verification milestones are established by mutual agreement of the Parties and approved by the Joint Management Board and Joint Commission. Such milestones are specified in amendments to this Annex or in separate protocols.</w:t>
      </w:r>
    </w:p>
    <w:p>
      <w:pPr>
        <w:pStyle w:val="Heading1"/>
      </w:pPr>
      <w:bookmarkStart w:name="_TocArt5" w:id="7"/>
      <w:r>
        <w:rPr>
          <w:rFonts w:ascii="Cambria" w:hAnsi="Cambria" w:eastAsia="Cambria" w:cs="Cambria"/>
          <w:b/>
          <w:color w:val="1A2744"/>
          <w:sz w:val="36"/>
          <w:szCs w:val="36"/>
        </w:rPr>
        <w:t>Article 5: Dispute Resolution for Verification Matters</w:t>
      </w:r>
      <w:bookmarkEnd w:id="7"/>
    </w:p>
    <w:p>
      <w:pPr>
        <w:pStyle w:val="Heading2"/>
      </w:pPr>
      <w:r>
        <w:rPr>
          <w:rFonts w:ascii="Cambria" w:hAnsi="Cambria" w:eastAsia="Cambria" w:cs="Cambria"/>
          <w:b/>
          <w:color w:val="1A1A1A"/>
          <w:sz w:val="26"/>
          <w:szCs w:val="26"/>
        </w:rPr>
        <w:t>5.1 Technical Disputes</w:t>
      </w:r>
    </w:p>
    <w:p>
      <w:r>
        <w:t>Disputes regarding the interpretation, application, or performance of verification provisions under this Annex proceed through the following tiers:</w:t>
      </w:r>
    </w:p>
    <w:p>
      <w:pPr>
        <w:ind w:left="720" w:hanging="360"/>
      </w:pPr>
      <w:r>
        <w:rPr>
          <w:b/>
        </w:rPr>
        <w:t>Tier 1: </w:t>
      </w:r>
      <w:r>
        <w:t>Technical Consultation. The parties to the dispute consult within the Joint Management Board. The Board convenes within 14 days of receiving notice of a dispute and attempts resolution through facilitated dialogue. IAEA technical experts participate as non-voting advisors.</w:t>
      </w:r>
    </w:p>
    <w:p>
      <w:pPr>
        <w:ind w:left="720" w:hanging="360"/>
      </w:pPr>
      <w:r>
        <w:rPr>
          <w:b/>
        </w:rPr>
        <w:t>Tier 2: </w:t>
      </w:r>
      <w:r>
        <w:t>Joint Technical Review Panel. If Tier 1 fails to resolve the dispute within 30 days, the matter escalates to a Joint Technical Review Panel. The Panel comprises three independent nuclear safeguards experts: one nominated by each Party in dispute and one by the IAEA Director General. The Panel convenes within 21 days of escalation and renders a binding technical determination within 90 days.</w:t>
      </w:r>
    </w:p>
    <w:p>
      <w:pPr>
        <w:ind w:left="720" w:hanging="360"/>
      </w:pPr>
      <w:r>
        <w:rPr>
          <w:b/>
        </w:rPr>
        <w:t>Tier 3: </w:t>
      </w:r>
      <w:r>
        <w:t>Political Mediation. If the Panel's determination does not resolve the dispute, either Party escalates to the Joint Commission for political mediation under MENOC Charter Article 8.</w:t>
      </w:r>
    </w:p>
    <w:p>
      <w:pPr>
        <w:pStyle w:val="Heading2"/>
      </w:pPr>
      <w:r>
        <w:t>5.2 The Joint Technical Review Panel</w:t>
      </w:r>
    </w:p>
    <w:p>
      <w:r>
        <w:t>The Joint Technical Review Panel operates as follows:</w:t>
      </w:r>
    </w:p>
    <w:p>
      <w:pPr>
        <w:ind w:left="720" w:hanging="360"/>
      </w:pPr>
      <w:r>
        <w:rPr>
          <w:b/>
        </w:rPr>
        <w:t>(a) </w:t>
      </w:r>
      <w:r>
        <w:t>Composition: Three independent experts with recognized expertise in nuclear safeguards, verification, or related technical fields. One expert is nominated by each Party in dispute; one expert is nominated by the IAEA Director General.</w:t>
      </w:r>
    </w:p>
    <w:p>
      <w:pPr>
        <w:ind w:left="720" w:hanging="360"/>
      </w:pPr>
      <w:r>
        <w:rPr>
          <w:b/>
        </w:rPr>
        <w:t>(b) </w:t>
      </w:r>
      <w:r>
        <w:t>Mandate: The Panel reviews the technical basis of the dispute, examines all relevant verification data (with appropriate confidentiality protections), and issues a binding determination on the technical matter.</w:t>
      </w:r>
    </w:p>
    <w:p>
      <w:pPr>
        <w:ind w:left="720" w:hanging="360"/>
      </w:pPr>
      <w:r>
        <w:rPr>
          <w:b/>
        </w:rPr>
        <w:t>(c) </w:t>
      </w:r>
      <w:r>
        <w:t>Timeline: The Panel convenes within 21 days of escalation. The Panel renders its determination within 90 days of convening.</w:t>
      </w:r>
    </w:p>
    <w:p>
      <w:pPr>
        <w:ind w:left="720" w:hanging="360"/>
      </w:pPr>
      <w:r>
        <w:rPr>
          <w:b/>
        </w:rPr>
        <w:t>(d) </w:t>
      </w:r>
      <w:r>
        <w:t>Binding Effect: The Panel's technical determination binds all Parties. No Party rejects, reinterprets, or overrides a Panel determination for political reasons.</w:t>
      </w:r>
    </w:p>
    <w:p>
      <w:pPr>
        <w:ind w:left="720" w:hanging="360"/>
      </w:pPr>
      <w:r>
        <w:rPr>
          <w:b/>
        </w:rPr>
        <w:t>(e) </w:t>
      </w:r>
      <w:r>
        <w:t>Appeal: Either Party appeals a Panel determination to the Joint Commission only on procedural grounds (for example, bias, failure to consider relevant evidence). The Commission does not re-examine the technical merits.</w:t>
      </w:r>
    </w:p>
    <w:p>
      <w:pPr>
        <w:pStyle w:val="Heading2"/>
      </w:pPr>
      <w:r>
        <w:t>5.3 Emergency Verification Disputes</w:t>
      </w:r>
    </w:p>
    <w:p>
      <w:r>
        <w:t>A dispute that threatens the integrity of the verification architecture or the safety of operations escalates directly to the Joint Commission, bypassing Tiers 1 and 2. The Joint Commission convenes within 48 hours of receiving notice of an emergency dispute. The Commission's emergency decision prevails pending full resolution of the dispute.</w:t>
      </w:r>
    </w:p>
    <w:p>
      <w:pPr>
        <w:pStyle w:val="Heading2"/>
      </w:pPr>
      <w:r>
        <w:t>5.4 IAEA Technical Judgment</w:t>
      </w:r>
    </w:p>
    <w:p>
      <w:r>
        <w:t>The IAEA's technical judgment on compliance with verification milestones binds all Parties for purposes of this Framework. No Party rejects, reinterprets, or overrides an IAEA Verification Certificate or non-compliance finding for political reasons. Disputes regarding the interpretation of IAEA findings resolve through the procedures of this Article, but the IAEA's technical finding itself is not subject to appeal.</w:t>
      </w:r>
    </w:p>
    <w:p>
      <w:pPr>
        <w:pStyle w:val="Heading1"/>
      </w:pPr>
      <w:r>
        <w:t>Article 6: Verification Reports and Transparency</w:t>
      </w:r>
      <w:bookmarkStart w:name="_TocArt6" w:id="8"/>
      <w:bookmarkEnd w:id="8"/>
    </w:p>
    <w:p>
      <w:pPr>
        <w:pStyle w:val="Heading2"/>
      </w:pPr>
      <w:r>
        <w:t>6.1 IAEA Reporting</w:t>
      </w:r>
    </w:p>
    <w:p>
      <w:r>
        <w:t>The IAEA reports directly to the IAEA Director General and to the Joint Management Board. The Joint Management Board shares verification reports with all members of the Joint Commission. Reports include:</w:t>
      </w:r>
    </w:p>
    <w:p>
      <w:pPr>
        <w:ind w:left="720" w:hanging="360"/>
      </w:pPr>
      <w:r>
        <w:rPr>
          <w:b/>
        </w:rPr>
        <w:t>(a) </w:t>
      </w:r>
      <w:r>
        <w:t>The Baseline Verification Certificate;</w:t>
      </w:r>
    </w:p>
    <w:p>
      <w:pPr>
        <w:ind w:left="720" w:hanging="360"/>
      </w:pPr>
      <w:r>
        <w:rPr>
          <w:b/>
        </w:rPr>
        <w:t>(b) </w:t>
      </w:r>
      <w:r>
        <w:t>Summary reports on verification activities;</w:t>
      </w:r>
    </w:p>
    <w:p>
      <w:pPr>
        <w:ind w:left="720" w:hanging="360"/>
      </w:pPr>
      <w:r>
        <w:rPr>
          <w:b/>
        </w:rPr>
        <w:t>(c) </w:t>
      </w:r>
      <w:r>
        <w:t>Quarterly reports on monitoring and compliance status;</w:t>
      </w:r>
    </w:p>
    <w:p>
      <w:pPr>
        <w:ind w:left="720" w:hanging="360"/>
      </w:pPr>
      <w:r>
        <w:rPr>
          <w:b/>
        </w:rPr>
        <w:t>(d) </w:t>
      </w:r>
      <w:r>
        <w:t>Special reports on any discrepancies, anomalies, or potential breaches;</w:t>
      </w:r>
    </w:p>
    <w:p>
      <w:pPr>
        <w:ind w:left="720" w:hanging="360"/>
      </w:pPr>
      <w:r>
        <w:rPr>
          <w:b/>
        </w:rPr>
        <w:t>(e) </w:t>
      </w:r>
      <w:r>
        <w:t>Annual reports on the overall verification status of Covered Facilities.</w:t>
      </w:r>
    </w:p>
    <w:p>
      <w:pPr>
        <w:pStyle w:val="Heading2"/>
      </w:pPr>
      <w:r>
        <w:t>6.2 Public Transparency</w:t>
      </w:r>
    </w:p>
    <w:p>
      <w:r>
        <w:t>The Joint Management Board publishes an annual transparency report summarizing verification activities and compliance status. The report does not include sensitive technical data or information that could compromise Iran's national security. The report is published in English, Arabic, and Persian.</w:t>
      </w:r>
    </w:p>
    <w:p>
      <w:pPr>
        <w:pStyle w:val="Heading2"/>
      </w:pPr>
      <w:r>
        <w:t>6.3 Confidentiality</w:t>
      </w:r>
    </w:p>
    <w:p>
      <w:r>
        <w:t>The Parties and the IAEA maintain the confidentiality of sensitive verification data, including raw telemetry, inspection findings, and technical assessments. Information is shared only on a need-to-know basis. The framework architecture excludes the use of verification data for purposes other than those specified in this Framework.</w:t>
      </w:r>
    </w:p>
    <w:p>
      <w:pPr>
        <w:pStyle w:val="Heading1"/>
      </w:pPr>
      <w:r>
        <w:t>Article 7: Relationship to Other Annexes</w:t>
      </w:r>
      <w:bookmarkStart w:name="_TocArt7" w:id="9"/>
      <w:bookmarkEnd w:id="9"/>
    </w:p>
    <w:p>
      <w:r>
        <w:t>This Annex operates in conjunction with:</w:t>
      </w:r>
    </w:p>
    <w:p>
      <w:pPr>
        <w:ind w:left="720" w:hanging="360"/>
      </w:pPr>
      <w:r>
        <w:rPr>
          <w:b/>
        </w:rPr>
        <w:t>Annex ES (Escrow and Trigger Sequence Protocol): </w:t>
      </w:r>
      <w:r>
        <w:t>Verification milestones trigger escrow release. Step-Back and Earn-Back provisions depend on IAEA verification findings. Tranche 1 ($4.5 billion) releases upon IAEA issuance of the National HEU Verification and Custody Certificate. Tranche 2 ($7.5 billion) releases upon IAEA issuance of the Downblending Completion Certificate.</w:t>
      </w:r>
    </w:p>
    <w:p>
      <w:pPr>
        <w:ind w:left="720" w:hanging="360"/>
      </w:pPr>
      <w:r>
        <w:rPr>
          <w:b/>
        </w:rPr>
        <w:t>Annex RDF (Reconstruction and Development Fund Protocol): </w:t>
      </w:r>
      <w:r>
        <w:t>Verification milestones trigger reconstruction disbursements from the Multilateral Reconstruction Fund (MRF). The MRF's performance-based disbursement architecture depends on IAEA verification of facility status and material transformation.</w:t>
      </w:r>
    </w:p>
    <w:p>
      <w:pPr>
        <w:ind w:left="720" w:hanging="360"/>
      </w:pPr>
      <w:r>
        <w:rPr>
          <w:b/>
        </w:rPr>
        <w:t>Annex LAES (Damaged Sites Protocol): </w:t>
      </w:r>
      <w:r>
        <w:t>Verification access to damaged facilities follows the Damaged Sites Protocol. Safety Hold provisions apply to all Covered Facilities. Phased re-entry procedures govern the resumption of IAEA presence at strike-damaged locations.</w:t>
      </w:r>
    </w:p>
    <w:p>
      <w:pPr>
        <w:ind w:left="720" w:hanging="360"/>
      </w:pPr>
      <w:r>
        <w:rPr>
          <w:b/>
        </w:rPr>
        <w:t>MENOC Charter: </w:t>
      </w:r>
      <w:r>
        <w:t>Verification standards and dispute resolution align with the Charter's provisions in Articles 7, 9, and 10. The Joint Management Board and Joint Commission oversee verification implementation. The 4.95% enrichment cap and material accountancy requirements in Charter Article 6 operate as baseline verification parameters.</w:t>
      </w:r>
    </w:p>
    <w:p>
      <w:pPr>
        <w:pStyle w:val="Heading1"/>
      </w:pPr>
      <w:r>
        <w:t>Article 8: Duration and Amendment</w:t>
      </w:r>
      <w:bookmarkStart w:name="_TocArt8" w:id="10"/>
      <w:bookmarkEnd w:id="10"/>
    </w:p>
    <w:p>
      <w:pPr>
        <w:pStyle w:val="Heading2"/>
      </w:pPr>
      <w:r>
        <w:t>8.1 Duration</w:t>
      </w:r>
    </w:p>
    <w:p>
      <w:r>
        <w:t>This Annex remains in effect for the duration of the MENOC Framework, as specified in MENOC Charter Article 13.1. Termination of the MENOC Charter automatically terminates this Annex, without prejudice to any IAEA safeguards obligations that survive under Iran's NPT Safeguards Agreement.</w:t>
      </w:r>
    </w:p>
    <w:p>
      <w:pPr>
        <w:pStyle w:val="Heading2"/>
      </w:pPr>
      <w:r>
        <w:t>8.2 Amendment</w:t>
      </w:r>
    </w:p>
    <w:p>
      <w:r>
        <w:t>Any Party proposes an amendment to this Annex by submitting the proposed amendment in writing to the Joint Management Board. The Board distributes the proposal to all members within 14 days. Amendment requires consensus of all voting members of the Joint Management Board. The amendment enters into force upon ratification by all founding members of the MENOC Framework.</w:t>
      </w:r>
    </w:p>
    <w:p>
      <w:pPr>
        <w:pStyle w:val="Heading1"/>
      </w:pPr>
      <w:r>
        <w:t>Signature Block</w:t>
      </w:r>
      <w:bookmarkStart w:name="_TocSig" w:id="11"/>
      <w:bookmarkEnd w:id="11"/>
    </w:p>
    <w:p>
      <w:r>
        <w:t>In witness whereof, the undersigned, being duly authorized by their respective governments, have signed this Annex EV: Verification and Transparency Protocol.</w:t>
      </w:r>
    </w:p>
    <w:p>
      <w:r>
        <w:t>Done at Muscat, Sultanate of Oman, this ______ day of __________, 2026, in triplicate in the English language.</w:t>
      </w:r>
    </w:p>
    <w:p>
      <w:pPr>
        <w:spacing w:before="400"/>
      </w:pPr>
      <w:r/>
    </w:p>
    <w:p>
      <w:pPr>
        <w:spacing w:before="360" w:after="40"/>
      </w:pPr>
      <w:r>
        <w:rPr>
          <w:b/>
          <w:color w:val="1a1a1a"/>
          <w:sz w:val="20"/>
        </w:rPr>
        <w:t>For the Islamic Republic of Iran:</w:t>
      </w:r>
    </w:p>
    <w:p>
      <w:pPr>
        <w:spacing w:before="60" w:after="40"/>
        <w:ind w:left="360"/>
      </w:pPr>
      <w:r>
        <w:rPr>
          <w:color w:val="1A1A1A"/>
          <w:sz w:val="20"/>
        </w:rPr>
        <w:t>_________________________________</w:t>
      </w:r>
    </w:p>
    <w:p>
      <w:pPr>
        <w:spacing w:before="60" w:after="40"/>
        <w:ind w:left="360"/>
      </w:pPr>
      <w:r>
        <w:rPr>
          <w:color w:val="1A1A1A"/>
          <w:sz w:val="20"/>
        </w:rPr>
        <w:t>Name:</w:t>
      </w:r>
    </w:p>
    <w:p>
      <w:pPr>
        <w:spacing w:before="60" w:after="40"/>
        <w:ind w:left="360"/>
      </w:pPr>
      <w:r>
        <w:rPr>
          <w:color w:val="1A1A1A"/>
          <w:sz w:val="20"/>
        </w:rPr>
        <w:t>Title:</w:t>
      </w:r>
    </w:p>
    <w:p>
      <w:pPr>
        <w:spacing w:before="60" w:after="40"/>
        <w:ind w:left="360"/>
      </w:pPr>
      <w:r>
        <w:rPr>
          <w:color w:val="1A1A1A"/>
          <w:sz w:val="20"/>
        </w:rPr>
        <w:t>Date:</w:t>
      </w:r>
    </w:p>
    <w:p>
      <w:pPr>
        <w:spacing w:before="360" w:after="40"/>
      </w:pPr>
      <w:r>
        <w:rPr>
          <w:b/>
          <w:color w:val="1a1a1a"/>
          <w:sz w:val="20"/>
        </w:rPr>
        <w:t>For the United States of America:</w:t>
      </w:r>
    </w:p>
    <w:p>
      <w:pPr>
        <w:spacing w:before="60" w:after="40"/>
        <w:ind w:left="360"/>
      </w:pPr>
      <w:r>
        <w:rPr>
          <w:color w:val="1A1A1A"/>
          <w:sz w:val="20"/>
        </w:rPr>
        <w:t>_________________________________</w:t>
      </w:r>
    </w:p>
    <w:p>
      <w:pPr>
        <w:spacing w:before="60" w:after="40"/>
        <w:ind w:left="360"/>
      </w:pPr>
      <w:r>
        <w:rPr>
          <w:color w:val="1A1A1A"/>
          <w:sz w:val="20"/>
        </w:rPr>
        <w:t>Name:</w:t>
      </w:r>
    </w:p>
    <w:p>
      <w:pPr>
        <w:spacing w:before="60" w:after="40"/>
        <w:ind w:left="360"/>
      </w:pPr>
      <w:r>
        <w:rPr>
          <w:color w:val="1A1A1A"/>
          <w:sz w:val="20"/>
        </w:rPr>
        <w:t>Title:</w:t>
      </w:r>
    </w:p>
    <w:p>
      <w:pPr>
        <w:spacing w:before="60" w:after="40"/>
        <w:ind w:left="360"/>
      </w:pPr>
      <w:r>
        <w:rPr>
          <w:color w:val="1A1A1A"/>
          <w:sz w:val="20"/>
        </w:rPr>
        <w:t>Date:</w:t>
      </w:r>
    </w:p>
    <w:p>
      <w:pPr>
        <w:spacing w:before="360" w:after="40"/>
      </w:pPr>
      <w:r>
        <w:rPr>
          <w:b/>
          <w:color w:val="1a1a1a"/>
          <w:sz w:val="20"/>
        </w:rPr>
        <w:t>For the European Union:</w:t>
      </w:r>
    </w:p>
    <w:p>
      <w:pPr>
        <w:spacing w:before="60" w:after="40"/>
        <w:ind w:left="360"/>
      </w:pPr>
      <w:r>
        <w:rPr>
          <w:color w:val="1A1A1A"/>
          <w:sz w:val="20"/>
        </w:rPr>
        <w:t>_________________________________</w:t>
      </w:r>
    </w:p>
    <w:p>
      <w:pPr>
        <w:spacing w:before="60" w:after="40"/>
        <w:ind w:left="360"/>
      </w:pPr>
      <w:r>
        <w:rPr>
          <w:color w:val="1A1A1A"/>
          <w:sz w:val="20"/>
        </w:rPr>
        <w:t>Name:</w:t>
      </w:r>
    </w:p>
    <w:p>
      <w:pPr>
        <w:spacing w:before="60" w:after="40"/>
        <w:ind w:left="360"/>
      </w:pPr>
      <w:r>
        <w:rPr>
          <w:color w:val="1A1A1A"/>
          <w:sz w:val="20"/>
        </w:rPr>
        <w:t>Title:</w:t>
      </w:r>
    </w:p>
    <w:p>
      <w:pPr>
        <w:spacing w:before="60" w:after="40"/>
        <w:ind w:left="360"/>
      </w:pPr>
      <w:r>
        <w:rPr>
          <w:color w:val="1A1A1A"/>
          <w:sz w:val="20"/>
        </w:rPr>
        <w:t>Date:</w:t>
      </w:r>
    </w:p>
    <w:p>
      <w:pPr>
        <w:spacing w:before="360" w:after="40"/>
      </w:pPr>
      <w:r>
        <w:rPr>
          <w:b/>
          <w:color w:val="1a1a1a"/>
          <w:sz w:val="20"/>
        </w:rPr>
        <w:t>For the Russian Federation:</w:t>
      </w:r>
    </w:p>
    <w:p>
      <w:pPr>
        <w:spacing w:before="60" w:after="40"/>
        <w:ind w:left="360"/>
      </w:pPr>
      <w:r>
        <w:rPr>
          <w:color w:val="1A1A1A"/>
          <w:sz w:val="20"/>
        </w:rPr>
        <w:t>_________________________________</w:t>
      </w:r>
    </w:p>
    <w:p>
      <w:pPr>
        <w:spacing w:before="60" w:after="40"/>
        <w:ind w:left="360"/>
      </w:pPr>
      <w:r>
        <w:rPr>
          <w:color w:val="1A1A1A"/>
          <w:sz w:val="20"/>
        </w:rPr>
        <w:t>Name:</w:t>
      </w:r>
    </w:p>
    <w:p>
      <w:pPr>
        <w:spacing w:before="60" w:after="40"/>
        <w:ind w:left="360"/>
      </w:pPr>
      <w:r>
        <w:rPr>
          <w:color w:val="1A1A1A"/>
          <w:sz w:val="20"/>
        </w:rPr>
        <w:t>Title:</w:t>
      </w:r>
    </w:p>
    <w:p>
      <w:pPr>
        <w:spacing w:before="60" w:after="40"/>
        <w:ind w:left="360"/>
      </w:pPr>
      <w:r>
        <w:rPr>
          <w:color w:val="1A1A1A"/>
          <w:sz w:val="20"/>
        </w:rPr>
        <w:t>Date:</w:t>
      </w:r>
    </w:p>
    <w:p>
      <w:pPr>
        <w:spacing w:before="360" w:after="40"/>
      </w:pPr>
      <w:r>
        <w:rPr>
          <w:b/>
          <w:color w:val="1a1a1a"/>
          <w:sz w:val="20"/>
        </w:rPr>
        <w:t>For the Sultanate of Oman (Host State):</w:t>
      </w:r>
    </w:p>
    <w:p>
      <w:pPr>
        <w:spacing w:before="60" w:after="40"/>
        <w:ind w:left="360"/>
      </w:pPr>
      <w:r>
        <w:rPr>
          <w:color w:val="1A1A1A"/>
          <w:sz w:val="20"/>
        </w:rPr>
        <w:t>_________________________________</w:t>
      </w:r>
    </w:p>
    <w:p>
      <w:pPr>
        <w:spacing w:before="60" w:after="40"/>
        <w:ind w:left="360"/>
      </w:pPr>
      <w:r>
        <w:rPr>
          <w:color w:val="1A1A1A"/>
          <w:sz w:val="20"/>
        </w:rPr>
        <w:t>Name:</w:t>
      </w:r>
    </w:p>
    <w:p>
      <w:pPr>
        <w:spacing w:before="60" w:after="40"/>
        <w:ind w:left="360"/>
      </w:pPr>
      <w:r>
        <w:rPr>
          <w:color w:val="1A1A1A"/>
          <w:sz w:val="20"/>
        </w:rPr>
        <w:t>Title:</w:t>
      </w:r>
    </w:p>
    <w:p>
      <w:pPr>
        <w:spacing w:before="60" w:after="40"/>
        <w:ind w:left="360"/>
      </w:pPr>
      <w:r>
        <w:rPr>
          <w:color w:val="1A1A1A"/>
          <w:sz w:val="20"/>
        </w:rPr>
        <w:t>Date:</w:t>
      </w:r>
    </w:p>
    <w:p>
      <w:pPr>
        <w:spacing w:before="360" w:after="40"/>
      </w:pPr>
      <w:r>
        <w:rPr>
          <w:b/>
          <w:color w:val="1a1a1a"/>
          <w:sz w:val="20"/>
        </w:rPr>
        <w:t>For the International Atomic Energy Agency (Verification Authority):</w:t>
      </w:r>
    </w:p>
    <w:p>
      <w:pPr>
        <w:spacing w:before="60" w:after="40"/>
        <w:ind w:left="360"/>
      </w:pPr>
      <w:r>
        <w:rPr>
          <w:color w:val="1A1A1A"/>
          <w:sz w:val="20"/>
        </w:rPr>
        <w:t>_________________________________</w:t>
      </w:r>
    </w:p>
    <w:p>
      <w:pPr>
        <w:spacing w:before="60" w:after="40"/>
        <w:ind w:left="360"/>
      </w:pPr>
      <w:r>
        <w:rPr>
          <w:color w:val="1A1A1A"/>
          <w:sz w:val="20"/>
        </w:rPr>
        <w:t>Name:</w:t>
      </w:r>
    </w:p>
    <w:p>
      <w:pPr>
        <w:spacing w:before="60" w:after="40"/>
        <w:ind w:left="360"/>
      </w:pPr>
      <w:r>
        <w:rPr>
          <w:color w:val="1A1A1A"/>
          <w:sz w:val="20"/>
        </w:rPr>
        <w:t>Title:</w:t>
      </w:r>
    </w:p>
    <w:p>
      <w:pPr>
        <w:spacing w:before="60" w:after="40"/>
        <w:ind w:left="360"/>
      </w:pPr>
      <w:r>
        <w:rPr>
          <w:color w:val="1A1A1A"/>
          <w:sz w:val="20"/>
        </w:rPr>
        <w:t>Date:</w:t>
      </w:r>
    </w:p>
    <w:p>
      <w:pPr>
        <w:spacing w:before="600"/>
      </w:pPr>
      <w:r>
        <w:rPr>
          <w:b/>
          <w:color w:val="1a1a1a"/>
          <w:sz w:val="20"/>
        </w:rPr>
        <w:t>Witnessed by the Joint Secretariat (Muscat):</w:t>
      </w:r>
    </w:p>
    <w:p>
      <w:pPr>
        <w:spacing w:before="60" w:after="40"/>
        <w:ind w:left="360"/>
      </w:pPr>
      <w:r>
        <w:rPr>
          <w:color w:val="1A1A1A"/>
          <w:sz w:val="20"/>
        </w:rPr>
        <w:t>_________________________________</w:t>
      </w:r>
    </w:p>
    <w:p>
      <w:pPr>
        <w:spacing w:before="60" w:after="40"/>
        <w:ind w:left="360"/>
      </w:pPr>
      <w:r>
        <w:rPr>
          <w:color w:val="1A1A1A"/>
          <w:sz w:val="20"/>
        </w:rPr>
        <w:t>Name:</w:t>
      </w:r>
    </w:p>
    <w:p>
      <w:pPr>
        <w:spacing w:before="60" w:after="40"/>
        <w:ind w:left="360"/>
      </w:pPr>
      <w:r>
        <w:rPr>
          <w:color w:val="1A1A1A"/>
          <w:sz w:val="20"/>
        </w:rPr>
        <w:t>Title:</w:t>
      </w:r>
    </w:p>
    <w:p>
      <w:pPr>
        <w:spacing w:before="60" w:after="40"/>
        <w:ind w:left="360"/>
      </w:pPr>
      <w:r>
        <w:rPr>
          <w:color w:val="1A1A1A"/>
          <w:sz w:val="20"/>
        </w:rPr>
        <w:t>Date:</w:t>
      </w:r>
    </w:p>
    <w:p>
      <w:pPr>
        <w:pStyle w:val="Heading1"/>
      </w:pPr>
      <w:r>
        <w:t>Summary</w:t>
      </w:r>
      <w:bookmarkStart w:name="_TocSummary" w:id="12"/>
      <w:bookmarkEnd w:id="12"/>
    </w:p>
    <w:p>
      <w:r>
        <w:t>Annex EV provides the unified verification architecture that underpins the entire MENOC Framework. The following table summarizes the key features:</w:t>
      </w:r>
    </w:p>
    <w:tbl>
      <w:tblPr>
        <w:tblW w:w="5000" w:type="pct"/>
        <w:tblBorders>
          <w:top w:val="single" w:color="1a2744" w:sz="12"/>
          <w:left w:val="nil"/>
          <w:bottom w:val="single" w:color="1a2744" w:sz="12"/>
          <w:right w:val="nil"/>
          <w:insideH w:val="single" w:color="c8c3b5" w:sz="4"/>
          <w:insideV w:val="nil"/>
        </w:tblBorders>
      </w:tblPr>
      <w:tblGrid>
        <w:gridCol w:w="2600"/>
        <w:gridCol w:w="5400"/>
      </w:tblGrid>
      <w:tr>
        <w:trPr>
          <w:tblHeader/>
        </w:trPr>
        <w:tc>
          <w:tcPr>
            <w:tcW w:w="2600" w:type="dxa"/>
            <w:shd w:val="clear" w:fill="auto"/>
          </w:tcPr>
          <w:p>
            <w:pPr>
              <w:spacing w:before="40" w:after="40"/>
              <w:jc w:val="left"/>
            </w:pPr>
            <w:r>
              <w:rPr>
                <w:b/>
                <w:color w:val="1a1a1a"/>
                <w:sz w:val="19"/>
              </w:rPr>
              <w:t>Feature</w:t>
            </w:r>
          </w:p>
        </w:tc>
        <w:tc>
          <w:tcPr>
            <w:tcW w:w="5400" w:type="dxa"/>
            <w:shd w:val="clear" w:fill="auto"/>
          </w:tcPr>
          <w:p>
            <w:pPr>
              <w:spacing w:before="40" w:after="40"/>
              <w:jc w:val="left"/>
            </w:pPr>
            <w:r>
              <w:rPr>
                <w:b/>
                <w:color w:val="1a1a1a"/>
                <w:sz w:val="19"/>
              </w:rPr>
              <w:t>Provision</w:t>
            </w:r>
          </w:p>
        </w:tc>
      </w:tr>
      <w:tr>
        <w:tc>
          <w:tcPr>
            <w:tcW w:w="2600" w:type="dxa"/>
          </w:tcPr>
          <w:p>
            <w:pPr>
              <w:spacing w:before="40" w:after="40"/>
              <w:jc w:val="left"/>
            </w:pPr>
            <w:r>
              <w:rPr>
                <w:color w:val="1A1A1A"/>
                <w:sz w:val="19"/>
              </w:rPr>
              <w:t>Verification standard</w:t>
            </w:r>
          </w:p>
        </w:tc>
        <w:tc>
          <w:tcPr>
            <w:tcW w:w="5400" w:type="dxa"/>
          </w:tcPr>
          <w:p>
            <w:pPr>
              <w:spacing w:before="40" w:after="40"/>
              <w:jc w:val="left"/>
            </w:pPr>
            <w:r>
              <w:rPr>
                <w:color w:val="1A1A1A"/>
                <w:sz w:val="19"/>
              </w:rPr>
              <w:t>Article 2:  IAEA-led, binding technical findings</w:t>
            </w:r>
          </w:p>
        </w:tc>
      </w:tr>
      <w:tr>
        <w:tc>
          <w:tcPr>
            <w:tcW w:w="2600" w:type="dxa"/>
          </w:tcPr>
          <w:p>
            <w:pPr>
              <w:spacing w:before="40" w:after="40"/>
              <w:jc w:val="left"/>
            </w:pPr>
            <w:r>
              <w:rPr>
                <w:color w:val="1A1A1A"/>
                <w:sz w:val="19"/>
              </w:rPr>
              <w:t>Access and monitoring</w:t>
            </w:r>
          </w:p>
        </w:tc>
        <w:tc>
          <w:tcPr>
            <w:tcW w:w="5400" w:type="dxa"/>
          </w:tcPr>
          <w:p>
            <w:pPr>
              <w:spacing w:before="40" w:after="40"/>
              <w:jc w:val="left"/>
            </w:pPr>
            <w:r>
              <w:rPr>
                <w:color w:val="1A1A1A"/>
                <w:sz w:val="19"/>
              </w:rPr>
              <w:t>Article 3:  Permanent IAEA presence, Safety Hold, data sovereignty</w:t>
            </w:r>
          </w:p>
        </w:tc>
      </w:tr>
      <w:tr>
        <w:tc>
          <w:tcPr>
            <w:tcW w:w="2600" w:type="dxa"/>
          </w:tcPr>
          <w:p>
            <w:pPr>
              <w:spacing w:before="40" w:after="40"/>
              <w:jc w:val="left"/>
            </w:pPr>
            <w:r>
              <w:rPr>
                <w:color w:val="1A1A1A"/>
                <w:sz w:val="19"/>
              </w:rPr>
              <w:t>Milestones</w:t>
            </w:r>
          </w:p>
        </w:tc>
        <w:tc>
          <w:tcPr>
            <w:tcW w:w="5400" w:type="dxa"/>
          </w:tcPr>
          <w:p>
            <w:pPr>
              <w:spacing w:before="40" w:after="40"/>
              <w:jc w:val="left"/>
            </w:pPr>
            <w:r>
              <w:rPr>
                <w:color w:val="1A1A1A"/>
                <w:sz w:val="19"/>
              </w:rPr>
              <w:t>Article 4:  HEU Verification and Custody, Downblending Completion</w:t>
            </w:r>
          </w:p>
        </w:tc>
      </w:tr>
      <w:tr>
        <w:tc>
          <w:tcPr>
            <w:tcW w:w="2600" w:type="dxa"/>
          </w:tcPr>
          <w:p>
            <w:pPr>
              <w:spacing w:before="40" w:after="40"/>
              <w:jc w:val="left"/>
            </w:pPr>
            <w:r>
              <w:rPr>
                <w:color w:val="1A1A1A"/>
                <w:sz w:val="19"/>
              </w:rPr>
              <w:t>Dispute resolution</w:t>
            </w:r>
          </w:p>
        </w:tc>
        <w:tc>
          <w:tcPr>
            <w:tcW w:w="5400" w:type="dxa"/>
          </w:tcPr>
          <w:p>
            <w:pPr>
              <w:spacing w:before="40" w:after="40"/>
              <w:jc w:val="left"/>
            </w:pPr>
            <w:r>
              <w:rPr>
                <w:color w:val="1A1A1A"/>
                <w:sz w:val="19"/>
              </w:rPr>
              <w:t>Article 5: Technical consultation, Joint Technical Review Panel, Joint Commission</w:t>
            </w:r>
          </w:p>
        </w:tc>
      </w:tr>
      <w:tr>
        <w:tc>
          <w:tcPr>
            <w:tcW w:w="2600" w:type="dxa"/>
          </w:tcPr>
          <w:p>
            <w:pPr>
              <w:spacing w:before="40" w:after="40"/>
              <w:jc w:val="left"/>
            </w:pPr>
            <w:r>
              <w:rPr>
                <w:color w:val="1A1A1A"/>
                <w:sz w:val="19"/>
              </w:rPr>
              <w:t>Transparency</w:t>
            </w:r>
          </w:p>
        </w:tc>
        <w:tc>
          <w:tcPr>
            <w:tcW w:w="5400" w:type="dxa"/>
          </w:tcPr>
          <w:p>
            <w:pPr>
              <w:spacing w:before="40" w:after="40"/>
              <w:jc w:val="left"/>
            </w:pPr>
            <w:r>
              <w:rPr>
                <w:color w:val="1A1A1A"/>
                <w:sz w:val="19"/>
              </w:rPr>
              <w:t>Article 6: Reports to JMB, annual public transparency report</w:t>
            </w:r>
          </w:p>
        </w:tc>
      </w:tr>
      <w:tr>
        <w:tc>
          <w:tcPr>
            <w:tcW w:w="2600" w:type="dxa"/>
          </w:tcPr>
          <w:p>
            <w:pPr>
              <w:spacing w:before="40" w:after="40"/>
              <w:jc w:val="left"/>
            </w:pPr>
            <w:r>
              <w:rPr>
                <w:color w:val="1A1A1A"/>
                <w:sz w:val="19"/>
              </w:rPr>
              <w:t>Relationship to other Annexes</w:t>
            </w:r>
          </w:p>
        </w:tc>
        <w:tc>
          <w:tcPr>
            <w:tcW w:w="5400" w:type="dxa"/>
          </w:tcPr>
          <w:p>
            <w:pPr>
              <w:spacing w:before="40" w:after="40"/>
              <w:jc w:val="left"/>
            </w:pPr>
            <w:r>
              <w:rPr>
                <w:color w:val="1A1A1A"/>
                <w:sz w:val="19"/>
              </w:rPr>
              <w:t>Article 7: Annex ES, Annex RDF, Annex LAES, MENOC Charter</w:t>
            </w:r>
          </w:p>
        </w:tc>
      </w:tr>
    </w:tbl>
    <w:p>
      <w:pPr>
        <w:sectPr>
          <w:headerReference w:type="default" r:id="Refcfd5d91f9a42c4"/>
          <w:footerReference w:type="default" r:id="Rff1e6b98d9074ede"/>
          <w:pgSz w:w="11906" w:h="16838"/>
          <w:pgMar w:top="1800" w:right="1440" w:bottom="1440" w:left="1440" w:header="720" w:footer="720"/>
        </w:sectPr>
      </w:pPr>
    </w:p>
    <w:p>
      <w:r/>
    </w:p>
    <w:p>
      <w:pPr>
        <w:spacing w:before="6000"/>
        <w:jc w:val="center"/>
      </w:pPr>
      <w:r>
        <w:rPr>
          <w:rFonts w:ascii="Cambria" w:hAnsi="Cambria"/>
          <w:b/>
          <w:color w:val="1a2744"/>
          <w:sz w:val="40"/>
        </w:rPr>
        <w:t>Annex EV</w:t>
      </w:r>
    </w:p>
    <w:p>
      <w:pPr>
        <w:spacing w:before="160"/>
        <w:jc w:val="center"/>
      </w:pPr>
      <w:r>
        <w:rPr>
          <w:rFonts w:ascii="Cambria" w:hAnsi="Cambria"/>
          <w:color w:val="a6894a"/>
          <w:sz w:val="22"/>
        </w:rPr>
        <w:t>Verification and Transparency Protocol</w:t>
      </w:r>
    </w:p>
    <w:p>
      <w:pPr>
        <w:spacing w:before="400"/>
        <w:jc w:val="center"/>
      </w:pPr>
      <w:r>
        <w:rPr>
          <w:rFonts w:ascii="Cambria" w:hAnsi="Cambria"/>
          <w:color w:val="1A1A1A"/>
          <w:sz w:val="18"/>
        </w:rPr>
        <w:t>Verification Is Technical. Findings Are Binding. Trust Is Built.</w:t>
      </w:r>
    </w:p>
    <w:p>
      <w:pPr>
        <w:spacing w:before="300"/>
        <w:jc w:val="center"/>
      </w:pPr>
      <w:r>
        <w:rPr>
          <w:rFonts w:ascii="Cambria" w:hAnsi="Cambria"/>
          <w:color w:val="1A1A1A"/>
          <w:sz w:val="16"/>
        </w:rPr>
        <w:t>Muscat, Sultanate of Oman  |  June 2026</w:t>
      </w:r>
    </w:p>
    <w:sectPr>
      <w:pgSz w:w="11906" w:h="16838"/>
      <w:pgMar w:top="0" w:right="0" w:bottom="0" w:left="0" w:header="0" w:footer="0"/>
    </w:sectPr>
  </w:body>
</w:document>
</file>

<file path=word/footer1.xml><?xml version="1.0" encoding="utf-8"?>
<w:ftr xmlns:w="http://schemas.openxmlformats.org/wordprocessingml/2006/main">
  <w:p>
    <w:pPr>
      <w:jc w:val="center"/>
    </w:pPr>
    <w:r>
      <w:rPr>
        <w:rFonts w:ascii="Cambria" w:hAnsi="Cambria"/>
        <w:color w:val="7a7a7a"/>
        <w:sz w:val="18"/>
      </w:rPr>
      <w:fldChar w:fldCharType="begin"/>
    </w:r>
    <w:r>
      <w:rPr>
        <w:rFonts w:ascii="Cambria" w:hAnsi="Cambria"/>
        <w:color w:val="7a7a7a"/>
        <w:sz w:val="18"/>
      </w:rPr>
      <w:instrText xml:space="preserve"> PAGE </w:instrText>
    </w:r>
    <w:r>
      <w:rPr>
        <w:rFonts w:ascii="Cambria" w:hAnsi="Cambria"/>
        <w:color w:val="7a7a7a"/>
        <w:sz w:val="18"/>
      </w:rPr>
      <w:fldChar w:fldCharType="separate"/>
    </w:r>
    <w:r>
      <w:rPr>
        <w:rFonts w:ascii="Cambria" w:hAnsi="Cambria"/>
        <w:color w:val="7a7a7a"/>
        <w:sz w:val="18"/>
      </w:rPr>
      <w:t>1</w:t>
    </w:r>
    <w:r>
      <w:rPr>
        <w:rFonts w:ascii="Cambria" w:hAnsi="Cambria"/>
        <w:color w:val="7a7a7a"/>
        <w:sz w:val="18"/>
      </w:rP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p>
    <w:pPr>
      <w:jc w:val="right"/>
    </w:pPr>
    <w:r>
      <w:rPr>
        <w:rFonts w:ascii="Cambria" w:hAnsi="Cambria"/>
        <w:color w:val="7a7a7a"/>
        <w:sz w:val="16"/>
      </w:rPr>
      <w:t>Annex EV — Verification and Transparency Protocol</w:t>
    </w:r>
  </w:p>
</w:hdr>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288" w:lineRule="auto"/>
      <w:jc w:val="both"/>
    </w:pPr>
    <w:rPr>
      <w:rFonts w:ascii="Cambria" w:hAnsi="Cambria" w:eastAsia="Microsoft YaHei"/>
      <w:color w:val="1a1a1a"/>
      <w:sz w:val="21"/>
    </w:rPr>
  </w:style>
  <w:style w:type="paragraph" w:styleId="Heading1">
    <w:name w:val="heading 1"/>
    <w:basedOn w:val="Normal"/>
    <w:pPr>
      <w:keepNext/>
      <w:keepLines/>
      <w:spacing w:before="480" w:after="200"/>
      <w:jc w:val="left"/>
      <w:outlineLvl w:val="0"/>
    </w:pPr>
    <w:rPr>
      <w:rFonts w:ascii="Cambria" w:hAnsi="Cambria"/>
      <w:b/>
      <w:color w:val="1a2744"/>
      <w:sz w:val="36"/>
    </w:rPr>
  </w:style>
  <w:style w:type="paragraph" w:styleId="Heading2">
    <w:name w:val="heading 2"/>
    <w:basedOn w:val="Normal"/>
    <w:pPr>
      <w:keepNext/>
      <w:keepLines/>
      <w:spacing w:before="320" w:after="140"/>
      <w:jc w:val="left"/>
      <w:outlineLvl w:val="1"/>
    </w:pPr>
    <w:rPr>
      <w:rFonts w:ascii="Cambria" w:hAnsi="Cambria"/>
      <w:b/>
      <w:color w:val="1a1a1a"/>
      <w:sz w:val="26"/>
    </w:rPr>
  </w:style>
  <w:style w:type="paragraph" w:styleId="Heading3">
    <w:name w:val="heading 3"/>
    <w:basedOn w:val="Normal"/>
    <w:pPr>
      <w:keepNext/>
      <w:keepLines/>
      <w:spacing w:before="240" w:after="100"/>
      <w:jc w:val="left"/>
      <w:outlineLvl w:val="2"/>
    </w:pPr>
    <w:rPr>
      <w:rFonts w:ascii="Cambria" w:hAnsi="Cambria"/>
      <w:b/>
      <w:color w:val="4a4a4a"/>
      <w:sz w:val="22"/>
    </w:rPr>
  </w:style>
  <w:style w:type="paragraph" w:styleId="Caption">
    <w:name w:val="Caption"/>
    <w:basedOn w:val="Normal"/>
    <w:pPr>
      <w:spacing w:before="60" w:after="280"/>
      <w:jc w:val="center"/>
    </w:pPr>
    <w:rPr>
      <w:color w:val="7a7a7a"/>
      <w:sz w:val="18"/>
    </w:rPr>
  </w:style>
  <w:style w:type="paragraph" w:styleId="TOC1">
    <w:name w:val="toc 1"/>
    <w:basedOn w:val="Normal"/>
    <w:pPr>
      <w:tabs>
        <w:tab w:val="right" w:leader="dot" w:pos="9350"/>
      </w:tabs>
      <w:spacing w:before="180" w:after="60"/>
      <w:ind w:left="0"/>
    </w:pPr>
    <w:rPr>
      <w:b/>
      <w:color w:val="1a1a1a"/>
    </w:rPr>
  </w:style>
  <w:style w:type="paragraph" w:styleId="TOC2">
    <w:name w:val="toc 2"/>
    <w:basedOn w:val="Normal"/>
    <w:pPr>
      <w:tabs>
        <w:tab w:val="right" w:leader="dot" w:pos="9350"/>
      </w:tabs>
      <w:spacing w:before="60" w:after="60"/>
      <w:ind w:left="360"/>
    </w:pPr>
    <w:rPr>
      <w:color w:val="4a4a4a"/>
    </w:rPr>
  </w:style>
  <w:style w:type="paragraph" w:styleId="TOC3">
    <w:name w:val="toc 3"/>
    <w:basedOn w:val="Normal"/>
    <w:pPr>
      <w:tabs>
        <w:tab w:val="right" w:leader="dot" w:pos="9350"/>
      </w:tabs>
      <w:spacing w:before="40" w:after="60"/>
      <w:ind w:left="720"/>
    </w:pPr>
    <w:rPr>
      <w:color w:val="4a4a4a"/>
    </w:rPr>
  </w:style>
</w:styles>
</file>

<file path=word/_rels/document.xml.rels><?xml version='1.0' encoding='UTF-8'?>
<Relationships xmlns="http://schemas.openxmlformats.org/package/2006/relationships"><Relationship Id="R1f98875353614886" Type="http://schemas.openxmlformats.org/officeDocument/2006/relationships/image" Target="media/image.png" /><Relationship Id="R7b1278fc0ae14598" Type="http://schemas.openxmlformats.org/officeDocument/2006/relationships/styles" Target="styles.xml" /><Relationship Id="R934a579768044d45" Type="http://schemas.openxmlformats.org/officeDocument/2006/relationships/settings" Target="settings.xml" /><Relationship Id="Raeb45d494a384f48" Type="http://schemas.openxmlformats.org/officeDocument/2006/relationships/image" Target="media/image2.png" /><Relationship Id="Refcfd5d91f9a42c4" Type="http://schemas.openxmlformats.org/officeDocument/2006/relationships/header" Target="header1.xml" /><Relationship Id="Rff1e6b98d9074ede" Type="http://schemas.openxmlformats.org/officeDocument/2006/relationships/footer" Target="footer1.xml" /></Relationships>
</file>

<file path=word/_rels/header1.xml.rels><?xml version='1.0' encoding='UTF-8'?>
<Relationships xmlns="http://schemas.openxmlformats.org/package/2006/relationships"><Relationship Id="R11f3136aeb2c4949" Type="http://schemas.openxmlformats.org/officeDocument/2006/relationships/image" Target="media/image3.png" /></Relationships>
</file>