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ded475c67867416c"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bf8b693981c74cb5"/>
                    <a:stretch>
                      <a:fillRect/>
                    </a:stretch>
                  </pic:blipFill>
                  <pic:spPr>
                    <a:xfrm>
                      <a:off x="0" y="0"/>
                      <a:ext cx="7560000" cy="10692000"/>
                    </a:xfrm>
                    <a:prstGeom prst="rect"/>
                  </pic:spPr>
                </pic:pic>
              </a:graphicData>
            </a:graphic>
          </wp:anchor>
        </w:drawing>
      </w:r>
    </w:p>
    <w:p>
      <w:pPr>
        <w:spacing w:before="3000"/>
      </w:pPr>
      <w:r/>
    </w:p>
    <w:p>
      <w:pPr>
        <w:spacing w:before="0" w:after="120"/>
        <w:ind w:left="1200" w:right="1200"/>
        <w:jc w:val="left"/>
      </w:pPr>
      <w:r>
        <w:rPr>
          <w:b/>
          <w:color w:val="a0aec0"/>
          <w:sz w:val="20"/>
        </w:rPr>
        <w:t xml:space="preserve">DIPLOMATIC WORKING DOCUMENT — MODULAR ANNEX</w:t>
      </w:r>
    </w:p>
    <w:p>
      <w:pPr>
        <w:spacing w:before="0" w:after="200"/>
        <w:ind w:left="1200" w:right="1200"/>
        <w:jc w:val="left"/>
      </w:pPr>
      <w:r>
        <w:rPr>
          <w:b/>
          <w:color w:val="e8e8e8"/>
          <w:sz w:val="72"/>
        </w:rPr>
        <w:t xml:space="preserve">Annex LAES</w:t>
      </w:r>
    </w:p>
    <w:p>
      <w:pPr>
        <w:spacing w:before="0" w:after="400"/>
        <w:ind w:left="1200" w:right="1200"/>
        <w:jc w:val="left"/>
      </w:pPr>
      <w:r>
        <w:rPr>
          <w:b/>
          <w:color w:val="e8e8e8"/>
          <w:sz w:val="56"/>
        </w:rPr>
        <w:t xml:space="preserve">Damaged Sites Protocol</w:t>
      </w:r>
    </w:p>
    <w:p>
      <w:pPr>
        <w:spacing w:before="0" w:after="600"/>
        <w:ind w:left="1200" w:right="1200"/>
        <w:jc w:val="left"/>
      </w:pPr>
      <w:r>
        <w:rPr>
          <w:color w:val="b0b8c8"/>
          <w:sz w:val="24"/>
        </w:rPr>
        <w:t xml:space="preserve">Special Verification Arrangements for Fordow, Natanz, Isfahan, and Designated Facilities</w:t>
      </w:r>
    </w:p>
    <w:p>
      <w:pPr>
        <w:spacing w:before="0" w:after="200"/>
        <w:ind w:left="1200" w:right="1200"/>
        <w:jc w:val="left"/>
      </w:pPr>
      <w:r>
        <w:rPr>
          <w:color w:val="8899aa"/>
          <w:sz w:val="20"/>
        </w:rPr>
        <w:t xml:space="preserve">Self-Contained · Incorporable by Reference · Joint Venture Enabling Instrument</w:t>
      </w:r>
    </w:p>
    <w:p>
      <w:pPr>
        <w:spacing w:before="0" w:after="3000"/>
        <w:ind w:left="1200" w:right="1200"/>
        <w:jc w:val="left"/>
      </w:pPr>
      <w:r>
        <w:rPr>
          <w:color w:val="8899aa"/>
          <w:sz w:val="20"/>
        </w:rPr>
        <w:t xml:space="preserve">Version 3.0 — June 2026</w:t>
      </w:r>
    </w:p>
    <w:p>
      <w:pPr>
        <w:spacing w:before="0" w:after="0"/>
        <w:ind w:left="1200" w:right="1200"/>
        <w:jc w:val="left"/>
      </w:pPr>
      <w:r>
        <w:rPr>
          <w:color w:val="6a7a8a"/>
          <w:sz w:val="18"/>
        </w:rPr>
        <w:t xml:space="preserve">AUTHORIZED NEGOTIATORS ONLY — CONFIDENTIAL — NOT FOR PUBLIC DISTRIBUTION</w:t>
      </w:r>
    </w:p>
    <w:p>
      <w:pPr>
        <w:sectPr>
          <w:type w:val="nextPage"/>
          <w:pgSz w:w="11906" w:h="16838"/>
          <w:pgMar w:top="0" w:right="0" w:bottom="0" w:left="0" w:header="0" w:footer="0"/>
          <w:titlePg/>
        </w:sectPr>
      </w:pPr>
    </w:p>
    <w:p>
      <w:pPr>
        <w:pStyle w:val="Heading1"/>
      </w:pPr>
      <w:r>
        <w:t>Table of Contents</w:t>
      </w:r>
      <w:bookmarkStart w:name="_Toc101" w:id="101"/>
      <w:bookmarkEnd w:id="101"/>
    </w:p>
    <w:p>
      <w:pPr>
        <w:spacing w:after="300"/>
      </w:pPr>
      <w:r>
        <w:rPr>
          <w:color w:val="718096"/>
          <w:sz w:val="18"/>
        </w:rPr>
        <w:t>Right-click the TOC and select "Update Field" to refresh page numbers</w:t>
      </w:r>
    </w:p>
    <w:p>
      <w:r>
        <w:fldChar w:fldCharType="begin"/>
      </w:r>
      <w:r>
        <w:instrText xml:space="preserve"> TOC \o "1-3" \h \z \u </w:instrText>
      </w:r>
      <w:r>
        <w:fldChar w:fldCharType="separate"/>
      </w:r>
    </w:p>
    <w:p>
      <w:pPr>
        <w:pStyle w:val="TOC1"/>
      </w:pPr>
      <w:r>
        <w:t>Preamble</w:t>
      </w:r>
      <w:r>
        <w:tab/>
      </w:r>
      <w:r>
        <w:t>3</w:t>
      </w:r>
    </w:p>
    <w:p>
      <w:pPr>
        <w:pStyle w:val="TOC1"/>
      </w:pPr>
      <w:r>
        <w:t>Article 1: Definitions</w:t>
      </w:r>
      <w:r>
        <w:tab/>
      </w:r>
      <w:r>
        <w:t>5</w:t>
      </w:r>
    </w:p>
    <w:p>
      <w:pPr>
        <w:pStyle w:val="TOC1"/>
      </w:pPr>
      <w:r>
        <w:t>Article 2: Scope and Covered Sites</w:t>
      </w:r>
      <w:r>
        <w:tab/>
      </w:r>
      <w:r>
        <w:t>8</w:t>
      </w:r>
    </w:p>
    <w:p>
      <w:pPr>
        <w:pStyle w:val="TOC1"/>
      </w:pPr>
      <w:r>
        <w:t>Article 3: Access Modalities</w:t>
      </w:r>
      <w:r>
        <w:tab/>
      </w:r>
      <w:r>
        <w:t>10</w:t>
      </w:r>
    </w:p>
    <w:p>
      <w:pPr>
        <w:pStyle w:val="TOC1"/>
      </w:pPr>
      <w:r>
        <w:t>Article 4: Safety Hold Mechanism</w:t>
      </w:r>
      <w:r>
        <w:tab/>
      </w:r>
      <w:r>
        <w:t>13</w:t>
      </w:r>
    </w:p>
    <w:p>
      <w:pPr>
        <w:pStyle w:val="TOC1"/>
      </w:pPr>
      <w:r>
        <w:t>Article 5: Data Ownership and Distribution</w:t>
      </w:r>
      <w:r>
        <w:tab/>
      </w:r>
      <w:r>
        <w:t>17</w:t>
      </w:r>
    </w:p>
    <w:p>
      <w:pPr>
        <w:pStyle w:val="TOC1"/>
      </w:pPr>
      <w:r>
        <w:t>Article 6: Chain of Custody for Recovered Material</w:t>
      </w:r>
      <w:r>
        <w:tab/>
      </w:r>
      <w:r>
        <w:t>20</w:t>
      </w:r>
    </w:p>
    <w:p>
      <w:pPr>
        <w:pStyle w:val="TOC1"/>
      </w:pPr>
      <w:r>
        <w:t>Article 7: Liability and Compensation</w:t>
      </w:r>
      <w:r>
        <w:tab/>
      </w:r>
      <w:r>
        <w:t>22</w:t>
      </w:r>
    </w:p>
    <w:p>
      <w:pPr>
        <w:pStyle w:val="TOC1"/>
      </w:pPr>
      <w:r>
        <w:t>Article 8: Ratification</w:t>
      </w:r>
      <w:r>
        <w:tab/>
      </w:r>
      <w:r>
        <w:t>24</w:t>
      </w:r>
    </w:p>
    <w:p>
      <w:pPr>
        <w:pStyle w:val="TOC1"/>
      </w:pPr>
      <w:r>
        <w:t>Article 9: Duration, Review, and Termination</w:t>
      </w:r>
      <w:r>
        <w:tab/>
      </w:r>
      <w:r>
        <w:t>26</w:t>
      </w:r>
    </w:p>
    <w:p>
      <w:pPr>
        <w:pStyle w:val="TOC1"/>
      </w:pPr>
      <w:r>
        <w:t>Article 10: Non-Derogation</w:t>
      </w:r>
      <w:r>
        <w:tab/>
      </w:r>
      <w:r>
        <w:t>28</w:t>
      </w:r>
    </w:p>
    <w:p>
      <w:pPr>
        <w:pStyle w:val="TOC1"/>
      </w:pPr>
      <w:r>
        <w:t>Annex A: Red-Line Compliance Matrix</w:t>
      </w:r>
      <w:r>
        <w:tab/>
      </w:r>
      <w:r>
        <w:t>29</w:t>
      </w:r>
    </w:p>
    <w:p>
      <w:pPr>
        <w:pStyle w:val="TOC1"/>
      </w:pPr>
      <w:r>
        <w:t>Annex B: Radiological Safety Thresholds</w:t>
      </w:r>
      <w:r>
        <w:tab/>
      </w:r>
      <w:r>
        <w:t>30</w:t>
      </w:r>
    </w:p>
    <w:p>
      <w:pPr>
        <w:pStyle w:val="TOC1"/>
      </w:pPr>
      <w:r>
        <w:t>Annex C: Joint Safety Assessment Procedures</w:t>
      </w:r>
      <w:r>
        <w:tab/>
      </w:r>
      <w:r>
        <w:t>32</w:t>
      </w:r>
    </w:p>
    <w:p>
      <w:pPr>
        <w:pStyle w:val="TOC1"/>
      </w:pPr>
      <w:r>
        <w:t>Annex D: Agency Participation</w:t>
      </w:r>
      <w:r>
        <w:tab/>
      </w:r>
      <w:r>
        <w:t>34</w:t>
      </w:r>
    </w:p>
    <w:p>
      <w:pPr>
        <w:pStyle w:val="TOC1"/>
      </w:pPr>
      <w:r>
        <w:t>Signature Block</w:t>
      </w:r>
      <w:r>
        <w:tab/>
      </w:r>
      <w:r>
        <w:t>36</w:t>
      </w:r>
    </w:p>
    <w:p>
      <w:r>
        <w:fldChar w:fldCharType="end"/>
      </w:r>
    </w:p>
    <w:p>
      <w:pPr>
        <w:sectPr>
          <w:headerReference w:type="default" r:id="Re069d9daca474d17"/>
          <w:footerReference w:type="default" r:id="R73257bd02a634660"/>
          <w:type w:val="nextPage"/>
          <w:pgSz w:w="11906" w:h="16838"/>
          <w:pgMar w:top="1800" w:right="1440" w:bottom="1440" w:left="1440" w:header="720" w:footer="720"/>
        </w:sectPr>
      </w:pPr>
    </w:p>
    <w:p>
      <w:pPr>
        <w:pStyle w:val="Heading1"/>
      </w:pPr>
      <w:r>
        <w:t>Preamble</w:t>
      </w:r>
      <w:bookmarkStart w:name="_Toc102" w:id="102"/>
      <w:bookmarkEnd w:id="102"/>
    </w:p>
    <w:p>
      <w:pPr>
        <w:spacing w:after="160" w:line="288" w:lineRule="auto"/>
      </w:pPr>
      <w:r>
        <w:rPr>
          <w:rFonts w:ascii="Cambria" w:hAnsi="Cambria"/>
          <w:color w:val="e2e8f0"/>
          <w:sz w:val="22"/>
        </w:rPr>
        <w:t xml:space="preserve">The Parties to this Protocol — the Islamic Republic of Iran and the United States of America — recognize that the June 2025 hostilities created unprecedented verification challenges at declared Iranian nuclear facilities. The resulting damage to physical infrastructure, the disruption of Agency safeguards activities, and the emergence of radiological hazard conditions require special verification arrangements that neither the standard safeguards framework nor existing supplementary instruments address.</w:t>
      </w:r>
    </w:p>
    <w:p>
      <w:pPr>
        <w:spacing w:after="160" w:line="288" w:lineRule="auto"/>
      </w:pPr>
      <w:r>
        <w:rPr>
          <w:rFonts w:ascii="Cambria" w:hAnsi="Cambria"/>
          <w:color w:val="e2e8f0"/>
          <w:sz w:val="22"/>
        </w:rPr>
        <w:t xml:space="preserve">The Parties note Iran's longstanding declarations regarding the exclusively peaceful nature of its nuclear program and proceed on the basis of those declarations, without prejudice to differing legal or political interpretations.</w:t>
      </w:r>
    </w:p>
    <w:p>
      <w:pPr>
        <w:spacing w:after="160" w:line="288" w:lineRule="auto"/>
      </w:pPr>
      <w:r>
        <w:rPr>
          <w:rFonts w:ascii="Cambria" w:hAnsi="Cambria"/>
          <w:color w:val="e2e8f0"/>
          <w:sz w:val="22"/>
        </w:rPr>
        <w:t xml:space="preserve">The Parties further recognize that differing legal and political positions exist concerning the modalities governing verification access to the damaged facilities. This Protocol establishes technical arrangements without prejudice to those positions.</w:t>
      </w:r>
    </w:p>
    <w:p>
      <w:pPr>
        <w:spacing w:after="160" w:line="288" w:lineRule="auto"/>
      </w:pPr>
      <w:r>
        <w:rPr>
          <w:rFonts w:ascii="Cambria" w:hAnsi="Cambria"/>
          <w:color w:val="e2e8f0"/>
          <w:sz w:val="22"/>
        </w:rPr>
        <w:t xml:space="preserve">The Joint Venture framework — the hybrid model establishing a regional nuclear consortium — cannot function in the absence of verified access to the facilities it is designed to monitor. The Joint Commission, as the political oversight body, cannot exercise its mandate where no verification data exists to review. The Baseline Verification Certificate produced under Annex L of the Memorandum of Understanding Pertaining to PEACE depends on physical access to the damaged sites. This Protocol is the enabling instrument that unlocks every downstream element of the broader framework.</w:t>
      </w:r>
    </w:p>
    <w:p>
      <w:pPr>
        <w:spacing w:after="160" w:line="288" w:lineRule="auto"/>
      </w:pPr>
      <w:r>
        <w:rPr>
          <w:rFonts w:ascii="Cambria" w:hAnsi="Cambria"/>
          <w:color w:val="e2e8f0"/>
          <w:sz w:val="22"/>
        </w:rPr>
        <w:t xml:space="preserve">This Protocol creates a standalone, site-specific, time-limited instrument that governs Agency access to the damaged sites. Nothing in this Protocol is construed as establishing a legal precedent for any other verification arrangement.</w:t>
      </w:r>
    </w:p>
    <w:p>
      <w:pPr>
        <w:spacing w:after="160" w:line="288" w:lineRule="auto"/>
      </w:pPr>
      <w:r>
        <w:rPr>
          <w:rFonts w:ascii="Cambria" w:hAnsi="Cambria"/>
          <w:color w:val="e2e8f0"/>
          <w:sz w:val="22"/>
        </w:rPr>
        <w:t xml:space="preserve">This Protocol constitutes a supplementary arrangement under Article 29 of INFCIRC/214 and is implemented consistently with Iran's safeguards obligations.</w:t>
      </w:r>
    </w:p>
    <w:p>
      <w:pPr>
        <w:pStyle w:val="Heading2"/>
      </w:pPr>
      <w:r>
        <w:t>Purpose</w:t>
      </w:r>
      <w:bookmarkStart w:name="_Toc103" w:id="103"/>
      <w:bookmarkEnd w:id="103"/>
    </w:p>
    <w:p>
      <w:pPr>
        <w:spacing w:after="160" w:line="288" w:lineRule="auto"/>
      </w:pPr>
      <w:r>
        <w:rPr>
          <w:rFonts w:ascii="Cambria" w:hAnsi="Cambria"/>
          <w:color w:val="e2e8f0"/>
          <w:sz w:val="22"/>
        </w:rPr>
        <w:t xml:space="preserve">This Protocol establishes special verification arrangements for Agency access to designated damaged sites. It creates four access categories that determine the modalities by which Agency inspectors enter, assess, and verify nuclear material at each site. It establishes the Safety Hold mechanism, a time-limited deferral of physical access on genuine safety grounds that carries no penalty. It defines data ownership, chain of custody for recovered material, liability allocation, ratification procedures, and duration.</w:t>
      </w:r>
    </w:p>
    <w:p>
      <w:pPr>
        <w:pStyle w:val="Heading2"/>
      </w:pPr>
      <w:r>
        <w:t>Foundational Principles</w:t>
      </w:r>
      <w:bookmarkStart w:name="_Toc104" w:id="104"/>
      <w:bookmarkEnd w:id="104"/>
    </w:p>
    <w:p>
      <w:pPr>
        <w:spacing w:after="160" w:line="288" w:lineRule="auto"/>
      </w:pPr>
      <w:r>
        <w:rPr>
          <w:rFonts w:ascii="Cambria" w:hAnsi="Cambria"/>
          <w:color w:val="e2e8f0"/>
          <w:sz w:val="22"/>
        </w:rPr>
        <w:t xml:space="preserve">The architecture of this Protocol rests on six foundational principles:</w:t>
      </w:r>
    </w:p>
    <w:p>
      <w:pPr>
        <w:numPr>
          <w:ilvl w:val="0"/>
          <w:numId w:val="1"/>
        </w:numPr>
        <w:spacing w:after="120" w:line="288" w:lineRule="auto"/>
      </w:pPr>
      <w:r>
        <w:rPr>
          <w:rFonts w:ascii="Cambria" w:hAnsi="Cambria"/>
          <w:b/>
          <w:color w:val="e2e8f0"/>
          <w:sz w:val="22"/>
        </w:rPr>
        <w:t xml:space="preserve">Agency Leadership — </w:t>
      </w:r>
      <w:r>
        <w:rPr>
          <w:rFonts w:ascii="Cambria" w:hAnsi="Cambria"/>
          <w:color w:val="e2e8f0"/>
          <w:sz w:val="22"/>
        </w:rPr>
        <w:t xml:space="preserve">The Agency, and exclusively the Agency, leads all verification activities at every site covered by this Protocol. The framework architecture excludes U.S. government personnel from physical presence at any Iranian nuclear site.</w:t>
      </w:r>
    </w:p>
    <w:p>
      <w:pPr>
        <w:numPr>
          <w:ilvl w:val="0"/>
          <w:numId w:val="1"/>
        </w:numPr>
        <w:spacing w:after="120" w:line="288" w:lineRule="auto"/>
      </w:pPr>
      <w:r>
        <w:rPr>
          <w:rFonts w:ascii="Cambria" w:hAnsi="Cambria"/>
          <w:b/>
          <w:color w:val="e2e8f0"/>
          <w:sz w:val="22"/>
        </w:rPr>
        <w:t xml:space="preserve">Sovereign Equality — </w:t>
      </w:r>
      <w:r>
        <w:rPr>
          <w:rFonts w:ascii="Cambria" w:hAnsi="Cambria"/>
          <w:color w:val="e2e8f0"/>
          <w:sz w:val="22"/>
        </w:rPr>
        <w:t xml:space="preserve">The framework architecture binds both Parties equally. No provision of this Protocol imposes a unilateral obligation on one Party that the other does not share.</w:t>
      </w:r>
    </w:p>
    <w:p>
      <w:pPr>
        <w:numPr>
          <w:ilvl w:val="0"/>
          <w:numId w:val="1"/>
        </w:numPr>
        <w:spacing w:after="120" w:line="288" w:lineRule="auto"/>
      </w:pPr>
      <w:r>
        <w:rPr>
          <w:rFonts w:ascii="Cambria" w:hAnsi="Cambria"/>
          <w:b/>
          <w:color w:val="e2e8f0"/>
          <w:sz w:val="22"/>
        </w:rPr>
        <w:t xml:space="preserve">Safety Primacy — </w:t>
      </w:r>
      <w:r>
        <w:rPr>
          <w:rFonts w:ascii="Cambria" w:hAnsi="Cambria"/>
          <w:color w:val="e2e8f0"/>
          <w:sz w:val="22"/>
        </w:rPr>
        <w:t xml:space="preserve">Radiological and structural safety hazards take precedence over verification timelines. The Safety Hold mechanism protects Agency inspectors, Iranian personnel, and the surrounding environment. No penalty attaches to a properly invoked Safety Hold.</w:t>
      </w:r>
    </w:p>
    <w:p>
      <w:pPr>
        <w:numPr>
          <w:ilvl w:val="0"/>
          <w:numId w:val="1"/>
        </w:numPr>
        <w:spacing w:after="120" w:line="288" w:lineRule="auto"/>
      </w:pPr>
      <w:r>
        <w:rPr>
          <w:rFonts w:ascii="Cambria" w:hAnsi="Cambria"/>
          <w:b/>
          <w:color w:val="e2e8f0"/>
          <w:sz w:val="22"/>
        </w:rPr>
        <w:t xml:space="preserve">Data Integrity — </w:t>
      </w:r>
      <w:r>
        <w:rPr>
          <w:rFonts w:ascii="Cambria" w:hAnsi="Cambria"/>
          <w:color w:val="e2e8f0"/>
          <w:sz w:val="22"/>
        </w:rPr>
        <w:t xml:space="preserve">Information obtained pursuant to this Protocol is used exclusively for verification and compliance purposes.</w:t>
      </w:r>
    </w:p>
    <w:p>
      <w:pPr>
        <w:numPr>
          <w:ilvl w:val="0"/>
          <w:numId w:val="1"/>
        </w:numPr>
        <w:spacing w:after="120" w:line="288" w:lineRule="auto"/>
      </w:pPr>
      <w:r>
        <w:rPr>
          <w:rFonts w:ascii="Cambria" w:hAnsi="Cambria"/>
          <w:b/>
          <w:color w:val="e2e8f0"/>
          <w:sz w:val="22"/>
        </w:rPr>
        <w:t xml:space="preserve">No Precedent Effect — </w:t>
      </w:r>
      <w:r>
        <w:rPr>
          <w:rFonts w:ascii="Cambria" w:hAnsi="Cambria"/>
          <w:color w:val="e2e8f0"/>
          <w:sz w:val="22"/>
        </w:rPr>
        <w:t xml:space="preserve">This Protocol governs only the sites designated herein. It creates no template for future access arrangements.</w:t>
      </w:r>
    </w:p>
    <w:p>
      <w:pPr>
        <w:numPr>
          <w:ilvl w:val="0"/>
          <w:numId w:val="1"/>
        </w:numPr>
        <w:spacing w:after="120" w:line="288" w:lineRule="auto"/>
      </w:pPr>
      <w:r>
        <w:rPr>
          <w:rFonts w:ascii="Cambria" w:hAnsi="Cambria"/>
          <w:b/>
          <w:color w:val="e2e8f0"/>
          <w:sz w:val="22"/>
        </w:rPr>
        <w:t xml:space="preserve">Reversibility — </w:t>
      </w:r>
      <w:r>
        <w:rPr>
          <w:rFonts w:ascii="Cambria" w:hAnsi="Cambria"/>
          <w:color w:val="e2e8f0"/>
          <w:sz w:val="22"/>
        </w:rPr>
        <w:t xml:space="preserve">Either Party terminates participation in this Protocol on 180 days' written notice to the Joint Commission and the Agency Director General. Either Party invokes emergency suspension on 72 hours' notice where immediate threats to national security or personnel safety arise.</w:t>
      </w:r>
    </w:p>
    <w:p>
      <w:pPr>
        <w:pStyle w:val="Heading2"/>
      </w:pPr>
      <w:r>
        <w:t>Relationship to Existing Instruments</w:t>
      </w:r>
      <w:bookmarkStart w:name="_Toc105" w:id="105"/>
      <w:bookmarkEnd w:id="105"/>
    </w:p>
    <w:p>
      <w:pPr>
        <w:spacing w:after="160" w:line="288" w:lineRule="auto"/>
      </w:pPr>
      <w:r>
        <w:rPr>
          <w:rFonts w:ascii="Cambria" w:hAnsi="Cambria"/>
          <w:color w:val="e2e8f0"/>
          <w:sz w:val="22"/>
        </w:rPr>
        <w:t xml:space="preserve">This Protocol operationalizes Part 0 and Annex V-R of the Memorandum of Understanding Pertaining to PEACE. It invokes Annex O (IAEA Access and Site Integrity Protocol) as the technical framework for inspection team composition, remote sensing authorization, damage assessment methodology, and data management. It invokes Annex V (Nuclear Dust Protocol) for Category D site activities and Annex P (Damaged Material Protocol) for disposition of damaged HEU cylinders.</w:t>
      </w:r>
    </w:p>
    <w:p>
      <w:pPr>
        <w:spacing w:after="160" w:line="288" w:lineRule="auto"/>
      </w:pPr>
      <w:r>
        <w:rPr>
          <w:rFonts w:ascii="Cambria" w:hAnsi="Cambria"/>
          <w:color w:val="e2e8f0"/>
          <w:sz w:val="22"/>
        </w:rPr>
        <w:t xml:space="preserve">Where a conflict exists between this Protocol and any invoked Annex on a matter within this Protocol's scope, this Protocol governs. This Protocol does not replace the Safeguards Agreement (INFCIRC/214) or the Additional Protocol (INFCIRC/214/Add.1), where applicable.</w:t>
      </w:r>
    </w:p>
    <w:p>
      <w:pPr>
        <w:pStyle w:val="Heading2"/>
      </w:pPr>
      <w:r>
        <w:t>Modularity Clause</w:t>
      </w:r>
      <w:bookmarkStart w:name="_Toc106" w:id="106"/>
      <w:bookmarkEnd w:id="106"/>
    </w:p>
    <w:p>
      <w:pPr>
        <w:spacing w:after="160" w:line="288" w:lineRule="auto"/>
      </w:pPr>
      <w:r>
        <w:rPr>
          <w:rFonts w:ascii="Cambria" w:hAnsi="Cambria"/>
          <w:color w:val="e2e8f0"/>
          <w:sz w:val="22"/>
        </w:rPr>
        <w:t xml:space="preserve">This Protocol is self-contained and incorporable into any existing or future agreement through a single sentence of adoption. It does not amend or supersede conflicting provisions of any parent framework unless the Parties explicitly so agree.</w:t>
      </w:r>
    </w:p>
    <w:p>
      <w:pPr>
        <w:pStyle w:val="Heading1"/>
      </w:pPr>
      <w:r>
        <w:t>Article 1: Definitions</w:t>
      </w:r>
      <w:bookmarkStart w:name="_Toc107" w:id="107"/>
      <w:bookmarkEnd w:id="107"/>
    </w:p>
    <w:p>
      <w:pPr>
        <w:spacing w:after="160" w:line="288" w:lineRule="auto"/>
      </w:pPr>
      <w:r>
        <w:rPr>
          <w:rFonts w:ascii="Cambria" w:hAnsi="Cambria"/>
          <w:color w:val="e2e8f0"/>
          <w:sz w:val="22"/>
        </w:rPr>
        <w:t xml:space="preserve">For the purposes of this Protocol, the following terms bear the meanings set forth below.</w:t>
      </w:r>
    </w:p>
    <w:p>
      <w:pPr>
        <w:pStyle w:val="Heading2"/>
      </w:pPr>
      <w:r>
        <w:t>"Damaged Sites"</w:t>
      </w:r>
      <w:bookmarkStart w:name="_Toc108" w:id="108"/>
      <w:bookmarkEnd w:id="108"/>
    </w:p>
    <w:p>
      <w:pPr>
        <w:spacing w:after="160" w:line="288" w:lineRule="auto"/>
      </w:pPr>
      <w:r>
        <w:rPr>
          <w:rFonts w:ascii="Cambria" w:hAnsi="Cambria"/>
          <w:color w:val="e2e8f0"/>
          <w:sz w:val="22"/>
        </w:rPr>
        <w:t xml:space="preserve">The collective designation for the following facilities:</w:t>
      </w:r>
    </w:p>
    <w:p>
      <w:pPr>
        <w:numPr>
          <w:ilvl w:val="0"/>
          <w:numId w:val="1"/>
        </w:numPr>
        <w:spacing w:after="120" w:line="288" w:lineRule="auto"/>
      </w:pPr>
      <w:r>
        <w:rPr>
          <w:rFonts w:ascii="Cambria" w:hAnsi="Cambria"/>
          <w:b/>
          <w:color w:val="e2e8f0"/>
          <w:sz w:val="22"/>
        </w:rPr>
        <w:t xml:space="preserve">Fordow Fuel Enrichment Plant — </w:t>
      </w:r>
      <w:r>
        <w:rPr>
          <w:rFonts w:ascii="Cambria" w:hAnsi="Cambria"/>
          <w:color w:val="e2e8f0"/>
          <w:sz w:val="22"/>
        </w:rPr>
        <w:t xml:space="preserve">The underground enrichment facility near Qom, including all tunnels, centrifuge halls, and associated infrastructure. Detailed technical specifications are contained in the Site-Specific Annex.</w:t>
      </w:r>
    </w:p>
    <w:p>
      <w:pPr>
        <w:numPr>
          <w:ilvl w:val="0"/>
          <w:numId w:val="1"/>
        </w:numPr>
        <w:spacing w:after="120" w:line="288" w:lineRule="auto"/>
      </w:pPr>
      <w:r>
        <w:rPr>
          <w:rFonts w:ascii="Cambria" w:hAnsi="Cambria"/>
          <w:b/>
          <w:color w:val="e2e8f0"/>
          <w:sz w:val="22"/>
        </w:rPr>
        <w:t xml:space="preserve">Natanz Enrichment Complex — </w:t>
      </w:r>
      <w:r>
        <w:rPr>
          <w:rFonts w:ascii="Cambria" w:hAnsi="Cambria"/>
          <w:color w:val="e2e8f0"/>
          <w:sz w:val="22"/>
        </w:rPr>
        <w:t xml:space="preserve">The enrichment complex in Isfahan Province comprising the Fuel Enrichment Plant and the Pilot Fuel Enrichment Plant, including all above-ground and underground halls. Detailed technical specifications are contained in the Site-Specific Annex.</w:t>
      </w:r>
    </w:p>
    <w:p>
      <w:pPr>
        <w:numPr>
          <w:ilvl w:val="0"/>
          <w:numId w:val="1"/>
        </w:numPr>
        <w:spacing w:after="120" w:line="288" w:lineRule="auto"/>
      </w:pPr>
      <w:r>
        <w:rPr>
          <w:rFonts w:ascii="Cambria" w:hAnsi="Cambria"/>
          <w:b/>
          <w:color w:val="e2e8f0"/>
          <w:sz w:val="22"/>
        </w:rPr>
        <w:t xml:space="preserve">Isfahan Nuclear Technology Center — </w:t>
      </w:r>
      <w:r>
        <w:rPr>
          <w:rFonts w:ascii="Cambria" w:hAnsi="Cambria"/>
          <w:color w:val="e2e8f0"/>
          <w:sz w:val="22"/>
        </w:rPr>
        <w:t xml:space="preserve">The conversion and fuel fabrication complex, including the Uranium Conversion Facility, Fuel Manufacturing Plant, and associated installations. Detailed technical specifications are contained in the Site-Specific Annex.</w:t>
      </w:r>
    </w:p>
    <w:p>
      <w:pPr>
        <w:numPr>
          <w:ilvl w:val="0"/>
          <w:numId w:val="1"/>
        </w:numPr>
        <w:spacing w:after="120" w:line="288" w:lineRule="auto"/>
      </w:pPr>
      <w:r>
        <w:rPr>
          <w:rFonts w:ascii="Cambria" w:hAnsi="Cambria"/>
          <w:b/>
          <w:color w:val="e2e8f0"/>
          <w:sz w:val="22"/>
        </w:rPr>
        <w:t xml:space="preserve">Additional Designated Sites — </w:t>
      </w:r>
      <w:r>
        <w:rPr>
          <w:rFonts w:ascii="Cambria" w:hAnsi="Cambria"/>
          <w:color w:val="e2e8f0"/>
          <w:sz w:val="22"/>
        </w:rPr>
        <w:t xml:space="preserve">Any facility under Agency safeguards prior to June 2025 that the Parties designate by mutual written agreement as subject to this Protocol, provided the facility contains nuclear material directly affected by the June 2025 military operations and standard safeguards access is insufficient due to damage or contamination directly resulting from those operations.</w:t>
      </w:r>
    </w:p>
    <w:p>
      <w:pPr>
        <w:pStyle w:val="Heading2"/>
      </w:pPr>
      <w:r>
        <w:t>"Safety Hold"</w:t>
      </w:r>
      <w:bookmarkStart w:name="_Toc109" w:id="109"/>
      <w:bookmarkEnd w:id="109"/>
    </w:p>
    <w:p>
      <w:pPr>
        <w:spacing w:after="160" w:line="288" w:lineRule="auto"/>
      </w:pPr>
      <w:r>
        <w:rPr>
          <w:rFonts w:ascii="Cambria" w:hAnsi="Cambria"/>
          <w:color w:val="e2e8f0"/>
          <w:sz w:val="22"/>
        </w:rPr>
        <w:t xml:space="preserve">A time-limited deferral of physical access to a specific site, invoked by Iran on the grounds of imminent radiological or structural safety hazards to Agency inspectors. A Safety Hold is not a refusal of access. It is a managed delay with defined outer limits and predetermined outcomes, governed by Article 4.</w:t>
      </w:r>
    </w:p>
    <w:p>
      <w:pPr>
        <w:pStyle w:val="Heading2"/>
      </w:pPr>
      <w:r>
        <w:t>"Joint Safety Assessment"</w:t>
      </w:r>
      <w:bookmarkStart w:name="_Toc110" w:id="110"/>
      <w:bookmarkEnd w:id="110"/>
    </w:p>
    <w:p>
      <w:pPr>
        <w:spacing w:after="160" w:line="288" w:lineRule="auto"/>
      </w:pPr>
      <w:r>
        <w:rPr>
          <w:rFonts w:ascii="Cambria" w:hAnsi="Cambria"/>
          <w:color w:val="e2e8f0"/>
          <w:sz w:val="22"/>
        </w:rPr>
        <w:t xml:space="preserve">The technical evaluation conducted by a Joint Technical Team comprising the Agency Radiation Safety Officer and Iranian nuclear safety officials. The Assessment determines whether physical access is safe, whether modified access is appropriate, or whether access remains unsafe, and produces a binding determination within 10 days of Safety Hold invocation.</w:t>
      </w:r>
    </w:p>
    <w:p>
      <w:pPr>
        <w:pStyle w:val="Heading2"/>
      </w:pPr>
      <w:r>
        <w:t>"Joint Technical Team"</w:t>
      </w:r>
      <w:bookmarkStart w:name="_Toc111" w:id="111"/>
      <w:bookmarkEnd w:id="111"/>
    </w:p>
    <w:p>
      <w:pPr>
        <w:spacing w:after="160" w:line="288" w:lineRule="auto"/>
      </w:pPr>
      <w:r>
        <w:rPr>
          <w:rFonts w:ascii="Cambria" w:hAnsi="Cambria"/>
          <w:color w:val="e2e8f0"/>
          <w:sz w:val="22"/>
        </w:rPr>
        <w:t xml:space="preserve">A team comprising Agency inspectors and Iranian nuclear safety officials operating under Annex O, Article 2. The Team conducts joint damage assessment, remote sensing, environmental sampling, and robotic inspection. The Team is Agency-led. Iranian officials participate as active technical partners, not as escorts.</w:t>
      </w:r>
    </w:p>
    <w:p>
      <w:pPr>
        <w:pStyle w:val="Heading2"/>
      </w:pPr>
      <w:r>
        <w:t>"Independent Technical Review Panel"</w:t>
      </w:r>
      <w:bookmarkStart w:name="_Toc112" w:id="112"/>
      <w:bookmarkEnd w:id="112"/>
    </w:p>
    <w:p>
      <w:pPr>
        <w:spacing w:after="160" w:line="288" w:lineRule="auto"/>
      </w:pPr>
      <w:r>
        <w:rPr>
          <w:rFonts w:ascii="Cambria" w:hAnsi="Cambria"/>
          <w:color w:val="e2e8f0"/>
          <w:sz w:val="22"/>
        </w:rPr>
        <w:t xml:space="preserve">A panel of three qualified technical experts designated by the Agency Director General, one nominated by each Party and one selected by the Director General from the Standing Technical Roster. The Panel reviews disputed Safety Hold determinations under Article 4.6.</w:t>
      </w:r>
    </w:p>
    <w:p>
      <w:pPr>
        <w:pStyle w:val="Heading2"/>
      </w:pPr>
      <w:r>
        <w:t>"Standing Technical Roster"</w:t>
      </w:r>
      <w:bookmarkStart w:name="_Toc113" w:id="113"/>
      <w:bookmarkEnd w:id="113"/>
    </w:p>
    <w:p>
      <w:pPr>
        <w:spacing w:after="160" w:line="288" w:lineRule="auto"/>
      </w:pPr>
      <w:r>
        <w:rPr>
          <w:rFonts w:ascii="Cambria" w:hAnsi="Cambria"/>
          <w:color w:val="e2e8f0"/>
          <w:sz w:val="22"/>
        </w:rPr>
        <w:t xml:space="preserve">Upon Protocol entry into force, the PCC Secretariat establishes and maintains a Standing Technical Roster consisting of no fewer than nine and no more than fifteen experts in nuclear safety, radiological protection, structural engineering, and safeguards implementation. The Parties nominate candidates for the Roster. The Director General confirms appointments. The framework limits objections to proposed experts to the roster establishment period and the annual review. The Roster is reviewed annually and refreshed as necessary.</w:t>
      </w:r>
    </w:p>
    <w:p>
      <w:pPr>
        <w:pStyle w:val="Heading2"/>
      </w:pPr>
      <w:r>
        <w:t>"Signature-Delay Trigger"</w:t>
      </w:r>
      <w:bookmarkStart w:name="_Toc114" w:id="114"/>
      <w:bookmarkEnd w:id="114"/>
    </w:p>
    <w:p>
      <w:pPr>
        <w:spacing w:after="160" w:line="288" w:lineRule="auto"/>
      </w:pPr>
      <w:r>
        <w:rPr>
          <w:rFonts w:ascii="Cambria" w:hAnsi="Cambria"/>
          <w:color w:val="e2e8f0"/>
          <w:sz w:val="22"/>
        </w:rPr>
        <w:t xml:space="preserve">The temporary suspension, for a period not exceeding thirty days, of scheduled signature or implementation milestones under the Memorandum of Understanding Pertaining to PEACE pending resolution by the Joint Commission.</w:t>
      </w:r>
    </w:p>
    <w:p>
      <w:pPr>
        <w:pStyle w:val="Heading2"/>
      </w:pPr>
      <w:r>
        <w:t>"Access Categories"</w:t>
      </w:r>
      <w:bookmarkStart w:name="_Toc115" w:id="115"/>
      <w:bookmarkEnd w:id="115"/>
    </w:p>
    <w:p>
      <w:pPr>
        <w:spacing w:after="160" w:line="288" w:lineRule="auto"/>
      </w:pPr>
      <w:r>
        <w:rPr>
          <w:rFonts w:ascii="Cambria" w:hAnsi="Cambria"/>
          <w:color w:val="e2e8f0"/>
          <w:sz w:val="22"/>
        </w:rPr>
        <w:t xml:space="preserve">Category A: Standard physical access without protective modifications.</w:t>
      </w:r>
    </w:p>
    <w:p>
      <w:pPr>
        <w:spacing w:after="160" w:line="288" w:lineRule="auto"/>
      </w:pPr>
      <w:r>
        <w:rPr>
          <w:rFonts w:ascii="Cambria" w:hAnsi="Cambria"/>
          <w:color w:val="e2e8f0"/>
          <w:sz w:val="22"/>
        </w:rPr>
        <w:t xml:space="preserve">Category B: Physical access with specified protective modifications.</w:t>
      </w:r>
    </w:p>
    <w:p>
      <w:pPr>
        <w:spacing w:after="160" w:line="288" w:lineRule="auto"/>
      </w:pPr>
      <w:r>
        <w:rPr>
          <w:rFonts w:ascii="Cambria" w:hAnsi="Cambria"/>
          <w:color w:val="e2e8f0"/>
          <w:sz w:val="22"/>
        </w:rPr>
        <w:t xml:space="preserve">Category C: Remote or robotic access only; physical entry unsafe.</w:t>
      </w:r>
    </w:p>
    <w:p>
      <w:pPr>
        <w:spacing w:after="160" w:line="288" w:lineRule="auto"/>
      </w:pPr>
      <w:r>
        <w:rPr>
          <w:rFonts w:ascii="Cambria" w:hAnsi="Cambria"/>
          <w:color w:val="e2e8f0"/>
          <w:sz w:val="22"/>
        </w:rPr>
        <w:t xml:space="preserve">Category D: Access deferred due to radiological contamination or structural collapse.</w:t>
      </w:r>
    </w:p>
    <w:p>
      <w:pPr>
        <w:pStyle w:val="Heading2"/>
      </w:pPr>
      <w:r>
        <w:t>"Baseline Verification Certificate (BVC)"</w:t>
      </w:r>
      <w:bookmarkStart w:name="_Toc116" w:id="116"/>
      <w:bookmarkEnd w:id="116"/>
    </w:p>
    <w:p>
      <w:pPr>
        <w:spacing w:after="160" w:line="288" w:lineRule="auto"/>
      </w:pPr>
      <w:r>
        <w:rPr>
          <w:rFonts w:ascii="Cambria" w:hAnsi="Cambria"/>
          <w:color w:val="e2e8f0"/>
          <w:sz w:val="22"/>
        </w:rPr>
        <w:t xml:space="preserve">The operative document issued by the Agency Director General at the conclusion of verification activities, certifying the verified inventory of enriched uranium at all Damaged Sites, the accessibility status of each facility, the disposition of recovered material, unresolved items, and sites under Safety Hold. The BVC is the reference baseline for all Phase I compliance determinations.</w:t>
      </w:r>
    </w:p>
    <w:p>
      <w:pPr>
        <w:pStyle w:val="Heading2"/>
      </w:pPr>
      <w:r>
        <w:t>"Dual-Key Custody"</w:t>
      </w:r>
      <w:bookmarkStart w:name="_Toc117" w:id="117"/>
      <w:bookmarkEnd w:id="117"/>
    </w:p>
    <w:p>
      <w:pPr>
        <w:spacing w:after="160" w:line="288" w:lineRule="auto"/>
      </w:pPr>
      <w:r>
        <w:rPr>
          <w:rFonts w:ascii="Cambria" w:hAnsi="Cambria"/>
          <w:color w:val="e2e8f0"/>
          <w:sz w:val="22"/>
        </w:rPr>
        <w:t xml:space="preserve">The custody arrangement for nuclear material recovered from Damaged Sites. Both the Agency and Iran hold simultaneous custody. Neither Party moves, processes, or removes the material without the written concurrence of the other.</w:t>
      </w:r>
    </w:p>
    <w:p>
      <w:pPr>
        <w:pStyle w:val="Heading2"/>
      </w:pPr>
      <w:r>
        <w:t>"Verification Restoration Period (VRP)"</w:t>
      </w:r>
      <w:bookmarkStart w:name="_Toc118" w:id="118"/>
      <w:bookmarkEnd w:id="118"/>
    </w:p>
    <w:p>
      <w:pPr>
        <w:spacing w:after="160" w:line="288" w:lineRule="auto"/>
      </w:pPr>
      <w:r>
        <w:rPr>
          <w:rFonts w:ascii="Cambria" w:hAnsi="Cambria"/>
          <w:color w:val="e2e8f0"/>
          <w:sz w:val="22"/>
        </w:rPr>
        <w:t xml:space="preserve">The time-bounded window, not exceeding 30 days from Protocol entry into force, during which the Agency conducts baseline inventory and damaged-site assessment. The VRP produces the BVC.</w:t>
      </w:r>
    </w:p>
    <w:p>
      <w:pPr>
        <w:pStyle w:val="Heading1"/>
      </w:pPr>
      <w:r>
        <w:t>Article 2: Scope and Covered Sites</w:t>
      </w:r>
      <w:bookmarkStart w:name="_Toc119" w:id="119"/>
      <w:bookmarkEnd w:id="119"/>
    </w:p>
    <w:p>
      <w:pPr>
        <w:pStyle w:val="Heading2"/>
      </w:pPr>
      <w:r>
        <w:t>2.1 Designation</w:t>
      </w:r>
      <w:bookmarkStart w:name="_Toc120" w:id="120"/>
      <w:bookmarkEnd w:id="120"/>
    </w:p>
    <w:p>
      <w:pPr>
        <w:spacing w:after="160" w:line="288" w:lineRule="auto"/>
      </w:pPr>
      <w:r>
        <w:rPr>
          <w:rFonts w:ascii="Cambria" w:hAnsi="Cambria"/>
          <w:color w:val="e2e8f0"/>
          <w:sz w:val="22"/>
        </w:rPr>
        <w:t xml:space="preserve">This Protocol applies exclusively to the facilities designated as Damaged Sites under Article 1. The designation is fixed at Protocol entry into force and is not subject to unilateral modification.</w:t>
      </w:r>
    </w:p>
    <w:p>
      <w:pPr>
        <w:pStyle w:val="Heading2"/>
      </w:pPr>
      <w:r>
        <w:t>2.2 Addition of Sites</w:t>
      </w:r>
      <w:bookmarkStart w:name="_Toc121" w:id="121"/>
      <w:bookmarkEnd w:id="121"/>
    </w:p>
    <w:p>
      <w:pPr>
        <w:spacing w:after="160" w:line="288" w:lineRule="auto"/>
      </w:pPr>
      <w:r>
        <w:rPr>
          <w:rFonts w:ascii="Cambria" w:hAnsi="Cambria"/>
          <w:color w:val="e2e8f0"/>
          <w:sz w:val="22"/>
        </w:rPr>
        <w:t xml:space="preserve">The Parties add facilities to the Damaged Sites list only by mutual written agreement. The procedure requires: (a) a joint technical assessment by the Agency Director General, with the concurrence of both Parties; (b) a determination that the proposed facility was under Agency safeguards prior to June 2025, contains nuclear material directly affected by the June 2025 military operations, and standard safeguards access is insufficient due to damage or contamination directly resulting from those operations; (c) signature by the designated senior official of each Party at Deputy Minister level or above, transmitted through the Pakistan/Oman facilitation team and deposited with the PCC Secretariat.</w:t>
      </w:r>
    </w:p>
    <w:p>
      <w:pPr>
        <w:pStyle w:val="Heading2"/>
      </w:pPr>
      <w:r>
        <w:t>2.3 No Precedent Effect</w:t>
      </w:r>
      <w:bookmarkStart w:name="_Toc122" w:id="122"/>
      <w:bookmarkEnd w:id="122"/>
    </w:p>
    <w:p>
      <w:pPr>
        <w:spacing w:after="160" w:line="288" w:lineRule="auto"/>
      </w:pPr>
      <w:r>
        <w:rPr>
          <w:rFonts w:ascii="Cambria" w:hAnsi="Cambria"/>
          <w:color w:val="e2e8f0"/>
          <w:sz w:val="22"/>
        </w:rPr>
        <w:t xml:space="preserve">Nothing in this Protocol is construed as establishing a legal precedent for any other verification arrangement.</w:t>
      </w:r>
    </w:p>
    <w:p>
      <w:pPr>
        <w:pStyle w:val="Heading2"/>
      </w:pPr>
      <w:r>
        <w:t>2.4 Exclusion of Undamaged Sites</w:t>
      </w:r>
      <w:bookmarkStart w:name="_Toc123" w:id="123"/>
      <w:bookmarkEnd w:id="123"/>
    </w:p>
    <w:p>
      <w:pPr>
        <w:spacing w:after="160" w:line="288" w:lineRule="auto"/>
      </w:pPr>
      <w:r>
        <w:rPr>
          <w:rFonts w:ascii="Cambria" w:hAnsi="Cambria"/>
          <w:color w:val="e2e8f0"/>
          <w:sz w:val="22"/>
        </w:rPr>
        <w:t xml:space="preserve">Facilities not designated as Damaged Sites remain subject to the standard safeguards framework. This Protocol does not expand, contract, or modify the Agency's standard safeguards rights at any non-designated facility.</w:t>
      </w:r>
    </w:p>
    <w:p>
      <w:pPr>
        <w:pStyle w:val="Heading2"/>
      </w:pPr>
      <w:r>
        <w:t>2.5 Site-Specific Annexes</w:t>
      </w:r>
      <w:bookmarkStart w:name="_Toc124" w:id="124"/>
      <w:bookmarkEnd w:id="124"/>
    </w:p>
    <w:p>
      <w:pPr>
        <w:spacing w:after="160" w:line="288" w:lineRule="auto"/>
      </w:pPr>
      <w:r>
        <w:rPr>
          <w:rFonts w:ascii="Cambria" w:hAnsi="Cambria"/>
          <w:color w:val="e2e8f0"/>
          <w:sz w:val="22"/>
        </w:rPr>
        <w:t xml:space="preserve">Each Damaged Site has a Site-Specific Annex detailing facility layout, pre-attack material inventory, damage assessment, radiological conditions, and access procedures. The Site-Specific Annexes are classified at Confidential and distributed only to the Parties, the Agency Director General, and the PCC Secretariat.</w:t>
      </w:r>
    </w:p>
    <w:p>
      <w:pPr>
        <w:pStyle w:val="Heading2"/>
      </w:pPr>
      <w:r>
        <w:t>2.6 Automatic Site Exit</w:t>
      </w:r>
      <w:bookmarkStart w:name="_Toc125" w:id="125"/>
      <w:bookmarkEnd w:id="125"/>
    </w:p>
    <w:p>
      <w:pPr>
        <w:spacing w:after="160" w:line="288" w:lineRule="auto"/>
      </w:pPr>
      <w:r>
        <w:rPr>
          <w:rFonts w:ascii="Cambria" w:hAnsi="Cambria"/>
          <w:color w:val="e2e8f0"/>
          <w:sz w:val="22"/>
        </w:rPr>
        <w:t xml:space="preserve">A Damaged Site automatically exits this Protocol once the Agency Director General certifies that standard safeguards access safely resumes at that site. The certification is based on a Joint Safety Assessment determining that the facility no longer presents radiological or structural hazards that preclude standard safeguards access. Upon exit, the site returns to the standard safeguards framework. The BVC remains the reference baseline for that site's historical verification data.</w:t>
      </w:r>
    </w:p>
    <w:p>
      <w:pPr>
        <w:pStyle w:val="Heading1"/>
      </w:pPr>
      <w:r>
        <w:t>Article 3: Access Modalities</w:t>
      </w:r>
      <w:bookmarkStart w:name="_Toc126" w:id="126"/>
      <w:bookmarkEnd w:id="126"/>
    </w:p>
    <w:p>
      <w:pPr>
        <w:spacing w:after="160" w:line="288" w:lineRule="auto"/>
      </w:pPr>
      <w:r>
        <w:rPr>
          <w:rFonts w:ascii="Cambria" w:hAnsi="Cambria"/>
          <w:color w:val="e2e8f0"/>
          <w:sz w:val="22"/>
        </w:rPr>
        <w:t xml:space="preserve">Every Damaged Site receives an initial access category assignment prior to the first Agency inspection. The Joint Technical Team reassesses the category at each inspection cycle. Category assignment is a technical determination. The Agency Radiation Safety Officer holds final authority; that determination is not subject to Iranian veto.</w:t>
      </w:r>
    </w:p>
    <w:p>
      <w:pPr>
        <w:pStyle w:val="Heading2"/>
      </w:pPr>
      <w:r>
        <w:t>3.1 Joint Safety Assessment</w:t>
      </w:r>
      <w:bookmarkStart w:name="_Toc127" w:id="127"/>
      <w:bookmarkEnd w:id="127"/>
    </w:p>
    <w:p>
      <w:pPr>
        <w:spacing w:after="160" w:line="288" w:lineRule="auto"/>
      </w:pPr>
      <w:r>
        <w:rPr>
          <w:rFonts w:ascii="Cambria" w:hAnsi="Cambria"/>
          <w:color w:val="e2e8f0"/>
          <w:sz w:val="22"/>
        </w:rPr>
        <w:t xml:space="preserve">Before any Agency inspector enters a Damaged Site, a Joint Technical Team conducts a Joint Safety Assessment determining: (a) whether the facility structure permits safe entry; (b) whether radiological conditions remain within acceptable exposure limits; (c) whether chemical, biological, or combined hazards affect access safety; (d) what protective equipment, entry routes, exposure limits, and monitoring protocols are necessary where modified access is viable; and (e) whether access defers due to safety hazards that no reasonable protective measure mitigates.</w:t>
      </w:r>
    </w:p>
    <w:p>
      <w:pPr>
        <w:spacing w:after="160" w:line="288" w:lineRule="auto"/>
      </w:pPr>
      <w:r>
        <w:rPr>
          <w:rFonts w:ascii="Cambria" w:hAnsi="Cambria"/>
          <w:color w:val="e2e8f0"/>
          <w:sz w:val="22"/>
        </w:rPr>
        <w:t xml:space="preserve">The Assessment employs structural engineering survey, radiological survey, review of all available Iranian telemetry and environmental data, and consultation with the Agency's Incident and Emergency Centre and the Iranian Nuclear Regulatory Authority.</w:t>
      </w:r>
    </w:p>
    <w:p>
      <w:pPr>
        <w:spacing w:after="160" w:line="288" w:lineRule="auto"/>
      </w:pPr>
      <w:r>
        <w:rPr>
          <w:rFonts w:ascii="Cambria" w:hAnsi="Cambria"/>
          <w:color w:val="e2e8f0"/>
          <w:sz w:val="22"/>
        </w:rPr>
        <w:t xml:space="preserve">The Assessment produces a written report within a reasonable period of Team deployment, normally not exceeding 72 hours. The report classifies the site into one of four access categories and specifies all applicable conditions. The report is transmitted to the Agency Director General, the PCC Secretariat, and both Parties.</w:t>
      </w:r>
    </w:p>
    <w:p>
      <w:pPr>
        <w:pStyle w:val="Heading2"/>
      </w:pPr>
      <w:r>
        <w:t>3.2 Category A — Safe Physical Access</w:t>
      </w:r>
      <w:bookmarkStart w:name="_Toc128" w:id="128"/>
      <w:bookmarkEnd w:id="128"/>
    </w:p>
    <w:p>
      <w:pPr>
        <w:spacing w:after="160" w:line="288" w:lineRule="auto"/>
      </w:pPr>
      <w:r>
        <w:rPr>
          <w:rFonts w:ascii="Cambria" w:hAnsi="Cambria"/>
          <w:color w:val="e2e8f0"/>
          <w:sz w:val="22"/>
        </w:rPr>
        <w:t xml:space="preserve">Category A applies where the Assessment determines standard physical entry is safe. Category A permits: physical entry by Agency inspectors; resident inspector deployment; mass spectrometry and non-destructive assay; visual inspection; environmental sampling; and access to facility records and material accountancy documents.</w:t>
      </w:r>
    </w:p>
    <w:p>
      <w:pPr>
        <w:pStyle w:val="Heading2"/>
      </w:pPr>
      <w:r>
        <w:t>3.3 Category B — Modified Access</w:t>
      </w:r>
      <w:bookmarkStart w:name="_Toc129" w:id="129"/>
      <w:bookmarkEnd w:id="129"/>
    </w:p>
    <w:p>
      <w:pPr>
        <w:spacing w:after="160" w:line="288" w:lineRule="auto"/>
      </w:pPr>
      <w:r>
        <w:rPr>
          <w:rFonts w:ascii="Cambria" w:hAnsi="Cambria"/>
          <w:color w:val="e2e8f0"/>
          <w:sz w:val="22"/>
        </w:rPr>
        <w:t xml:space="preserve">Category B applies where the Assessment determines physical access is safe only with protective modifications. Category B includes: mandatory protective equipment specified by the Assessment; defined entry routes avoiding hazardous zones; maximum exposure time limits and mandatory decontamination; continuous radiation monitoring by the Agency Radiation Safety Officer with authority to halt operations; pre-positioned emergency medical capabilities; and Iranian nuclear safety personnel as active technical partners.</w:t>
      </w:r>
    </w:p>
    <w:p>
      <w:pPr>
        <w:spacing w:after="160" w:line="288" w:lineRule="auto"/>
      </w:pPr>
      <w:r>
        <w:rPr>
          <w:rFonts w:ascii="Cambria" w:hAnsi="Cambria"/>
          <w:color w:val="e2e8f0"/>
          <w:sz w:val="22"/>
        </w:rPr>
        <w:t xml:space="preserve">The modified access protocol is documented in the Site-Specific Annex and reviewed before each inspection. The Agency Radiation Safety Officer suspends any Category B access immediately if conditions change.</w:t>
      </w:r>
    </w:p>
    <w:p>
      <w:pPr>
        <w:pStyle w:val="Heading2"/>
      </w:pPr>
      <w:r>
        <w:t>3.4 Category C — Remote or Robotic Access</w:t>
      </w:r>
      <w:bookmarkStart w:name="_Toc130" w:id="130"/>
      <w:bookmarkEnd w:id="130"/>
    </w:p>
    <w:p>
      <w:pPr>
        <w:spacing w:after="160" w:line="288" w:lineRule="auto"/>
      </w:pPr>
      <w:r>
        <w:rPr>
          <w:rFonts w:ascii="Cambria" w:hAnsi="Cambria"/>
          <w:color w:val="e2e8f0"/>
          <w:sz w:val="22"/>
        </w:rPr>
        <w:t xml:space="preserve">Category C applies where the Assessment determines physical entry is unsafe but remote or robotic access is viable. Category C is the default modality pending completion of the Joint Safety Assessment. Tools include: drone overflight; ground-based robotic platforms; fixed sensor deployment at safe perimeter points; satellite imaging; and seismic and acoustic monitoring.</w:t>
      </w:r>
    </w:p>
    <w:p>
      <w:pPr>
        <w:spacing w:after="160" w:line="288" w:lineRule="auto"/>
      </w:pPr>
      <w:r>
        <w:rPr>
          <w:rFonts w:ascii="Cambria" w:hAnsi="Cambria"/>
          <w:color w:val="e2e8f0"/>
          <w:sz w:val="22"/>
        </w:rPr>
        <w:t xml:space="preserve">Category C does not preclude subsequent reclassification. The Team reassesses each Category C site at intervals not exceeding 14 days. Where physical access becomes safe, the site reclassifies to Category A or B and physical access proceeds within a reasonable period.</w:t>
      </w:r>
    </w:p>
    <w:p>
      <w:pPr>
        <w:pStyle w:val="Heading2"/>
      </w:pPr>
      <w:r>
        <w:t>3.5 Category D — Access Deferred</w:t>
      </w:r>
      <w:bookmarkStart w:name="_Toc131" w:id="131"/>
      <w:bookmarkEnd w:id="131"/>
    </w:p>
    <w:p>
      <w:pPr>
        <w:spacing w:after="160" w:line="288" w:lineRule="auto"/>
      </w:pPr>
      <w:r>
        <w:rPr>
          <w:rFonts w:ascii="Cambria" w:hAnsi="Cambria"/>
          <w:color w:val="e2e8f0"/>
          <w:sz w:val="22"/>
        </w:rPr>
        <w:t xml:space="preserve">Category D applies where the Assessment determines neither physical nor robotic access is safe due to radiological contamination, structural collapse, or dispersal of nuclear material. Category D triggers the Safety Hold mechanism under Article 4. During Category D status, the Agency conducts all feasible remote sensing and perimeter environmental sampling. The Agency notes Category D status in the BVC and assigns a provisional inventory status.</w:t>
      </w:r>
    </w:p>
    <w:p>
      <w:pPr>
        <w:spacing w:after="160" w:line="288" w:lineRule="auto"/>
      </w:pPr>
      <w:r>
        <w:rPr>
          <w:rFonts w:ascii="Cambria" w:hAnsi="Cambria"/>
          <w:color w:val="e2e8f0"/>
          <w:sz w:val="22"/>
        </w:rPr>
        <w:t xml:space="preserve">Category D sites are reassessed at intervals not exceeding 7 days. Where robotic or physical access becomes safe, the site reclassifies accordingly.</w:t>
      </w:r>
    </w:p>
    <w:p>
      <w:pPr>
        <w:pStyle w:val="Heading2"/>
      </w:pPr>
      <w:r>
        <w:t>3.6 IAEA-Led Verification</w:t>
      </w:r>
      <w:bookmarkStart w:name="_Toc132" w:id="132"/>
      <w:bookmarkEnd w:id="132"/>
    </w:p>
    <w:p>
      <w:pPr>
        <w:spacing w:after="160" w:line="288" w:lineRule="auto"/>
      </w:pPr>
      <w:r>
        <w:rPr>
          <w:rFonts w:ascii="Cambria" w:hAnsi="Cambria"/>
          <w:color w:val="e2e8f0"/>
          <w:sz w:val="22"/>
        </w:rPr>
        <w:t xml:space="preserve">Agency inspectors lead all verification activities at every Damaged Site regardless of access category. Iranian officials participate as technical partners. Iranian officials do not escort, monitor, or restrict Agency inspectors in the exercise of their verification functions.</w:t>
      </w:r>
    </w:p>
    <w:p>
      <w:pPr>
        <w:spacing w:after="160" w:line="288" w:lineRule="auto"/>
      </w:pPr>
      <w:r>
        <w:rPr>
          <w:rFonts w:ascii="Cambria" w:hAnsi="Cambria"/>
          <w:color w:val="e2e8f0"/>
          <w:sz w:val="22"/>
        </w:rPr>
        <w:t xml:space="preserve">The Agency inspection team comprises: a Lead Inspector with safeguards authority; nuclear material accountancy specialists; a Radiation Safety Officer with authority to halt operations; remote sensing and environmental sampling specialists; robotic systems operators for Category B and C sites; and a data security officer.</w:t>
      </w:r>
    </w:p>
    <w:p>
      <w:pPr>
        <w:pStyle w:val="Heading2"/>
      </w:pPr>
      <w:r>
        <w:t>3.7 Exclusion of U.S. Personnel</w:t>
      </w:r>
      <w:bookmarkStart w:name="_Toc133" w:id="133"/>
      <w:bookmarkEnd w:id="133"/>
    </w:p>
    <w:p>
      <w:pPr>
        <w:spacing w:after="160" w:line="288" w:lineRule="auto"/>
      </w:pPr>
      <w:r>
        <w:rPr>
          <w:rFonts w:ascii="Cambria" w:hAnsi="Cambria"/>
          <w:color w:val="e2e8f0"/>
          <w:sz w:val="22"/>
        </w:rPr>
        <w:t xml:space="preserve">The framework architecture excludes U.S. government personnel from physical presence at any Damaged Site. No U.S. government employee, contractor, designated agent, or technical observer enters Fordow, Natanz, Isfahan, or any other site designated under this Protocol.</w:t>
      </w:r>
    </w:p>
    <w:p>
      <w:pPr>
        <w:spacing w:after="160" w:line="288" w:lineRule="auto"/>
      </w:pPr>
      <w:r>
        <w:rPr>
          <w:rFonts w:ascii="Cambria" w:hAnsi="Cambria"/>
          <w:color w:val="e2e8f0"/>
          <w:sz w:val="22"/>
        </w:rPr>
        <w:t xml:space="preserve">A U.S. technical observer participates only under Agency credentials, with Agency Director General approval on a per-mission basis, Iran's explicit written consent for each visit, and subject to Agency authority and chain of command at all times.</w:t>
      </w:r>
    </w:p>
    <w:p>
      <w:pPr>
        <w:pStyle w:val="Heading1"/>
      </w:pPr>
      <w:r>
        <w:t>Article 4: Safety Hold Mechanism</w:t>
      </w:r>
      <w:bookmarkStart w:name="_Toc134" w:id="134"/>
      <w:bookmarkEnd w:id="134"/>
    </w:p>
    <w:p>
      <w:pPr>
        <w:pStyle w:val="Heading2"/>
      </w:pPr>
      <w:r>
        <w:t>4.1 Right to Invoke</w:t>
      </w:r>
      <w:bookmarkStart w:name="_Toc135" w:id="135"/>
      <w:bookmarkEnd w:id="135"/>
    </w:p>
    <w:p>
      <w:pPr>
        <w:spacing w:after="160" w:line="288" w:lineRule="auto"/>
      </w:pPr>
      <w:r>
        <w:rPr>
          <w:rFonts w:ascii="Cambria" w:hAnsi="Cambria"/>
          <w:color w:val="e2e8f0"/>
          <w:sz w:val="22"/>
        </w:rPr>
        <w:t xml:space="preserve">Iran invokes a Safety Hold for any Damaged Site where Iran determines the site poses imminent radiological or structural safety hazards to Agency inspectors. The Safety Hold is available for all Damaged Sites. It is not available for non-Damaged Sites.</w:t>
      </w:r>
    </w:p>
    <w:p>
      <w:pPr>
        <w:spacing w:after="160" w:line="288" w:lineRule="auto"/>
      </w:pPr>
      <w:r>
        <w:rPr>
          <w:rFonts w:ascii="Cambria" w:hAnsi="Cambria"/>
          <w:color w:val="e2e8f0"/>
          <w:sz w:val="22"/>
        </w:rPr>
        <w:t xml:space="preserve">The grounds for invoking a Safety Hold are limited to: confirmed or suspected radiological contamination exceeding safe exposure thresholds; structural instability creating risk of collapse or entrapment; chemical or toxic hazards arising from facility damage; active military or security threats in the immediate vicinity; and meteorological or environmental conditions that exacerbate any of the above.</w:t>
      </w:r>
    </w:p>
    <w:p>
      <w:pPr>
        <w:spacing w:after="160" w:line="288" w:lineRule="auto"/>
      </w:pPr>
      <w:r>
        <w:rPr>
          <w:rFonts w:ascii="Cambria" w:hAnsi="Cambria"/>
          <w:color w:val="e2e8f0"/>
          <w:sz w:val="22"/>
        </w:rPr>
        <w:t xml:space="preserve">The Safety Hold is not available for: political objections to Agency access; disputes over the scope of verification; disagreements about data ownership or distribution; or any grounds other than the specific safety hazards listed above.</w:t>
      </w:r>
    </w:p>
    <w:p>
      <w:pPr>
        <w:pStyle w:val="Heading2"/>
      </w:pPr>
      <w:r>
        <w:t>4.2 Invocation Procedure</w:t>
      </w:r>
      <w:bookmarkStart w:name="_Toc136" w:id="136"/>
      <w:bookmarkEnd w:id="136"/>
    </w:p>
    <w:p>
      <w:pPr>
        <w:spacing w:after="160" w:line="288" w:lineRule="auto"/>
      </w:pPr>
      <w:r>
        <w:rPr>
          <w:rFonts w:ascii="Cambria" w:hAnsi="Cambria"/>
          <w:color w:val="e2e8f0"/>
          <w:sz w:val="22"/>
        </w:rPr>
        <w:t xml:space="preserve">Iran invokes a Safety Hold by transmitting written notification to the Agency Director General, the PCC Secretariat, and the United States within a reasonable period of making the safety determination, normally not exceeding 6 hours. The notification specifies: the site identifier and current access category; the nature of the safety hazard; the available technical evidence supporting the determination; the anticipated duration of the hold, not to exceed 14 days; and the alternative data provision Iran offers during the hold period.</w:t>
      </w:r>
    </w:p>
    <w:p>
      <w:pPr>
        <w:spacing w:after="160" w:line="288" w:lineRule="auto"/>
      </w:pPr>
      <w:r>
        <w:rPr>
          <w:rFonts w:ascii="Cambria" w:hAnsi="Cambria"/>
          <w:color w:val="e2e8f0"/>
          <w:sz w:val="22"/>
        </w:rPr>
        <w:t xml:space="preserve">The Safety Hold takes effect upon transmission of the written notification to the Agency Director General. Agency inspectors already present at the site withdraw immediately. Agency inspectors en route divert to a safe location pending resolution.</w:t>
      </w:r>
    </w:p>
    <w:p>
      <w:pPr>
        <w:pStyle w:val="Heading2"/>
      </w:pPr>
      <w:r>
        <w:t>4.3 Hold Duration and Obligations</w:t>
      </w:r>
      <w:bookmarkStart w:name="_Toc137" w:id="137"/>
      <w:bookmarkEnd w:id="137"/>
    </w:p>
    <w:p>
      <w:pPr>
        <w:spacing w:after="160" w:line="288" w:lineRule="auto"/>
      </w:pPr>
      <w:r>
        <w:rPr>
          <w:rFonts w:ascii="Cambria" w:hAnsi="Cambria"/>
          <w:color w:val="e2e8f0"/>
          <w:sz w:val="22"/>
        </w:rPr>
        <w:t xml:space="preserve">A Safety Hold is valid for up to 14 days from the date of invocation. During the hold period, Iran provides all available telemetry, environmental data, existing technical assessments, and aerial imagery to the Agency within 24 hours of invocation. The Joint Technical Team conducts a remote or robotic assessment during the hold. The Agency Radiation Safety Officer and Iranian nuclear safety authorities issue a Joint Safety Assessment within 10 days of hold invocation.</w:t>
      </w:r>
    </w:p>
    <w:p>
      <w:pPr>
        <w:spacing w:after="160" w:line="288" w:lineRule="auto"/>
      </w:pPr>
      <w:r>
        <w:rPr>
          <w:rFonts w:ascii="Cambria" w:hAnsi="Cambria"/>
          <w:color w:val="e2e8f0"/>
          <w:sz w:val="22"/>
        </w:rPr>
        <w:t xml:space="preserve">During a Safety Hold, the Agency continues all feasible remote verification activities, including satellite imaging, perimeter environmental sampling, and seismic monitoring. The Agency prepares an interim assessment of the site's status based on all available information.</w:t>
      </w:r>
    </w:p>
    <w:p>
      <w:pPr>
        <w:pStyle w:val="Heading2"/>
      </w:pPr>
      <w:r>
        <w:t>4.4 Outcomes</w:t>
      </w:r>
      <w:bookmarkStart w:name="_Toc138" w:id="138"/>
      <w:bookmarkEnd w:id="138"/>
    </w:p>
    <w:p>
      <w:pPr>
        <w:spacing w:after="160" w:line="288" w:lineRule="auto"/>
      </w:pPr>
      <w:r>
        <w:rPr>
          <w:rFonts w:ascii="Cambria" w:hAnsi="Cambria"/>
          <w:color w:val="e2e8f0"/>
          <w:sz w:val="22"/>
        </w:rPr>
        <w:t xml:space="preserve">The Joint Safety Assessment produces one of three outcomes:</w:t>
      </w:r>
    </w:p>
    <w:p>
      <w:pPr>
        <w:spacing w:after="160" w:line="288" w:lineRule="auto"/>
      </w:pPr>
      <w:r>
        <w:rPr>
          <w:rFonts w:ascii="Cambria" w:hAnsi="Cambria"/>
          <w:color w:val="e2e8f0"/>
          <w:sz w:val="22"/>
        </w:rPr>
        <w:t xml:space="preserve">Outcome Alpha — Site access is safe. Physical or robotic access proceeds within a reasonable period of the safety assessment, normally not exceeding 48 hours. The Safety Hold terminates. The site receives a new access category assignment.</w:t>
      </w:r>
    </w:p>
    <w:p>
      <w:pPr>
        <w:spacing w:after="160" w:line="288" w:lineRule="auto"/>
      </w:pPr>
      <w:r>
        <w:rPr>
          <w:rFonts w:ascii="Cambria" w:hAnsi="Cambria"/>
          <w:color w:val="e2e8f0"/>
          <w:sz w:val="22"/>
        </w:rPr>
        <w:t xml:space="preserve">Outcome Beta — Modified access is safe. A modified access protocol is adopted by written agreement of the Joint Technical Team. Access proceeds within a reasonable period under the modified protocol, normally not exceeding 48 hours. The Safety Hold terminates. The site receives Category B assignment.</w:t>
      </w:r>
    </w:p>
    <w:p>
      <w:pPr>
        <w:spacing w:after="160" w:line="288" w:lineRule="auto"/>
      </w:pPr>
      <w:r>
        <w:rPr>
          <w:rFonts w:ascii="Cambria" w:hAnsi="Cambria"/>
          <w:color w:val="e2e8f0"/>
          <w:sz w:val="22"/>
        </w:rPr>
        <w:t xml:space="preserve">Outcome Gamma — Access remains unsafe. Access is deferred for the remainder of the Verification Restoration Period. The Agency notes the deferral in the BVC and assigns the site a provisional status. The BVC is operative for all other sites. A partial inventory covering the deferred site issues when access becomes feasible.</w:t>
      </w:r>
    </w:p>
    <w:p>
      <w:pPr>
        <w:pStyle w:val="Heading2"/>
      </w:pPr>
      <w:r>
        <w:t>4.5 No Penalties</w:t>
      </w:r>
      <w:bookmarkStart w:name="_Toc139" w:id="139"/>
      <w:bookmarkEnd w:id="139"/>
    </w:p>
    <w:p>
      <w:pPr>
        <w:spacing w:after="160" w:line="288" w:lineRule="auto"/>
      </w:pPr>
      <w:r>
        <w:rPr>
          <w:rFonts w:ascii="Cambria" w:hAnsi="Cambria"/>
          <w:color w:val="e2e8f0"/>
          <w:sz w:val="22"/>
        </w:rPr>
        <w:t xml:space="preserve">A properly invoked Safety Hold does not, by itself, constitute non-cooperation, material breach, or grounds for sanctions snapback under Annex T or any other instrument. No step-back mechanism, sanctions measure, or adverse compliance finding attaches to a properly invoked Safety Hold by itself.</w:t>
      </w:r>
    </w:p>
    <w:p>
      <w:pPr>
        <w:spacing w:after="160" w:line="288" w:lineRule="auto"/>
      </w:pPr>
      <w:r>
        <w:rPr>
          <w:rFonts w:ascii="Cambria" w:hAnsi="Cambria"/>
          <w:color w:val="e2e8f0"/>
          <w:sz w:val="22"/>
        </w:rPr>
        <w:t xml:space="preserve">The United States does not characterize a properly invoked Safety Hold as non-cooperation, access denial, or material breach. The Joint Commission does not initiate dispute resolution for a Safety Hold invoked in compliance with this Article.</w:t>
      </w:r>
    </w:p>
    <w:p>
      <w:pPr>
        <w:spacing w:after="160" w:line="288" w:lineRule="auto"/>
      </w:pPr>
      <w:r>
        <w:rPr>
          <w:rFonts w:ascii="Cambria" w:hAnsi="Cambria"/>
          <w:color w:val="e2e8f0"/>
          <w:sz w:val="22"/>
        </w:rPr>
        <w:t xml:space="preserve">This provision does not preclude the Joint Commission from reviewing a pattern of successive Safety Holds at the same site under Article 4.8.</w:t>
      </w:r>
    </w:p>
    <w:p>
      <w:pPr>
        <w:pStyle w:val="Heading2"/>
      </w:pPr>
      <w:r>
        <w:t>4.6 Safety Hold Dispute Resolution</w:t>
      </w:r>
      <w:bookmarkStart w:name="_Toc140" w:id="140"/>
      <w:bookmarkEnd w:id="140"/>
    </w:p>
    <w:p>
      <w:pPr>
        <w:spacing w:after="160" w:line="288" w:lineRule="auto"/>
      </w:pPr>
      <w:r>
        <w:rPr>
          <w:rFonts w:ascii="Cambria" w:hAnsi="Cambria"/>
          <w:color w:val="e2e8f0"/>
          <w:sz w:val="22"/>
        </w:rPr>
        <w:t xml:space="preserve">Where the Agency Radiation Safety Officer determines that a Safety Hold lacks credible safety justification, and Iran maintains its position, the dispute proceeds according to the following escalation ladder:</w:t>
      </w:r>
    </w:p>
    <w:p>
      <w:pPr>
        <w:spacing w:after="160" w:line="288" w:lineRule="auto"/>
      </w:pPr>
      <w:r>
        <w:rPr>
          <w:rFonts w:ascii="Cambria" w:hAnsi="Cambria"/>
          <w:color w:val="e2e8f0"/>
          <w:sz w:val="22"/>
        </w:rPr>
        <w:t xml:space="preserve">Step (a): The Agency Director General convenes an expedited technical review within 72 hours of the dispute arising.</w:t>
      </w:r>
    </w:p>
    <w:p>
      <w:pPr>
        <w:spacing w:after="160" w:line="288" w:lineRule="auto"/>
      </w:pPr>
      <w:r>
        <w:rPr>
          <w:rFonts w:ascii="Cambria" w:hAnsi="Cambria"/>
          <w:color w:val="e2e8f0"/>
          <w:sz w:val="22"/>
        </w:rPr>
        <w:t xml:space="preserve">Step (b): The Independent Technical Review Panel is constituted comprising three qualified experts selected exclusively from the Standing Technical Roster: one nominated by each Party and one selected by the Director General. Where a Party fails to nominate its panel member within 24 hours, the PCC Secretariat Chair appoints a member from the Roster on that Party's behalf. The Panel convenes within hours of constitution.</w:t>
      </w:r>
    </w:p>
    <w:p>
      <w:pPr>
        <w:spacing w:after="160" w:line="288" w:lineRule="auto"/>
      </w:pPr>
      <w:r>
        <w:rPr>
          <w:rFonts w:ascii="Cambria" w:hAnsi="Cambria"/>
          <w:color w:val="e2e8f0"/>
          <w:sz w:val="22"/>
        </w:rPr>
        <w:t xml:space="preserve">Step (c): The Panel issues a binding determination within 14 days of its constitution. The Panel assesses all available technical evidence. The Panel's determination addresses only the credibility of the safety justification; it does not address political merits or any matter outside the technical safety assessment.</w:t>
      </w:r>
    </w:p>
    <w:p>
      <w:pPr>
        <w:spacing w:after="160" w:line="288" w:lineRule="auto"/>
      </w:pPr>
      <w:r>
        <w:rPr>
          <w:rFonts w:ascii="Cambria" w:hAnsi="Cambria"/>
          <w:color w:val="e2e8f0"/>
          <w:sz w:val="22"/>
        </w:rPr>
        <w:t xml:space="preserve">Step (d): A determination that the hold is unjustified triggers the Signature-Delay Trigger under the Memorandum of Understanding Pertaining to PEACE.</w:t>
      </w:r>
    </w:p>
    <w:p>
      <w:pPr>
        <w:spacing w:after="160" w:line="288" w:lineRule="auto"/>
      </w:pPr>
      <w:r>
        <w:rPr>
          <w:rFonts w:ascii="Cambria" w:hAnsi="Cambria"/>
          <w:color w:val="e2e8f0"/>
          <w:sz w:val="22"/>
        </w:rPr>
        <w:t xml:space="preserve">Step (e): A determination that the hold is justified confirms the hold's validity. No penalty attaches. The Safety Hold continues under Articles 4.3 and 4.4.</w:t>
      </w:r>
    </w:p>
    <w:p>
      <w:pPr>
        <w:pStyle w:val="Normal"/>
        <w:spacing w:after="160" w:line="288" w:lineRule="auto"/>
      </w:pPr>
      <w:r>
        <w:rPr>
          <w:rFonts w:ascii="Cambria" w:hAnsi="Cambria" w:eastAsia="Cambria" w:cs="Cambria"/>
          <w:color w:val="E2E8F0"/>
          <w:sz w:val="22"/>
          <w:szCs w:val="22"/>
        </w:rPr>
        <w:t>A Panel determination is final and is not subject to appeal within this Protocol's dispute resolution framework. Either Party challenges a Panel determination only on grounds of procedural defect, not on the merits of the technical finding.</w:t>
      </w:r>
    </w:p>
    <w:p>
      <w:pPr>
        <w:pStyle w:val="Heading2"/>
      </w:pPr>
      <w:bookmarkStart w:name="_Toc141" w:id="141"/>
      <w:r>
        <w:rPr>
          <w:rFonts w:ascii="Cambria" w:hAnsi="Cambria" w:eastAsia="Cambria" w:cs="Cambria"/>
          <w:b/>
          <w:color w:val="A0AEC0"/>
          <w:sz w:val="26"/>
          <w:szCs w:val="26"/>
        </w:rPr>
        <w:t>4.7 Multiple Simultaneous Safety Holds</w:t>
      </w:r>
      <w:bookmarkEnd w:id="141"/>
    </w:p>
    <w:p>
      <w:pPr>
        <w:pStyle w:val="Normal"/>
        <w:spacing w:after="160" w:line="288" w:lineRule="auto"/>
      </w:pPr>
      <w:r>
        <w:rPr>
          <w:rFonts w:ascii="Cambria" w:hAnsi="Cambria" w:eastAsia="Cambria" w:cs="Cambria"/>
          <w:color w:val="E2E8F0"/>
          <w:sz w:val="22"/>
          <w:szCs w:val="22"/>
        </w:rPr>
        <w:t>Iran invokes Safety Holds at multiple Damaged Sites simultaneously where each site independently meets the criteria of Article 4.1. The invocation procedure, duration, obligations, and outcomes apply separately to each site. The Joint Technical Team prioritizes sites with the highest material significance.</w:t>
      </w:r>
    </w:p>
    <w:p>
      <w:pPr>
        <w:pStyle w:val="Heading2"/>
      </w:pPr>
      <w:bookmarkStart w:name="_Toc142" w:id="142"/>
      <w:r>
        <w:rPr>
          <w:rFonts w:ascii="Cambria" w:hAnsi="Cambria" w:eastAsia="Cambria" w:cs="Cambria"/>
          <w:b/>
          <w:color w:val="A0AEC0"/>
          <w:sz w:val="26"/>
          <w:szCs w:val="26"/>
        </w:rPr>
        <w:t>4.8 Successive Safety Hold Limit</w:t>
      </w:r>
      <w:bookmarkEnd w:id="142"/>
    </w:p>
    <w:p>
      <w:pPr>
        <w:pStyle w:val="Normal"/>
        <w:spacing w:after="160" w:line="288" w:lineRule="auto"/>
      </w:pPr>
      <w:r>
        <w:rPr>
          <w:rFonts w:ascii="Cambria" w:hAnsi="Cambria" w:eastAsia="Cambria" w:cs="Cambria"/>
          <w:color w:val="E2E8F0"/>
          <w:sz w:val="22"/>
          <w:szCs w:val="22"/>
        </w:rPr>
        <w:t>No Damaged Site remains continuously under Safety Hold for more than 90 cumulative days within any twelve-month period absent Joint Commission authorization. The Agency Director General monitors cumulative hold days at each site and notifies both Parties and the Joint Commission when a site approaches the 90-day threshold.</w:t>
      </w:r>
    </w:p>
    <w:p>
      <w:pPr>
        <w:pStyle w:val="Normal"/>
        <w:spacing w:after="160" w:line="288" w:lineRule="auto"/>
      </w:pPr>
      <w:r>
        <w:rPr>
          <w:rFonts w:ascii="Cambria" w:hAnsi="Cambria" w:eastAsia="Cambria" w:cs="Cambria"/>
          <w:color w:val="E2E8F0"/>
          <w:sz w:val="22"/>
          <w:szCs w:val="22"/>
        </w:rPr>
        <w:t>Where a site reaches 60 cumulative hold days within a twelve-month period, the Joint Commission convenes to review the technical basis for the holds and assess whether alternative access modalities are feasible. Where a site reaches 90 cumulative hold days, the Joint Commission either authorizes continued holds on a site-by-site basis with specific conditions, or the site exits the Protocol under Article 2.6 if the Director General certifies that standard safeguards access is not feasible.</w:t>
      </w:r>
    </w:p>
    <w:p>
      <w:pPr>
        <w:pStyle w:val="Normal"/>
        <w:spacing w:after="160" w:line="288" w:lineRule="auto"/>
      </w:pPr>
      <w:r>
        <w:rPr>
          <w:rFonts w:ascii="Cambria" w:hAnsi="Cambria" w:eastAsia="Cambria" w:cs="Cambria"/>
          <w:color w:val="E2E8F0"/>
          <w:sz w:val="22"/>
          <w:szCs w:val="22"/>
        </w:rPr>
        <w:t>A pattern of Safety Holds lacking credible technical justification at the same site is reviewable by the Independent Technical Review Panel under Article 4.6, regardless of the cumulative day count.</w:t>
      </w:r>
    </w:p>
    <w:p>
      <w:pPr>
        <w:pStyle w:val="Normal"/>
        <w:spacing w:after="160" w:line="288" w:lineRule="auto"/>
      </w:pPr>
      <w:r>
        <w:rPr>
          <w:rFonts w:ascii="Cambria" w:hAnsi="Cambria" w:eastAsia="Cambria" w:cs="Cambria"/>
          <w:color w:val="E2E8F0"/>
          <w:sz w:val="22"/>
          <w:szCs w:val="22"/>
        </w:rPr>
        <w:t>Where a single Damaged Site exceeds 90 cumulative days of Safety Hold within any twelve-month period, the following process applies:</w:t>
      </w:r>
    </w:p>
    <w:p>
      <w:pPr>
        <w:pStyle w:val="Normal"/>
        <w:spacing w:after="160" w:line="288" w:lineRule="auto"/>
      </w:pPr>
      <w:r>
        <w:rPr>
          <w:rFonts w:ascii="Cambria" w:hAnsi="Cambria" w:eastAsia="Cambria" w:cs="Cambria"/>
          <w:color w:val="E2E8F0"/>
          <w:sz w:val="22"/>
          <w:szCs w:val="22"/>
        </w:rPr>
        <w:t>(i) Automatic Review: The Independent Technical Review Panel automatically convenes to review the cumulative Safety Hold history at that site.</w:t>
      </w:r>
    </w:p>
    <w:p>
      <w:pPr>
        <w:pStyle w:val="Normal"/>
        <w:spacing w:after="160" w:line="288" w:lineRule="auto"/>
      </w:pPr>
      <w:r>
        <w:rPr>
          <w:rFonts w:ascii="Cambria" w:hAnsi="Cambria" w:eastAsia="Cambria" w:cs="Cambria"/>
          <w:color w:val="E2E8F0"/>
          <w:sz w:val="22"/>
          <w:szCs w:val="22"/>
        </w:rPr>
        <w:t>(ii) Panel Determination: The Panel determines whether the cumulative holds: (a) represent a pattern of reasonable safety concerns; (b) constitute abuse of the Safety Hold mechanism; or (c) indicate that the site warrants permanent status under this Protocol or exit under Article 2.6.</w:t>
      </w:r>
    </w:p>
    <w:p>
      <w:pPr>
        <w:pStyle w:val="Normal"/>
        <w:spacing w:after="160" w:line="288" w:lineRule="auto"/>
      </w:pPr>
      <w:r>
        <w:rPr>
          <w:rFonts w:ascii="Cambria" w:hAnsi="Cambria" w:eastAsia="Cambria" w:cs="Cambria"/>
          <w:color w:val="E2E8F0"/>
          <w:sz w:val="22"/>
          <w:szCs w:val="22"/>
        </w:rPr>
        <w:t>(iii) Consequences of Abuse: Where the Panel determines that the Safety Hold pattern constitutes abuse: (a) the Safety Hold immediately terminates; (b) the site reclassifies to Category A or B based on the most recent Joint Safety Assessment; (c) the Party responsible for the abuse bears the costs of any delayed verification activities; and (d) the matter proceeds to the Joint Commission for further action.</w:t>
      </w:r>
    </w:p>
    <w:p>
      <w:pPr>
        <w:pStyle w:val="Normal"/>
        <w:spacing w:after="160" w:line="288" w:lineRule="auto"/>
      </w:pPr>
      <w:r>
        <w:rPr>
          <w:rFonts w:ascii="Cambria" w:hAnsi="Cambria" w:eastAsia="Cambria" w:cs="Cambria"/>
          <w:color w:val="E2E8F0"/>
          <w:sz w:val="22"/>
          <w:szCs w:val="22"/>
        </w:rPr>
        <w:t>(iv) Reasonable Safety Concern: Where the Panel determines that the Safety Hold pattern represents reasonable safety concerns, the Joint Commission: (a) authorizes continued Safety Holds under intensified surveillance conditions; (b) allocates additional resources for safety assessment and site remediation; and (c) establishes a timeline for return to standard safeguards access.</w:t>
      </w:r>
    </w:p>
    <w:p>
      <w:pPr>
        <w:pStyle w:val="Normal"/>
        <w:spacing w:after="160" w:line="288" w:lineRule="auto"/>
      </w:pPr>
      <w:r>
        <w:rPr>
          <w:rFonts w:ascii="Cambria" w:hAnsi="Cambria" w:eastAsia="Cambria" w:cs="Cambria"/>
          <w:color w:val="E2E8F0"/>
          <w:sz w:val="22"/>
          <w:szCs w:val="22"/>
        </w:rPr>
        <w:t>(v) Automatic Exit: Where the Panel determines that safety conditions at the site preclude standard safeguards access for 12 months or more, the site automatically exits this Protocol under Article 2.6.</w:t>
      </w:r>
    </w:p>
    <w:p>
      <w:pPr>
        <w:pStyle w:val="Heading1"/>
      </w:pPr>
      <w:bookmarkStart w:name="_Toc143" w:id="143"/>
      <w:r>
        <w:rPr>
          <w:rFonts w:ascii="Cambria" w:hAnsi="Cambria" w:eastAsia="Cambria" w:cs="Cambria"/>
          <w:b/>
          <w:color w:val="90CDF4"/>
          <w:sz w:val="32"/>
          <w:szCs w:val="32"/>
        </w:rPr>
        <w:t>Article 5: Data Ownership and Distribution</w:t>
      </w:r>
      <w:bookmarkEnd w:id="143"/>
    </w:p>
    <w:p>
      <w:pPr>
        <w:pStyle w:val="Heading2"/>
      </w:pPr>
      <w:bookmarkStart w:name="_Toc144" w:id="144"/>
      <w:r>
        <w:rPr>
          <w:rFonts w:ascii="Cambria" w:hAnsi="Cambria" w:eastAsia="Cambria" w:cs="Cambria"/>
          <w:b/>
          <w:color w:val="A0AEC0"/>
          <w:sz w:val="26"/>
          <w:szCs w:val="26"/>
        </w:rPr>
        <w:t>5.1 Agency Custody of Raw Data</w:t>
      </w:r>
      <w:bookmarkEnd w:id="144"/>
    </w:p>
    <w:p>
      <w:pPr>
        <w:pStyle w:val="Normal"/>
        <w:spacing w:after="160" w:line="288" w:lineRule="auto"/>
      </w:pPr>
      <w:r>
        <w:rPr>
          <w:rFonts w:ascii="Cambria" w:hAnsi="Cambria" w:eastAsia="Cambria" w:cs="Cambria"/>
          <w:color w:val="E2E8F0"/>
          <w:sz w:val="22"/>
          <w:szCs w:val="22"/>
        </w:rPr>
        <w:t>All raw telemetry, mass spectrometry data, environmental sampling results, inspection records, imagery, video recordings, robotic sensor data, and other raw information generated during verification activities at Damaged Sites is maintained by the Agency under its standard safeguards procedures. This custody arrangement derives from the Agency's mandate under its Statute and the Safeguards Agreement.</w:t>
      </w:r>
    </w:p>
    <w:p>
      <w:pPr>
        <w:pStyle w:val="Heading2"/>
      </w:pPr>
      <w:bookmarkStart w:name="_Toc145" w:id="145"/>
      <w:r>
        <w:rPr>
          <w:rFonts w:ascii="Cambria" w:hAnsi="Cambria" w:eastAsia="Cambria" w:cs="Cambria"/>
          <w:b/>
          <w:color w:val="A0AEC0"/>
          <w:sz w:val="26"/>
          <w:szCs w:val="26"/>
        </w:rPr>
        <w:t>5.2 Distribution to the Parties</w:t>
      </w:r>
      <w:bookmarkEnd w:id="145"/>
    </w:p>
    <w:p>
      <w:pPr>
        <w:pStyle w:val="Normal"/>
        <w:spacing w:after="160" w:line="288" w:lineRule="auto"/>
      </w:pPr>
      <w:r>
        <w:rPr>
          <w:rFonts w:ascii="Cambria" w:hAnsi="Cambria" w:eastAsia="Cambria" w:cs="Cambria"/>
          <w:color w:val="E2E8F0"/>
          <w:sz w:val="22"/>
          <w:szCs w:val="22"/>
        </w:rPr>
        <w:t>The United States receives only the Baseline Verification Certificate and site-specific summaries prepared by the Agency Director General. Iran receives the same distribution. Neither Party receives raw telemetry, environmental data, or unprocessed inspection records.</w:t>
      </w:r>
    </w:p>
    <w:p>
      <w:pPr>
        <w:pStyle w:val="Normal"/>
        <w:spacing w:after="160" w:line="288" w:lineRule="auto"/>
      </w:pPr>
      <w:r>
        <w:rPr>
          <w:rFonts w:ascii="Cambria" w:hAnsi="Cambria" w:eastAsia="Cambria" w:cs="Cambria"/>
          <w:color w:val="E2E8F0"/>
          <w:sz w:val="22"/>
          <w:szCs w:val="22"/>
        </w:rPr>
        <w:t>Site-specific summaries contain: verified mass and enrichment level of nuclear material at each Damaged Site; the access category assigned; the status of any Safety Hold and its outcome; the disposition status of recovered material under dual-key custody; and any discrepancies between verified inventory and Iran's pre-attack declarations.</w:t>
      </w:r>
    </w:p>
    <w:p>
      <w:pPr>
        <w:pStyle w:val="Heading2"/>
      </w:pPr>
      <w:bookmarkStart w:name="_Toc146" w:id="146"/>
      <w:r>
        <w:rPr>
          <w:rFonts w:ascii="Cambria" w:hAnsi="Cambria" w:eastAsia="Cambria" w:cs="Cambria"/>
          <w:b/>
          <w:color w:val="A0AEC0"/>
          <w:sz w:val="26"/>
          <w:szCs w:val="26"/>
        </w:rPr>
        <w:t>5.3 Use Restrictions</w:t>
      </w:r>
      <w:bookmarkEnd w:id="146"/>
    </w:p>
    <w:p>
      <w:pPr>
        <w:pStyle w:val="Normal"/>
        <w:spacing w:after="160" w:line="288" w:lineRule="auto"/>
      </w:pPr>
      <w:r>
        <w:rPr>
          <w:rFonts w:ascii="Cambria" w:hAnsi="Cambria" w:eastAsia="Cambria" w:cs="Cambria"/>
          <w:color w:val="E2E8F0"/>
          <w:sz w:val="22"/>
          <w:szCs w:val="22"/>
        </w:rPr>
        <w:t>Information obtained pursuant to this Protocol is used exclusively for verification and compliance purposes.</w:t>
      </w:r>
    </w:p>
    <w:p>
      <w:pPr>
        <w:pStyle w:val="Heading2"/>
      </w:pPr>
      <w:bookmarkStart w:name="_Toc147" w:id="147"/>
      <w:r>
        <w:rPr>
          <w:rFonts w:ascii="Cambria" w:hAnsi="Cambria" w:eastAsia="Cambria" w:cs="Cambria"/>
          <w:b/>
          <w:color w:val="A0AEC0"/>
          <w:sz w:val="26"/>
          <w:szCs w:val="26"/>
        </w:rPr>
        <w:t>5.4 Data Security</w:t>
      </w:r>
      <w:bookmarkEnd w:id="147"/>
    </w:p>
    <w:p>
      <w:pPr>
        <w:pStyle w:val="Normal"/>
        <w:spacing w:after="160" w:line="288" w:lineRule="auto"/>
      </w:pPr>
      <w:r>
        <w:rPr>
          <w:rFonts w:ascii="Cambria" w:hAnsi="Cambria" w:eastAsia="Cambria" w:cs="Cambria"/>
          <w:color w:val="E2E8F0"/>
          <w:sz w:val="22"/>
          <w:szCs w:val="22"/>
        </w:rPr>
        <w:t>The Agency encrypts all data generated under this Protocol using standards equivalent to or exceeding its classified information handling procedures. Data transmission employs dedicated secure communications infrastructure. Physical media travels under Agency custody with courier protocols.</w:t>
      </w:r>
    </w:p>
    <w:p>
      <w:pPr>
        <w:pStyle w:val="Normal"/>
        <w:spacing w:after="160" w:line="288" w:lineRule="auto"/>
      </w:pPr>
      <w:r>
        <w:rPr>
          <w:rFonts w:ascii="Cambria" w:hAnsi="Cambria" w:eastAsia="Cambria" w:cs="Cambria"/>
          <w:color w:val="E2E8F0"/>
          <w:sz w:val="22"/>
          <w:szCs w:val="22"/>
        </w:rPr>
        <w:t>Access to raw data within the Agency is limited to: the Director General and designated senior staff; the inspection team assigned to the relevant site; the Agency's Safeguards Analytical Laboratory; and the Incident and Emergency Centre, where radiological safety data is relevant to their mandate.</w:t>
      </w:r>
    </w:p>
    <w:p>
      <w:pPr>
        <w:pStyle w:val="Heading2"/>
      </w:pPr>
      <w:bookmarkStart w:name="_Toc148" w:id="148"/>
      <w:r>
        <w:rPr>
          <w:rFonts w:ascii="Cambria" w:hAnsi="Cambria" w:eastAsia="Cambria" w:cs="Cambria"/>
          <w:b/>
          <w:color w:val="A0AEC0"/>
          <w:sz w:val="26"/>
          <w:szCs w:val="26"/>
        </w:rPr>
        <w:t>5.5 Retention</w:t>
      </w:r>
      <w:bookmarkEnd w:id="148"/>
    </w:p>
    <w:p>
      <w:pPr>
        <w:pStyle w:val="Normal"/>
        <w:spacing w:after="160" w:line="288" w:lineRule="auto"/>
      </w:pPr>
      <w:r>
        <w:rPr>
          <w:rFonts w:ascii="Cambria" w:hAnsi="Cambria" w:eastAsia="Cambria" w:cs="Cambria"/>
          <w:color w:val="E2E8F0"/>
          <w:sz w:val="22"/>
          <w:szCs w:val="22"/>
        </w:rPr>
        <w:t>The Agency retains all raw data generated under this Protocol for the duration of the Protocol plus 10 years. Following expiration or termination, the Agency archives the data in accordance with its standard procedures. Destruction of raw data requires the concurrence of both Parties and the Agency Director General.</w:t>
      </w:r>
    </w:p>
    <w:p>
      <w:pPr>
        <w:pStyle w:val="Heading2"/>
      </w:pPr>
      <w:bookmarkStart w:name="_Toc149" w:id="149"/>
      <w:r>
        <w:rPr>
          <w:rFonts w:ascii="Cambria" w:hAnsi="Cambria" w:eastAsia="Cambria" w:cs="Cambria"/>
          <w:b/>
          <w:color w:val="A0AEC0"/>
          <w:sz w:val="26"/>
          <w:szCs w:val="26"/>
        </w:rPr>
        <w:t>5.6 Cybersecurity Obligations</w:t>
      </w:r>
      <w:bookmarkEnd w:id="149"/>
    </w:p>
    <w:p>
      <w:pPr>
        <w:pStyle w:val="Normal"/>
        <w:spacing w:after="160" w:line="288" w:lineRule="auto"/>
      </w:pPr>
      <w:r>
        <w:rPr>
          <w:rFonts w:ascii="Cambria" w:hAnsi="Cambria" w:eastAsia="Cambria" w:cs="Cambria"/>
          <w:color w:val="E2E8F0"/>
          <w:sz w:val="22"/>
          <w:szCs w:val="22"/>
        </w:rPr>
        <w:t>(i) Prohibited Activities: The framework architecture excludes cyber operations directed against monitoring systems, communications infrastructure, verification equipment, or data storage systems that operate under this Protocol.</w:t>
      </w:r>
    </w:p>
    <w:p>
      <w:pPr>
        <w:pStyle w:val="Normal"/>
        <w:spacing w:after="160" w:line="288" w:lineRule="auto"/>
      </w:pPr>
      <w:r>
        <w:rPr>
          <w:rFonts w:ascii="Cambria" w:hAnsi="Cambria" w:eastAsia="Cambria" w:cs="Cambria"/>
          <w:color w:val="E2E8F0"/>
          <w:sz w:val="22"/>
          <w:szCs w:val="22"/>
        </w:rPr>
        <w:t>(ii) Detection and Reporting: Where a Party detects or suspects a cyber incident that affects Protocol systems, that Party notifies the Agency Director General and the PCC Secretariat within 24 hours. The notification includes: the nature of the incident; the systems involved; the estimated impact; and the measures that the Party takes to address the incident.</w:t>
      </w:r>
    </w:p>
    <w:p>
      <w:pPr>
        <w:pStyle w:val="Normal"/>
        <w:spacing w:after="160" w:line="288" w:lineRule="auto"/>
      </w:pPr>
      <w:r>
        <w:rPr>
          <w:rFonts w:ascii="Cambria" w:hAnsi="Cambria" w:eastAsia="Cambria" w:cs="Cambria"/>
          <w:color w:val="E2E8F0"/>
          <w:sz w:val="22"/>
          <w:szCs w:val="22"/>
        </w:rPr>
        <w:t>(iii) IAEA Investigation: Where a Party reports a cyber incident, the IAEA conducts a technical investigation. The IAEA provides a preliminary report to both Parties within 14 days and a final report within 60 days.</w:t>
      </w:r>
    </w:p>
    <w:p>
      <w:pPr>
        <w:pStyle w:val="Normal"/>
        <w:spacing w:after="160" w:line="288" w:lineRule="auto"/>
      </w:pPr>
      <w:r>
        <w:rPr>
          <w:rFonts w:ascii="Cambria" w:hAnsi="Cambria" w:eastAsia="Cambria" w:cs="Cambria"/>
          <w:color w:val="E2E8F0"/>
          <w:sz w:val="22"/>
          <w:szCs w:val="22"/>
        </w:rPr>
        <w:t>(iv) Proportional Response: A cyber incident does not constitute grounds for Protocol suspension or termination by itself. However, where a Party intentionally conducts cyber operations against Protocol systems, the Joint Commission: (a) suspends that Party's access to verification data; (b) imposes financial penalties; or (c) terminates the Protocol with respect to that Party.</w:t>
      </w:r>
    </w:p>
    <w:p>
      <w:pPr>
        <w:pStyle w:val="Normal"/>
        <w:spacing w:after="160" w:line="288" w:lineRule="auto"/>
      </w:pPr>
      <w:r>
        <w:rPr>
          <w:rFonts w:ascii="Cambria" w:hAnsi="Cambria" w:eastAsia="Cambria" w:cs="Cambria"/>
          <w:color w:val="E2E8F0"/>
          <w:sz w:val="22"/>
          <w:szCs w:val="22"/>
        </w:rPr>
        <w:t>(v) Continuous Improvement: The Parties review and update cybersecurity measures annually, incorporating lessons from any incidents.</w:t>
      </w:r>
    </w:p>
    <w:p>
      <w:pPr>
        <w:pStyle w:val="Heading1"/>
      </w:pPr>
      <w:bookmarkStart w:name="_Toc150" w:id="150"/>
      <w:r>
        <w:rPr>
          <w:rFonts w:ascii="Cambria" w:hAnsi="Cambria" w:eastAsia="Cambria" w:cs="Cambria"/>
          <w:b/>
          <w:color w:val="90CDF4"/>
          <w:sz w:val="32"/>
          <w:szCs w:val="32"/>
        </w:rPr>
        <w:t>Article 6: Chain of Custody for Recovered Material</w:t>
      </w:r>
      <w:bookmarkEnd w:id="150"/>
    </w:p>
    <w:p>
      <w:pPr>
        <w:pStyle w:val="Heading2"/>
      </w:pPr>
      <w:bookmarkStart w:name="_Toc151" w:id="151"/>
      <w:r>
        <w:rPr>
          <w:rFonts w:ascii="Cambria" w:hAnsi="Cambria" w:eastAsia="Cambria" w:cs="Cambria"/>
          <w:b/>
          <w:color w:val="A0AEC0"/>
          <w:sz w:val="26"/>
          <w:szCs w:val="26"/>
        </w:rPr>
        <w:t>6.1 Dual-Key Custody</w:t>
      </w:r>
      <w:bookmarkEnd w:id="151"/>
    </w:p>
    <w:p>
      <w:pPr>
        <w:pStyle w:val="Normal"/>
        <w:spacing w:after="160" w:line="288" w:lineRule="auto"/>
      </w:pPr>
      <w:r>
        <w:rPr>
          <w:rFonts w:ascii="Cambria" w:hAnsi="Cambria" w:eastAsia="Cambria" w:cs="Cambria"/>
          <w:color w:val="E2E8F0"/>
          <w:sz w:val="22"/>
          <w:szCs w:val="22"/>
        </w:rPr>
        <w:t>If the Agency recovers nuclear material from any Damaged Site, the material is immediately placed under dual-key custody. The Agency applies its seals, tags, and tracking identifiers. Iran applies its own seals and tracking identifiers. Both Parties sign the dual-key custody certificate at the site. Neither Party moves, opens, or accesses the material without the written concurrence of the other.</w:t>
      </w:r>
    </w:p>
    <w:p>
      <w:pPr>
        <w:pStyle w:val="Heading2"/>
      </w:pPr>
      <w:bookmarkStart w:name="_Toc152" w:id="152"/>
      <w:r>
        <w:rPr>
          <w:rFonts w:ascii="Cambria" w:hAnsi="Cambria" w:eastAsia="Cambria" w:cs="Cambria"/>
          <w:b/>
          <w:color w:val="A0AEC0"/>
          <w:sz w:val="26"/>
          <w:szCs w:val="26"/>
        </w:rPr>
        <w:t>6.2 Disposition Deadlock Procedure</w:t>
      </w:r>
      <w:bookmarkEnd w:id="152"/>
    </w:p>
    <w:p>
      <w:pPr>
        <w:pStyle w:val="Normal"/>
        <w:spacing w:after="160" w:line="288" w:lineRule="auto"/>
      </w:pPr>
      <w:r>
        <w:rPr>
          <w:rFonts w:ascii="Cambria" w:hAnsi="Cambria" w:eastAsia="Cambria" w:cs="Cambria"/>
          <w:color w:val="E2E8F0"/>
          <w:sz w:val="22"/>
          <w:szCs w:val="22"/>
        </w:rPr>
        <w:t>If the Parties cannot agree on material disposition within 14 days of recovery, the dispute proceeds according to the following escalation ladder:</w:t>
      </w:r>
    </w:p>
    <w:p>
      <w:pPr>
        <w:pStyle w:val="Normal"/>
        <w:spacing w:after="160" w:line="288" w:lineRule="auto"/>
      </w:pPr>
      <w:r>
        <w:rPr>
          <w:rFonts w:ascii="Cambria" w:hAnsi="Cambria" w:eastAsia="Cambria" w:cs="Cambria"/>
          <w:color w:val="E2E8F0"/>
          <w:sz w:val="22"/>
          <w:szCs w:val="22"/>
        </w:rPr>
        <w:t>Step (a): The Joint Commission convenes within 7 days of the deadlock arising and seeks consensus on a disposition pathway.</w:t>
      </w:r>
    </w:p>
    <w:p>
      <w:pPr>
        <w:pStyle w:val="Normal"/>
        <w:spacing w:after="160" w:line="288" w:lineRule="auto"/>
      </w:pPr>
      <w:r>
        <w:rPr>
          <w:rFonts w:ascii="Cambria" w:hAnsi="Cambria" w:eastAsia="Cambria" w:cs="Cambria"/>
          <w:color w:val="E2E8F0"/>
          <w:sz w:val="22"/>
          <w:szCs w:val="22"/>
        </w:rPr>
        <w:t>Step (b): If the Joint Commission cannot reach consensus within 14 days of its convening, the Agency Director General proposes a disposition pathway reflecting the Agency's independent technical assessment.</w:t>
      </w:r>
    </w:p>
    <w:p>
      <w:pPr>
        <w:pStyle w:val="Normal"/>
        <w:spacing w:after="160" w:line="288" w:lineRule="auto"/>
      </w:pPr>
      <w:r>
        <w:rPr>
          <w:rFonts w:ascii="Cambria" w:hAnsi="Cambria" w:eastAsia="Cambria" w:cs="Cambria"/>
          <w:color w:val="E2E8F0"/>
          <w:sz w:val="22"/>
          <w:szCs w:val="22"/>
        </w:rPr>
        <w:t>Step (c): The Director General's proposal is binding on both Parties unless both Parties jointly object within 14 days of its issuance. A joint objection requires signature by the designated senior official of each Party at Deputy Minister level or above.</w:t>
      </w:r>
    </w:p>
    <w:p>
      <w:pPr>
        <w:pStyle w:val="Normal"/>
        <w:spacing w:after="160" w:line="288" w:lineRule="auto"/>
      </w:pPr>
      <w:r>
        <w:rPr>
          <w:rFonts w:ascii="Cambria" w:hAnsi="Cambria" w:eastAsia="Cambria" w:cs="Cambria"/>
          <w:color w:val="E2E8F0"/>
          <w:sz w:val="22"/>
          <w:szCs w:val="22"/>
        </w:rPr>
        <w:t>Step (d): If both Parties jointly object, the material remains under dual-key custody at its current location pending further agreement. The Agency continues all necessary monitoring and safety measures. Neither Party moves, processes, or removes the material during the continued deadlock.</w:t>
      </w:r>
    </w:p>
    <w:p>
      <w:pPr>
        <w:pStyle w:val="Normal"/>
        <w:spacing w:after="160" w:line="288" w:lineRule="auto"/>
      </w:pPr>
      <w:r>
        <w:rPr>
          <w:rFonts w:ascii="Cambria" w:hAnsi="Cambria" w:eastAsia="Cambria" w:cs="Cambria"/>
          <w:color w:val="E2E8F0"/>
          <w:sz w:val="22"/>
          <w:szCs w:val="22"/>
        </w:rPr>
        <w:t>This ladder applies exclusively to disposition disputes. It does not apply to disputes over the existence, identity, or quantity of recovered material, which proceed under Article 3.</w:t>
      </w:r>
    </w:p>
    <w:p>
      <w:pPr>
        <w:pStyle w:val="Heading2"/>
      </w:pPr>
      <w:bookmarkStart w:name="_Toc153" w:id="153"/>
      <w:r>
        <w:rPr>
          <w:rFonts w:ascii="Cambria" w:hAnsi="Cambria" w:eastAsia="Cambria" w:cs="Cambria"/>
          <w:b/>
          <w:color w:val="A0AEC0"/>
          <w:sz w:val="26"/>
          <w:szCs w:val="26"/>
        </w:rPr>
        <w:t>6.3 Cataloguing and Tracking</w:t>
      </w:r>
      <w:bookmarkEnd w:id="153"/>
    </w:p>
    <w:p>
      <w:pPr>
        <w:pStyle w:val="Normal"/>
        <w:spacing w:after="160" w:line="288" w:lineRule="auto"/>
      </w:pPr>
      <w:r>
        <w:rPr>
          <w:rFonts w:ascii="Cambria" w:hAnsi="Cambria" w:eastAsia="Cambria" w:cs="Cambria"/>
          <w:color w:val="E2E8F0"/>
          <w:sz w:val="22"/>
          <w:szCs w:val="22"/>
        </w:rPr>
        <w:t>All recovered material is catalogued with: a unique joint identifier; physical description including form, container type, and estimated mass; enrichment level from preliminary mass spectrometry; facility of origin and recovery location; radiation level and handling requirements; and photograph and radiation scan of the sealed container.</w:t>
      </w:r>
    </w:p>
    <w:p>
      <w:pPr>
        <w:pStyle w:val="Normal"/>
        <w:spacing w:after="160" w:line="288" w:lineRule="auto"/>
      </w:pPr>
      <w:r>
        <w:rPr>
          <w:rFonts w:ascii="Cambria" w:hAnsi="Cambria" w:eastAsia="Cambria" w:cs="Cambria"/>
          <w:color w:val="E2E8F0"/>
          <w:sz w:val="22"/>
          <w:szCs w:val="22"/>
        </w:rPr>
        <w:t>The catalogue is maintained jointly. Updates require signature of both the Agency Lead Inspector and the designated Iranian nuclear official. Either Party requests re-verification at any time during the Protocol period.</w:t>
      </w:r>
    </w:p>
    <w:p>
      <w:pPr>
        <w:pStyle w:val="Heading2"/>
      </w:pPr>
      <w:bookmarkStart w:name="_Toc154" w:id="154"/>
      <w:r>
        <w:rPr>
          <w:rFonts w:ascii="Cambria" w:hAnsi="Cambria" w:eastAsia="Cambria" w:cs="Cambria"/>
          <w:b/>
          <w:color w:val="A0AEC0"/>
          <w:sz w:val="26"/>
          <w:szCs w:val="26"/>
        </w:rPr>
        <w:t>6.4 Storage and Protection</w:t>
      </w:r>
      <w:bookmarkEnd w:id="154"/>
    </w:p>
    <w:p>
      <w:pPr>
        <w:pStyle w:val="Normal"/>
        <w:spacing w:after="160" w:line="288" w:lineRule="auto"/>
      </w:pPr>
      <w:r>
        <w:rPr>
          <w:rFonts w:ascii="Cambria" w:hAnsi="Cambria" w:eastAsia="Cambria" w:cs="Cambria"/>
          <w:color w:val="E2E8F0"/>
          <w:sz w:val="22"/>
          <w:szCs w:val="22"/>
        </w:rPr>
        <w:t>Recovered material remains at the Damaged Site unless both Parties and the Agency Director General agree in writing to transfer it. Where material remains on site, it is stored in a secure area designated jointly and monitored continuously by Agency and Iranian surveillance equipment utilizing Agency-approved monitoring technologies. Recovered material remains under uninterrupted authenticated surveillance at all times.</w:t>
      </w:r>
    </w:p>
    <w:p>
      <w:pPr>
        <w:pStyle w:val="Heading2"/>
      </w:pPr>
      <w:bookmarkStart w:name="_Toc155" w:id="155"/>
      <w:r>
        <w:rPr>
          <w:rFonts w:ascii="Cambria" w:hAnsi="Cambria" w:eastAsia="Cambria" w:cs="Cambria"/>
          <w:b/>
          <w:color w:val="A0AEC0"/>
          <w:sz w:val="26"/>
          <w:szCs w:val="26"/>
        </w:rPr>
        <w:t>6.5 Removal from Iran</w:t>
      </w:r>
      <w:bookmarkEnd w:id="155"/>
    </w:p>
    <w:p>
      <w:pPr>
        <w:pStyle w:val="Normal"/>
        <w:spacing w:after="160" w:line="288" w:lineRule="auto"/>
      </w:pPr>
      <w:r>
        <w:rPr>
          <w:rFonts w:ascii="Cambria" w:hAnsi="Cambria" w:eastAsia="Cambria" w:cs="Cambria"/>
          <w:color w:val="E2E8F0"/>
          <w:sz w:val="22"/>
          <w:szCs w:val="22"/>
        </w:rPr>
        <w:t>Recovered nuclear material is not removed from Iran without Iran's explicit, written, revocable consent. Any proposal for removal is transmitted through the Joint Commission with a technical justification from the Agency Director General. Iran revokes its consent at any time on reasonable notice.</w:t>
      </w:r>
    </w:p>
    <w:p>
      <w:pPr>
        <w:pStyle w:val="Heading2"/>
      </w:pPr>
      <w:bookmarkStart w:name="_Toc156" w:id="156"/>
      <w:r>
        <w:rPr>
          <w:rFonts w:ascii="Cambria" w:hAnsi="Cambria" w:eastAsia="Cambria" w:cs="Cambria"/>
          <w:b/>
          <w:color w:val="A0AEC0"/>
          <w:sz w:val="26"/>
          <w:szCs w:val="26"/>
        </w:rPr>
        <w:t>6.6 Material Not Under Dual-Key Custody</w:t>
      </w:r>
      <w:bookmarkEnd w:id="156"/>
    </w:p>
    <w:p>
      <w:pPr>
        <w:pStyle w:val="Normal"/>
        <w:spacing w:after="160" w:line="288" w:lineRule="auto"/>
      </w:pPr>
      <w:r>
        <w:rPr>
          <w:rFonts w:ascii="Cambria" w:hAnsi="Cambria" w:eastAsia="Cambria" w:cs="Cambria"/>
          <w:color w:val="E2E8F0"/>
          <w:sz w:val="22"/>
          <w:szCs w:val="22"/>
        </w:rPr>
        <w:t>Nuclear material that Iran declares and the Agency verifies as remaining in its pre-attack storage configuration is not subject to dual-key custody, provided the Agency confirms the integrity of the storage containment and the material's identity through non-destructive assay. Such material remains under Iran's physical custody with Agency seals and monitoring.</w:t>
      </w:r>
    </w:p>
    <w:p>
      <w:pPr>
        <w:pStyle w:val="Heading2"/>
      </w:pPr>
      <w:r>
        <w:rPr>
          <w:rFonts w:ascii="Cambria" w:hAnsi="Cambria" w:eastAsia="Cambria" w:cs="Cambria"/>
          <w:b/>
          <w:color w:val="A0AEC0"/>
          <w:sz w:val="26"/>
          <w:szCs w:val="26"/>
        </w:rPr>
        <w:t>6.7 Material Unaccounted For (MUF) Procedure</w:t>
      </w:r>
    </w:p>
    <w:p>
      <w:pPr>
        <w:pStyle w:val="Normal"/>
        <w:spacing w:after="160" w:line="288" w:lineRule="auto"/>
      </w:pPr>
      <w:r>
        <w:rPr>
          <w:rFonts w:ascii="Cambria" w:hAnsi="Cambria" w:eastAsia="Cambria" w:cs="Cambria"/>
          <w:color w:val="E2E8F0"/>
          <w:sz w:val="22"/>
          <w:szCs w:val="22"/>
        </w:rPr>
        <w:t>(i) MUF Detection: Where the IAEA identifies Material Unaccounted For that exceeds established detection thresholds, the IAEA notifies both Parties and the Joint Secretariat within 24 hours.</w:t>
      </w:r>
    </w:p>
    <w:p>
      <w:pPr>
        <w:pStyle w:val="Normal"/>
        <w:spacing w:after="160" w:line="288" w:lineRule="auto"/>
      </w:pPr>
      <w:r>
        <w:rPr>
          <w:rFonts w:ascii="Cambria" w:hAnsi="Cambria" w:eastAsia="Cambria" w:cs="Cambria"/>
          <w:color w:val="E2E8F0"/>
          <w:sz w:val="22"/>
          <w:szCs w:val="22"/>
        </w:rPr>
        <w:t>(ii) Joint Technical Review: The Joint Technical Team conducts a Joint Technical Review within 14 days of MUF detection. The Review examines measurement data, calculation methodologies, potential measurement errors, record-keeping discrepancies, and any other factors that explain the MUF.</w:t>
      </w:r>
    </w:p>
    <w:p>
      <w:pPr>
        <w:pStyle w:val="Normal"/>
        <w:spacing w:after="160" w:line="288" w:lineRule="auto"/>
      </w:pPr>
      <w:r>
        <w:rPr>
          <w:rFonts w:ascii="Cambria" w:hAnsi="Cambria" w:eastAsia="Cambria" w:cs="Cambria"/>
          <w:color w:val="E2E8F0"/>
          <w:sz w:val="22"/>
          <w:szCs w:val="22"/>
        </w:rPr>
        <w:t>(iii) MUF Resolution: Where the Joint Technical Review identifies the source of MUF, the material undergoes re-measurement and re-verification. Where the MUF persists after 30 days without resolution, the matter proceeds to the Independent Technical Review Panel.</w:t>
      </w:r>
    </w:p>
    <w:p>
      <w:pPr>
        <w:pStyle w:val="Normal"/>
        <w:spacing w:after="160" w:line="288" w:lineRule="auto"/>
      </w:pPr>
      <w:r>
        <w:rPr>
          <w:rFonts w:ascii="Cambria" w:hAnsi="Cambria" w:eastAsia="Cambria" w:cs="Cambria"/>
          <w:color w:val="E2E8F0"/>
          <w:sz w:val="22"/>
          <w:szCs w:val="22"/>
        </w:rPr>
        <w:t>(iv) Provisional Status: The Baseline Verification Certificate assigns provisional status to material while MUF resolution remains open. Provisional status constitutes neither a finding of non-compliance nor a trigger for Step-Back, on condition that both Parties cooperate fully with the MUF resolution process.</w:t>
      </w:r>
    </w:p>
    <w:p>
      <w:pPr>
        <w:pStyle w:val="Normal"/>
        <w:spacing w:after="160" w:line="288" w:lineRule="auto"/>
      </w:pPr>
      <w:r>
        <w:rPr>
          <w:rFonts w:ascii="Cambria" w:hAnsi="Cambria" w:eastAsia="Cambria" w:cs="Cambria"/>
          <w:color w:val="E2E8F0"/>
          <w:sz w:val="22"/>
          <w:szCs w:val="22"/>
        </w:rPr>
        <w:t>(v) Binding Determination: The Independent Technical Review Panel issues a binding determination on the MUF within 60 days of referral. Where the Panel determines that the MUF represents a material breach, Step-Back under Annex ES Article 5 applies.</w:t>
      </w:r>
    </w:p>
    <w:p>
      <w:pPr>
        <w:pStyle w:val="Heading1"/>
      </w:pPr>
      <w:bookmarkStart w:name="_Toc157" w:id="157"/>
      <w:r>
        <w:rPr>
          <w:rFonts w:ascii="Cambria" w:hAnsi="Cambria" w:eastAsia="Cambria" w:cs="Cambria"/>
          <w:b/>
          <w:color w:val="90CDF4"/>
          <w:sz w:val="32"/>
          <w:szCs w:val="32"/>
        </w:rPr>
        <w:t>Article 7: Liability and Compensation</w:t>
      </w:r>
      <w:bookmarkEnd w:id="157"/>
    </w:p>
    <w:p>
      <w:pPr>
        <w:pStyle w:val="Heading2"/>
      </w:pPr>
      <w:bookmarkStart w:name="_Toc158" w:id="158"/>
      <w:r>
        <w:rPr>
          <w:rFonts w:ascii="Cambria" w:hAnsi="Cambria" w:eastAsia="Cambria" w:cs="Cambria"/>
          <w:b/>
          <w:color w:val="A0AEC0"/>
          <w:sz w:val="26"/>
          <w:szCs w:val="26"/>
        </w:rPr>
        <w:t>7.1 Liability Framework</w:t>
      </w:r>
      <w:bookmarkEnd w:id="158"/>
    </w:p>
    <w:p>
      <w:pPr>
        <w:pStyle w:val="Normal"/>
        <w:spacing w:after="160" w:line="288" w:lineRule="auto"/>
      </w:pPr>
      <w:r>
        <w:rPr>
          <w:rFonts w:ascii="Cambria" w:hAnsi="Cambria" w:eastAsia="Cambria" w:cs="Cambria"/>
          <w:color w:val="E2E8F0"/>
          <w:sz w:val="22"/>
          <w:szCs w:val="22"/>
        </w:rPr>
        <w:t>Liability arising from activities conducted under this Protocol is governed by applicable international law and any arrangements agreed by the Parties and the Agency.</w:t>
      </w:r>
    </w:p>
    <w:p>
      <w:pPr>
        <w:pStyle w:val="Heading2"/>
      </w:pPr>
      <w:bookmarkStart w:name="_Toc159" w:id="159"/>
      <w:r>
        <w:rPr>
          <w:rFonts w:ascii="Cambria" w:hAnsi="Cambria" w:eastAsia="Cambria" w:cs="Cambria"/>
          <w:b/>
          <w:color w:val="A0AEC0"/>
          <w:sz w:val="26"/>
          <w:szCs w:val="26"/>
        </w:rPr>
        <w:t>7.2 Voluntary Trust Fund</w:t>
      </w:r>
      <w:bookmarkEnd w:id="159"/>
    </w:p>
    <w:p>
      <w:pPr>
        <w:pStyle w:val="Normal"/>
        <w:spacing w:after="160" w:line="288" w:lineRule="auto"/>
      </w:pPr>
      <w:r>
        <w:rPr>
          <w:rFonts w:ascii="Cambria" w:hAnsi="Cambria" w:eastAsia="Cambria" w:cs="Cambria"/>
          <w:color w:val="E2E8F0"/>
          <w:sz w:val="22"/>
          <w:szCs w:val="22"/>
        </w:rPr>
        <w:t>The Parties establish a Voluntary Trust Fund to cover damage to Iranian property or injury to Iranian personnel that results from Agency inspection activities. Contributions to the Fund are voluntary. The PCC Secretariat administers the Fund.</w:t>
      </w:r>
    </w:p>
    <w:p>
      <w:pPr>
        <w:pStyle w:val="Normal"/>
        <w:spacing w:after="160" w:line="288" w:lineRule="auto"/>
      </w:pPr>
      <w:r>
        <w:rPr>
          <w:rFonts w:ascii="Cambria" w:hAnsi="Cambria" w:eastAsia="Cambria" w:cs="Cambria"/>
          <w:color w:val="E2E8F0"/>
          <w:sz w:val="22"/>
          <w:szCs w:val="22"/>
        </w:rPr>
        <w:t>Claims against the Fund follow this process:</w:t>
      </w:r>
    </w:p>
    <w:p>
      <w:pPr>
        <w:pStyle w:val="Normal"/>
        <w:spacing w:after="160" w:line="288" w:lineRule="auto"/>
      </w:pPr>
      <w:r>
        <w:rPr>
          <w:rFonts w:ascii="Cambria" w:hAnsi="Cambria" w:eastAsia="Cambria" w:cs="Cambria"/>
          <w:color w:val="E2E8F0"/>
          <w:sz w:val="22"/>
          <w:szCs w:val="22"/>
        </w:rPr>
        <w:t>(i) Initial Claim Submission: Iran submits a written claim to the PCC Secretariat within 30 days of the damage occurrence. The submission includes: a description of the damage; the estimated monetary value; supporting evidence including photographs, technical assessments, and witness statements; and a proposed remediation plan.</w:t>
      </w:r>
    </w:p>
    <w:p>
      <w:pPr>
        <w:pStyle w:val="Normal"/>
        <w:spacing w:after="160" w:line="288" w:lineRule="auto"/>
      </w:pPr>
      <w:r>
        <w:rPr>
          <w:rFonts w:ascii="Cambria" w:hAnsi="Cambria" w:eastAsia="Cambria" w:cs="Cambria"/>
          <w:color w:val="E2E8F0"/>
          <w:sz w:val="22"/>
          <w:szCs w:val="22"/>
        </w:rPr>
        <w:t>(ii) Technical Verification: The Joint Technical Team conducts an independent technical verification within 30 days of claim submission. The verification assesses the causal link between Agency activities and the damage, and evaluates the reasonableness of the claimed amount.</w:t>
      </w:r>
    </w:p>
    <w:p>
      <w:pPr>
        <w:pStyle w:val="Normal"/>
        <w:spacing w:after="160" w:line="288" w:lineRule="auto"/>
      </w:pPr>
      <w:r>
        <w:rPr>
          <w:rFonts w:ascii="Cambria" w:hAnsi="Cambria" w:eastAsia="Cambria" w:cs="Cambria"/>
          <w:color w:val="E2E8F0"/>
          <w:sz w:val="22"/>
          <w:szCs w:val="22"/>
        </w:rPr>
        <w:t>(iii) PCC Determination: The PCC determines claim validity and amount within 45 days of technical verification completion. The determination operates by consensus of the PCC members excluding the Party that faces the claim.</w:t>
      </w:r>
    </w:p>
    <w:p>
      <w:pPr>
        <w:pStyle w:val="Normal"/>
        <w:spacing w:after="160" w:line="288" w:lineRule="auto"/>
      </w:pPr>
      <w:r>
        <w:rPr>
          <w:rFonts w:ascii="Cambria" w:hAnsi="Cambria" w:eastAsia="Cambria" w:cs="Cambria"/>
          <w:color w:val="E2E8F0"/>
          <w:sz w:val="22"/>
          <w:szCs w:val="22"/>
        </w:rPr>
        <w:t>(iv) Expedited Procedure: The PCC applies an expedited approval process for claims under $100,000. Under this expedited process, the PCC approves the claim by simple majority within 14 days of technical verification.</w:t>
      </w:r>
    </w:p>
    <w:p>
      <w:pPr>
        <w:pStyle w:val="Normal"/>
        <w:spacing w:after="160" w:line="288" w:lineRule="auto"/>
      </w:pPr>
      <w:r>
        <w:rPr>
          <w:rFonts w:ascii="Cambria" w:hAnsi="Cambria" w:eastAsia="Cambria" w:cs="Cambria"/>
          <w:color w:val="E2E8F0"/>
          <w:sz w:val="22"/>
          <w:szCs w:val="22"/>
        </w:rPr>
        <w:t>(v) Funding: The Parties replenish the Voluntary Trust Fund annually in proportion to their MENOC contributions. Where the Fund balance falls below $2 million USD, the PCC convenes to determine additional contributions.</w:t>
      </w:r>
    </w:p>
    <w:p>
      <w:pPr>
        <w:pStyle w:val="Normal"/>
        <w:spacing w:after="160" w:line="288" w:lineRule="auto"/>
      </w:pPr>
      <w:r>
        <w:rPr>
          <w:rFonts w:ascii="Cambria" w:hAnsi="Cambria" w:eastAsia="Cambria" w:cs="Cambria"/>
          <w:color w:val="E2E8F0"/>
          <w:sz w:val="22"/>
          <w:szCs w:val="22"/>
        </w:rPr>
        <w:t>The Fund's initial target capitalization is $10 million USD. The PCC reviews the Fund's adequacy at the 5-year review under Article 9 and recommends adjustments by mutual agreement.</w:t>
      </w:r>
    </w:p>
    <w:p>
      <w:pPr>
        <w:pStyle w:val="Heading2"/>
      </w:pPr>
      <w:bookmarkStart w:name="_Toc160" w:id="160"/>
      <w:r>
        <w:rPr>
          <w:rFonts w:ascii="Cambria" w:hAnsi="Cambria" w:eastAsia="Cambria" w:cs="Cambria"/>
          <w:b/>
          <w:color w:val="A0AEC0"/>
          <w:sz w:val="26"/>
          <w:szCs w:val="26"/>
        </w:rPr>
        <w:t>7.3 Inspector Immunity</w:t>
      </w:r>
      <w:bookmarkEnd w:id="160"/>
    </w:p>
    <w:p>
      <w:pPr>
        <w:spacing w:after="160" w:line="288" w:lineRule="auto"/>
      </w:pPr>
      <w:r>
        <w:rPr>
          <w:rFonts w:ascii="Cambria" w:hAnsi="Cambria"/>
          <w:color w:val="e2e8f0"/>
          <w:sz w:val="22"/>
        </w:rPr>
        <w:t xml:space="preserve">Agency inspectors enjoy immunity from criminal, civil, and administrative prosecution in Iran for acts performed in the exercise of their official functions under this Protocol. This immunity is consistent with the Agency's privileges and immunities under its Statute. Where an inspector causes damage through gross negligence or willful misconduct, as determined by the PCC, the claim proceeds against the Voluntary Trust Fund.</w:t>
      </w:r>
    </w:p>
    <w:p>
      <w:pPr>
        <w:pStyle w:val="Heading2"/>
      </w:pPr>
      <w:r>
        <w:t>7.4 Personal Injury</w:t>
      </w:r>
      <w:bookmarkStart w:name="_Toc161" w:id="161"/>
      <w:bookmarkEnd w:id="161"/>
    </w:p>
    <w:p>
      <w:pPr>
        <w:spacing w:after="160" w:line="288" w:lineRule="auto"/>
      </w:pPr>
      <w:r>
        <w:rPr>
          <w:rFonts w:ascii="Cambria" w:hAnsi="Cambria"/>
          <w:color w:val="e2e8f0"/>
          <w:sz w:val="22"/>
        </w:rPr>
        <w:t xml:space="preserve">Where an Agency inspector sustains injury during Protocol activities, Iran provides emergency medical treatment. The Agency bears the cost of medical evacuation and ongoing treatment through its standard programs. Claims for personal injury by inspectors are processed through the Voluntary Trust Fund where the injury results from conditions at the Damaged Site.</w:t>
      </w:r>
    </w:p>
    <w:p>
      <w:pPr>
        <w:pStyle w:val="Heading2"/>
      </w:pPr>
      <w:r>
        <w:t>7.5 Emergency Material Security</w:t>
      </w:r>
      <w:bookmarkStart w:name="_Toc162" w:id="162"/>
      <w:bookmarkEnd w:id="162"/>
    </w:p>
    <w:p>
      <w:pPr>
        <w:spacing w:after="160" w:line="288" w:lineRule="auto"/>
      </w:pPr>
      <w:r>
        <w:rPr>
          <w:rFonts w:ascii="Cambria" w:hAnsi="Cambria"/>
          <w:color w:val="e2e8f0"/>
          <w:sz w:val="22"/>
        </w:rPr>
        <w:t xml:space="preserve">Where damaged nuclear material presents immediate proliferation or radiological risks that cannot be addressed through standard safeguards procedures or dual-key custody, the Agency Director General recommends emergency stabilization measures to the Joint Commission. The recommendation includes: the nature of the risk; the proposed stabilization actions; the required resources and timeframe; and the safety protocols for implementation.</w:t>
      </w:r>
    </w:p>
    <w:p>
      <w:pPr>
        <w:spacing w:after="160" w:line="288" w:lineRule="auto"/>
      </w:pPr>
      <w:r>
        <w:rPr>
          <w:rFonts w:ascii="Cambria" w:hAnsi="Cambria"/>
          <w:color w:val="e2e8f0"/>
          <w:sz w:val="22"/>
        </w:rPr>
        <w:t xml:space="preserve">The Joint Commission reviews the recommendation within 48 hours. Where the Commission approves, the Agency implements the stabilization measures under Agency authority with Iranian technical cooperation. Where the Commission cannot convene within 48 hours due to exceptional circumstances, the Director General implements essential safety measures on an interim basis and reports to the Commission at its next session. Emergency stabilization measures are without prejudice to the final disposition of the material under Article 6.</w:t>
      </w:r>
    </w:p>
    <w:p>
      <w:pPr>
        <w:pStyle w:val="Heading1"/>
      </w:pPr>
      <w:r>
        <w:t>Article 8: Ratification</w:t>
      </w:r>
      <w:bookmarkStart w:name="_Toc163" w:id="163"/>
      <w:bookmarkEnd w:id="163"/>
    </w:p>
    <w:p>
      <w:pPr>
        <w:pStyle w:val="Heading2"/>
      </w:pPr>
      <w:r>
        <w:t>8.1 Ratification by the Parties</w:t>
      </w:r>
      <w:bookmarkStart w:name="_Toc164" w:id="164"/>
      <w:bookmarkEnd w:id="164"/>
    </w:p>
    <w:p>
      <w:pPr>
        <w:spacing w:after="160" w:line="288" w:lineRule="auto"/>
      </w:pPr>
      <w:r>
        <w:rPr>
          <w:rFonts w:ascii="Cambria" w:hAnsi="Cambria"/>
          <w:color w:val="e2e8f0"/>
          <w:sz w:val="22"/>
        </w:rPr>
        <w:t xml:space="preserve">This Protocol enters into force upon the later of: (a) ratification by the Islamic Consultative Assembly (Majlis) of Iran by simple majority; and (b) ratification by the United States in accordance with its constitutional procedures.</w:t>
      </w:r>
    </w:p>
    <w:p>
      <w:pPr>
        <w:spacing w:after="160" w:line="288" w:lineRule="auto"/>
      </w:pPr>
      <w:r>
        <w:rPr>
          <w:rFonts w:ascii="Cambria" w:hAnsi="Cambria"/>
          <w:color w:val="e2e8f0"/>
          <w:sz w:val="22"/>
        </w:rPr>
        <w:t xml:space="preserve">Iran's parliament ratifies by simple majority vote. The parliamentary ratification is transmitted to the Joint Commission and the PCC Secretariat within 48 hours of the vote.</w:t>
      </w:r>
    </w:p>
    <w:p>
      <w:pPr>
        <w:spacing w:after="160" w:line="288" w:lineRule="auto"/>
      </w:pPr>
      <w:r>
        <w:rPr>
          <w:rFonts w:ascii="Cambria" w:hAnsi="Cambria"/>
          <w:color w:val="e2e8f0"/>
          <w:sz w:val="22"/>
        </w:rPr>
        <w:t xml:space="preserve">The United States ratifies in accordance with its applicable constitutional and legislative procedures. The U.S. ratification instrument is transmitted to the Joint Commission and the PCC Secretariat upon completion.</w:t>
      </w:r>
    </w:p>
    <w:p>
      <w:pPr>
        <w:pStyle w:val="Heading2"/>
      </w:pPr>
      <w:r>
        <w:t>8.2 Joint Commission Validation</w:t>
      </w:r>
      <w:bookmarkStart w:name="_Toc165" w:id="165"/>
      <w:bookmarkEnd w:id="165"/>
    </w:p>
    <w:p>
      <w:pPr>
        <w:spacing w:after="160" w:line="288" w:lineRule="auto"/>
      </w:pPr>
      <w:r>
        <w:rPr>
          <w:rFonts w:ascii="Cambria" w:hAnsi="Cambria"/>
          <w:color w:val="e2e8f0"/>
          <w:sz w:val="22"/>
        </w:rPr>
        <w:t xml:space="preserve">The Joint Commission validates this Protocol before either parliamentary or U.S. ratification. Validation confirms that the Protocol is consistent with the Memorandum of Understanding Pertaining to PEACE, that both Parties have confirmed their acceptance of its terms, and that the technical modalities are feasible. The Commission transmits its validation decision to both Parties and the PCC Secretariat.</w:t>
      </w:r>
    </w:p>
    <w:p>
      <w:pPr>
        <w:pStyle w:val="Heading2"/>
      </w:pPr>
      <w:r>
        <w:t>8.3 Agency Board of Governors</w:t>
      </w:r>
      <w:bookmarkStart w:name="_Toc166" w:id="166"/>
      <w:bookmarkEnd w:id="166"/>
    </w:p>
    <w:p>
      <w:pPr>
        <w:spacing w:after="160" w:line="288" w:lineRule="auto"/>
      </w:pPr>
      <w:r>
        <w:rPr>
          <w:rFonts w:ascii="Cambria" w:hAnsi="Cambria"/>
          <w:color w:val="e2e8f0"/>
          <w:sz w:val="22"/>
        </w:rPr>
        <w:t xml:space="preserve">The Agency Director General transmits this Protocol to the Board of Governors for its endorsement. The Board considers the technical, legal, and safeguards implications of the Protocol. Board endorsement is without prejudice to the safeguards rights and obligations of any other Member State.</w:t>
      </w:r>
    </w:p>
    <w:p>
      <w:pPr>
        <w:spacing w:after="160" w:line="288" w:lineRule="auto"/>
      </w:pPr>
      <w:r>
        <w:rPr>
          <w:rFonts w:ascii="Cambria" w:hAnsi="Cambria"/>
          <w:color w:val="e2e8f0"/>
          <w:sz w:val="22"/>
        </w:rPr>
        <w:t xml:space="preserve">Board endorsement is not a condition for Protocol entry into force between the Parties. The Protocol enters into force upon completion of the procedures in Article 8.1, regardless of the status of Board endorsement. Where the Board has not endorsed the Protocol at the time of entry into force, the Director General reports the arrangements to the Board at its next regular session.</w:t>
      </w:r>
    </w:p>
    <w:p>
      <w:pPr>
        <w:spacing w:after="160" w:line="288" w:lineRule="auto"/>
      </w:pPr>
      <w:r>
        <w:rPr>
          <w:rFonts w:ascii="Cambria" w:hAnsi="Cambria"/>
          <w:color w:val="e2e8f0"/>
          <w:sz w:val="22"/>
        </w:rPr>
        <w:t xml:space="preserve">Implementation involving Agency resources commences only following confirmation by the Director General that adequate resources have been authorized and are available. This confirmation is an internal Agency administrative determination, not a condition for Protocol entry into force and not Board endorsement of the Protocol as a political agreement.</w:t>
      </w:r>
    </w:p>
    <w:p>
      <w:pPr>
        <w:pStyle w:val="Heading2"/>
      </w:pPr>
      <w:r>
        <w:t>8.4 Agency Technical Participation</w:t>
      </w:r>
      <w:bookmarkStart w:name="_Toc167" w:id="167"/>
      <w:bookmarkEnd w:id="167"/>
    </w:p>
    <w:p>
      <w:pPr>
        <w:spacing w:after="160" w:line="288" w:lineRule="auto"/>
      </w:pPr>
      <w:r>
        <w:rPr>
          <w:rFonts w:ascii="Cambria" w:hAnsi="Cambria"/>
          <w:color w:val="e2e8f0"/>
          <w:sz w:val="22"/>
        </w:rPr>
        <w:t xml:space="preserve">The Agency's role under this Protocol is technical and operational, not political or contractual. All Agency activities undertaken pursuant to this Protocol are carried out exclusively in accordance with the Agency's Statute, safeguards agreements, applicable Board of Governors decisions, and the independent authority of the Director General. Nothing in this Protocol subjects the Agency to the direction of either Party or the Joint Commission.</w:t>
      </w:r>
    </w:p>
    <w:p>
      <w:pPr>
        <w:spacing w:after="160" w:line="288" w:lineRule="auto"/>
      </w:pPr>
      <w:r>
        <w:rPr>
          <w:rFonts w:ascii="Cambria" w:hAnsi="Cambria"/>
          <w:color w:val="e2e8f0"/>
          <w:sz w:val="22"/>
        </w:rPr>
        <w:t xml:space="preserve">The Agency Director General accepts the technical responsibilities assigned to the Agency under this Protocol through a separate exchange of letters with the Joint Commission. The Agency's acceptance does not constitute ratification, signature, or political endorsement of the Protocol as an agreement between states.</w:t>
      </w:r>
    </w:p>
    <w:p>
      <w:pPr>
        <w:spacing w:after="160" w:line="288" w:lineRule="auto"/>
      </w:pPr>
      <w:r>
        <w:rPr>
          <w:rFonts w:ascii="Cambria" w:hAnsi="Cambria"/>
          <w:color w:val="e2e8f0"/>
          <w:sz w:val="22"/>
        </w:rPr>
        <w:t xml:space="preserve">The Agency's acceptance letter specifies: the technical functions the Agency undertakes; the resources the Agency requires; the conditions under which the Agency exercises its authority; and the procedure for Agency withdrawal from technical participation. Agency withdrawal from technical participation does not terminate the Protocol between the Parties.</w:t>
      </w:r>
    </w:p>
    <w:p>
      <w:pPr>
        <w:pStyle w:val="Heading2"/>
      </w:pPr>
      <w:r>
        <w:t>8.5 Order of Entry into Force</w:t>
      </w:r>
      <w:bookmarkStart w:name="_Toc168" w:id="168"/>
      <w:bookmarkEnd w:id="168"/>
    </w:p>
    <w:p>
      <w:pPr>
        <w:spacing w:after="160" w:line="288" w:lineRule="auto"/>
      </w:pPr>
      <w:r>
        <w:rPr>
          <w:rFonts w:ascii="Cambria" w:hAnsi="Cambria"/>
          <w:color w:val="e2e8f0"/>
          <w:sz w:val="22"/>
        </w:rPr>
        <w:t xml:space="preserve">The order is: (1) Joint Commission validation; (2) ratification by both Parties; (3) Agency Director General transmission to the Board of Governors. The Protocol enters into force upon completion of step (2).</w:t>
      </w:r>
    </w:p>
    <w:p>
      <w:pPr>
        <w:pStyle w:val="Heading2"/>
      </w:pPr>
      <w:r>
        <w:t>8.6 Provisional Application</w:t>
      </w:r>
      <w:bookmarkStart w:name="_Toc169" w:id="169"/>
      <w:bookmarkEnd w:id="169"/>
    </w:p>
    <w:p>
      <w:pPr>
        <w:spacing w:after="160" w:line="288" w:lineRule="auto"/>
      </w:pPr>
      <w:r>
        <w:rPr>
          <w:rFonts w:ascii="Cambria" w:hAnsi="Cambria"/>
          <w:color w:val="e2e8f0"/>
          <w:sz w:val="22"/>
        </w:rPr>
        <w:t xml:space="preserve">Where the Parties elect to begin certain Protocol activities prior to full entry into force, the Parties effect provisional application through an exchange of diplomatic notes specifying which activities are authorized. During provisional application, all operative provisions relating to the authorized activities are binding. Either Party terminates provisional application with reasonable notice. Termination suspends but does not void completed activities.</w:t>
      </w:r>
    </w:p>
    <w:p>
      <w:pPr>
        <w:pStyle w:val="Heading2"/>
      </w:pPr>
      <w:r>
        <w:t>8.7 Ratification Blockage Resolution</w:t>
      </w:r>
      <w:bookmarkStart w:name="_Toc170" w:id="170"/>
      <w:bookmarkEnd w:id="170"/>
    </w:p>
    <w:p>
      <w:pPr>
        <w:spacing w:after="160" w:line="288" w:lineRule="auto"/>
      </w:pPr>
      <w:r>
        <w:rPr>
          <w:rFonts w:ascii="Cambria" w:hAnsi="Cambria"/>
          <w:color w:val="e2e8f0"/>
          <w:sz w:val="22"/>
        </w:rPr>
        <w:t xml:space="preserve">If either Party's ratification body fails to approve this Protocol within 180 days of receipt, the Parties jointly request the Joint Commission Chair to convene a ratification review conference. The conference reviews the specific objections and recommends alternative pathways, including provisional application of specific provisions, by mutual written agreement. Neither Party is obligated to accept the recommendations. A ratification delay does not constitute a breach of any other instrument.</w:t>
      </w:r>
    </w:p>
    <w:p>
      <w:pPr>
        <w:pStyle w:val="Heading1"/>
      </w:pPr>
      <w:r>
        <w:t>Article 9: Duration, Review, and Termination</w:t>
      </w:r>
      <w:bookmarkStart w:name="_Toc171" w:id="171"/>
      <w:bookmarkEnd w:id="171"/>
    </w:p>
    <w:p>
      <w:pPr>
        <w:pStyle w:val="Heading2"/>
      </w:pPr>
      <w:r>
        <w:t>9.1 Duration</w:t>
      </w:r>
      <w:bookmarkStart w:name="_Toc172" w:id="172"/>
      <w:bookmarkEnd w:id="172"/>
    </w:p>
    <w:p>
      <w:pPr>
        <w:spacing w:after="160" w:line="288" w:lineRule="auto"/>
      </w:pPr>
      <w:r>
        <w:rPr>
          <w:rFonts w:ascii="Cambria" w:hAnsi="Cambria"/>
          <w:color w:val="e2e8f0"/>
          <w:sz w:val="22"/>
        </w:rPr>
        <w:t xml:space="preserve">This Protocol remains in effect for 10 years from the date of its entry into force.</w:t>
      </w:r>
    </w:p>
    <w:p>
      <w:pPr>
        <w:pStyle w:val="Heading2"/>
      </w:pPr>
      <w:r>
        <w:t>9.2 Five-Year Review</w:t>
      </w:r>
      <w:bookmarkStart w:name="_Toc173" w:id="173"/>
      <w:bookmarkEnd w:id="173"/>
    </w:p>
    <w:p>
      <w:pPr>
        <w:spacing w:after="160" w:line="288" w:lineRule="auto"/>
      </w:pPr>
      <w:r>
        <w:rPr>
          <w:rFonts w:ascii="Cambria" w:hAnsi="Cambria"/>
          <w:color w:val="e2e8f0"/>
          <w:sz w:val="22"/>
        </w:rPr>
        <w:t xml:space="preserve">At the 5-year mark, the Joint Commission convenes a mandatory review assessing: the status of verification at each Damaged Site; the number and duration of Safety Holds invoked; the adequacy of access categories and Joint Safety Assessment procedures; the operation of the Voluntary Trust Fund; the status of recovered material under dual-key custody; and whether the Damaged Sites have progressed to a condition permitting standard safeguards access.</w:t>
      </w:r>
    </w:p>
    <w:p>
      <w:pPr>
        <w:spacing w:after="160" w:line="288" w:lineRule="auto"/>
      </w:pPr>
      <w:r>
        <w:rPr>
          <w:rFonts w:ascii="Cambria" w:hAnsi="Cambria"/>
          <w:color w:val="e2e8f0"/>
          <w:sz w:val="22"/>
        </w:rPr>
        <w:t xml:space="preserve">Following the review, the Joint Commission recommends adjustments by mutual agreement. Adjustments require the same ratification as the original Protocol. Where no adjustments are agreed, the Protocol continues in its current form.</w:t>
      </w:r>
    </w:p>
    <w:p>
      <w:pPr>
        <w:pStyle w:val="Heading2"/>
      </w:pPr>
      <w:r>
        <w:t>9.3 Automatic Expiration</w:t>
      </w:r>
      <w:bookmarkStart w:name="_Toc174" w:id="174"/>
      <w:bookmarkEnd w:id="174"/>
    </w:p>
    <w:p>
      <w:pPr>
        <w:spacing w:after="160" w:line="288" w:lineRule="auto"/>
      </w:pPr>
      <w:r>
        <w:rPr>
          <w:rFonts w:ascii="Cambria" w:hAnsi="Cambria"/>
          <w:color w:val="e2e8f0"/>
          <w:sz w:val="22"/>
        </w:rPr>
        <w:t xml:space="preserve">This Protocol automatically expires at the end of the 10-year period unless renewed by mutual written agreement. Renewal requires Joint Commission recommendation and the same ratification as the original Protocol. Where the Protocol expires without renewal, the BVC remains in force as a historical document. Dual-key custody arrangements convert to the standard safeguards framework or to such other arrangements as the Parties agree.</w:t>
      </w:r>
    </w:p>
    <w:p>
      <w:pPr>
        <w:pStyle w:val="Heading2"/>
      </w:pPr>
      <w:r>
        <w:t>9.4 Ordinary Termination</w:t>
      </w:r>
      <w:bookmarkStart w:name="_Toc175" w:id="175"/>
      <w:bookmarkEnd w:id="175"/>
    </w:p>
    <w:p>
      <w:pPr>
        <w:spacing w:after="160" w:line="288" w:lineRule="auto"/>
      </w:pPr>
      <w:r>
        <w:rPr>
          <w:rFonts w:ascii="Cambria" w:hAnsi="Cambria"/>
          <w:color w:val="e2e8f0"/>
          <w:sz w:val="22"/>
        </w:rPr>
        <w:t xml:space="preserve">Either Party terminates this Protocol on 180 days' written notice to the Joint Commission, the Agency Director General, and the PCC Secretariat. Ordinary termination does not void verification activities completed prior to termination. The BVC and all site-specific summaries remain valid. Recovered material under dual-key custody remains subject to the custody arrangements until the Parties agree on alternative disposition.</w:t>
      </w:r>
    </w:p>
    <w:p>
      <w:pPr>
        <w:pStyle w:val="Heading2"/>
      </w:pPr>
      <w:r>
        <w:t>9.5 Emergency Suspension</w:t>
      </w:r>
      <w:bookmarkStart w:name="_Toc176" w:id="176"/>
      <w:bookmarkEnd w:id="176"/>
    </w:p>
    <w:p>
      <w:pPr>
        <w:spacing w:after="160" w:line="288" w:lineRule="auto"/>
      </w:pPr>
      <w:r>
        <w:rPr>
          <w:rFonts w:ascii="Cambria" w:hAnsi="Cambria"/>
          <w:color w:val="e2e8f0"/>
          <w:sz w:val="22"/>
        </w:rPr>
        <w:t xml:space="preserve">Either Party invokes emergency suspension of this Protocol on 72 hours' written notice to the Joint Commission, the Agency Director General, and the PCC Secretariat, where immediate threats to national security or personnel safety arise. Emergency suspension operates as follows:</w:t>
      </w:r>
    </w:p>
    <w:p>
      <w:pPr>
        <w:spacing w:after="160" w:line="288" w:lineRule="auto"/>
      </w:pPr>
      <w:r>
        <w:rPr>
          <w:rFonts w:ascii="Cambria" w:hAnsi="Cambria"/>
          <w:color w:val="e2e8f0"/>
          <w:sz w:val="22"/>
        </w:rPr>
        <w:t xml:space="preserve">(a) All verification activities suspend immediately. Agency inspectors withdraw from Damaged Sites within 24 hours.</w:t>
      </w:r>
    </w:p>
    <w:p>
      <w:pPr>
        <w:spacing w:after="160" w:line="288" w:lineRule="auto"/>
      </w:pPr>
      <w:r>
        <w:rPr>
          <w:rFonts w:ascii="Cambria" w:hAnsi="Cambria"/>
          <w:color w:val="e2e8f0"/>
          <w:sz w:val="22"/>
        </w:rPr>
        <w:t xml:space="preserve">(b) Dual-key custody arrangements continue unchanged. Neither Party accesses, moves, or processes dual-key material during suspension.</w:t>
      </w:r>
    </w:p>
    <w:p>
      <w:pPr>
        <w:spacing w:after="160" w:line="288" w:lineRule="auto"/>
      </w:pPr>
      <w:r>
        <w:rPr>
          <w:rFonts w:ascii="Cambria" w:hAnsi="Cambria"/>
          <w:color w:val="e2e8f0"/>
          <w:sz w:val="22"/>
        </w:rPr>
        <w:t xml:space="preserve">(c) The Safety Hold mechanism remains available on the same grounds and procedures.</w:t>
      </w:r>
    </w:p>
    <w:p>
      <w:pPr>
        <w:spacing w:after="160" w:line="288" w:lineRule="auto"/>
      </w:pPr>
      <w:r>
        <w:rPr>
          <w:rFonts w:ascii="Cambria" w:hAnsi="Cambria"/>
          <w:color w:val="e2e8f0"/>
          <w:sz w:val="22"/>
        </w:rPr>
        <w:t xml:space="preserve">(d) The Joint Commission convenes within 48 hours of suspension invocation to review the circumstances and seek agreement on conditions for lifting.</w:t>
      </w:r>
    </w:p>
    <w:p>
      <w:pPr>
        <w:spacing w:after="160" w:line="288" w:lineRule="auto"/>
      </w:pPr>
      <w:r>
        <w:rPr>
          <w:rFonts w:ascii="Cambria" w:hAnsi="Cambria"/>
          <w:color w:val="e2e8f0"/>
          <w:sz w:val="22"/>
        </w:rPr>
        <w:t xml:space="preserve">(e) Emergency suspension converts to ordinary termination unless lifted by mutual agreement within 30 days.</w:t>
      </w:r>
    </w:p>
    <w:p>
      <w:pPr>
        <w:spacing w:after="160" w:line="288" w:lineRule="auto"/>
      </w:pPr>
      <w:r>
        <w:rPr>
          <w:rFonts w:ascii="Cambria" w:hAnsi="Cambria"/>
          <w:color w:val="e2e8f0"/>
          <w:sz w:val="22"/>
        </w:rPr>
        <w:t xml:space="preserve">(f) Emergency suspension does not constitute a breach and does not trigger any penalty, step-back, or adverse compliance finding.</w:t>
      </w:r>
    </w:p>
    <w:p>
      <w:pPr>
        <w:pStyle w:val="Heading2"/>
      </w:pPr>
      <w:r>
        <w:t>9.6 Protocol Freeze</w:t>
      </w:r>
      <w:bookmarkStart w:name="_Toc177" w:id="177"/>
      <w:bookmarkEnd w:id="177"/>
    </w:p>
    <w:p>
      <w:pPr>
        <w:spacing w:after="160" w:line="288" w:lineRule="auto"/>
      </w:pPr>
      <w:r>
        <w:rPr>
          <w:rFonts w:ascii="Cambria" w:hAnsi="Cambria"/>
          <w:color w:val="e2e8f0"/>
          <w:sz w:val="22"/>
        </w:rPr>
        <w:t xml:space="preserve">Either Party invokes a Protocol Freeze on 72 hours' written notice to the Agency Director General and the PCC Secretariat. The Freeze is a time-limited suspension that does not terminate the instrument. During a Freeze:</w:t>
      </w:r>
    </w:p>
    <w:p>
      <w:pPr>
        <w:spacing w:after="160" w:line="288" w:lineRule="auto"/>
      </w:pPr>
      <w:r>
        <w:rPr>
          <w:rFonts w:ascii="Cambria" w:hAnsi="Cambria"/>
          <w:color w:val="e2e8f0"/>
          <w:sz w:val="22"/>
        </w:rPr>
        <w:t xml:space="preserve">(a) All verification activities suspend. Agency inspectors withdraw from Damaged Sites within 24 hours of Freeze invocation.</w:t>
      </w:r>
    </w:p>
    <w:p>
      <w:pPr>
        <w:spacing w:after="160" w:line="288" w:lineRule="auto"/>
      </w:pPr>
      <w:r>
        <w:rPr>
          <w:rFonts w:ascii="Cambria" w:hAnsi="Cambria"/>
          <w:color w:val="e2e8f0"/>
          <w:sz w:val="22"/>
        </w:rPr>
        <w:t xml:space="preserve">(b) Dual-key custody arrangements continue unchanged. Neither Party accesses, moves, or processes dual-key material during the Freeze.</w:t>
      </w:r>
    </w:p>
    <w:p>
      <w:pPr>
        <w:spacing w:after="160" w:line="288" w:lineRule="auto"/>
      </w:pPr>
      <w:r>
        <w:rPr>
          <w:rFonts w:ascii="Cambria" w:hAnsi="Cambria"/>
          <w:color w:val="e2e8f0"/>
          <w:sz w:val="22"/>
        </w:rPr>
        <w:t xml:space="preserve">(c) The Safety Hold mechanism remains available on the same grounds and procedures as outside the Freeze.</w:t>
      </w:r>
    </w:p>
    <w:p>
      <w:pPr>
        <w:spacing w:after="160" w:line="288" w:lineRule="auto"/>
      </w:pPr>
      <w:r>
        <w:rPr>
          <w:rFonts w:ascii="Cambria" w:hAnsi="Cambria"/>
          <w:color w:val="e2e8f0"/>
          <w:sz w:val="22"/>
        </w:rPr>
        <w:t xml:space="preserve">(d) The Joint Commission convenes within 48 hours of Freeze invocation to review the circumstances and seek agreement on conditions for lifting.</w:t>
      </w:r>
    </w:p>
    <w:p>
      <w:pPr>
        <w:spacing w:after="160" w:line="288" w:lineRule="auto"/>
      </w:pPr>
      <w:r>
        <w:rPr>
          <w:rFonts w:ascii="Cambria" w:hAnsi="Cambria"/>
          <w:color w:val="e2e8f0"/>
          <w:sz w:val="22"/>
        </w:rPr>
        <w:t xml:space="preserve">(e) The Freeze automatically lifts after 30 days unless extended by mutual written agreement. Neither Party unilaterally extends the Freeze beyond 30 days.</w:t>
      </w:r>
    </w:p>
    <w:p>
      <w:pPr>
        <w:spacing w:after="160" w:line="288" w:lineRule="auto"/>
      </w:pPr>
      <w:r>
        <w:rPr>
          <w:rFonts w:ascii="Cambria" w:hAnsi="Cambria"/>
          <w:color w:val="e2e8f0"/>
          <w:sz w:val="22"/>
        </w:rPr>
        <w:t xml:space="preserve">(f) A Freeze does not constitute a breach and does not trigger any penalty, step-back, or adverse compliance finding.</w:t>
      </w:r>
    </w:p>
    <w:p>
      <w:pPr>
        <w:spacing w:after="160" w:line="288" w:lineRule="auto"/>
      </w:pPr>
      <w:r>
        <w:rPr>
          <w:rFonts w:ascii="Cambria" w:hAnsi="Cambria"/>
          <w:color w:val="e2e8f0"/>
          <w:sz w:val="22"/>
        </w:rPr>
        <w:t xml:space="preserve">(g) Upon automatic lifting, all verification activities resume at the point of suspension. Sites under active inspection return to their pre-Freeze access category. Any Safety Hold invoked during the Freeze continues under its original terms.</w:t>
      </w:r>
    </w:p>
    <w:p>
      <w:pPr>
        <w:pStyle w:val="Heading1"/>
      </w:pPr>
      <w:r>
        <w:t>Article 10: Non-Derogation</w:t>
      </w:r>
      <w:bookmarkStart w:name="_Toc178" w:id="178"/>
      <w:bookmarkEnd w:id="178"/>
    </w:p>
    <w:p>
      <w:pPr>
        <w:spacing w:after="160" w:line="288" w:lineRule="auto"/>
      </w:pPr>
      <w:r>
        <w:rPr>
          <w:rFonts w:ascii="Cambria" w:hAnsi="Cambria"/>
          <w:color w:val="e2e8f0"/>
          <w:sz w:val="22"/>
        </w:rPr>
        <w:t xml:space="preserve">Nothing in this Protocol diminishes, suspends, modifies, or extinguishes rights and obligations arising under Iran's Safeguards Agreement (INFCIRC/214), the Additional Protocol (INFCIRC/214/Add.1), or the Agency's Statute, except as expressly and temporarily provided herein for reasons of personnel safety.</w:t>
      </w:r>
    </w:p>
    <w:p>
      <w:pPr>
        <w:spacing w:after="160" w:line="288" w:lineRule="auto"/>
      </w:pPr>
      <w:r>
        <w:rPr>
          <w:rFonts w:ascii="Cambria" w:hAnsi="Cambria"/>
          <w:color w:val="e2e8f0"/>
          <w:sz w:val="22"/>
        </w:rPr>
        <w:t xml:space="preserve">Where a provision of this Protocol differs from a provision of the Safeguards Agreement or the Additional Protocol, the Safeguards Agreement or Additional Protocol provision governs, except to the extent that this Protocol's provision is necessary to address conditions arising from the June 2025 hostilities that make standard safeguards procedures unsafe or infeasible.</w:t>
      </w:r>
    </w:p>
    <w:p>
      <w:pPr>
        <w:spacing w:after="160" w:line="288" w:lineRule="auto"/>
      </w:pPr>
      <w:r>
        <w:rPr>
          <w:rFonts w:ascii="Cambria" w:hAnsi="Cambria"/>
          <w:color w:val="e2e8f0"/>
          <w:sz w:val="22"/>
        </w:rPr>
        <w:t xml:space="preserve">This Article applies regardless of Protocol status. The non-derogation obligation survives Protocol expiration, termination, or suspension.</w:t>
      </w:r>
    </w:p>
    <w:p>
      <w:pPr>
        <w:pStyle w:val="Heading1"/>
      </w:pPr>
      <w:r>
        <w:t>Annex A: Red-Line Compliance Matrix</w:t>
      </w:r>
      <w:bookmarkStart w:name="_Toc179" w:id="179"/>
      <w:bookmarkEnd w:id="179"/>
    </w:p>
    <w:p>
      <w:pPr>
        <w:spacing w:after="160" w:line="288" w:lineRule="auto"/>
      </w:pPr>
      <w:r>
        <w:rPr>
          <w:rFonts w:ascii="Cambria" w:hAnsi="Cambria"/>
          <w:color w:val="e2e8f0"/>
          <w:sz w:val="22"/>
        </w:rPr>
        <w:t xml:space="preserve">This Annex preserves the negotiating record on red-line compliance. It demonstrates how the Protocol addresses each Party's non-negotiable positions. This Annex is a reference document, not an operative legal provision.</w:t>
      </w:r>
    </w:p>
    <w:tbl>
      <w:tblPr>
        <w:tblW w:w="5000" w:type="pct"/>
        <w:tblBorders>
          <w:top w:val="single" w:color="4a5568" w:sz="12"/>
          <w:left w:val="nil"/>
          <w:bottom w:val="single" w:color="4a5568" w:sz="12"/>
          <w:right w:val="nil"/>
          <w:insideH w:val="single" w:color="4a5568" w:sz="4"/>
          <w:insideV w:val="nil"/>
        </w:tblBorders>
      </w:tblPr>
      <w:tblGrid>
        <w:gridCol w:w="2800"/>
        <w:gridCol w:w="3600"/>
        <w:gridCol w:w="3600"/>
      </w:tblGrid>
      <w:tr>
        <w:trPr>
          <w:tblHeader/>
        </w:trPr>
        <w:tc>
          <w:tcPr>
            <w:tcW w:w="2800" w:type="dxa"/>
            <w:shd w:val="clear" w:fill="1a202c"/>
          </w:tcPr>
          <w:p>
            <w:pPr>
              <w:spacing w:before="60" w:after="60"/>
            </w:pPr>
            <w:r>
              <w:rPr>
                <w:b/>
                <w:color w:val="e2e8f0"/>
                <w:sz w:val="20"/>
              </w:rPr>
              <w:t xml:space="preserve">Iran Red Line</w:t>
            </w:r>
          </w:p>
        </w:tc>
        <w:tc>
          <w:tcPr>
            <w:tcW w:w="3600" w:type="dxa"/>
            <w:shd w:val="clear" w:fill="1a202c"/>
          </w:tcPr>
          <w:p>
            <w:pPr>
              <w:spacing w:before="60" w:after="60"/>
            </w:pPr>
            <w:r>
              <w:rPr>
                <w:b/>
                <w:color w:val="e2e8f0"/>
                <w:sz w:val="20"/>
              </w:rPr>
              <w:t xml:space="preserve">United States Red Line</w:t>
            </w:r>
          </w:p>
        </w:tc>
        <w:tc>
          <w:tcPr>
            <w:tcW w:w="3600" w:type="dxa"/>
            <w:shd w:val="clear" w:fill="1a202c"/>
          </w:tcPr>
          <w:p>
            <w:pPr>
              <w:spacing w:before="60" w:after="60"/>
            </w:pPr>
            <w:r>
              <w:rPr>
                <w:b/>
                <w:color w:val="e2e8f0"/>
                <w:sz w:val="20"/>
              </w:rPr>
              <w:t xml:space="preserve">Protocol Provision</w:t>
            </w:r>
          </w:p>
        </w:tc>
      </w:tr>
      <w:tr>
        <w:tc>
          <w:tcPr>
            <w:tcW w:w="2800" w:type="dxa"/>
          </w:tcPr>
          <w:p>
            <w:pPr>
              <w:spacing w:before="60" w:after="60"/>
            </w:pPr>
            <w:r>
              <w:rPr>
                <w:color w:val="a0aec0"/>
                <w:sz w:val="20"/>
              </w:rPr>
              <w:t xml:space="preserve">No IAEA access to bombed sites under standard safeguards</w:t>
            </w:r>
          </w:p>
        </w:tc>
        <w:tc>
          <w:tcPr>
            <w:tcW w:w="3600" w:type="dxa"/>
          </w:tcPr>
          <w:p>
            <w:pPr>
              <w:spacing w:before="60" w:after="60"/>
            </w:pPr>
            <w:r>
              <w:rPr>
                <w:color w:val="a0aec0"/>
                <w:sz w:val="20"/>
              </w:rPr>
              <w:t xml:space="preserve">Full access to Fordow, Natanz, Isfahan verified</w:t>
            </w:r>
          </w:p>
        </w:tc>
        <w:tc>
          <w:tcPr>
            <w:tcW w:w="3600" w:type="dxa"/>
          </w:tcPr>
          <w:p>
            <w:pPr>
              <w:spacing w:before="60" w:after="60"/>
            </w:pPr>
            <w:r>
              <w:rPr>
                <w:color w:val="a0aec0"/>
                <w:sz w:val="20"/>
              </w:rPr>
              <w:t xml:space="preserve">New Protocol governs access; standalone instrument, not standard safeguards</w:t>
            </w:r>
          </w:p>
        </w:tc>
      </w:tr>
      <w:tr>
        <w:tc>
          <w:tcPr>
            <w:tcW w:w="2800" w:type="dxa"/>
          </w:tcPr>
          <w:p>
            <w:pPr>
              <w:spacing w:before="60" w:after="60"/>
            </w:pPr>
            <w:r>
              <w:rPr>
                <w:color w:val="a0aec0"/>
                <w:sz w:val="20"/>
              </w:rPr>
              <w:t xml:space="preserve">No U.S. personnel on Iranian soil</w:t>
            </w:r>
          </w:p>
        </w:tc>
        <w:tc>
          <w:tcPr>
            <w:tcW w:w="3600" w:type="dxa"/>
          </w:tcPr>
          <w:p>
            <w:pPr>
              <w:spacing w:before="60" w:after="60"/>
            </w:pPr>
            <w:r>
              <w:rPr>
                <w:color w:val="a0aec0"/>
                <w:sz w:val="20"/>
              </w:rPr>
              <w:t xml:space="preserve">Verification occurs without U.S. presence</w:t>
            </w:r>
          </w:p>
        </w:tc>
        <w:tc>
          <w:tcPr>
            <w:tcW w:w="3600" w:type="dxa"/>
          </w:tcPr>
          <w:p>
            <w:pPr>
              <w:spacing w:before="60" w:after="60"/>
            </w:pPr>
            <w:r>
              <w:rPr>
                <w:color w:val="a0aec0"/>
                <w:sz w:val="20"/>
              </w:rPr>
              <w:t xml:space="preserve">Framework architecture excludes U.S. personnel; IAEA leads exclusively</w:t>
            </w:r>
          </w:p>
        </w:tc>
      </w:tr>
      <w:tr>
        <w:tc>
          <w:tcPr>
            <w:tcW w:w="2800" w:type="dxa"/>
          </w:tcPr>
          <w:p>
            <w:pPr>
              <w:spacing w:before="60" w:after="60"/>
            </w:pPr>
            <w:r>
              <w:rPr>
                <w:color w:val="a0aec0"/>
                <w:sz w:val="20"/>
              </w:rPr>
              <w:t xml:space="preserve">Safety concerns about damaged facilities</w:t>
            </w:r>
          </w:p>
        </w:tc>
        <w:tc>
          <w:tcPr>
            <w:tcW w:w="3600" w:type="dxa"/>
          </w:tcPr>
          <w:p>
            <w:pPr>
              <w:spacing w:before="60" w:after="60"/>
            </w:pPr>
            <w:r>
              <w:rPr>
                <w:color w:val="a0aec0"/>
                <w:sz w:val="20"/>
              </w:rPr>
              <w:t xml:space="preserve">Inspector safety is non-negotiable</w:t>
            </w:r>
          </w:p>
        </w:tc>
        <w:tc>
          <w:tcPr>
            <w:tcW w:w="3600" w:type="dxa"/>
          </w:tcPr>
          <w:p>
            <w:pPr>
              <w:spacing w:before="60" w:after="60"/>
            </w:pPr>
            <w:r>
              <w:rPr>
                <w:color w:val="a0aec0"/>
                <w:sz w:val="20"/>
              </w:rPr>
              <w:t xml:space="preserve">Safety Hold mechanism with joint assessment; 14-day maximum; 90-day annual cap</w:t>
            </w:r>
          </w:p>
        </w:tc>
      </w:tr>
      <w:tr>
        <w:tc>
          <w:tcPr>
            <w:tcW w:w="2800" w:type="dxa"/>
          </w:tcPr>
          <w:p>
            <w:pPr>
              <w:spacing w:before="60" w:after="60"/>
            </w:pPr>
            <w:r>
              <w:rPr>
                <w:color w:val="a0aec0"/>
                <w:sz w:val="20"/>
              </w:rPr>
              <w:t xml:space="preserve">Data sovereignty; no raw data to U.S.</w:t>
            </w:r>
          </w:p>
        </w:tc>
        <w:tc>
          <w:tcPr>
            <w:tcW w:w="3600" w:type="dxa"/>
          </w:tcPr>
          <w:p>
            <w:pPr>
              <w:spacing w:before="60" w:after="60"/>
            </w:pPr>
            <w:r>
              <w:rPr>
                <w:color w:val="a0aec0"/>
                <w:sz w:val="20"/>
              </w:rPr>
              <w:t xml:space="preserve">U.S. receives sufficient data for compliance</w:t>
            </w:r>
          </w:p>
        </w:tc>
        <w:tc>
          <w:tcPr>
            <w:tcW w:w="3600" w:type="dxa"/>
          </w:tcPr>
          <w:p>
            <w:pPr>
              <w:spacing w:before="60" w:after="60"/>
            </w:pPr>
            <w:r>
              <w:rPr>
                <w:color w:val="a0aec0"/>
                <w:sz w:val="20"/>
              </w:rPr>
              <w:t xml:space="preserve">All raw data is IAEA property; both Parties receive only BVC and summaries; cybersecurity protections</w:t>
            </w:r>
          </w:p>
        </w:tc>
      </w:tr>
      <w:tr>
        <w:tc>
          <w:tcPr>
            <w:tcW w:w="2800" w:type="dxa"/>
          </w:tcPr>
          <w:p>
            <w:pPr>
              <w:spacing w:before="60" w:after="60"/>
            </w:pPr>
            <w:r>
              <w:rPr>
                <w:color w:val="a0aec0"/>
                <w:sz w:val="20"/>
              </w:rPr>
              <w:t xml:space="preserve">No legal precedent created</w:t>
            </w:r>
          </w:p>
        </w:tc>
        <w:tc>
          <w:tcPr>
            <w:tcW w:w="3600" w:type="dxa"/>
          </w:tcPr>
          <w:p>
            <w:pPr>
              <w:spacing w:before="60" w:after="60"/>
            </w:pPr>
            <w:r>
              <w:rPr>
                <w:color w:val="a0aec0"/>
                <w:sz w:val="20"/>
              </w:rPr>
              <w:t xml:space="preserve">Framework is comprehensive and replicable</w:t>
            </w:r>
          </w:p>
        </w:tc>
        <w:tc>
          <w:tcPr>
            <w:tcW w:w="3600" w:type="dxa"/>
          </w:tcPr>
          <w:p>
            <w:pPr>
              <w:spacing w:before="60" w:after="60"/>
            </w:pPr>
            <w:r>
              <w:rPr>
                <w:color w:val="a0aec0"/>
                <w:sz w:val="20"/>
              </w:rPr>
              <w:t xml:space="preserve">Protocol is standalone, site-specific, time-limited; no precedent effect; auto-exit upon remediation</w:t>
            </w:r>
          </w:p>
        </w:tc>
      </w:tr>
      <w:tr>
        <w:tc>
          <w:tcPr>
            <w:tcW w:w="2800" w:type="dxa"/>
          </w:tcPr>
          <w:p>
            <w:pPr>
              <w:spacing w:before="60" w:after="60"/>
            </w:pPr>
            <w:r>
              <w:rPr>
                <w:color w:val="a0aec0"/>
                <w:sz w:val="20"/>
              </w:rPr>
              <w:t xml:space="preserve">Sovereignty preserved; Iranian parliament ratifies</w:t>
            </w:r>
          </w:p>
        </w:tc>
        <w:tc>
          <w:tcPr>
            <w:tcW w:w="3600" w:type="dxa"/>
          </w:tcPr>
          <w:p>
            <w:pPr>
              <w:spacing w:before="60" w:after="60"/>
            </w:pPr>
            <w:r>
              <w:rPr>
                <w:color w:val="a0aec0"/>
                <w:sz w:val="20"/>
              </w:rPr>
              <w:t xml:space="preserve">U.S. ratifies per constitutional procedures</w:t>
            </w:r>
          </w:p>
        </w:tc>
        <w:tc>
          <w:tcPr>
            <w:tcW w:w="3600" w:type="dxa"/>
          </w:tcPr>
          <w:p>
            <w:pPr>
              <w:spacing w:before="60" w:after="60"/>
            </w:pPr>
            <w:r>
              <w:rPr>
                <w:color w:val="a0aec0"/>
                <w:sz w:val="20"/>
              </w:rPr>
              <w:t xml:space="preserve">Double ratification by both Parties; Joint Commission validates first; Board endorsement not required</w:t>
            </w:r>
          </w:p>
        </w:tc>
      </w:tr>
      <w:tr>
        <w:tc>
          <w:tcPr>
            <w:tcW w:w="2800" w:type="dxa"/>
          </w:tcPr>
          <w:p>
            <w:pPr>
              <w:spacing w:before="60" w:after="60"/>
            </w:pPr>
            <w:r>
              <w:rPr>
                <w:color w:val="a0aec0"/>
                <w:sz w:val="20"/>
              </w:rPr>
              <w:t xml:space="preserve">No admission of safeguards violations</w:t>
            </w:r>
          </w:p>
        </w:tc>
        <w:tc>
          <w:tcPr>
            <w:tcW w:w="3600" w:type="dxa"/>
          </w:tcPr>
          <w:p>
            <w:pPr>
              <w:spacing w:before="60" w:after="60"/>
            </w:pPr>
            <w:r>
              <w:rPr>
                <w:color w:val="a0aec0"/>
                <w:sz w:val="20"/>
              </w:rPr>
              <w:t xml:space="preserve">Verified baseline is prerequisite</w:t>
            </w:r>
          </w:p>
        </w:tc>
        <w:tc>
          <w:tcPr>
            <w:tcW w:w="3600" w:type="dxa"/>
          </w:tcPr>
          <w:p>
            <w:pPr>
              <w:spacing w:before="60" w:after="60"/>
            </w:pPr>
            <w:r>
              <w:rPr>
                <w:color w:val="a0aec0"/>
                <w:sz w:val="20"/>
              </w:rPr>
              <w:t xml:space="preserve">VRP creates no admission; BVC establishes baseline without political condition; non-derogation clause</w:t>
            </w:r>
          </w:p>
        </w:tc>
      </w:tr>
      <w:tr>
        <w:tc>
          <w:tcPr>
            <w:tcW w:w="2800" w:type="dxa"/>
          </w:tcPr>
          <w:p>
            <w:pPr>
              <w:spacing w:before="60" w:after="60"/>
            </w:pPr>
            <w:r>
              <w:rPr>
                <w:color w:val="a0aec0"/>
                <w:sz w:val="20"/>
              </w:rPr>
              <w:t xml:space="preserve">Reversibility; Iran exits</w:t>
            </w:r>
          </w:p>
        </w:tc>
        <w:tc>
          <w:tcPr>
            <w:tcW w:w="3600" w:type="dxa"/>
          </w:tcPr>
          <w:p>
            <w:pPr>
              <w:spacing w:before="60" w:after="60"/>
            </w:pPr>
            <w:r>
              <w:rPr>
                <w:color w:val="a0aec0"/>
                <w:sz w:val="20"/>
              </w:rPr>
              <w:t xml:space="preserve">U.S. retains enforcement options</w:t>
            </w:r>
          </w:p>
        </w:tc>
        <w:tc>
          <w:tcPr>
            <w:tcW w:w="3600" w:type="dxa"/>
          </w:tcPr>
          <w:p>
            <w:pPr>
              <w:spacing w:before="60" w:after="60"/>
            </w:pPr>
            <w:r>
              <w:rPr>
                <w:color w:val="a0aec0"/>
                <w:sz w:val="20"/>
              </w:rPr>
              <w:t xml:space="preserve">180-day ordinary termination; 72-hour emergency suspension; 30-day Protocol Freeze; no penalty</w:t>
            </w:r>
          </w:p>
        </w:tc>
      </w:tr>
    </w:tbl>
    <w:p>
      <w:pPr>
        <w:pStyle w:val="Heading1"/>
      </w:pPr>
      <w:r>
        <w:t>Annex B: Radiological Safety Thresholds</w:t>
      </w:r>
      <w:bookmarkStart w:name="_Toc180" w:id="180"/>
      <w:bookmarkEnd w:id="180"/>
    </w:p>
    <w:p>
      <w:pPr>
        <w:spacing w:after="160" w:line="288" w:lineRule="auto"/>
      </w:pPr>
      <w:r>
        <w:rPr>
          <w:rFonts w:ascii="Cambria" w:hAnsi="Cambria"/>
          <w:color w:val="e2e8f0"/>
          <w:sz w:val="22"/>
        </w:rPr>
        <w:t xml:space="preserve">This Annex provides the technical criteria for assigning Damaged Sites to access categories. The Joint Technical Team applies these criteria at the initial assessment and at each reassessment.</w:t>
      </w:r>
    </w:p>
    <w:p>
      <w:pPr>
        <w:pStyle w:val="Heading2"/>
      </w:pPr>
      <w:r>
        <w:t>B.1 Radiation Exposure Thresholds</w:t>
      </w:r>
      <w:bookmarkStart w:name="_Toc181" w:id="181"/>
      <w:bookmarkEnd w:id="181"/>
    </w:p>
    <w:tbl>
      <w:tblPr>
        <w:tblW w:w="5000" w:type="pct"/>
        <w:tblBorders>
          <w:top w:val="single" w:color="4a5568" w:sz="12"/>
          <w:left w:val="nil"/>
          <w:bottom w:val="single" w:color="4a5568" w:sz="12"/>
          <w:right w:val="nil"/>
          <w:insideH w:val="single" w:color="4a5568" w:sz="4"/>
          <w:insideV w:val="nil"/>
        </w:tblBorders>
      </w:tblPr>
      <w:tblGrid>
        <w:gridCol w:w="2000"/>
        <w:gridCol w:w="2500"/>
        <w:gridCol w:w="2500"/>
        <w:gridCol w:w="3000"/>
      </w:tblGrid>
      <w:tr>
        <w:trPr>
          <w:tblHeader/>
        </w:trPr>
        <w:tc>
          <w:tcPr>
            <w:tcW w:w="2000" w:type="dxa"/>
            <w:shd w:val="clear" w:fill="1a202c"/>
          </w:tcPr>
          <w:p>
            <w:pPr>
              <w:spacing w:before="60" w:after="60"/>
            </w:pPr>
            <w:r>
              <w:rPr>
                <w:b/>
                <w:color w:val="e2e8f0"/>
                <w:sz w:val="20"/>
              </w:rPr>
              <w:t xml:space="preserve">Access Category</w:t>
            </w:r>
          </w:p>
        </w:tc>
        <w:tc>
          <w:tcPr>
            <w:tcW w:w="2500" w:type="dxa"/>
            <w:shd w:val="clear" w:fill="1a202c"/>
          </w:tcPr>
          <w:p>
            <w:pPr>
              <w:spacing w:before="60" w:after="60"/>
            </w:pPr>
            <w:r>
              <w:rPr>
                <w:b/>
                <w:color w:val="e2e8f0"/>
                <w:sz w:val="20"/>
              </w:rPr>
              <w:t xml:space="preserve">Dose Rate (at 1m)</w:t>
            </w:r>
          </w:p>
        </w:tc>
        <w:tc>
          <w:tcPr>
            <w:tcW w:w="2500" w:type="dxa"/>
            <w:shd w:val="clear" w:fill="1a202c"/>
          </w:tcPr>
          <w:p>
            <w:pPr>
              <w:spacing w:before="60" w:after="60"/>
            </w:pPr>
            <w:r>
              <w:rPr>
                <w:b/>
                <w:color w:val="e2e8f0"/>
                <w:sz w:val="20"/>
              </w:rPr>
              <w:t xml:space="preserve">Cumulative Exposure</w:t>
            </w:r>
          </w:p>
        </w:tc>
        <w:tc>
          <w:tcPr>
            <w:tcW w:w="3000" w:type="dxa"/>
            <w:shd w:val="clear" w:fill="1a202c"/>
          </w:tcPr>
          <w:p>
            <w:pPr>
              <w:spacing w:before="60" w:after="60"/>
            </w:pPr>
            <w:r>
              <w:rPr>
                <w:b/>
                <w:color w:val="e2e8f0"/>
                <w:sz w:val="20"/>
              </w:rPr>
              <w:t xml:space="preserve">Conditions</w:t>
            </w:r>
          </w:p>
        </w:tc>
      </w:tr>
      <w:tr>
        <w:tc>
          <w:tcPr>
            <w:tcW w:w="2000" w:type="dxa"/>
          </w:tcPr>
          <w:p>
            <w:pPr>
              <w:spacing w:before="60" w:after="60"/>
            </w:pPr>
            <w:r>
              <w:rPr>
                <w:color w:val="a0aec0"/>
                <w:sz w:val="20"/>
              </w:rPr>
              <w:t xml:space="preserve">Category A</w:t>
            </w:r>
          </w:p>
        </w:tc>
        <w:tc>
          <w:tcPr>
            <w:tcW w:w="2500" w:type="dxa"/>
          </w:tcPr>
          <w:p>
            <w:pPr>
              <w:spacing w:before="60" w:after="60"/>
            </w:pPr>
            <w:r>
              <w:rPr>
                <w:color w:val="a0aec0"/>
                <w:sz w:val="20"/>
              </w:rPr>
              <w:t xml:space="preserve">&lt; 25 microSv/h</w:t>
            </w:r>
          </w:p>
        </w:tc>
        <w:tc>
          <w:tcPr>
            <w:tcW w:w="2500" w:type="dxa"/>
          </w:tcPr>
          <w:p>
            <w:pPr>
              <w:spacing w:before="60" w:after="60"/>
            </w:pPr>
            <w:r>
              <w:rPr>
                <w:color w:val="a0aec0"/>
                <w:sz w:val="20"/>
              </w:rPr>
              <w:t xml:space="preserve">&lt; 1 mSv/day</w:t>
            </w:r>
          </w:p>
        </w:tc>
        <w:tc>
          <w:tcPr>
            <w:tcW w:w="3000" w:type="dxa"/>
          </w:tcPr>
          <w:p>
            <w:pPr>
              <w:spacing w:before="60" w:after="60"/>
            </w:pPr>
            <w:r>
              <w:rPr>
                <w:color w:val="a0aec0"/>
                <w:sz w:val="20"/>
              </w:rPr>
              <w:t xml:space="preserve">Standard PPE; no respiratory protection required</w:t>
            </w:r>
          </w:p>
        </w:tc>
      </w:tr>
      <w:tr>
        <w:tc>
          <w:tcPr>
            <w:tcW w:w="2000" w:type="dxa"/>
          </w:tcPr>
          <w:p>
            <w:pPr>
              <w:spacing w:before="60" w:after="60"/>
            </w:pPr>
            <w:r>
              <w:rPr>
                <w:color w:val="a0aec0"/>
                <w:sz w:val="20"/>
              </w:rPr>
              <w:t xml:space="preserve">Category B</w:t>
            </w:r>
          </w:p>
        </w:tc>
        <w:tc>
          <w:tcPr>
            <w:tcW w:w="2500" w:type="dxa"/>
          </w:tcPr>
          <w:p>
            <w:pPr>
              <w:spacing w:before="60" w:after="60"/>
            </w:pPr>
            <w:r>
              <w:rPr>
                <w:color w:val="a0aec0"/>
                <w:sz w:val="20"/>
              </w:rPr>
              <w:t xml:space="preserve">25-250 microSv/h</w:t>
            </w:r>
          </w:p>
        </w:tc>
        <w:tc>
          <w:tcPr>
            <w:tcW w:w="2500" w:type="dxa"/>
          </w:tcPr>
          <w:p>
            <w:pPr>
              <w:spacing w:before="60" w:after="60"/>
            </w:pPr>
            <w:r>
              <w:rPr>
                <w:color w:val="a0aec0"/>
                <w:sz w:val="20"/>
              </w:rPr>
              <w:t xml:space="preserve">&lt; 5 mSv/day</w:t>
            </w:r>
          </w:p>
        </w:tc>
        <w:tc>
          <w:tcPr>
            <w:tcW w:w="3000" w:type="dxa"/>
          </w:tcPr>
          <w:p>
            <w:pPr>
              <w:spacing w:before="60" w:after="60"/>
            </w:pPr>
            <w:r>
              <w:rPr>
                <w:color w:val="a0aec0"/>
                <w:sz w:val="20"/>
              </w:rPr>
              <w:t xml:space="preserve">Full PPE; respiratory protection; time limits; decon required</w:t>
            </w:r>
          </w:p>
        </w:tc>
      </w:tr>
      <w:tr>
        <w:tc>
          <w:tcPr>
            <w:tcW w:w="2000" w:type="dxa"/>
          </w:tcPr>
          <w:p>
            <w:pPr>
              <w:spacing w:before="60" w:after="60"/>
            </w:pPr>
            <w:r>
              <w:rPr>
                <w:color w:val="a0aec0"/>
                <w:sz w:val="20"/>
              </w:rPr>
              <w:t xml:space="preserve">Category C</w:t>
            </w:r>
          </w:p>
        </w:tc>
        <w:tc>
          <w:tcPr>
            <w:tcW w:w="2500" w:type="dxa"/>
          </w:tcPr>
          <w:p>
            <w:pPr>
              <w:spacing w:before="60" w:after="60"/>
            </w:pPr>
            <w:r>
              <w:rPr>
                <w:color w:val="a0aec0"/>
                <w:sz w:val="20"/>
              </w:rPr>
              <w:t xml:space="preserve">&gt; 250 microSv/h</w:t>
            </w:r>
          </w:p>
        </w:tc>
        <w:tc>
          <w:tcPr>
            <w:tcW w:w="2500" w:type="dxa"/>
          </w:tcPr>
          <w:p>
            <w:pPr>
              <w:spacing w:before="60" w:after="60"/>
            </w:pPr>
            <w:r>
              <w:rPr>
                <w:color w:val="a0aec0"/>
                <w:sz w:val="20"/>
              </w:rPr>
              <w:t xml:space="preserve">N/A (no entry)</w:t>
            </w:r>
          </w:p>
        </w:tc>
        <w:tc>
          <w:tcPr>
            <w:tcW w:w="3000" w:type="dxa"/>
          </w:tcPr>
          <w:p>
            <w:pPr>
              <w:spacing w:before="60" w:after="60"/>
            </w:pPr>
            <w:r>
              <w:rPr>
                <w:color w:val="a0aec0"/>
                <w:sz w:val="20"/>
              </w:rPr>
              <w:t xml:space="preserve">Robotic access only; personnel remain outside perimeter</w:t>
            </w:r>
          </w:p>
        </w:tc>
      </w:tr>
      <w:tr>
        <w:tc>
          <w:tcPr>
            <w:tcW w:w="2000" w:type="dxa"/>
          </w:tcPr>
          <w:p>
            <w:pPr>
              <w:spacing w:before="60" w:after="60"/>
            </w:pPr>
            <w:r>
              <w:rPr>
                <w:color w:val="a0aec0"/>
                <w:sz w:val="20"/>
              </w:rPr>
              <w:t xml:space="preserve">Category D</w:t>
            </w:r>
          </w:p>
        </w:tc>
        <w:tc>
          <w:tcPr>
            <w:tcW w:w="2500" w:type="dxa"/>
          </w:tcPr>
          <w:p>
            <w:pPr>
              <w:spacing w:before="60" w:after="60"/>
            </w:pPr>
            <w:r>
              <w:rPr>
                <w:color w:val="a0aec0"/>
                <w:sz w:val="20"/>
              </w:rPr>
              <w:t xml:space="preserve">&gt; 1000 microSv/h or airborne contamination</w:t>
            </w:r>
          </w:p>
        </w:tc>
        <w:tc>
          <w:tcPr>
            <w:tcW w:w="2500" w:type="dxa"/>
          </w:tcPr>
          <w:p>
            <w:pPr>
              <w:spacing w:before="60" w:after="60"/>
            </w:pPr>
            <w:r>
              <w:rPr>
                <w:color w:val="a0aec0"/>
                <w:sz w:val="20"/>
              </w:rPr>
              <w:t xml:space="preserve">N/A</w:t>
            </w:r>
          </w:p>
        </w:tc>
        <w:tc>
          <w:tcPr>
            <w:tcW w:w="3000" w:type="dxa"/>
          </w:tcPr>
          <w:p>
            <w:pPr>
              <w:spacing w:before="60" w:after="60"/>
            </w:pPr>
            <w:r>
              <w:rPr>
                <w:color w:val="a0aec0"/>
                <w:sz w:val="20"/>
              </w:rPr>
              <w:t xml:space="preserve">No entry; no robotic access; remote sensing only</w:t>
            </w:r>
          </w:p>
        </w:tc>
      </w:tr>
    </w:tbl>
    <w:p>
      <w:pPr>
        <w:pStyle w:val="Heading2"/>
      </w:pPr>
      <w:r>
        <w:t>B.2 Structural Stability Criteria</w:t>
      </w:r>
      <w:bookmarkStart w:name="_Toc182" w:id="182"/>
      <w:bookmarkEnd w:id="182"/>
    </w:p>
    <w:p>
      <w:pPr>
        <w:spacing w:after="160" w:line="288" w:lineRule="auto"/>
      </w:pPr>
      <w:r>
        <w:rPr>
          <w:rFonts w:ascii="Cambria" w:hAnsi="Cambria"/>
          <w:color w:val="e2e8f0"/>
          <w:sz w:val="22"/>
        </w:rPr>
        <w:t xml:space="preserve">Category A: No visible damage to load-bearing elements. All access routes clear. Ventilation systems operate within design parameters. No water ingress, fire damage, or chemical contamination.</w:t>
      </w:r>
    </w:p>
    <w:p>
      <w:pPr>
        <w:spacing w:after="160" w:line="288" w:lineRule="auto"/>
      </w:pPr>
      <w:r>
        <w:rPr>
          <w:rFonts w:ascii="Cambria" w:hAnsi="Cambria"/>
          <w:color w:val="e2e8f0"/>
          <w:sz w:val="22"/>
        </w:rPr>
        <w:t xml:space="preserve">Category B: Localized damage not threatening overall stability. At least one safe access route exists. Ventilation impaired but functional with supplemental equipment. Limited water ingress, fire damage, or chemical contamination in zones excluded by the modified access protocol.</w:t>
      </w:r>
    </w:p>
    <w:p>
      <w:pPr>
        <w:spacing w:after="160" w:line="288" w:lineRule="auto"/>
      </w:pPr>
      <w:r>
        <w:rPr>
          <w:rFonts w:ascii="Cambria" w:hAnsi="Cambria"/>
          <w:color w:val="e2e8f0"/>
          <w:sz w:val="22"/>
        </w:rPr>
        <w:t xml:space="preserve">Category C: Significant damage. No safe access route for personnel. Structural collapse risk in some areas precludes physical entry. Remote or robotic platforms operate in designated zones.</w:t>
      </w:r>
    </w:p>
    <w:p>
      <w:pPr>
        <w:spacing w:after="160" w:line="288" w:lineRule="auto"/>
      </w:pPr>
      <w:r>
        <w:rPr>
          <w:rFonts w:ascii="Cambria" w:hAnsi="Cambria"/>
          <w:color w:val="e2e8f0"/>
          <w:sz w:val="22"/>
        </w:rPr>
        <w:t xml:space="preserve">Category D: Extensively compromised structure. Structural collapse imminent or occurred. No robotic platform operates safely inside. Radiological conditions at the perimeter exceed Category A thresholds.</w:t>
      </w:r>
    </w:p>
    <w:p>
      <w:pPr>
        <w:pStyle w:val="Heading2"/>
      </w:pPr>
      <w:r>
        <w:t>B.3 Written Justification for Unsafe Determinations</w:t>
      </w:r>
      <w:bookmarkStart w:name="_Toc183" w:id="183"/>
      <w:bookmarkEnd w:id="183"/>
    </w:p>
    <w:p>
      <w:pPr>
        <w:spacing w:after="160" w:line="288" w:lineRule="auto"/>
      </w:pPr>
      <w:r>
        <w:rPr>
          <w:rFonts w:ascii="Cambria" w:hAnsi="Cambria"/>
          <w:color w:val="e2e8f0"/>
          <w:sz w:val="22"/>
        </w:rPr>
        <w:t xml:space="preserve">Any determination that a facility or area is unsafe is accompanied by a written technical justification identifying the specific radiological, structural, or environmental criteria supporting that determination. The justification includes: measured radiation levels and exposure thresholds exceeded; structural damage observations and collapse risk indicators; chemical or toxic hazard readings; and meteorological or environmental conditions affecting safety. The written justification is transmitted to both Parties and the PCC Secretariat simultaneously with the determination.</w:t>
      </w:r>
    </w:p>
    <w:p>
      <w:pPr>
        <w:pStyle w:val="Heading2"/>
      </w:pPr>
      <w:r>
        <w:t>B.4 Joint Engineering Assessment for Structural Disputes</w:t>
      </w:r>
      <w:bookmarkStart w:name="_Toc184" w:id="184"/>
      <w:bookmarkEnd w:id="184"/>
    </w:p>
    <w:p>
      <w:pPr>
        <w:spacing w:after="160" w:line="288" w:lineRule="auto"/>
      </w:pPr>
      <w:r>
        <w:rPr>
          <w:rFonts w:ascii="Cambria" w:hAnsi="Cambria"/>
          <w:color w:val="e2e8f0"/>
          <w:sz w:val="22"/>
        </w:rPr>
        <w:t xml:space="preserve">Where structural safety determinations differ between the Agency structural engineer and the designated Iranian structural engineer, both engineers conduct a joint assessment and issue a consolidated technical report prior to referral to the Independent Technical Review Panel. The joint assessment includes: a joint site inspection where conditions permit; shared review of all available structural data; and a written statement of areas of agreement and disagreement. The consolidated technical report accompanies any referral to the Panel.</w:t>
      </w:r>
    </w:p>
    <w:p>
      <w:pPr>
        <w:pStyle w:val="Heading2"/>
      </w:pPr>
      <w:r>
        <w:t>B.5 Reassessment Schedule</w:t>
      </w:r>
      <w:bookmarkStart w:name="_Toc185" w:id="185"/>
      <w:bookmarkEnd w:id="185"/>
    </w:p>
    <w:p>
      <w:pPr>
        <w:spacing w:after="160" w:line="288" w:lineRule="auto"/>
      </w:pPr>
      <w:r>
        <w:rPr>
          <w:rFonts w:ascii="Cambria" w:hAnsi="Cambria"/>
          <w:color w:val="e2e8f0"/>
          <w:sz w:val="22"/>
        </w:rPr>
        <w:t xml:space="preserve">Category A sites: reassessed at each scheduled inspection, normally not less than every 30 days.</w:t>
      </w:r>
    </w:p>
    <w:p>
      <w:pPr>
        <w:spacing w:after="160" w:line="288" w:lineRule="auto"/>
      </w:pPr>
      <w:r>
        <w:rPr>
          <w:rFonts w:ascii="Cambria" w:hAnsi="Cambria"/>
          <w:color w:val="e2e8f0"/>
          <w:sz w:val="22"/>
        </w:rPr>
        <w:t xml:space="preserve">Category B sites: reassessed at each scheduled inspection, normally not less than every 14 days.</w:t>
      </w:r>
    </w:p>
    <w:p>
      <w:pPr>
        <w:spacing w:after="160" w:line="288" w:lineRule="auto"/>
      </w:pPr>
      <w:r>
        <w:rPr>
          <w:rFonts w:ascii="Cambria" w:hAnsi="Cambria"/>
          <w:color w:val="e2e8f0"/>
          <w:sz w:val="22"/>
        </w:rPr>
        <w:t xml:space="preserve">Category C sites: reassessed every 14 days.</w:t>
      </w:r>
    </w:p>
    <w:p>
      <w:pPr>
        <w:spacing w:after="160" w:line="288" w:lineRule="auto"/>
      </w:pPr>
      <w:r>
        <w:rPr>
          <w:rFonts w:ascii="Cambria" w:hAnsi="Cambria"/>
          <w:color w:val="e2e8f0"/>
          <w:sz w:val="22"/>
        </w:rPr>
        <w:t xml:space="preserve">Category D sites: reassessed every 7 days.</w:t>
      </w:r>
    </w:p>
    <w:p>
      <w:pPr>
        <w:pStyle w:val="Heading1"/>
      </w:pPr>
      <w:r>
        <w:t>Annex C: Joint Safety Assessment Procedures</w:t>
      </w:r>
      <w:bookmarkStart w:name="_Toc186" w:id="186"/>
      <w:bookmarkEnd w:id="186"/>
    </w:p>
    <w:p>
      <w:pPr>
        <w:pStyle w:val="Normal"/>
        <w:spacing w:after="160" w:line="288" w:lineRule="auto"/>
      </w:pPr>
      <w:r>
        <w:rPr>
          <w:rFonts w:ascii="Cambria" w:hAnsi="Cambria" w:eastAsia="Cambria" w:cs="Cambria"/>
          <w:color w:val="E2E8F0"/>
          <w:sz w:val="22"/>
          <w:szCs w:val="22"/>
        </w:rPr>
        <w:t>This Annex details the procedure for conducting a Joint Safety Assessment. The Joint Technical Team follows this procedure for each assessment.</w:t>
      </w:r>
    </w:p>
    <w:p>
      <w:pPr>
        <w:pStyle w:val="Heading2"/>
      </w:pPr>
      <w:bookmarkStart w:name="_Toc187" w:id="187"/>
      <w:r>
        <w:rPr>
          <w:rFonts w:ascii="Cambria" w:hAnsi="Cambria" w:eastAsia="Cambria" w:cs="Cambria"/>
          <w:b/>
          <w:color w:val="A0AEC0"/>
          <w:sz w:val="26"/>
          <w:szCs w:val="26"/>
        </w:rPr>
        <w:t>C.1 Pre-Deployment Phase</w:t>
      </w:r>
      <w:bookmarkEnd w:id="187"/>
    </w:p>
    <w:p>
      <w:pPr>
        <w:pStyle w:val="Normal"/>
        <w:spacing w:after="160" w:line="288" w:lineRule="auto"/>
      </w:pPr>
      <w:r>
        <w:rPr>
          <w:rFonts w:ascii="Cambria" w:hAnsi="Cambria" w:eastAsia="Cambria" w:cs="Cambria"/>
          <w:color w:val="E2E8F0"/>
          <w:sz w:val="22"/>
          <w:szCs w:val="22"/>
        </w:rPr>
        <w:t>Step 1: The Agency Director General notifies Iran of the planned Assessment at least 48 hours in advance.</w:t>
      </w:r>
    </w:p>
    <w:p>
      <w:pPr>
        <w:pStyle w:val="Normal"/>
        <w:spacing w:after="160" w:line="288" w:lineRule="auto"/>
      </w:pPr>
      <w:r>
        <w:rPr>
          <w:rFonts w:ascii="Cambria" w:hAnsi="Cambria" w:eastAsia="Cambria" w:cs="Cambria"/>
          <w:color w:val="E2E8F0"/>
          <w:sz w:val="22"/>
          <w:szCs w:val="22"/>
        </w:rPr>
        <w:t>Step 2: Iran confirms facility availability and provides all available safety data within 24 hours of notification.</w:t>
      </w:r>
    </w:p>
    <w:p>
      <w:pPr>
        <w:pStyle w:val="Normal"/>
        <w:spacing w:after="160" w:line="288" w:lineRule="auto"/>
      </w:pPr>
      <w:r>
        <w:rPr>
          <w:rFonts w:ascii="Cambria" w:hAnsi="Cambria" w:eastAsia="Cambria" w:cs="Cambria"/>
          <w:color w:val="E2E8F0"/>
          <w:sz w:val="22"/>
          <w:szCs w:val="22"/>
        </w:rPr>
        <w:t>Step 3: The Joint Technical Team assembles at a mutually agreed location, equipped with radiation monitoring equipment, structural assessment tools, and remote sensing systems.</w:t>
      </w:r>
    </w:p>
    <w:p>
      <w:pPr>
        <w:pStyle w:val="Normal"/>
        <w:spacing w:after="160" w:line="288" w:lineRule="auto"/>
      </w:pPr>
      <w:r>
        <w:rPr>
          <w:rFonts w:ascii="Cambria" w:hAnsi="Cambria" w:eastAsia="Cambria" w:cs="Cambria"/>
          <w:color w:val="E2E8F0"/>
          <w:sz w:val="22"/>
          <w:szCs w:val="22"/>
        </w:rPr>
        <w:t>Step 4: The Team conducts a preliminary data review of all available telemetry, environmental monitoring records, satellite imagery, and Iranian technical assessments.</w:t>
      </w:r>
    </w:p>
    <w:p>
      <w:pPr>
        <w:pStyle w:val="Heading2"/>
      </w:pPr>
      <w:bookmarkStart w:name="_Toc188" w:id="188"/>
      <w:r>
        <w:rPr>
          <w:rFonts w:ascii="Cambria" w:hAnsi="Cambria" w:eastAsia="Cambria" w:cs="Cambria"/>
          <w:b/>
          <w:color w:val="A0AEC0"/>
          <w:sz w:val="26"/>
          <w:szCs w:val="26"/>
        </w:rPr>
        <w:t>C.2 Field Assessment Phase</w:t>
      </w:r>
      <w:bookmarkEnd w:id="188"/>
    </w:p>
    <w:p>
      <w:pPr>
        <w:pStyle w:val="Normal"/>
        <w:spacing w:after="160" w:line="288" w:lineRule="auto"/>
      </w:pPr>
      <w:r>
        <w:rPr>
          <w:rFonts w:ascii="Cambria" w:hAnsi="Cambria" w:eastAsia="Cambria" w:cs="Cambria"/>
          <w:color w:val="E2E8F0"/>
          <w:sz w:val="22"/>
          <w:szCs w:val="22"/>
        </w:rPr>
        <w:t>Step 5: The Team deploys to the site perimeter. Perimeter radiological survey is conducted using gamma spectroscopy, neutron detection, and air sampling.</w:t>
      </w:r>
    </w:p>
    <w:p>
      <w:pPr>
        <w:pStyle w:val="Normal"/>
        <w:spacing w:after="160" w:line="288" w:lineRule="auto"/>
      </w:pPr>
      <w:r>
        <w:rPr>
          <w:rFonts w:ascii="Cambria" w:hAnsi="Cambria" w:eastAsia="Cambria" w:cs="Cambria"/>
          <w:color w:val="E2E8F0"/>
          <w:sz w:val="22"/>
          <w:szCs w:val="22"/>
        </w:rPr>
        <w:t>Step 6: Where Category A or B conditions are suspected, the Team inspects all entry points using portable sensors and visual inspection. Structural engineers evaluate load-bearing elements.</w:t>
      </w:r>
    </w:p>
    <w:p>
      <w:pPr>
        <w:pStyle w:val="Normal"/>
        <w:spacing w:after="160" w:line="288" w:lineRule="auto"/>
      </w:pPr>
      <w:r>
        <w:rPr>
          <w:rFonts w:ascii="Cambria" w:hAnsi="Cambria" w:eastAsia="Cambria" w:cs="Cambria"/>
          <w:color w:val="E2E8F0"/>
          <w:sz w:val="22"/>
          <w:szCs w:val="22"/>
        </w:rPr>
        <w:t>Step 7: Where Category C is assigned, the Team deploys robotic platforms for interior survey. Robotic sensors map radiation levels, photograph structural conditions, and collect air samples.</w:t>
      </w:r>
    </w:p>
    <w:p>
      <w:pPr>
        <w:pStyle w:val="Normal"/>
        <w:spacing w:after="160" w:line="288" w:lineRule="auto"/>
      </w:pPr>
      <w:r>
        <w:rPr>
          <w:rFonts w:ascii="Cambria" w:hAnsi="Cambria" w:eastAsia="Cambria" w:cs="Cambria"/>
          <w:color w:val="E2E8F0"/>
          <w:sz w:val="22"/>
          <w:szCs w:val="22"/>
        </w:rPr>
        <w:t>Step 8: Where Category D is assigned, the Team conducts all feasible remote sensing from the perimeter and documents the factors preventing safe access.</w:t>
      </w:r>
    </w:p>
    <w:p>
      <w:pPr>
        <w:pStyle w:val="Heading2"/>
      </w:pPr>
      <w:bookmarkStart w:name="_Toc189" w:id="189"/>
      <w:r>
        <w:rPr>
          <w:rFonts w:ascii="Cambria" w:hAnsi="Cambria" w:eastAsia="Cambria" w:cs="Cambria"/>
          <w:b/>
          <w:color w:val="A0AEC0"/>
          <w:sz w:val="26"/>
          <w:szCs w:val="26"/>
        </w:rPr>
        <w:t>C.3 Reporting Phase</w:t>
      </w:r>
      <w:bookmarkEnd w:id="189"/>
    </w:p>
    <w:p>
      <w:pPr>
        <w:pStyle w:val="Normal"/>
        <w:spacing w:after="160" w:line="288" w:lineRule="auto"/>
      </w:pPr>
      <w:r>
        <w:rPr>
          <w:rFonts w:ascii="Cambria" w:hAnsi="Cambria" w:eastAsia="Cambria" w:cs="Cambria"/>
          <w:color w:val="E2E8F0"/>
          <w:sz w:val="22"/>
          <w:szCs w:val="22"/>
        </w:rPr>
        <w:t>Step 9: The Team convenes within a reasonable period of completing field work to analyze findings and reach consensus on the access category assignment.</w:t>
      </w:r>
    </w:p>
    <w:p>
      <w:pPr>
        <w:pStyle w:val="Normal"/>
        <w:spacing w:after="160" w:line="288" w:lineRule="auto"/>
      </w:pPr>
      <w:r>
        <w:rPr>
          <w:rFonts w:ascii="Cambria" w:hAnsi="Cambria" w:eastAsia="Cambria" w:cs="Cambria"/>
          <w:color w:val="E2E8F0"/>
          <w:sz w:val="22"/>
          <w:szCs w:val="22"/>
        </w:rPr>
        <w:t>Step 10: The Team drafts the Joint Safety Assessment report, including the access category determination, specific conditions for access, and recommendations for protective measures.</w:t>
      </w:r>
    </w:p>
    <w:p>
      <w:pPr>
        <w:pStyle w:val="Normal"/>
        <w:spacing w:after="160" w:line="288" w:lineRule="auto"/>
      </w:pPr>
      <w:r>
        <w:rPr>
          <w:rFonts w:ascii="Cambria" w:hAnsi="Cambria" w:eastAsia="Cambria" w:cs="Cambria"/>
          <w:color w:val="E2E8F0"/>
          <w:sz w:val="22"/>
          <w:szCs w:val="22"/>
        </w:rPr>
        <w:t>Step 11: The Agency Radiation Safety Officer and the senior Iranian nuclear safety official both sign the report. Where they disagree, both signatories attach their respective determinations.</w:t>
      </w:r>
    </w:p>
    <w:p>
      <w:pPr>
        <w:pStyle w:val="Normal"/>
        <w:spacing w:after="160" w:line="288" w:lineRule="auto"/>
      </w:pPr>
      <w:r>
        <w:rPr>
          <w:rFonts w:ascii="Cambria" w:hAnsi="Cambria" w:eastAsia="Cambria" w:cs="Cambria"/>
          <w:color w:val="E2E8F0"/>
          <w:sz w:val="22"/>
          <w:szCs w:val="22"/>
        </w:rPr>
        <w:t>Step 12: The report is transmitted to the Agency Director General, the PCC Secretariat, and both Parties within a reasonable period, normally not exceeding 72 hours of Team deployment.</w:t>
      </w:r>
    </w:p>
    <w:p>
      <w:pPr>
        <w:pStyle w:val="Heading1"/>
      </w:pPr>
      <w:bookmarkStart w:name="_Toc190" w:id="190"/>
      <w:r>
        <w:rPr>
          <w:rFonts w:ascii="Cambria" w:hAnsi="Cambria" w:eastAsia="Cambria" w:cs="Cambria"/>
          <w:b/>
          <w:color w:val="90CDF4"/>
          <w:sz w:val="32"/>
          <w:szCs w:val="32"/>
        </w:rPr>
        <w:t>Annex D: Agency Participation</w:t>
      </w:r>
      <w:bookmarkEnd w:id="190"/>
    </w:p>
    <w:p>
      <w:pPr>
        <w:pStyle w:val="Normal"/>
        <w:spacing w:after="160" w:line="288" w:lineRule="auto"/>
      </w:pPr>
      <w:r>
        <w:rPr>
          <w:rFonts w:ascii="Cambria" w:hAnsi="Cambria" w:eastAsia="Cambria" w:cs="Cambria"/>
          <w:color w:val="E2E8F0"/>
          <w:sz w:val="22"/>
          <w:szCs w:val="22"/>
        </w:rPr>
        <w:t>This Annex records the framework for Agency participation under this Protocol. The Agency is not a Party to this Protocol. Its role is technical and operational, governed exclusively by the Agency's Statute, safeguards agreements, applicable Board of Governors decisions, and the independent authority of the Director General.</w:t>
      </w:r>
    </w:p>
    <w:p>
      <w:pPr>
        <w:pStyle w:val="Heading2"/>
      </w:pPr>
      <w:bookmarkStart w:name="_Toc191" w:id="191"/>
      <w:r>
        <w:rPr>
          <w:rFonts w:ascii="Cambria" w:hAnsi="Cambria" w:eastAsia="Cambria" w:cs="Cambria"/>
          <w:b/>
          <w:color w:val="A0AEC0"/>
          <w:sz w:val="26"/>
          <w:szCs w:val="26"/>
        </w:rPr>
        <w:t>D.1 Technical Functions</w:t>
      </w:r>
      <w:bookmarkEnd w:id="191"/>
    </w:p>
    <w:p>
      <w:pPr>
        <w:pStyle w:val="Normal"/>
        <w:spacing w:after="160" w:line="288" w:lineRule="auto"/>
      </w:pPr>
      <w:r>
        <w:rPr>
          <w:rFonts w:ascii="Cambria" w:hAnsi="Cambria" w:eastAsia="Cambria" w:cs="Cambria"/>
          <w:color w:val="E2E8F0"/>
          <w:sz w:val="22"/>
          <w:szCs w:val="22"/>
        </w:rPr>
        <w:t>The Agency undertakes the following technical functions: leading all verification activities at Damaged Sites; conducting the Joint Safety Assessment; maintaining custody of raw data generated during verification; issuing the Baseline Verification Certificate; administering the Independent Technical Review Panel process; and performing such other technical functions as the Parties assign by mutual agreement.</w:t>
      </w:r>
    </w:p>
    <w:p>
      <w:pPr>
        <w:pStyle w:val="Heading2"/>
      </w:pPr>
      <w:bookmarkStart w:name="_Toc192" w:id="192"/>
      <w:r>
        <w:rPr>
          <w:rFonts w:ascii="Cambria" w:hAnsi="Cambria" w:eastAsia="Cambria" w:cs="Cambria"/>
          <w:b/>
          <w:color w:val="A0AEC0"/>
          <w:sz w:val="26"/>
          <w:szCs w:val="26"/>
        </w:rPr>
        <w:t>D.2 Conditions of Agency Participation</w:t>
      </w:r>
      <w:bookmarkEnd w:id="192"/>
    </w:p>
    <w:p>
      <w:pPr>
        <w:pStyle w:val="Normal"/>
        <w:spacing w:after="160" w:line="288" w:lineRule="auto"/>
      </w:pPr>
      <w:r>
        <w:rPr>
          <w:rFonts w:ascii="Cambria" w:hAnsi="Cambria" w:eastAsia="Cambria" w:cs="Cambria"/>
          <w:color w:val="E2E8F0"/>
          <w:sz w:val="22"/>
          <w:szCs w:val="22"/>
        </w:rPr>
        <w:t>The Agency's participation is subject to: the availability of qualified inspectors and technical specialists; the safety conditions at Damaged Sites meeting minimum standards for Agency personnel; the provision of secure communications infrastructure by the host state; and the maintenance of the Agency's independent technical authority over all verification determinations.</w:t>
      </w:r>
    </w:p>
    <w:p>
      <w:pPr>
        <w:pStyle w:val="Heading2"/>
      </w:pPr>
      <w:bookmarkStart w:name="_Toc193" w:id="193"/>
      <w:r>
        <w:rPr>
          <w:rFonts w:ascii="Cambria" w:hAnsi="Cambria" w:eastAsia="Cambria" w:cs="Cambria"/>
          <w:b/>
          <w:color w:val="A0AEC0"/>
          <w:sz w:val="26"/>
          <w:szCs w:val="26"/>
        </w:rPr>
        <w:t>D.3 Agency Withdrawal</w:t>
      </w:r>
      <w:bookmarkEnd w:id="193"/>
    </w:p>
    <w:p>
      <w:pPr>
        <w:pStyle w:val="Normal"/>
        <w:spacing w:after="160" w:line="288" w:lineRule="auto"/>
      </w:pPr>
      <w:r>
        <w:rPr>
          <w:rFonts w:ascii="Cambria" w:hAnsi="Cambria" w:eastAsia="Cambria" w:cs="Cambria"/>
          <w:color w:val="E2E8F0"/>
          <w:sz w:val="22"/>
          <w:szCs w:val="22"/>
        </w:rPr>
        <w:t>If the Agency withdraws from technical participation at a specific site:</w:t>
      </w:r>
    </w:p>
    <w:p>
      <w:pPr>
        <w:pStyle w:val="Normal"/>
        <w:spacing w:after="160" w:line="288" w:lineRule="auto"/>
      </w:pPr>
      <w:r>
        <w:rPr>
          <w:rFonts w:ascii="Cambria" w:hAnsi="Cambria" w:eastAsia="Cambria" w:cs="Cambria"/>
          <w:color w:val="E2E8F0"/>
          <w:sz w:val="22"/>
          <w:szCs w:val="22"/>
        </w:rPr>
        <w:t>(i) Withdrawal Notification: The Agency Director General provides written notification to both Parties and the Joint Commission. The notification specifies the reasons for withdrawal and the expected duration.</w:t>
      </w:r>
    </w:p>
    <w:p>
      <w:pPr>
        <w:pStyle w:val="Normal"/>
        <w:spacing w:after="160" w:line="288" w:lineRule="auto"/>
      </w:pPr>
      <w:r>
        <w:rPr>
          <w:rFonts w:ascii="Cambria" w:hAnsi="Cambria" w:eastAsia="Cambria" w:cs="Cambria"/>
          <w:color w:val="E2E8F0"/>
          <w:sz w:val="22"/>
          <w:szCs w:val="22"/>
        </w:rPr>
        <w:t>(ii) 60-Day Period: The Joint Commission has 60 days from withdrawal notification to: (a) address the Agency's concerns; (b) secure Agency reconsideration; or (c) negotiate alternative verification arrangements.</w:t>
      </w:r>
    </w:p>
    <w:p>
      <w:pPr>
        <w:pStyle w:val="Normal"/>
        <w:spacing w:after="160" w:line="288" w:lineRule="auto"/>
      </w:pPr>
      <w:r>
        <w:rPr>
          <w:rFonts w:ascii="Cambria" w:hAnsi="Cambria" w:eastAsia="Cambria" w:cs="Cambria"/>
          <w:color w:val="E2E8F0"/>
          <w:sz w:val="22"/>
          <w:szCs w:val="22"/>
        </w:rPr>
        <w:t>(iii) Alternative Arrangements: Where the Parties fail to agree on an alternative arrangement within 60 days, the site in question automatically exits this Protocol under Article 2.6.</w:t>
      </w:r>
    </w:p>
    <w:p>
      <w:pPr>
        <w:pStyle w:val="Normal"/>
        <w:spacing w:after="160" w:line="288" w:lineRule="auto"/>
      </w:pPr>
      <w:r>
        <w:rPr>
          <w:rFonts w:ascii="Cambria" w:hAnsi="Cambria" w:eastAsia="Cambria" w:cs="Cambria"/>
          <w:color w:val="E2E8F0"/>
          <w:sz w:val="22"/>
          <w:szCs w:val="22"/>
        </w:rPr>
        <w:t>(iv) No Prejudice: Agency withdrawal constitutes neither a breach by either Party nor a trigger for Step-Back or any adverse compliance finding.</w:t>
      </w:r>
    </w:p>
    <w:p>
      <w:pPr>
        <w:pStyle w:val="Normal"/>
        <w:spacing w:after="160" w:line="288" w:lineRule="auto"/>
      </w:pPr>
      <w:r>
        <w:rPr>
          <w:rFonts w:ascii="Cambria" w:hAnsi="Cambria" w:eastAsia="Cambria" w:cs="Cambria"/>
          <w:color w:val="E2E8F0"/>
          <w:sz w:val="22"/>
          <w:szCs w:val="22"/>
        </w:rPr>
        <w:t>(v) Resource Assurance: The Parties ensure that the Agency has adequate resources to fulfill its technical functions under this Protocol. The Joint Commission reviews resource adequacy annually.</w:t>
      </w:r>
    </w:p>
    <w:p>
      <w:pPr>
        <w:pStyle w:val="Normal"/>
        <w:spacing w:after="160" w:line="288" w:lineRule="auto"/>
      </w:pPr>
      <w:r>
        <w:rPr>
          <w:rFonts w:ascii="Cambria" w:hAnsi="Cambria" w:eastAsia="Cambria" w:cs="Cambria"/>
          <w:color w:val="E2E8F0"/>
          <w:sz w:val="22"/>
          <w:szCs w:val="22"/>
        </w:rPr>
        <w:t>(vi) Safeguards Integrity: No alternative arrangement replaces Agency safeguards functions without Director General concurrence.</w:t>
      </w:r>
    </w:p>
    <w:p>
      <w:pPr>
        <w:pStyle w:val="Heading2"/>
      </w:pPr>
      <w:bookmarkStart w:name="_Toc194" w:id="194"/>
      <w:r>
        <w:rPr>
          <w:rFonts w:ascii="Cambria" w:hAnsi="Cambria" w:eastAsia="Cambria" w:cs="Cambria"/>
          <w:b/>
          <w:color w:val="A0AEC0"/>
          <w:sz w:val="26"/>
          <w:szCs w:val="26"/>
        </w:rPr>
        <w:t>D.4 Board of Governors Briefing</w:t>
      </w:r>
      <w:bookmarkEnd w:id="194"/>
    </w:p>
    <w:p>
      <w:pPr>
        <w:pStyle w:val="Normal"/>
        <w:spacing w:after="160" w:line="288" w:lineRule="auto"/>
      </w:pPr>
      <w:r>
        <w:rPr>
          <w:rFonts w:ascii="Cambria" w:hAnsi="Cambria" w:eastAsia="Cambria" w:cs="Cambria"/>
          <w:color w:val="E2E8F0"/>
          <w:sz w:val="22"/>
          <w:szCs w:val="22"/>
        </w:rPr>
        <w:t>Prior to commencement of Protocol operations, the Director General briefs the Board of Governors concerning operational requirements, resource implications, and safety arrangements associated with implementation.</w:t>
      </w:r>
    </w:p>
    <w:p>
      <w:pPr>
        <w:pStyle w:val="Normal"/>
        <w:spacing w:after="160" w:line="288" w:lineRule="auto"/>
      </w:pPr>
      <w:r>
        <w:rPr>
          <w:rFonts w:ascii="Cambria" w:hAnsi="Cambria" w:eastAsia="Cambria" w:cs="Cambria"/>
          <w:color w:val="E2E8F0"/>
          <w:sz w:val="22"/>
          <w:szCs w:val="22"/>
        </w:rPr>
        <w:t>Implementation commences only following confirmation by the Director General that adequate personnel, resources, and safety measures are available. This confirmation is an internal Agency administrative determination. It does not constitute Board endorsement of the Protocol as a political agreement.</w:t>
      </w:r>
    </w:p>
    <w:p>
      <w:pPr>
        <w:pStyle w:val="Heading1"/>
      </w:pPr>
      <w:bookmarkStart w:name="_Toc195" w:id="195"/>
      <w:r>
        <w:rPr>
          <w:rFonts w:ascii="Cambria" w:hAnsi="Cambria" w:eastAsia="Cambria" w:cs="Cambria"/>
          <w:b/>
          <w:color w:val="90CDF4"/>
          <w:sz w:val="32"/>
          <w:szCs w:val="32"/>
        </w:rPr>
        <w:t>Signature Block</w:t>
      </w:r>
      <w:bookmarkEnd w:id="195"/>
    </w:p>
    <w:p>
      <w:pPr>
        <w:pStyle w:val="Normal"/>
        <w:spacing w:after="160" w:line="288" w:lineRule="auto"/>
      </w:pPr>
      <w:r>
        <w:rPr>
          <w:rFonts w:ascii="Cambria" w:hAnsi="Cambria" w:eastAsia="Cambria" w:cs="Cambria"/>
          <w:color w:val="E2E8F0"/>
          <w:sz w:val="22"/>
          <w:szCs w:val="22"/>
        </w:rPr>
        <w:t>In witness whereof, the undersigned, being duly authorized by their respective governments, have signed this Protocol.</w:t>
      </w:r>
    </w:p>
    <w:p>
      <w:pPr>
        <w:pStyle w:val="Normal"/>
        <w:spacing w:after="160" w:line="288" w:lineRule="auto"/>
      </w:pPr>
      <w:r>
        <w:rPr>
          <w:rFonts w:ascii="Cambria" w:hAnsi="Cambria" w:eastAsia="Cambria" w:cs="Cambria"/>
          <w:color w:val="E2E8F0"/>
          <w:sz w:val="22"/>
          <w:szCs w:val="22"/>
        </w:rPr>
        <w:t>Done at ____________________________, this ______ day of ____________________, 2026, in duplicate in the English language.</w:t>
      </w:r>
    </w:p>
    <w:p>
      <w:pPr>
        <w:pStyle w:val="Normal"/>
        <w:spacing w:after="160" w:line="288" w:lineRule="auto"/>
      </w:pPr>
      <w:r>
        <w:rPr>
          <w:rFonts w:ascii="Cambria" w:hAnsi="Cambria" w:eastAsia="Cambria" w:cs="Cambria"/>
          <w:color w:val="E2E8F0"/>
          <w:sz w:val="22"/>
          <w:szCs w:val="22"/>
        </w:rPr>
        <w:t/>
      </w:r>
    </w:p>
    <w:p>
      <w:pPr>
        <w:pStyle w:val="Normal"/>
        <w:spacing w:after="160" w:line="288" w:lineRule="auto"/>
      </w:pPr>
      <w:r>
        <w:rPr>
          <w:rFonts w:ascii="Cambria" w:hAnsi="Cambria" w:eastAsia="Cambria" w:cs="Cambria"/>
          <w:color w:val="E2E8F0"/>
          <w:sz w:val="22"/>
          <w:szCs w:val="22"/>
        </w:rPr>
        <w:t/>
      </w:r>
    </w:p>
    <w:p>
      <w:pPr>
        <w:pStyle w:val="Normal"/>
        <w:spacing w:after="160" w:line="288" w:lineRule="auto"/>
      </w:pPr>
      <w:r>
        <w:rPr>
          <w:rFonts w:ascii="Cambria" w:hAnsi="Cambria" w:eastAsia="Cambria" w:cs="Cambria"/>
          <w:color w:val="E2E8F0"/>
          <w:sz w:val="22"/>
          <w:szCs w:val="22"/>
        </w:rPr>
        <w:t>For the Islamic Republic of Iran:</w:t>
      </w:r>
    </w:p>
    <w:p>
      <w:pPr>
        <w:pStyle w:val="Normal"/>
        <w:spacing w:after="160" w:line="288" w:lineRule="auto"/>
      </w:pPr>
      <w:r>
        <w:rPr>
          <w:rFonts w:ascii="Cambria" w:hAnsi="Cambria" w:eastAsia="Cambria" w:cs="Cambria"/>
          <w:color w:val="E2E8F0"/>
          <w:sz w:val="22"/>
          <w:szCs w:val="22"/>
        </w:rPr>
        <w:t>Name: _____________________________________________</w:t>
      </w:r>
    </w:p>
    <w:p>
      <w:pPr>
        <w:pStyle w:val="Normal"/>
        <w:spacing w:after="160" w:line="288" w:lineRule="auto"/>
      </w:pPr>
      <w:r>
        <w:rPr>
          <w:rFonts w:ascii="Cambria" w:hAnsi="Cambria" w:eastAsia="Cambria" w:cs="Cambria"/>
          <w:color w:val="E2E8F0"/>
          <w:sz w:val="22"/>
          <w:szCs w:val="22"/>
        </w:rPr>
        <w:t>Title: _____________________________________________</w:t>
      </w:r>
    </w:p>
    <w:p>
      <w:pPr>
        <w:pStyle w:val="Normal"/>
        <w:spacing w:after="160" w:line="288" w:lineRule="auto"/>
      </w:pPr>
      <w:r>
        <w:rPr>
          <w:rFonts w:ascii="Cambria" w:hAnsi="Cambria" w:eastAsia="Cambria" w:cs="Cambria"/>
          <w:color w:val="E2E8F0"/>
          <w:sz w:val="22"/>
          <w:szCs w:val="22"/>
        </w:rPr>
        <w:t>Date: _____________________________________________</w:t>
      </w:r>
    </w:p>
    <w:p>
      <w:pPr>
        <w:pStyle w:val="Normal"/>
        <w:spacing w:after="160" w:line="288" w:lineRule="auto"/>
      </w:pPr>
      <w:r>
        <w:rPr>
          <w:rFonts w:ascii="Cambria" w:hAnsi="Cambria" w:eastAsia="Cambria" w:cs="Cambria"/>
          <w:color w:val="E2E8F0"/>
          <w:sz w:val="22"/>
          <w:szCs w:val="22"/>
        </w:rPr>
        <w:t/>
      </w:r>
    </w:p>
    <w:p>
      <w:pPr>
        <w:pStyle w:val="Normal"/>
        <w:spacing w:after="160" w:line="288" w:lineRule="auto"/>
      </w:pPr>
      <w:r>
        <w:rPr>
          <w:rFonts w:ascii="Cambria" w:hAnsi="Cambria" w:eastAsia="Cambria" w:cs="Cambria"/>
          <w:color w:val="E2E8F0"/>
          <w:sz w:val="22"/>
          <w:szCs w:val="22"/>
        </w:rPr>
        <w:t/>
      </w:r>
    </w:p>
    <w:p>
      <w:pPr>
        <w:pStyle w:val="Normal"/>
        <w:spacing w:after="160" w:line="288" w:lineRule="auto"/>
      </w:pPr>
      <w:r>
        <w:rPr>
          <w:rFonts w:ascii="Cambria" w:hAnsi="Cambria" w:eastAsia="Cambria" w:cs="Cambria"/>
          <w:color w:val="E2E8F0"/>
          <w:sz w:val="22"/>
          <w:szCs w:val="22"/>
        </w:rPr>
        <w:t>For the United States of America:</w:t>
      </w:r>
    </w:p>
    <w:p>
      <w:pPr>
        <w:pStyle w:val="Normal"/>
        <w:spacing w:after="160" w:line="288" w:lineRule="auto"/>
      </w:pPr>
      <w:r>
        <w:rPr>
          <w:rFonts w:ascii="Cambria" w:hAnsi="Cambria" w:eastAsia="Cambria" w:cs="Cambria"/>
          <w:color w:val="E2E8F0"/>
          <w:sz w:val="22"/>
          <w:szCs w:val="22"/>
        </w:rPr>
        <w:t>Name: _____________________________________________</w:t>
      </w:r>
    </w:p>
    <w:p>
      <w:pPr>
        <w:pStyle w:val="Normal"/>
        <w:spacing w:after="160" w:line="288" w:lineRule="auto"/>
      </w:pPr>
      <w:r>
        <w:rPr>
          <w:rFonts w:ascii="Cambria" w:hAnsi="Cambria" w:eastAsia="Cambria" w:cs="Cambria"/>
          <w:color w:val="E2E8F0"/>
          <w:sz w:val="22"/>
          <w:szCs w:val="22"/>
        </w:rPr>
        <w:t>Title: _____________________________________________</w:t>
      </w:r>
    </w:p>
    <w:p>
      <w:pPr>
        <w:pStyle w:val="Normal"/>
        <w:spacing w:after="160" w:line="288" w:lineRule="auto"/>
      </w:pPr>
      <w:r>
        <w:rPr>
          <w:rFonts w:ascii="Cambria" w:hAnsi="Cambria" w:eastAsia="Cambria" w:cs="Cambria"/>
          <w:color w:val="E2E8F0"/>
          <w:sz w:val="22"/>
          <w:szCs w:val="22"/>
        </w:rPr>
        <w:t>Date: _____________________________________________</w:t>
      </w:r>
    </w:p>
    <w:p>
      <w:pPr>
        <w:pStyle w:val="Normal"/>
        <w:spacing w:after="160" w:line="288" w:lineRule="auto"/>
      </w:pPr>
      <w:r>
        <w:rPr>
          <w:rFonts w:ascii="Cambria" w:hAnsi="Cambria" w:eastAsia="Cambria" w:cs="Cambria"/>
          <w:color w:val="E2E8F0"/>
          <w:sz w:val="22"/>
          <w:szCs w:val="22"/>
        </w:rPr>
        <w:t/>
      </w:r>
    </w:p>
    <w:p>
      <w:pPr>
        <w:pStyle w:val="Normal"/>
        <w:spacing w:after="160" w:line="288" w:lineRule="auto"/>
      </w:pPr>
      <w:r>
        <w:rPr>
          <w:rFonts w:ascii="Cambria" w:hAnsi="Cambria" w:eastAsia="Cambria" w:cs="Cambria"/>
          <w:color w:val="E2E8F0"/>
          <w:sz w:val="22"/>
          <w:szCs w:val="22"/>
        </w:rPr>
        <w:t/>
      </w:r>
    </w:p>
    <w:p>
      <w:pPr>
        <w:pStyle w:val="Normal"/>
        <w:spacing w:after="160" w:line="288" w:lineRule="auto"/>
      </w:pPr>
      <w:r>
        <w:rPr>
          <w:rFonts w:ascii="Cambria" w:hAnsi="Cambria" w:eastAsia="Cambria" w:cs="Cambria"/>
          <w:color w:val="E2E8F0"/>
          <w:sz w:val="22"/>
          <w:szCs w:val="22"/>
        </w:rPr>
        <w:t>The International Atomic Energy Agency undertakes the technical functions assigned to it under this Protocol in accordance with its Statute, safeguards agreements, and the independent authority of the Director General.</w:t>
      </w:r>
    </w:p>
    <w:p>
      <w:pPr>
        <w:pStyle w:val="Normal"/>
        <w:spacing w:after="160" w:line="288" w:lineRule="auto"/>
      </w:pPr>
      <w:r>
        <w:rPr>
          <w:rFonts w:ascii="Cambria" w:hAnsi="Cambria" w:eastAsia="Cambria" w:cs="Cambria"/>
          <w:color w:val="E2E8F0"/>
          <w:sz w:val="22"/>
          <w:szCs w:val="22"/>
        </w:rPr>
        <w:t>Name: Rafael Mariano Grossi, Director General</w:t>
      </w:r>
    </w:p>
    <w:p>
      <w:pPr>
        <w:pStyle w:val="Normal"/>
        <w:spacing w:after="160" w:line="288" w:lineRule="auto"/>
      </w:pPr>
      <w:r>
        <w:rPr>
          <w:rFonts w:ascii="Cambria" w:hAnsi="Cambria" w:eastAsia="Cambria" w:cs="Cambria"/>
          <w:color w:val="E2E8F0"/>
          <w:sz w:val="22"/>
          <w:szCs w:val="22"/>
        </w:rPr>
        <w:t>Date: _____________________________________________</w:t>
      </w:r>
    </w:p>
    <w:p>
      <w:pPr>
        <w:pStyle w:val="Normal"/>
        <w:sectPr>
          <w:headerReference w:type="default" r:id="R261928a654e0497d"/>
          <w:footerReference w:type="default" r:id="R4819761722ff4783"/>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4" name="BackBg"/>
            <wp:cNvGraphicFramePr>
              <a:graphicFrameLocks noChangeAspect="1"/>
            </wp:cNvGraphicFramePr>
            <a:graphic>
              <a:graphicData uri="http://schemas.openxmlformats.org/drawingml/2006/picture">
                <pic:pic>
                  <pic:nvPicPr>
                    <pic:cNvPr id="0" name="BackBg.png"/>
                    <pic:cNvPicPr/>
                  </pic:nvPicPr>
                  <pic:blipFill>
                    <a:blip r:embed="Raa20dcd539a44198"/>
                    <a:stretch>
                      <a:fillRect/>
                    </a:stretch>
                  </pic:blipFill>
                  <pic:spPr>
                    <a:xfrm>
                      <a:off x="0" y="0"/>
                      <a:ext cx="7560000" cy="10692000"/>
                    </a:xfrm>
                    <a:prstGeom prst="rect"/>
                  </pic:spPr>
                </pic:pic>
              </a:graphicData>
            </a:graphic>
          </wp:anchor>
        </w:drawing>
      </w:r>
    </w:p>
    <w:p>
      <w:pPr>
        <w:spacing w:before="6000"/>
        <w:jc w:val="center"/>
      </w:pPr>
      <w:r>
        <w:rPr>
          <w:b/>
          <w:color w:val="e8e8e8"/>
          <w:sz w:val="48"/>
        </w:rPr>
        <w:t>Annex LAES</w:t>
      </w:r>
    </w:p>
    <w:p>
      <w:pPr>
        <w:spacing w:before="300"/>
        <w:jc w:val="center"/>
      </w:pPr>
      <w:r>
        <w:rPr>
          <w:color w:val="b0b8c8"/>
          <w:sz w:val="28"/>
        </w:rPr>
        <w:t>Damaged Sites Protocol</w:t>
      </w:r>
    </w:p>
    <w:p>
      <w:pPr>
        <w:spacing w:before="600"/>
        <w:jc w:val="center"/>
      </w:pPr>
      <w:r>
        <w:rPr>
          <w:color w:val="8899aa"/>
          <w:sz w:val="20"/>
        </w:rPr>
        <w:t>International Atomic Energy Agency</w:t>
      </w:r>
    </w:p>
    <w:p>
      <w:pPr>
        <w:spacing w:before="100"/>
        <w:jc w:val="center"/>
      </w:pPr>
      <w:r>
        <w:rPr>
          <w:color w:val="6a7a8a"/>
          <w:sz w:val="18"/>
        </w:rPr>
        <w:t>Vienna, Austria</w:t>
      </w:r>
    </w:p>
    <w:p>
      <w:pPr>
        <w:spacing w:before="4000"/>
        <w:jc w:val="center"/>
      </w:pPr>
      <w:r>
        <w:rPr>
          <w:color w:val="5a6a7a"/>
          <w:sz w:val="16"/>
        </w:rPr>
        <w:t>Authorized Negotiators Only — Confidential — Not for Public Distribution</w:t>
      </w:r>
    </w:p>
    <w:p>
      <w:pPr>
        <w:spacing w:before="100"/>
        <w:jc w:val="center"/>
      </w:pPr>
      <w:r>
        <w:rPr>
          <w:color w:val="5a6a7a"/>
          <w:sz w:val="16"/>
        </w:rPr>
        <w:t>Version 3.0 — June 2026</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18096"/>
        <w:sz w:val="16"/>
      </w:rPr>
      <w:t xml:space="preserve">Page </w:t>
    </w:r>
    <w:r>
      <w:rPr>
        <w:color w:val="718096"/>
        <w:sz w:val="16"/>
      </w:rPr>
      <w:fldChar w:fldCharType="begin"/>
    </w:r>
    <w:r>
      <w:rPr>
        <w:color w:val="718096"/>
        <w:sz w:val="16"/>
      </w:rPr>
      <w:instrText xml:space="preserve"> PAGE </w:instrText>
    </w:r>
    <w:r>
      <w:rPr>
        <w:color w:val="718096"/>
        <w:sz w:val="16"/>
      </w:rPr>
      <w:fldChar w:fldCharType="separate"/>
    </w:r>
    <w:r>
      <w:rPr>
        <w:color w:val="718096"/>
        <w:sz w:val="16"/>
      </w:rPr>
      <w:fldChar w:fldCharType="end"/>
    </w:r>
    <w:r>
      <w:rPr>
        <w:color w:val="718096"/>
        <w:sz w:val="16"/>
      </w:rPr>
      <w:t xml:space="preserve"> of </w:t>
    </w:r>
    <w:r>
      <w:rPr>
        <w:color w:val="718096"/>
        <w:sz w:val="16"/>
      </w:rPr>
      <w:fldChar w:fldCharType="begin"/>
    </w:r>
    <w:r>
      <w:rPr>
        <w:color w:val="718096"/>
        <w:sz w:val="16"/>
      </w:rPr>
      <w:instrText xml:space="preserve"> NUMPAGES </w:instrText>
    </w:r>
    <w:r>
      <w:rPr>
        <w:color w:val="718096"/>
        <w:sz w:val="16"/>
      </w:rPr>
      <w:fldChar w:fldCharType="separate"/>
    </w:r>
    <w:r>
      <w:rPr>
        <w:color w:val="718096"/>
        <w:sz w:val="16"/>
      </w:rPr>
      <w:fldChar w:fldCharType="end"/>
    </w:r>
  </w:p>
</w:ftr>
</file>

<file path=word/footer2.xml><?xml version="1.0" encoding="utf-8"?>
<w:ftr xmlns:w="http://schemas.openxmlformats.org/wordprocessingml/2006/main">
  <w:p>
    <w:pPr>
      <w:jc w:val="center"/>
    </w:pPr>
    <w:r>
      <w:rPr>
        <w:color w:val="718096"/>
        <w:sz w:val="16"/>
      </w:rPr>
      <w:t xml:space="preserve">Page </w:t>
    </w:r>
    <w:r>
      <w:rPr>
        <w:color w:val="718096"/>
        <w:sz w:val="16"/>
      </w:rPr>
      <w:fldChar w:fldCharType="begin"/>
    </w:r>
    <w:r>
      <w:rPr>
        <w:color w:val="718096"/>
        <w:sz w:val="16"/>
      </w:rPr>
      <w:instrText xml:space="preserve"> PAGE </w:instrText>
    </w:r>
    <w:r>
      <w:rPr>
        <w:color w:val="718096"/>
        <w:sz w:val="16"/>
      </w:rPr>
      <w:fldChar w:fldCharType="separate"/>
    </w:r>
    <w:r>
      <w:rPr>
        <w:color w:val="718096"/>
        <w:sz w:val="16"/>
      </w:rPr>
      <w:fldChar w:fldCharType="end"/>
    </w:r>
    <w:r>
      <w:rPr>
        <w:color w:val="718096"/>
        <w:sz w:val="16"/>
      </w:rPr>
      <w:t xml:space="preserve"> of </w:t>
    </w:r>
    <w:r>
      <w:rPr>
        <w:color w:val="718096"/>
        <w:sz w:val="16"/>
      </w:rPr>
      <w:fldChar w:fldCharType="begin"/>
    </w:r>
    <w:r>
      <w:rPr>
        <w:color w:val="718096"/>
        <w:sz w:val="16"/>
      </w:rPr>
      <w:instrText xml:space="preserve"> NUMPAGES </w:instrText>
    </w:r>
    <w:r>
      <w:rPr>
        <w:color w:val="718096"/>
        <w:sz w:val="16"/>
      </w:rPr>
      <w:fldChar w:fldCharType="separate"/>
    </w:r>
    <w:r>
      <w:rPr>
        <w:color w:val="718096"/>
        <w:sz w:val="16"/>
      </w:rPr>
      <w:fldChar w:fldCharType="end"/>
    </w:r>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s>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TocBg"/>
          <wp:cNvGraphicFramePr>
            <a:graphicFrameLocks noChangeAspect="1"/>
          </wp:cNvGraphicFramePr>
          <a:graphic>
            <a:graphicData uri="http://schemas.openxmlformats.org/drawingml/2006/picture">
              <pic:pic>
                <pic:nvPicPr>
                  <pic:cNvPr id="0" name="TocBg.png"/>
                  <pic:cNvPicPr/>
                </pic:nvPicPr>
                <pic:blipFill>
                  <a:blip r:embed="R80ce964a2b334885"/>
                  <a:stretch>
                    <a:fillRect/>
                  </a:stretch>
                </pic:blipFill>
                <pic:spPr>
                  <a:xfrm>
                    <a:off x="0" y="0"/>
                    <a:ext cx="7560000" cy="10692000"/>
                  </a:xfrm>
                  <a:prstGeom prst="rect"/>
                </pic:spPr>
              </pic:pic>
            </a:graphicData>
          </a:graphic>
        </wp:anchor>
      </w:drawing>
    </w:r>
  </w:p>
  <w:p>
    <w:pPr>
      <w:jc w:val="right"/>
    </w:pPr>
    <w:r>
      <w:rPr>
        <w:i/>
        <w:color w:val="718096"/>
        <w:sz w:val="16"/>
      </w:rPr>
      <w:t>Annex LAES — Damaged Sites Protocol</w:t>
    </w:r>
  </w:p>
</w:hdr>
</file>

<file path=word/header2.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odyBg"/>
          <wp:cNvGraphicFramePr>
            <a:graphicFrameLocks noChangeAspect="1"/>
          </wp:cNvGraphicFramePr>
          <a:graphic>
            <a:graphicData uri="http://schemas.openxmlformats.org/drawingml/2006/picture">
              <pic:pic>
                <pic:nvPicPr>
                  <pic:cNvPr id="0" name="BodyBg.png"/>
                  <pic:cNvPicPr/>
                </pic:nvPicPr>
                <pic:blipFill>
                  <a:blip r:embed="R6ec1ebcd3e574af7"/>
                  <a:stretch>
                    <a:fillRect/>
                  </a:stretch>
                </pic:blipFill>
                <pic:spPr>
                  <a:xfrm>
                    <a:off x="0" y="0"/>
                    <a:ext cx="7560000" cy="10692000"/>
                  </a:xfrm>
                  <a:prstGeom prst="rect"/>
                </pic:spPr>
              </pic:pic>
            </a:graphicData>
          </a:graphic>
        </wp:anchor>
      </w:drawing>
    </w:r>
  </w:p>
  <w:p>
    <w:pPr>
      <w:jc w:val="right"/>
    </w:pPr>
    <w:r>
      <w:rPr>
        <w:i/>
        <w:color w:val="718096"/>
        <w:sz w:val="16"/>
      </w:rPr>
      <w:t>Annex LAES — Damaged Sites Protocol</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288" w:lineRule="auto"/>
    </w:pPr>
    <w:rPr>
      <w:rFonts w:ascii="Cambria" w:hAnsi="Cambria" w:eastAsia="Times New Roman"/>
      <w:color w:val="e2e8f0"/>
      <w:sz w:val="22"/>
    </w:rPr>
  </w:style>
  <w:style w:type="paragraph" w:styleId="Heading1">
    <w:name w:val="heading 1"/>
    <w:basedOn w:val="Normal"/>
    <w:pPr>
      <w:keepNext/>
      <w:keepLines/>
      <w:spacing w:before="480" w:after="200"/>
      <w:outlineLvl w:val="0"/>
    </w:pPr>
    <w:rPr>
      <w:rFonts w:ascii="Cambria" w:hAnsi="Cambria"/>
      <w:b/>
      <w:color w:val="90cdf4"/>
      <w:sz w:val="32"/>
    </w:rPr>
  </w:style>
  <w:style w:type="paragraph" w:styleId="Heading2">
    <w:name w:val="heading 2"/>
    <w:basedOn w:val="Normal"/>
    <w:pPr>
      <w:keepNext/>
      <w:keepLines/>
      <w:spacing w:before="360" w:after="120"/>
      <w:outlineLvl w:val="1"/>
    </w:pPr>
    <w:rPr>
      <w:rFonts w:ascii="Cambria" w:hAnsi="Cambria"/>
      <w:b/>
      <w:color w:val="a0aec0"/>
      <w:sz w:val="26"/>
    </w:rPr>
  </w:style>
  <w:style w:type="paragraph" w:styleId="Heading3">
    <w:name w:val="heading 3"/>
    <w:basedOn w:val="Normal"/>
    <w:pPr>
      <w:keepNext/>
      <w:keepLines/>
      <w:spacing w:before="280" w:after="80"/>
      <w:outlineLvl w:val="2"/>
    </w:pPr>
    <w:rPr>
      <w:rFonts w:ascii="Cambria" w:hAnsi="Cambria"/>
      <w:b/>
      <w:color w:val="a0aec0"/>
      <w:sz w:val="24"/>
    </w:rPr>
  </w:style>
  <w:style w:type="paragraph" w:styleId="Caption">
    <w:name w:val="Caption"/>
    <w:basedOn w:val="Normal"/>
    <w:pPr>
      <w:spacing w:before="60" w:after="240"/>
      <w:jc w:val="center"/>
    </w:pPr>
    <w:rPr>
      <w:i/>
      <w:color w:val="718096"/>
      <w:sz w:val="20"/>
    </w:rPr>
  </w:style>
  <w:style w:type="paragraph" w:styleId="TOC1">
    <w:name w:val="toc 1"/>
    <w:basedOn w:val="Normal"/>
    <w:pPr>
      <w:tabs>
        <w:tab w:val="right" w:leader="dot" w:pos="9350"/>
      </w:tabs>
      <w:spacing w:before="200" w:after="40"/>
      <w:ind w:left="0"/>
    </w:pPr>
    <w:rPr>
      <w:b/>
      <w:color w:val="e2e8f0"/>
    </w:rPr>
  </w:style>
  <w:style w:type="paragraph" w:styleId="TOC2">
    <w:name w:val="toc 2"/>
    <w:basedOn w:val="Normal"/>
    <w:pPr>
      <w:tabs>
        <w:tab w:val="right" w:leader="dot" w:pos="9350"/>
      </w:tabs>
      <w:spacing w:before="60" w:after="40"/>
      <w:ind w:left="360"/>
    </w:pPr>
    <w:rPr>
      <w:color w:val="a0aec0"/>
    </w:rPr>
  </w:style>
  <w:style w:type="paragraph" w:styleId="TOC3">
    <w:name w:val="toc 3"/>
    <w:basedOn w:val="Normal"/>
    <w:pPr>
      <w:tabs>
        <w:tab w:val="right" w:leader="dot" w:pos="9350"/>
      </w:tabs>
      <w:spacing w:before="40" w:after="40"/>
      <w:ind w:left="720"/>
    </w:pPr>
    <w:rPr>
      <w:color w:val="a0aec0"/>
    </w:rPr>
  </w:style>
</w:styles>
</file>

<file path=word/_rels/document.xml.rels><?xml version='1.0' encoding='UTF-8'?>
<Relationships xmlns="http://schemas.openxmlformats.org/package/2006/relationships"><Relationship Id="R0e702934f8614559" Type="http://schemas.openxmlformats.org/officeDocument/2006/relationships/footnotes" Target="footnotes.xml" /><Relationship Id="R261928a654e0497d" Type="http://schemas.openxmlformats.org/officeDocument/2006/relationships/header" Target="header2.xml" /><Relationship Id="R4819761722ff4783" Type="http://schemas.openxmlformats.org/officeDocument/2006/relationships/footer" Target="footer2.xml" /><Relationship Id="R611e1cef6457441b" Type="http://schemas.openxmlformats.org/officeDocument/2006/relationships/styles" Target="styles.xml" /><Relationship Id="R73257bd02a634660" Type="http://schemas.openxmlformats.org/officeDocument/2006/relationships/footer" Target="footer1.xml" /><Relationship Id="R98f353320a044bfd" Type="http://schemas.openxmlformats.org/officeDocument/2006/relationships/settings" Target="settings.xml" /><Relationship Id="Ra01d6960305b492d" Type="http://schemas.openxmlformats.org/officeDocument/2006/relationships/numbering" Target="numbering.xml" /><Relationship Id="Raa20dcd539a44198" Type="http://schemas.openxmlformats.org/officeDocument/2006/relationships/image" Target="media/image2.png" /><Relationship Id="Rbf8b693981c74cb5" Type="http://schemas.openxmlformats.org/officeDocument/2006/relationships/image" Target="media/image.png" /><Relationship Id="Re069d9daca474d17" Type="http://schemas.openxmlformats.org/officeDocument/2006/relationships/header" Target="header1.xml" /></Relationships>
</file>

<file path=word/_rels/header1.xml.rels><?xml version='1.0' encoding='UTF-8'?>
<Relationships xmlns="http://schemas.openxmlformats.org/package/2006/relationships"><Relationship Id="R80ce964a2b334885" Type="http://schemas.openxmlformats.org/officeDocument/2006/relationships/image" Target="media/image3.png" /></Relationships>
</file>

<file path=word/_rels/header2.xml.rels><?xml version='1.0' encoding='UTF-8'?>
<Relationships xmlns="http://schemas.openxmlformats.org/package/2006/relationships"><Relationship Id="R6ec1ebcd3e574af7" Type="http://schemas.openxmlformats.org/officeDocument/2006/relationships/image" Target="media/image4.png" /></Relationships>
</file>