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xmlns:wp14="http://schemas.microsoft.com/office/word/2010/wordprocessingDrawing" mc:Ignorable="wp14">
  <w:body>
    <w:p>
      <w:pPr>
        <w:pStyle w:val="Normal"/>
      </w:pPr>
      <w:r>
        <w:rPr>
          <w:noProof/>
        </w:rPr>
        <w:drawing>
          <wp:anchor distT="0" distB="0" distL="0" distR="0" simplePos="0" relativeHeight="251657216" behindDoc="1" locked="0" layoutInCell="1" allowOverlap="1" wp14:anchorId="5FA559D6" wp14:editId="65745D6D">
            <wp:simplePos x="0" y="0"/>
            <wp:positionH relativeFrom="page">
              <wp:posOffset>0</wp:posOffset>
            </wp:positionH>
            <wp:positionV relativeFrom="page">
              <wp:posOffset>0</wp:posOffset>
            </wp:positionV>
            <wp:extent cx="7560000" cy="10692000"/>
            <wp:effectExtent l="0" t="0" r="0" b="0"/>
            <wp:wrapNone/>
            <wp:docPr id="1" name="Cv"/>
            <wp:cNvGraphicFramePr>
              <a:graphicFrameLocks noChangeAspect="1"/>
            </wp:cNvGraphicFramePr>
            <a:graphic>
              <a:graphicData uri="http://schemas.openxmlformats.org/drawingml/2006/picture">
                <pic:pic>
                  <pic:nvPicPr>
                    <pic:cNvPr id="0" name="Cv.png"/>
                    <pic:cNvPicPr/>
                  </pic:nvPicPr>
                  <pic:blipFill>
                    <a:blip r:embed="rId6"/>
                    <a:stretch>
                      <a:fillRect/>
                    </a:stretch>
                  </pic:blipFill>
                  <pic:spPr>
                    <a:xfrm>
                      <a:off x="0" y="0"/>
                      <a:ext cx="7560000" cy="10692000"/>
                    </a:xfrm>
                    <a:prstGeom prst="rect">
                      <a:avLst/>
                    </a:prstGeom>
                  </pic:spPr>
                </pic:pic>
              </a:graphicData>
            </a:graphic>
          </wp:anchor>
        </w:drawing>
      </w:r>
    </w:p>
    <w:p>
      <w:pPr>
        <w:pStyle w:val="Normal"/>
        <w:spacing w:before="4000"/>
      </w:pPr>
    </w:p>
    <w:p>
      <w:pPr>
        <w:pStyle w:val="Normal"/>
        <w:spacing w:after="120"/>
        <w:jc w:val="center"/>
      </w:pPr>
      <w:r>
        <w:rPr>
          <w:color w:val="A6894A"/>
          <w:sz w:val="28"/>
          <w:lang w:val="en-CA" w:eastAsia="en-CA" w:bidi="ar-SA"/>
          <w:rFonts w:ascii="Cambria" w:hAnsi="Cambria" w:eastAsia="Cambria" w:cs="Cambria"/>
          <w:szCs w:val="21"/>
          <w:spacing w:val="60"/>
        </w:rPr>
        <w:t>ANNEX SRCA</w:t>
      </w:r>
    </w:p>
    <w:p>
      <w:pPr>
        <w:pStyle w:val="Normal"/>
        <w:spacing w:after="200"/>
        <w:ind w:left="400" w:right="400"/>
        <w:jc w:val="center"/>
        <w:rPr>
          <w:color w:val="BF8C0D"/>
        </w:rPr>
      </w:pPr>
      <w:r w:rsidRPr="00C46867">
        <w:rPr>
          <w:b/>
          <w:color w:val="BF8C0D"/>
          <w:sz w:val="44"/>
          <w:szCs w:val="44"/>
          <w:rFonts w:ascii="Cambria" w:hAnsi="Cambria" w:eastAsia="Cambria" w:cs="Cambria"/>
          <w:spacing w:val="20"/>
        </w:rPr>
        <w:t>Sanctions Relief and Compliance Annex</w:t>
      </w:r>
    </w:p>
    <w:p>
      <w:pPr>
        <w:pStyle w:val="Normal"/>
        <w:spacing w:after="400"/>
        <w:jc w:val="center"/>
      </w:pPr>
      <w:r>
        <w:rPr>
          <w:color w:val="1A1A1A"/>
          <w:sz w:val="22"/>
          <w:lang w:val="en-CA" w:eastAsia="en-CA" w:bidi="ar-SA"/>
          <w:rFonts w:ascii="Cambria" w:hAnsi="Cambria" w:eastAsia="Cambria" w:cs="Cambria"/>
          <w:szCs w:val="21"/>
        </w:rPr>
        <w:t>A Phased, Performance-Based Framework for Sanctions Termination</w:t>
      </w:r>
    </w:p>
    <w:p>
      <w:pPr>
        <w:pStyle w:val="Normal"/>
        <w:spacing w:after="80"/>
        <w:jc w:val="center"/>
      </w:pPr>
      <w:r>
        <w:rPr>
          <w:color w:val="1A1A1A"/>
          <w:sz w:val="18"/>
          <w:lang w:val="en-CA" w:eastAsia="en-CA" w:bidi="ar-SA"/>
          <w:rFonts w:ascii="Cambria" w:hAnsi="Cambria" w:eastAsia="Cambria" w:cs="Cambria"/>
          <w:szCs w:val="21"/>
        </w:rPr>
        <w:t xml:space="preserve">A Modular  ·  Self-Contained  ·  Incorporable by Reference Protocol</w:t>
      </w:r>
    </w:p>
    <w:p>
      <w:pPr>
        <w:pStyle w:val="Normal"/>
        <w:spacing w:after="80"/>
        <w:jc w:val="center"/>
      </w:pPr>
      <w:r>
        <w:rPr>
          <w:color w:val="1A1A1A"/>
          <w:sz w:val="18"/>
          <w:lang w:val="en-CA" w:eastAsia="en-CA" w:bidi="ar-SA"/>
          <w:rFonts w:ascii="Cambria" w:hAnsi="Cambria" w:eastAsia="Cambria" w:cs="Cambria"/>
          <w:szCs w:val="21"/>
        </w:rPr>
        <w:t>For the Islamabad Accord / MENOC Framework</w:t>
      </w:r>
    </w:p>
    <w:p>
      <w:pPr>
        <w:pStyle w:val="Normal"/>
        <w:spacing w:before="3000"/>
        <w:jc w:val="center"/>
      </w:pPr>
      <w:r>
        <w:rPr>
          <w:color w:val="1A1A1A"/>
          <w:sz w:val="18"/>
          <w:lang w:val="en-CA" w:eastAsia="en-CA" w:bidi="ar-SA"/>
          <w:rFonts w:ascii="Cambria" w:hAnsi="Cambria" w:eastAsia="Cambria" w:cs="Cambria"/>
          <w:szCs w:val="21"/>
        </w:rPr>
        <w:t xml:space="preserve">Version 1.0  ·  June 2026</w:t>
      </w:r>
    </w:p>
    <w:p>
      <w:pPr>
        <w:pStyle w:val="Normal"/>
        <w:sectPr w:rsidR="00D320C7">
          <w:pgSz w:w="11906" w:h="16838"/>
          <w:pgMar w:top="0" w:right="0" w:bottom="0" w:left="0" w:header="0" w:footer="0" w:gutter="0"/>
          <w:cols w:space="720"/>
          <w:titlePg/>
        </w:sectPr>
      </w:pPr>
    </w:p>
    <w:p>
      <w:pPr>
        <w:pStyle w:val="Heading1"/>
      </w:pPr>
      <w:bookmarkStart w:id="0" w:name="_T0"/>
      <w:r>
        <w:rPr>
          <w:lang w:val="en-CA" w:eastAsia="en-CA" w:bidi="ar-SA"/>
          <w:rFonts w:ascii="Cambria" w:hAnsi="Cambria" w:eastAsia="Cambria" w:cs="Cambria"/>
          <w:b/>
          <w:color w:val="BF8C0D"/>
          <w:sz w:val="36"/>
          <w:szCs w:val="36"/>
        </w:rPr>
        <w:t>Table of Contents</w:t>
      </w:r>
      <w:bookmarkEnd w:id="0"/>
    </w:p>
    <w:p>
      <w:pPr>
        <w:pStyle w:val="Normal"/>
        <w:spacing w:after="300"/>
      </w:pPr>
      <w:r>
        <w:rPr>
          <w:color w:val="1A1A1A"/>
          <w:sz w:val="18"/>
          <w:lang w:val="en-CA" w:eastAsia="en-CA" w:bidi="ar-SA"/>
          <w:rFonts w:ascii="Cambria" w:hAnsi="Cambria" w:eastAsia="Cambria" w:cs="Cambria"/>
          <w:szCs w:val="21"/>
        </w:rPr>
        <w:t>Right-click the TOC and select "Update Field" to refresh page numbers</w:t>
      </w:r>
    </w:p>
    <w:p>
      <w:pPr>
        <w:pStyle w:val="Normal"/>
      </w:pPr>
      <w:r>
        <w:fldChar w:fldCharType="begin"/>
      </w:r>
      <w:r>
        <w:instrText xml:space="preserve"> TOC \o "1-3" \h \z \u </w:instrText>
      </w:r>
      <w:r>
        <w:fldChar w:fldCharType="separate"/>
      </w:r>
    </w:p>
    <w:p>
      <w:pPr>
        <w:pStyle w:val="TOC1"/>
      </w:pPr>
      <w:r>
        <w:rPr>
          <w:lang w:val="en-CA" w:eastAsia="en-CA" w:bidi="ar-SA"/>
          <w:rFonts w:ascii="Cambria" w:hAnsi="Cambria" w:eastAsia="Cambria" w:cs="Cambria"/>
          <w:color w:val="1A1A1A"/>
          <w:sz w:val="21"/>
          <w:szCs w:val="21"/>
          <w:b/>
        </w:rPr>
        <w:t>Preamble</w:t>
      </w:r>
      <w:r>
        <w:rPr>
          <w:lang w:val="en-CA" w:eastAsia="en-CA" w:bidi="ar-SA"/>
          <w:rFonts w:ascii="Cambria" w:hAnsi="Cambria"/>
          <w:color w:val="1A1A1A"/>
          <w:sz w:val="21"/>
          <w:szCs w:val="21"/>
          <w:b/>
        </w:rPr>
        <w:tab/>
      </w:r>
      <w:r>
        <w:rPr>
          <w:lang w:val="en-CA" w:eastAsia="en-CA" w:bidi="ar-SA"/>
          <w:rFonts w:ascii="Cambria" w:hAnsi="Cambria" w:eastAsia="Cambria" w:cs="Cambria"/>
          <w:color w:val="1A1A1A"/>
          <w:sz w:val="21"/>
          <w:szCs w:val="21"/>
          <w:b/>
        </w:rPr>
        <w:t>3</w:t>
      </w:r>
    </w:p>
    <w:p>
      <w:pPr>
        <w:pStyle w:val="TOC1"/>
      </w:pPr>
      <w:r>
        <w:rPr>
          <w:lang w:val="en-CA" w:eastAsia="en-CA" w:bidi="ar-SA"/>
          <w:rFonts w:ascii="Cambria" w:hAnsi="Cambria" w:eastAsia="Cambria" w:cs="Cambria"/>
          <w:color w:val="1A1A1A"/>
          <w:sz w:val="21"/>
          <w:szCs w:val="21"/>
          <w:b/>
        </w:rPr>
        <w:t>Article 1: Definitions</w:t>
      </w:r>
      <w:r>
        <w:rPr>
          <w:lang w:val="en-CA" w:eastAsia="en-CA" w:bidi="ar-SA"/>
          <w:rFonts w:ascii="Cambria" w:hAnsi="Cambria"/>
          <w:color w:val="1A1A1A"/>
          <w:sz w:val="21"/>
          <w:szCs w:val="21"/>
          <w:b/>
        </w:rPr>
        <w:tab/>
      </w:r>
      <w:r>
        <w:rPr>
          <w:lang w:val="en-CA" w:eastAsia="en-CA" w:bidi="ar-SA"/>
          <w:rFonts w:ascii="Cambria" w:hAnsi="Cambria" w:eastAsia="Cambria" w:cs="Cambria"/>
          <w:color w:val="1A1A1A"/>
          <w:sz w:val="21"/>
          <w:szCs w:val="21"/>
          <w:b/>
        </w:rPr>
        <w:t>5</w:t>
      </w:r>
    </w:p>
    <w:p>
      <w:pPr>
        <w:pStyle w:val="TOC1"/>
      </w:pPr>
      <w:r>
        <w:rPr>
          <w:lang w:val="en-CA" w:eastAsia="en-CA" w:bidi="ar-SA"/>
          <w:rFonts w:ascii="Cambria" w:hAnsi="Cambria" w:eastAsia="Cambria" w:cs="Cambria"/>
          <w:color w:val="1A1A1A"/>
          <w:sz w:val="21"/>
          <w:szCs w:val="21"/>
          <w:b/>
        </w:rPr>
        <w:t>Article 2: Sanctions Relief Architecture</w:t>
      </w:r>
      <w:r>
        <w:rPr>
          <w:lang w:val="en-CA" w:eastAsia="en-CA" w:bidi="ar-SA"/>
          <w:rFonts w:ascii="Cambria" w:hAnsi="Cambria"/>
          <w:color w:val="1A1A1A"/>
          <w:sz w:val="21"/>
          <w:szCs w:val="21"/>
          <w:b/>
        </w:rPr>
        <w:tab/>
      </w:r>
      <w:r>
        <w:rPr>
          <w:lang w:val="en-CA" w:eastAsia="en-CA" w:bidi="ar-SA"/>
          <w:rFonts w:ascii="Cambria" w:hAnsi="Cambria" w:eastAsia="Cambria" w:cs="Cambria"/>
          <w:color w:val="1A1A1A"/>
          <w:sz w:val="21"/>
          <w:szCs w:val="21"/>
          <w:b/>
        </w:rPr>
        <w:t>7</w:t>
      </w:r>
    </w:p>
    <w:p>
      <w:pPr>
        <w:pStyle w:val="TOC1"/>
      </w:pPr>
      <w:r>
        <w:rPr>
          <w:lang w:val="en-CA" w:eastAsia="en-CA" w:bidi="ar-SA"/>
          <w:rFonts w:ascii="Cambria" w:hAnsi="Cambria" w:eastAsia="Cambria" w:cs="Cambria"/>
          <w:color w:val="1A1A1A"/>
          <w:sz w:val="21"/>
          <w:szCs w:val="21"/>
          <w:b/>
        </w:rPr>
        <w:t>Article 3: Relief Tranches and Sequencing</w:t>
      </w:r>
      <w:r>
        <w:rPr>
          <w:lang w:val="en-CA" w:eastAsia="en-CA" w:bidi="ar-SA"/>
          <w:rFonts w:ascii="Cambria" w:hAnsi="Cambria"/>
          <w:color w:val="1A1A1A"/>
          <w:sz w:val="21"/>
          <w:szCs w:val="21"/>
          <w:b/>
        </w:rPr>
        <w:tab/>
      </w:r>
      <w:r>
        <w:rPr>
          <w:lang w:val="en-CA" w:eastAsia="en-CA" w:bidi="ar-SA"/>
          <w:rFonts w:ascii="Cambria" w:hAnsi="Cambria" w:eastAsia="Cambria" w:cs="Cambria"/>
          <w:color w:val="1A1A1A"/>
          <w:sz w:val="21"/>
          <w:szCs w:val="21"/>
          <w:b/>
        </w:rPr>
        <w:t>10</w:t>
      </w:r>
    </w:p>
    <w:p>
      <w:pPr>
        <w:pStyle w:val="TOC1"/>
      </w:pPr>
      <w:r>
        <w:rPr>
          <w:lang w:val="en-CA" w:eastAsia="en-CA" w:bidi="ar-SA"/>
          <w:rFonts w:ascii="Cambria" w:hAnsi="Cambria" w:eastAsia="Cambria" w:cs="Cambria"/>
          <w:color w:val="1A1A1A"/>
          <w:sz w:val="21"/>
          <w:szCs w:val="21"/>
          <w:b/>
        </w:rPr>
        <w:t>Article 4: Verification and Compliance</w:t>
      </w:r>
      <w:r>
        <w:rPr>
          <w:lang w:val="en-CA" w:eastAsia="en-CA" w:bidi="ar-SA"/>
          <w:rFonts w:ascii="Cambria" w:hAnsi="Cambria"/>
          <w:color w:val="1A1A1A"/>
          <w:sz w:val="21"/>
          <w:szCs w:val="21"/>
          <w:b/>
        </w:rPr>
        <w:tab/>
      </w:r>
      <w:r>
        <w:rPr>
          <w:lang w:val="en-CA" w:eastAsia="en-CA" w:bidi="ar-SA"/>
          <w:rFonts w:ascii="Cambria" w:hAnsi="Cambria" w:eastAsia="Cambria" w:cs="Cambria"/>
          <w:color w:val="1A1A1A"/>
          <w:sz w:val="21"/>
          <w:szCs w:val="21"/>
          <w:b/>
        </w:rPr>
        <w:t>13</w:t>
      </w:r>
    </w:p>
    <w:p>
      <w:pPr>
        <w:pStyle w:val="TOC1"/>
      </w:pPr>
      <w:r>
        <w:rPr>
          <w:lang w:val="en-CA" w:eastAsia="en-CA" w:bidi="ar-SA"/>
          <w:rFonts w:ascii="Cambria" w:hAnsi="Cambria" w:eastAsia="Cambria" w:cs="Cambria"/>
          <w:color w:val="1A1A1A"/>
          <w:sz w:val="21"/>
          <w:szCs w:val="21"/>
          <w:b/>
        </w:rPr>
        <w:t>Article 5: Step-Back, Earn-Back, and Compliance Resilience</w:t>
      </w:r>
      <w:r>
        <w:rPr>
          <w:lang w:val="en-CA" w:eastAsia="en-CA" w:bidi="ar-SA"/>
          <w:rFonts w:ascii="Cambria" w:hAnsi="Cambria"/>
          <w:color w:val="1A1A1A"/>
          <w:sz w:val="21"/>
          <w:szCs w:val="21"/>
          <w:b/>
        </w:rPr>
        <w:tab/>
      </w:r>
      <w:r>
        <w:rPr>
          <w:lang w:val="en-CA" w:eastAsia="en-CA" w:bidi="ar-SA"/>
          <w:rFonts w:ascii="Cambria" w:hAnsi="Cambria" w:eastAsia="Cambria" w:cs="Cambria"/>
          <w:color w:val="1A1A1A"/>
          <w:sz w:val="21"/>
          <w:szCs w:val="21"/>
          <w:b/>
        </w:rPr>
        <w:t>14</w:t>
      </w:r>
    </w:p>
    <w:p>
      <w:pPr>
        <w:pStyle w:val="TOC1"/>
      </w:pPr>
      <w:r>
        <w:rPr>
          <w:lang w:val="en-CA" w:eastAsia="en-CA" w:bidi="ar-SA"/>
          <w:rFonts w:ascii="Cambria" w:hAnsi="Cambria" w:eastAsia="Cambria" w:cs="Cambria"/>
          <w:color w:val="1A1A1A"/>
          <w:sz w:val="21"/>
          <w:szCs w:val="21"/>
          <w:b/>
        </w:rPr>
        <w:t>Article 6: U.S. Congressional Constraints and Executive Authority</w:t>
      </w:r>
      <w:r>
        <w:rPr>
          <w:lang w:val="en-CA" w:eastAsia="en-CA" w:bidi="ar-SA"/>
          <w:rFonts w:ascii="Cambria" w:hAnsi="Cambria"/>
          <w:color w:val="1A1A1A"/>
          <w:sz w:val="21"/>
          <w:szCs w:val="21"/>
          <w:b/>
        </w:rPr>
        <w:tab/>
      </w:r>
      <w:r>
        <w:rPr>
          <w:lang w:val="en-CA" w:eastAsia="en-CA" w:bidi="ar-SA"/>
          <w:rFonts w:ascii="Cambria" w:hAnsi="Cambria" w:eastAsia="Cambria" w:cs="Cambria"/>
          <w:color w:val="1A1A1A"/>
          <w:sz w:val="21"/>
          <w:szCs w:val="21"/>
          <w:b/>
        </w:rPr>
        <w:t>17</w:t>
      </w:r>
    </w:p>
    <w:p>
      <w:pPr>
        <w:pStyle w:val="TOC1"/>
      </w:pPr>
      <w:r>
        <w:rPr>
          <w:lang w:val="en-CA" w:eastAsia="en-CA" w:bidi="ar-SA"/>
          <w:rFonts w:ascii="Cambria" w:hAnsi="Cambria" w:eastAsia="Cambria" w:cs="Cambria"/>
          <w:color w:val="1A1A1A"/>
          <w:sz w:val="21"/>
          <w:szCs w:val="21"/>
          <w:b/>
        </w:rPr>
        <w:t>Article 7: International Sanctions and UNSC Coordination</w:t>
      </w:r>
      <w:r>
        <w:rPr>
          <w:lang w:val="en-CA" w:eastAsia="en-CA" w:bidi="ar-SA"/>
          <w:rFonts w:ascii="Cambria" w:hAnsi="Cambria"/>
          <w:color w:val="1A1A1A"/>
          <w:sz w:val="21"/>
          <w:szCs w:val="21"/>
          <w:b/>
        </w:rPr>
        <w:tab/>
      </w:r>
      <w:r>
        <w:rPr>
          <w:lang w:val="en-CA" w:eastAsia="en-CA" w:bidi="ar-SA"/>
          <w:rFonts w:ascii="Cambria" w:hAnsi="Cambria" w:eastAsia="Cambria" w:cs="Cambria"/>
          <w:color w:val="1A1A1A"/>
          <w:sz w:val="21"/>
          <w:szCs w:val="21"/>
          <w:b/>
        </w:rPr>
        <w:t>19</w:t>
      </w:r>
    </w:p>
    <w:p>
      <w:pPr>
        <w:pStyle w:val="TOC1"/>
      </w:pPr>
      <w:r>
        <w:rPr>
          <w:lang w:val="en-CA" w:eastAsia="en-CA" w:bidi="ar-SA"/>
          <w:rFonts w:ascii="Cambria" w:hAnsi="Cambria" w:eastAsia="Cambria" w:cs="Cambria"/>
          <w:color w:val="1A1A1A"/>
          <w:sz w:val="21"/>
          <w:szCs w:val="21"/>
          <w:b/>
        </w:rPr>
        <w:t>Article 8: Dispute Resolution</w:t>
      </w:r>
      <w:r>
        <w:rPr>
          <w:lang w:val="en-CA" w:eastAsia="en-CA" w:bidi="ar-SA"/>
          <w:rFonts w:ascii="Cambria" w:hAnsi="Cambria"/>
          <w:color w:val="1A1A1A"/>
          <w:sz w:val="21"/>
          <w:szCs w:val="21"/>
          <w:b/>
        </w:rPr>
        <w:tab/>
      </w:r>
      <w:r>
        <w:rPr>
          <w:lang w:val="en-CA" w:eastAsia="en-CA" w:bidi="ar-SA"/>
          <w:rFonts w:ascii="Cambria" w:hAnsi="Cambria" w:eastAsia="Cambria" w:cs="Cambria"/>
          <w:color w:val="1A1A1A"/>
          <w:sz w:val="21"/>
          <w:szCs w:val="21"/>
          <w:b/>
        </w:rPr>
        <w:t>20</w:t>
      </w:r>
    </w:p>
    <w:p>
      <w:pPr>
        <w:pStyle w:val="TOC1"/>
      </w:pPr>
      <w:r>
        <w:rPr>
          <w:lang w:val="en-CA" w:eastAsia="en-CA" w:bidi="ar-SA"/>
          <w:rFonts w:ascii="Cambria" w:hAnsi="Cambria" w:eastAsia="Cambria" w:cs="Cambria"/>
          <w:color w:val="1A1A1A"/>
          <w:sz w:val="21"/>
          <w:szCs w:val="21"/>
          <w:b/>
        </w:rPr>
        <w:t>Article 9: Duration, Review, and Termination</w:t>
      </w:r>
      <w:r>
        <w:rPr>
          <w:lang w:val="en-CA" w:eastAsia="en-CA" w:bidi="ar-SA"/>
          <w:rFonts w:ascii="Cambria" w:hAnsi="Cambria"/>
          <w:color w:val="1A1A1A"/>
          <w:sz w:val="21"/>
          <w:szCs w:val="21"/>
          <w:b/>
        </w:rPr>
        <w:tab/>
      </w:r>
      <w:r>
        <w:rPr>
          <w:lang w:val="en-CA" w:eastAsia="en-CA" w:bidi="ar-SA"/>
          <w:rFonts w:ascii="Cambria" w:hAnsi="Cambria" w:eastAsia="Cambria" w:cs="Cambria"/>
          <w:color w:val="1A1A1A"/>
          <w:sz w:val="21"/>
          <w:szCs w:val="21"/>
          <w:b/>
        </w:rPr>
        <w:t>21</w:t>
      </w:r>
    </w:p>
    <w:p>
      <w:pPr>
        <w:pStyle w:val="TOC1"/>
      </w:pPr>
      <w:r>
        <w:rPr>
          <w:lang w:val="en-CA" w:eastAsia="en-CA" w:bidi="ar-SA"/>
          <w:rFonts w:ascii="Cambria" w:hAnsi="Cambria" w:eastAsia="Cambria" w:cs="Cambria"/>
          <w:color w:val="1A1A1A"/>
          <w:sz w:val="21"/>
          <w:szCs w:val="21"/>
          <w:b/>
        </w:rPr>
        <w:t>Article 10: Relationship to Other Annexes</w:t>
      </w:r>
      <w:r>
        <w:rPr>
          <w:lang w:val="en-CA" w:eastAsia="en-CA" w:bidi="ar-SA"/>
          <w:rFonts w:ascii="Cambria" w:hAnsi="Cambria"/>
          <w:color w:val="1A1A1A"/>
          <w:sz w:val="21"/>
          <w:szCs w:val="21"/>
          <w:b/>
        </w:rPr>
        <w:tab/>
      </w:r>
      <w:r>
        <w:rPr>
          <w:lang w:val="en-CA" w:eastAsia="en-CA" w:bidi="ar-SA"/>
          <w:rFonts w:ascii="Cambria" w:hAnsi="Cambria" w:eastAsia="Cambria" w:cs="Cambria"/>
          <w:color w:val="1A1A1A"/>
          <w:sz w:val="21"/>
          <w:szCs w:val="21"/>
          <w:b/>
        </w:rPr>
        <w:t>22</w:t>
      </w:r>
    </w:p>
    <w:p>
      <w:pPr>
        <w:pStyle w:val="TOC1"/>
      </w:pPr>
      <w:r>
        <w:rPr>
          <w:lang w:val="en-CA" w:eastAsia="en-CA" w:bidi="ar-SA"/>
          <w:rFonts w:ascii="Cambria" w:hAnsi="Cambria" w:eastAsia="Cambria" w:cs="Cambria"/>
          <w:color w:val="1A1A1A"/>
          <w:sz w:val="21"/>
          <w:szCs w:val="21"/>
          <w:b/>
        </w:rPr>
        <w:t>Signature Block</w:t>
      </w:r>
      <w:r>
        <w:rPr>
          <w:lang w:val="en-CA" w:eastAsia="en-CA" w:bidi="ar-SA"/>
          <w:rFonts w:ascii="Cambria" w:hAnsi="Cambria"/>
          <w:color w:val="1A1A1A"/>
          <w:sz w:val="21"/>
          <w:szCs w:val="21"/>
          <w:b/>
        </w:rPr>
        <w:tab/>
      </w:r>
      <w:r>
        <w:rPr>
          <w:lang w:val="en-CA" w:eastAsia="en-CA" w:bidi="ar-SA"/>
          <w:rFonts w:ascii="Cambria" w:hAnsi="Cambria" w:eastAsia="Cambria" w:cs="Cambria"/>
          <w:color w:val="1A1A1A"/>
          <w:sz w:val="21"/>
          <w:szCs w:val="21"/>
          <w:b/>
        </w:rPr>
        <w:t>24</w:t>
      </w:r>
    </w:p>
    <w:p>
      <w:pPr>
        <w:pStyle w:val="TOC1"/>
      </w:pPr>
      <w:r>
        <w:rPr>
          <w:lang w:val="en-CA" w:eastAsia="en-CA" w:bidi="ar-SA"/>
          <w:rFonts w:ascii="Cambria" w:hAnsi="Cambria" w:eastAsia="Cambria" w:cs="Cambria"/>
          <w:color w:val="1A1A1A"/>
          <w:sz w:val="21"/>
          <w:szCs w:val="21"/>
          <w:b/>
        </w:rPr>
        <w:t>Summary</w:t>
      </w:r>
      <w:r>
        <w:rPr>
          <w:lang w:val="en-CA" w:eastAsia="en-CA" w:bidi="ar-SA"/>
          <w:rFonts w:ascii="Cambria" w:hAnsi="Cambria"/>
          <w:color w:val="1A1A1A"/>
          <w:sz w:val="21"/>
          <w:szCs w:val="21"/>
          <w:b/>
        </w:rPr>
        <w:tab/>
      </w:r>
      <w:r>
        <w:rPr>
          <w:lang w:val="en-CA" w:eastAsia="en-CA" w:bidi="ar-SA"/>
          <w:rFonts w:ascii="Cambria" w:hAnsi="Cambria" w:eastAsia="Cambria" w:cs="Cambria"/>
          <w:color w:val="1A1A1A"/>
          <w:sz w:val="21"/>
          <w:szCs w:val="21"/>
          <w:b/>
        </w:rPr>
        <w:t>26</w:t>
      </w:r>
    </w:p>
    <w:p>
      <w:pPr>
        <w:pStyle w:val="Normal"/>
      </w:pPr>
      <w:r>
        <w:fldChar w:fldCharType="end"/>
      </w:r>
    </w:p>
    <w:p>
      <w:pPr>
        <w:pStyle w:val="Normal"/>
        <w:sectPr w:rsidR="00D320C7">
          <w:pgSz w:w="11906" w:h="16838"/>
          <w:pgMar w:top="1800" w:right="1440" w:bottom="1440" w:left="1440" w:header="720" w:footer="720" w:gutter="0"/>
          <w:cols w:space="720"/>
        </w:sectPr>
      </w:pPr>
    </w:p>
    <w:p>
      <w:pPr>
        <w:pStyle w:val="Heading1"/>
      </w:pPr>
      <w:bookmarkStart w:id="1" w:name="_TP"/>
      <w:r>
        <w:rPr>
          <w:lang w:val="en-CA" w:eastAsia="en-CA" w:bidi="ar-SA"/>
          <w:rFonts w:ascii="Cambria" w:hAnsi="Cambria" w:eastAsia="Cambria" w:cs="Cambria"/>
          <w:b/>
          <w:color w:val="BF8C0D"/>
          <w:sz w:val="36"/>
          <w:szCs w:val="36"/>
        </w:rPr>
        <w:t>Preamble</w:t>
      </w:r>
      <w:bookmarkEnd w:id="1"/>
    </w:p>
    <w:p>
      <w:pPr>
        <w:pStyle w:val="Normal"/>
      </w:pPr>
      <w:r>
        <w:rPr>
          <w:lang w:val="en-CA" w:eastAsia="en-CA" w:bidi="ar-SA"/>
          <w:rFonts w:ascii="Cambria" w:hAnsi="Cambria" w:eastAsia="Cambria" w:cs="Cambria"/>
          <w:color w:val="1A1A1A"/>
          <w:sz w:val="21"/>
          <w:szCs w:val="21"/>
        </w:rPr>
        <w:t>The Parties, the Islamic Republic of Iran and the United States of America, recognize that durable, verifiable constraints on Iran's nuclear program require corresponding, proportional relief from nuclear-related sanctions. The Parties further recognize that the sequencing of sanctions relief synchronizes with IAEA-verified nuclear milestones to ensure that neither Party advances unilaterally.</w:t>
      </w:r>
    </w:p>
    <w:p>
      <w:pPr>
        <w:pStyle w:val="Normal"/>
      </w:pPr>
      <w:r>
        <w:rPr>
          <w:lang w:val="en-CA" w:eastAsia="en-CA" w:bidi="ar-SA"/>
          <w:rFonts w:ascii="Cambria" w:hAnsi="Cambria" w:eastAsia="Cambria" w:cs="Cambria"/>
          <w:color w:val="1A1A1A"/>
          <w:sz w:val="21"/>
          <w:szCs w:val="21"/>
        </w:rPr>
        <w:t>The Parties acknowledge the existing framework established by the June 17, 2026 Memorandum of Understanding, including General License X providing temporary relief for oil exports and associated services through August 21, 2026. This Annex builds upon that foundation by establishing a permanent, performance-based sanctions relief architecture that aligns with the broader MENOC Framework.</w:t>
      </w:r>
    </w:p>
    <w:p>
      <w:pPr>
        <w:pStyle w:val="Normal"/>
      </w:pPr>
      <w:r>
        <w:rPr>
          <w:lang w:val="en-CA" w:eastAsia="en-CA" w:bidi="ar-SA"/>
          <w:rFonts w:ascii="Cambria" w:hAnsi="Cambria" w:eastAsia="Cambria" w:cs="Cambria"/>
          <w:color w:val="1A1A1A"/>
          <w:sz w:val="21"/>
          <w:szCs w:val="21"/>
        </w:rPr>
        <w:t>The Parties further acknowledge that the United States maintains a complex sanctions architecture comprising both executive orders and congressional statutes. This Annex addresses the full scope of nuclear-related sanctions, with the understanding that certain statutory sanctions require legislative action. The Parties commit to good-faith efforts to secure the necessary legislative authorizations.</w:t>
      </w:r>
    </w:p>
    <w:p>
      <w:pPr>
        <w:pStyle w:val="Normal"/>
      </w:pPr>
      <w:r>
        <w:rPr>
          <w:lang w:val="en-CA" w:eastAsia="en-CA" w:bidi="ar-SA"/>
          <w:rFonts w:ascii="Cambria" w:hAnsi="Cambria" w:eastAsia="Cambria" w:cs="Cambria"/>
          <w:color w:val="1A1A1A"/>
          <w:sz w:val="21"/>
          <w:szCs w:val="21"/>
        </w:rPr>
        <w:t>This Annex operates on the following core principles:</w:t>
      </w:r>
    </w:p>
    <w:p>
      <w:pPr>
        <w:pStyle w:val="Normal"/>
        <w:ind w:left="720" w:hanging="360"/>
      </w:pPr>
      <w:r>
        <w:rPr>
          <w:b/>
          <w:lang w:val="en-CA" w:eastAsia="en-CA" w:bidi="ar-SA"/>
          <w:rFonts w:ascii="Cambria" w:hAnsi="Cambria" w:eastAsia="Cambria" w:cs="Cambria"/>
          <w:color w:val="1A1A1A"/>
          <w:sz w:val="21"/>
          <w:szCs w:val="21"/>
        </w:rPr>
        <w:t>(a)</w:t>
      </w:r>
      <w:r>
        <w:rPr>
          <w:lang w:val="en-CA" w:eastAsia="en-CA" w:bidi="ar-SA"/>
          <w:rFonts w:ascii="Cambria" w:hAnsi="Cambria" w:eastAsia="Cambria" w:cs="Cambria"/>
          <w:color w:val="1A1A1A"/>
          <w:sz w:val="21"/>
          <w:szCs w:val="21"/>
        </w:rPr>
        <w:t>Synchronized Reciprocal Motion: Every forward step by one Party pairs with a simultaneous, verifiable, and irreversible forward step by the other. Neither Party advances unilaterally.</w:t>
      </w:r>
    </w:p>
    <w:p>
      <w:pPr>
        <w:pStyle w:val="Normal"/>
        <w:ind w:left="720" w:hanging="360"/>
      </w:pPr>
      <w:r>
        <w:rPr>
          <w:b/>
          <w:lang w:val="en-CA" w:eastAsia="en-CA" w:bidi="ar-SA"/>
          <w:rFonts w:ascii="Cambria" w:hAnsi="Cambria" w:eastAsia="Cambria" w:cs="Cambria"/>
          <w:color w:val="1A1A1A"/>
          <w:sz w:val="21"/>
          <w:szCs w:val="21"/>
        </w:rPr>
        <w:t>(b)</w:t>
      </w:r>
      <w:r>
        <w:rPr>
          <w:lang w:val="en-CA" w:eastAsia="en-CA" w:bidi="ar-SA"/>
          <w:rFonts w:ascii="Cambria" w:hAnsi="Cambria" w:eastAsia="Cambria" w:cs="Cambria"/>
          <w:color w:val="1A1A1A"/>
          <w:sz w:val="21"/>
          <w:szCs w:val="21"/>
        </w:rPr>
        <w:t>Performance-Based Relief: Sanctions relief flows only upon IAEA verification of pre-defined nuclear milestones. Relief is earned, not granted.</w:t>
      </w:r>
    </w:p>
    <w:p>
      <w:pPr>
        <w:pStyle w:val="Normal"/>
        <w:ind w:left="720" w:hanging="360"/>
      </w:pPr>
      <w:r>
        <w:rPr>
          <w:b/>
          <w:lang w:val="en-CA" w:eastAsia="en-CA" w:bidi="ar-SA"/>
          <w:rFonts w:ascii="Cambria" w:hAnsi="Cambria" w:eastAsia="Cambria" w:cs="Cambria"/>
          <w:color w:val="1A1A1A"/>
          <w:sz w:val="21"/>
          <w:szCs w:val="21"/>
        </w:rPr>
        <w:t>(c)</w:t>
      </w:r>
      <w:r>
        <w:rPr>
          <w:lang w:val="en-CA" w:eastAsia="en-CA" w:bidi="ar-SA"/>
          <w:rFonts w:ascii="Cambria" w:hAnsi="Cambria" w:eastAsia="Cambria" w:cs="Cambria"/>
          <w:color w:val="1A1A1A"/>
          <w:sz w:val="21"/>
          <w:szCs w:val="21"/>
        </w:rPr>
        <w:t>Step-Back and Earn-Back: Sanctions relief suspends automatically upon verified non-compliance and restores automatically upon verified compliance. The framework architecture excludes clawback of already-released benefits.</w:t>
      </w:r>
    </w:p>
    <w:p>
      <w:pPr>
        <w:pStyle w:val="Normal"/>
        <w:ind w:left="720" w:hanging="360"/>
      </w:pPr>
      <w:r>
        <w:rPr>
          <w:b/>
          <w:lang w:val="en-CA" w:eastAsia="en-CA" w:bidi="ar-SA"/>
          <w:rFonts w:ascii="Cambria" w:hAnsi="Cambria" w:eastAsia="Cambria" w:cs="Cambria"/>
          <w:color w:val="1A1A1A"/>
          <w:sz w:val="21"/>
          <w:szCs w:val="21"/>
        </w:rPr>
        <w:t>(d)</w:t>
      </w:r>
      <w:r>
        <w:rPr>
          <w:lang w:val="en-CA" w:eastAsia="en-CA" w:bidi="ar-SA"/>
          <w:rFonts w:ascii="Cambria" w:hAnsi="Cambria" w:eastAsia="Cambria" w:cs="Cambria"/>
          <w:color w:val="1A1A1A"/>
          <w:sz w:val="21"/>
          <w:szCs w:val="21"/>
        </w:rPr>
        <w:t>Non-Derogation from NPT Rights: Nothing in this Annex derogates from Iran's rights under Article IV of the Treaty on the Non-Proliferation of Nuclear Weapons to research, produce, and use nuclear energy for peaceful purposes.</w:t>
      </w:r>
    </w:p>
    <w:p>
      <w:pPr>
        <w:pStyle w:val="Heading1"/>
      </w:pPr>
      <w:bookmarkStart w:id="2" w:name="_T1"/>
      <w:r>
        <w:rPr>
          <w:lang w:val="en-CA" w:eastAsia="en-CA" w:bidi="ar-SA"/>
          <w:rFonts w:ascii="Cambria" w:hAnsi="Cambria" w:eastAsia="Cambria" w:cs="Cambria"/>
          <w:b/>
          <w:color w:val="BF8C0D"/>
          <w:sz w:val="36"/>
          <w:szCs w:val="36"/>
        </w:rPr>
        <w:t>Article 1: Definitions</w:t>
      </w:r>
      <w:bookmarkEnd w:id="2"/>
    </w:p>
    <w:p>
      <w:pPr>
        <w:pStyle w:val="Normal"/>
      </w:pPr>
      <w:r>
        <w:rPr>
          <w:lang w:val="en-CA" w:eastAsia="en-CA" w:bidi="ar-SA"/>
          <w:rFonts w:ascii="Cambria" w:hAnsi="Cambria" w:eastAsia="Cambria" w:cs="Cambria"/>
          <w:color w:val="1A1A1A"/>
          <w:sz w:val="21"/>
          <w:szCs w:val="21"/>
        </w:rPr>
        <w:t>For the purposes of this Annex, the following terms carry the meanings set out below. Terms not defined in this Article retain the meanings given in the MENOC Charter, Annex ES, or other relevant documents.</w:t>
      </w:r>
    </w:p>
    <w:p>
      <w:pPr>
        <w:pStyle w:val="Heading2"/>
      </w:pPr>
      <w:r>
        <w:rPr>
          <w:lang w:val="en-CA" w:eastAsia="en-CA" w:bidi="ar-SA"/>
          <w:rFonts w:ascii="Cambria" w:hAnsi="Cambria" w:eastAsia="Cambria" w:cs="Cambria"/>
          <w:b/>
          <w:sz w:val="26"/>
          <w:szCs w:val="26"/>
          <w:color w:val="8A7040"/>
        </w:rPr>
        <w:t>1.1 Nuclear-Related Sanctions</w:t>
      </w:r>
    </w:p>
    <w:p>
      <w:pPr>
        <w:pStyle w:val="Normal"/>
      </w:pPr>
      <w:r>
        <w:rPr>
          <w:lang w:val="en-CA" w:eastAsia="en-CA" w:bidi="ar-SA"/>
          <w:rFonts w:ascii="Cambria" w:hAnsi="Cambria" w:eastAsia="Cambria" w:cs="Cambria"/>
          <w:color w:val="1A1A1A"/>
          <w:sz w:val="21"/>
          <w:szCs w:val="21"/>
        </w:rPr>
        <w:t>"Nuclear-Related Sanctions" means all U.S. and international sanctions, restrictions, and designations imposed on Iran, Iranian entities, or Iranian nationals primarily on the basis of Iran's nuclear program, including:</w:t>
      </w:r>
    </w:p>
    <w:p>
      <w:pPr>
        <w:pStyle w:val="Normal"/>
        <w:ind w:left="720" w:hanging="360"/>
      </w:pPr>
      <w:r>
        <w:rPr>
          <w:lang w:val="en-CA" w:eastAsia="en-CA" w:bidi="ar-SA"/>
          <w:rFonts w:ascii="Cambria" w:hAnsi="Cambria" w:eastAsia="Cambria" w:cs="Cambria"/>
          <w:color w:val="1A1A1A"/>
          <w:sz w:val="21"/>
          <w:szCs w:val="21"/>
          <w:b/>
        </w:rPr>
        <w:t>(a)</w:t>
      </w:r>
      <w:r>
        <w:rPr>
          <w:lang w:val="en-CA" w:eastAsia="en-CA" w:bidi="ar-SA"/>
          <w:rFonts w:ascii="Cambria" w:hAnsi="Cambria" w:eastAsia="Cambria" w:cs="Cambria"/>
          <w:color w:val="1A1A1A"/>
          <w:sz w:val="21"/>
          <w:szCs w:val="21"/>
        </w:rPr>
        <w:t>Secondary sanctions targeting non-U.S. persons for doing business with Iran;</w:t>
      </w:r>
    </w:p>
    <w:p>
      <w:pPr>
        <w:pStyle w:val="Normal"/>
        <w:ind w:left="720" w:hanging="360"/>
      </w:pPr>
      <w:r>
        <w:rPr>
          <w:b/>
          <w:lang w:val="en-CA" w:eastAsia="en-CA" w:bidi="ar-SA"/>
          <w:rFonts w:ascii="Cambria" w:hAnsi="Cambria" w:eastAsia="Cambria" w:cs="Cambria"/>
          <w:color w:val="1A1A1A"/>
          <w:sz w:val="21"/>
          <w:szCs w:val="21"/>
        </w:rPr>
        <w:t>(b)</w:t>
      </w:r>
      <w:r>
        <w:rPr>
          <w:lang w:val="en-CA" w:eastAsia="en-CA" w:bidi="ar-SA"/>
          <w:rFonts w:ascii="Cambria" w:hAnsi="Cambria" w:eastAsia="Cambria" w:cs="Cambria"/>
          <w:color w:val="1A1A1A"/>
          <w:sz w:val="21"/>
          <w:szCs w:val="21"/>
        </w:rPr>
        <w:t>Primary sanctions blocking Iranian property and interests;</w:t>
      </w:r>
    </w:p>
    <w:p>
      <w:pPr>
        <w:pStyle w:val="Normal"/>
        <w:ind w:left="720" w:hanging="360"/>
      </w:pPr>
      <w:r>
        <w:rPr>
          <w:b/>
          <w:lang w:val="en-CA" w:eastAsia="en-CA" w:bidi="ar-SA"/>
          <w:rFonts w:ascii="Cambria" w:hAnsi="Cambria" w:eastAsia="Cambria" w:cs="Cambria"/>
          <w:color w:val="1A1A1A"/>
          <w:sz w:val="21"/>
          <w:szCs w:val="21"/>
        </w:rPr>
        <w:t>(c)</w:t>
      </w:r>
      <w:r>
        <w:rPr>
          <w:lang w:val="en-CA" w:eastAsia="en-CA" w:bidi="ar-SA"/>
          <w:rFonts w:ascii="Cambria" w:hAnsi="Cambria" w:eastAsia="Cambria" w:cs="Cambria"/>
          <w:color w:val="1A1A1A"/>
          <w:sz w:val="21"/>
          <w:szCs w:val="21"/>
        </w:rPr>
        <w:t>Sanctions on Iranian financial institutions, including restrictions on SWIFT access;</w:t>
      </w:r>
    </w:p>
    <w:p>
      <w:pPr>
        <w:pStyle w:val="Normal"/>
        <w:ind w:left="720" w:hanging="360"/>
      </w:pPr>
      <w:r>
        <w:rPr>
          <w:b/>
          <w:lang w:val="en-CA" w:eastAsia="en-CA" w:bidi="ar-SA"/>
          <w:rFonts w:ascii="Cambria" w:hAnsi="Cambria" w:eastAsia="Cambria" w:cs="Cambria"/>
          <w:color w:val="1A1A1A"/>
          <w:sz w:val="21"/>
          <w:szCs w:val="21"/>
        </w:rPr>
        <w:t>(d)</w:t>
      </w:r>
      <w:r>
        <w:rPr>
          <w:lang w:val="en-CA" w:eastAsia="en-CA" w:bidi="ar-SA"/>
          <w:rFonts w:ascii="Cambria" w:hAnsi="Cambria" w:eastAsia="Cambria" w:cs="Cambria"/>
          <w:color w:val="1A1A1A"/>
          <w:sz w:val="21"/>
          <w:szCs w:val="21"/>
        </w:rPr>
        <w:t>Sanctions on Iran's oil, gas, petrochemical, and shipping sectors;</w:t>
      </w:r>
    </w:p>
    <w:p>
      <w:pPr>
        <w:pStyle w:val="Normal"/>
        <w:ind w:left="720" w:hanging="360"/>
      </w:pPr>
      <w:r>
        <w:rPr>
          <w:b/>
          <w:lang w:val="en-CA" w:eastAsia="en-CA" w:bidi="ar-SA"/>
          <w:rFonts w:ascii="Cambria" w:hAnsi="Cambria" w:eastAsia="Cambria" w:cs="Cambria"/>
          <w:color w:val="1A1A1A"/>
          <w:sz w:val="21"/>
          <w:szCs w:val="21"/>
        </w:rPr>
        <w:t>(e)</w:t>
      </w:r>
      <w:r>
        <w:rPr>
          <w:lang w:val="en-CA" w:eastAsia="en-CA" w:bidi="ar-SA"/>
          <w:rFonts w:ascii="Cambria" w:hAnsi="Cambria" w:eastAsia="Cambria" w:cs="Cambria"/>
          <w:color w:val="1A1A1A"/>
          <w:sz w:val="21"/>
          <w:szCs w:val="21"/>
        </w:rPr>
        <w:t>Sanctions on Iranian banks, insurance, and reinsurance;</w:t>
      </w:r>
    </w:p>
    <w:p>
      <w:pPr>
        <w:pStyle w:val="Normal"/>
        <w:ind w:left="720" w:hanging="360"/>
      </w:pPr>
      <w:r>
        <w:rPr>
          <w:b/>
          <w:lang w:val="en-CA" w:eastAsia="en-CA" w:bidi="ar-SA"/>
          <w:rFonts w:ascii="Cambria" w:hAnsi="Cambria" w:eastAsia="Cambria" w:cs="Cambria"/>
          <w:color w:val="1A1A1A"/>
          <w:sz w:val="21"/>
          <w:szCs w:val="21"/>
        </w:rPr>
        <w:t>(f)</w:t>
      </w:r>
      <w:r>
        <w:rPr>
          <w:lang w:val="en-CA" w:eastAsia="en-CA" w:bidi="ar-SA"/>
          <w:rFonts w:ascii="Cambria" w:hAnsi="Cambria" w:eastAsia="Cambria" w:cs="Cambria"/>
          <w:color w:val="1A1A1A"/>
          <w:sz w:val="21"/>
          <w:szCs w:val="21"/>
        </w:rPr>
        <w:t>Sanctions on Iran's automotive, metals, and other industrial sectors;</w:t>
      </w:r>
    </w:p>
    <w:p>
      <w:pPr>
        <w:pStyle w:val="Normal"/>
        <w:ind w:left="720" w:hanging="360"/>
      </w:pPr>
      <w:r>
        <w:rPr>
          <w:b/>
          <w:lang w:val="en-CA" w:eastAsia="en-CA" w:bidi="ar-SA"/>
          <w:rFonts w:ascii="Cambria" w:hAnsi="Cambria" w:eastAsia="Cambria" w:cs="Cambria"/>
          <w:color w:val="1A1A1A"/>
          <w:sz w:val="21"/>
          <w:szCs w:val="21"/>
        </w:rPr>
        <w:t>(g)</w:t>
      </w:r>
      <w:r>
        <w:rPr>
          <w:lang w:val="en-CA" w:eastAsia="en-CA" w:bidi="ar-SA"/>
          <w:rFonts w:ascii="Cambria" w:hAnsi="Cambria" w:eastAsia="Cambria" w:cs="Cambria"/>
          <w:color w:val="1A1A1A"/>
          <w:sz w:val="21"/>
          <w:szCs w:val="21"/>
        </w:rPr>
        <w:t>Designations of Iranian entities and individuals under nuclear-related executive orders.</w:t>
      </w:r>
    </w:p>
    <w:p>
      <w:pPr>
        <w:pStyle w:val="Normal"/>
      </w:pPr>
      <w:r>
        <w:rPr>
          <w:lang w:val="en-CA" w:eastAsia="en-CA" w:bidi="ar-SA"/>
          <w:rFonts w:ascii="Cambria" w:hAnsi="Cambria" w:eastAsia="Cambria" w:cs="Cambria"/>
          <w:color w:val="1A1A1A"/>
          <w:sz w:val="21"/>
          <w:szCs w:val="21"/>
        </w:rPr>
        <w:t>"Nuclear-Related Sanctions" does not include sanctions imposed on the basis of terrorism, human rights abuses, missile proliferation, or conventional arms transfers, except to the extent such sanctions are derivative of nuclear-related designations.</w:t>
      </w:r>
    </w:p>
    <w:p>
      <w:pPr>
        <w:pStyle w:val="Heading2"/>
      </w:pPr>
      <w:r>
        <w:rPr>
          <w:lang w:val="en-CA" w:eastAsia="en-CA" w:bidi="ar-SA"/>
          <w:rFonts w:ascii="Cambria" w:hAnsi="Cambria" w:eastAsia="Cambria" w:cs="Cambria"/>
          <w:b/>
          <w:sz w:val="26"/>
          <w:szCs w:val="26"/>
          <w:color w:val="8A7040"/>
        </w:rPr>
        <w:t>1.2 Non-Nuclear Sanctions</w:t>
      </w:r>
    </w:p>
    <w:p>
      <w:pPr>
        <w:pStyle w:val="Normal"/>
      </w:pPr>
      <w:r>
        <w:rPr>
          <w:lang w:val="en-CA" w:eastAsia="en-CA" w:bidi="ar-SA"/>
          <w:rFonts w:ascii="Cambria" w:hAnsi="Cambria" w:eastAsia="Cambria" w:cs="Cambria"/>
          <w:color w:val="1A1A1A"/>
          <w:sz w:val="21"/>
          <w:szCs w:val="21"/>
        </w:rPr>
        <w:t>"Non-Nuclear Sanctions" means all U.S. and international sanctions, restrictions, and designations imposed on Iran, Iranian entities, or Iranian nationals on bases other than Iran's nuclear program, including terrorism, human rights, missile proliferation, and conventional arms.</w:t>
      </w:r>
    </w:p>
    <w:p>
      <w:pPr>
        <w:pStyle w:val="Heading2"/>
      </w:pPr>
      <w:r>
        <w:rPr>
          <w:lang w:val="en-CA" w:eastAsia="en-CA" w:bidi="ar-SA"/>
          <w:rFonts w:ascii="Cambria" w:hAnsi="Cambria" w:eastAsia="Cambria" w:cs="Cambria"/>
          <w:b/>
          <w:sz w:val="26"/>
          <w:szCs w:val="26"/>
          <w:color w:val="8A7040"/>
        </w:rPr>
        <w:t>1.3 Relief Tranche</w:t>
      </w:r>
    </w:p>
    <w:p>
      <w:pPr>
        <w:pStyle w:val="Normal"/>
      </w:pPr>
      <w:r>
        <w:rPr>
          <w:lang w:val="en-CA" w:eastAsia="en-CA" w:bidi="ar-SA"/>
          <w:rFonts w:ascii="Cambria" w:hAnsi="Cambria" w:eastAsia="Cambria" w:cs="Cambria"/>
          <w:color w:val="1A1A1A"/>
          <w:sz w:val="21"/>
          <w:szCs w:val="21"/>
        </w:rPr>
        <w:t>"Relief Tranche" means a specific, pre-defined package of sanctions relief tied to the completion of a corresponding nuclear milestone. Relief Tranches are sequenced as specified in Article 3.</w:t>
      </w:r>
    </w:p>
    <w:p>
      <w:pPr>
        <w:pStyle w:val="Heading2"/>
      </w:pPr>
      <w:r>
        <w:rPr>
          <w:lang w:val="en-CA" w:eastAsia="en-CA" w:bidi="ar-SA"/>
          <w:rFonts w:ascii="Cambria" w:hAnsi="Cambria" w:eastAsia="Cambria" w:cs="Cambria"/>
          <w:b/>
          <w:sz w:val="26"/>
          <w:szCs w:val="26"/>
          <w:color w:val="8A7040"/>
        </w:rPr>
        <w:t>1.4 IAEA Verification Certificate</w:t>
      </w:r>
    </w:p>
    <w:p>
      <w:pPr>
        <w:pStyle w:val="Normal"/>
      </w:pPr>
      <w:r>
        <w:rPr>
          <w:lang w:val="en-CA" w:eastAsia="en-CA" w:bidi="ar-SA"/>
          <w:rFonts w:ascii="Cambria" w:hAnsi="Cambria" w:eastAsia="Cambria" w:cs="Cambria"/>
          <w:color w:val="1A1A1A"/>
          <w:sz w:val="21"/>
          <w:szCs w:val="21"/>
        </w:rPr>
        <w:t>"IAEA Verification Certificate" has the meaning given in Annex EV Article 1.1.</w:t>
      </w:r>
    </w:p>
    <w:p>
      <w:pPr>
        <w:pStyle w:val="Heading2"/>
      </w:pPr>
      <w:r>
        <w:rPr>
          <w:lang w:val="en-CA" w:eastAsia="en-CA" w:bidi="ar-SA"/>
          <w:rFonts w:ascii="Cambria" w:hAnsi="Cambria" w:eastAsia="Cambria" w:cs="Cambria"/>
          <w:b/>
          <w:sz w:val="26"/>
          <w:szCs w:val="26"/>
          <w:color w:val="8A7040"/>
        </w:rPr>
        <w:t>1.5 National HEU Verification and Custody Certificate</w:t>
      </w:r>
    </w:p>
    <w:p>
      <w:pPr>
        <w:pStyle w:val="Normal"/>
      </w:pPr>
      <w:r>
        <w:rPr>
          <w:lang w:val="en-CA" w:eastAsia="en-CA" w:bidi="ar-SA"/>
          <w:rFonts w:ascii="Cambria" w:hAnsi="Cambria" w:eastAsia="Cambria" w:cs="Cambria"/>
          <w:color w:val="1A1A1A"/>
          <w:sz w:val="21"/>
          <w:szCs w:val="21"/>
        </w:rPr>
        <w:t>"National HEU Verification and Custody Certificate" has the meaning given in Annex ES Article 1.8.</w:t>
      </w:r>
    </w:p>
    <w:p>
      <w:pPr>
        <w:pStyle w:val="Heading2"/>
      </w:pPr>
      <w:r>
        <w:rPr>
          <w:lang w:val="en-CA" w:eastAsia="en-CA" w:bidi="ar-SA"/>
          <w:rFonts w:ascii="Cambria" w:hAnsi="Cambria" w:eastAsia="Cambria" w:cs="Cambria"/>
          <w:b/>
          <w:sz w:val="26"/>
          <w:szCs w:val="26"/>
          <w:color w:val="8A7040"/>
        </w:rPr>
        <w:t>1.6 Downblending Completion Certificate</w:t>
      </w:r>
    </w:p>
    <w:p>
      <w:pPr>
        <w:pStyle w:val="Normal"/>
      </w:pPr>
      <w:r>
        <w:rPr>
          <w:lang w:val="en-CA" w:eastAsia="en-CA" w:bidi="ar-SA"/>
          <w:rFonts w:ascii="Cambria" w:hAnsi="Cambria" w:eastAsia="Cambria" w:cs="Cambria"/>
          <w:color w:val="1A1A1A"/>
          <w:sz w:val="21"/>
          <w:szCs w:val="21"/>
        </w:rPr>
        <w:t>"Downblending Completion Certificate" has the meaning given in Annex ES Article 1.9.</w:t>
      </w:r>
    </w:p>
    <w:p>
      <w:pPr>
        <w:pStyle w:val="Heading2"/>
      </w:pPr>
      <w:r>
        <w:rPr>
          <w:lang w:val="en-CA" w:eastAsia="en-CA" w:bidi="ar-SA"/>
          <w:rFonts w:ascii="Cambria" w:hAnsi="Cambria" w:eastAsia="Cambria" w:cs="Cambria"/>
          <w:b/>
          <w:sz w:val="26"/>
          <w:szCs w:val="26"/>
          <w:color w:val="8A7040"/>
        </w:rPr>
        <w:t>1.7 Step-Back</w:t>
      </w:r>
    </w:p>
    <w:p>
      <w:pPr>
        <w:pStyle w:val="Normal"/>
      </w:pPr>
      <w:r>
        <w:rPr>
          <w:lang w:val="en-CA" w:eastAsia="en-CA" w:bidi="ar-SA"/>
          <w:rFonts w:ascii="Cambria" w:hAnsi="Cambria" w:eastAsia="Cambria" w:cs="Cambria"/>
          <w:color w:val="1A1A1A"/>
          <w:sz w:val="21"/>
          <w:szCs w:val="21"/>
        </w:rPr>
        <w:t>"Step-Back" has the meaning given in Annex ES Article 1.13.</w:t>
      </w:r>
    </w:p>
    <w:p>
      <w:pPr>
        <w:pStyle w:val="Heading2"/>
      </w:pPr>
      <w:r>
        <w:rPr>
          <w:lang w:val="en-CA" w:eastAsia="en-CA" w:bidi="ar-SA"/>
          <w:rFonts w:ascii="Cambria" w:hAnsi="Cambria" w:eastAsia="Cambria" w:cs="Cambria"/>
          <w:b/>
          <w:sz w:val="26"/>
          <w:szCs w:val="26"/>
          <w:color w:val="8A7040"/>
        </w:rPr>
        <w:t>1.8 Earn-Back</w:t>
      </w:r>
    </w:p>
    <w:p>
      <w:pPr>
        <w:pStyle w:val="Normal"/>
      </w:pPr>
      <w:r>
        <w:rPr>
          <w:lang w:val="en-CA" w:eastAsia="en-CA" w:bidi="ar-SA"/>
          <w:rFonts w:ascii="Cambria" w:hAnsi="Cambria" w:eastAsia="Cambria" w:cs="Cambria"/>
          <w:color w:val="1A1A1A"/>
          <w:sz w:val="21"/>
          <w:szCs w:val="21"/>
        </w:rPr>
        <w:t>"Earn-Back" has the meaning given in Annex ES Article 1.14.</w:t>
      </w:r>
    </w:p>
    <w:p>
      <w:pPr>
        <w:pStyle w:val="Heading2"/>
      </w:pPr>
      <w:r>
        <w:rPr>
          <w:lang w:val="en-CA" w:eastAsia="en-CA" w:bidi="ar-SA"/>
          <w:rFonts w:ascii="Cambria" w:hAnsi="Cambria" w:eastAsia="Cambria" w:cs="Cambria"/>
          <w:b/>
          <w:sz w:val="26"/>
          <w:szCs w:val="26"/>
          <w:color w:val="8A7040"/>
        </w:rPr>
        <w:t>1.9 OFAC</w:t>
      </w:r>
    </w:p>
    <w:p>
      <w:pPr>
        <w:pStyle w:val="Normal"/>
      </w:pPr>
      <w:r>
        <w:rPr>
          <w:lang w:val="en-CA" w:eastAsia="en-CA" w:bidi="ar-SA"/>
          <w:rFonts w:ascii="Cambria" w:hAnsi="Cambria" w:eastAsia="Cambria" w:cs="Cambria"/>
          <w:color w:val="1A1A1A"/>
          <w:sz w:val="21"/>
          <w:szCs w:val="21"/>
        </w:rPr>
        <w:t>"OFAC" means the U.S. Department of the Treasury's Office of Foreign Assets Control.</w:t>
      </w:r>
    </w:p>
    <w:p>
      <w:pPr>
        <w:pStyle w:val="Heading2"/>
      </w:pPr>
      <w:r>
        <w:rPr>
          <w:lang w:val="en-CA" w:eastAsia="en-CA" w:bidi="ar-SA"/>
          <w:rFonts w:ascii="Cambria" w:hAnsi="Cambria" w:eastAsia="Cambria" w:cs="Cambria"/>
          <w:b/>
          <w:sz w:val="26"/>
          <w:szCs w:val="26"/>
          <w:color w:val="8A7040"/>
        </w:rPr>
        <w:t>1.10 UNSC</w:t>
      </w:r>
    </w:p>
    <w:p>
      <w:pPr>
        <w:pStyle w:val="Normal"/>
      </w:pPr>
      <w:r>
        <w:rPr>
          <w:lang w:val="en-CA" w:eastAsia="en-CA" w:bidi="ar-SA"/>
          <w:rFonts w:ascii="Cambria" w:hAnsi="Cambria" w:eastAsia="Cambria" w:cs="Cambria"/>
          <w:color w:val="1A1A1A"/>
          <w:sz w:val="21"/>
          <w:szCs w:val="21"/>
        </w:rPr>
        <w:t>"UNSC" means the United Nations Security Council.</w:t>
      </w:r>
    </w:p>
    <w:p>
      <w:pPr>
        <w:pStyle w:val="Heading1"/>
      </w:pPr>
      <w:bookmarkStart w:id="3" w:name="_T2"/>
      <w:r>
        <w:rPr>
          <w:lang w:val="en-CA" w:eastAsia="en-CA" w:bidi="ar-SA"/>
          <w:rFonts w:ascii="Cambria" w:hAnsi="Cambria" w:eastAsia="Cambria" w:cs="Cambria"/>
          <w:b/>
          <w:color w:val="BF8C0D"/>
          <w:sz w:val="36"/>
          <w:szCs w:val="36"/>
        </w:rPr>
        <w:t>Article 2: Sanctions Relief Architecture</w:t>
      </w:r>
      <w:bookmarkEnd w:id="3"/>
    </w:p>
    <w:p>
      <w:pPr>
        <w:pStyle w:val="Heading2"/>
      </w:pPr>
      <w:r>
        <w:rPr>
          <w:lang w:val="en-CA" w:eastAsia="en-CA" w:bidi="ar-SA"/>
          <w:rFonts w:ascii="Cambria" w:hAnsi="Cambria" w:eastAsia="Cambria" w:cs="Cambria"/>
          <w:b/>
          <w:sz w:val="26"/>
          <w:szCs w:val="26"/>
          <w:color w:val="8A7040"/>
        </w:rPr>
        <w:t>2.1 Relief as Earned Benefit</w:t>
      </w:r>
    </w:p>
    <w:p>
      <w:pPr>
        <w:pStyle w:val="Normal"/>
      </w:pPr>
      <w:r>
        <w:rPr>
          <w:lang w:val="en-CA" w:eastAsia="en-CA" w:bidi="ar-SA"/>
          <w:rFonts w:ascii="Cambria" w:hAnsi="Cambria" w:eastAsia="Cambria" w:cs="Cambria"/>
          <w:color w:val="1A1A1A"/>
          <w:sz w:val="21"/>
          <w:szCs w:val="21"/>
        </w:rPr>
        <w:t>All sanctions relief under this Annex is earned, not granted. Relief flows exclusively upon IAEA verification of completion of pre-defined nuclear milestones. No relief flows in the absence of such verification.</w:t>
      </w:r>
    </w:p>
    <w:p>
      <w:pPr>
        <w:pStyle w:val="Heading2"/>
      </w:pPr>
      <w:r>
        <w:rPr>
          <w:lang w:val="en-CA" w:eastAsia="en-CA" w:bidi="ar-SA"/>
          <w:rFonts w:ascii="Cambria" w:hAnsi="Cambria" w:eastAsia="Cambria" w:cs="Cambria"/>
          <w:b/>
          <w:sz w:val="26"/>
          <w:szCs w:val="26"/>
          <w:color w:val="8A7040"/>
        </w:rPr>
        <w:t>2.2 Synchronization with Verification Milestones</w:t>
      </w:r>
    </w:p>
    <w:p>
      <w:pPr>
        <w:pStyle w:val="Normal"/>
      </w:pPr>
      <w:r>
        <w:rPr>
          <w:lang w:val="en-CA" w:eastAsia="en-CA" w:bidi="ar-SA"/>
          <w:rFonts w:ascii="Cambria" w:hAnsi="Cambria" w:eastAsia="Cambria" w:cs="Cambria"/>
          <w:color w:val="1A1A1A"/>
          <w:sz w:val="21"/>
          <w:szCs w:val="21"/>
        </w:rPr>
        <w:t>Sanctions relief synchronizes with the same verification milestones established in Annex ES and Annex EV:</w:t>
      </w:r>
    </w:p>
    <w:p>
      <w:pPr>
        <w:pStyle w:val="Normal"/>
        <w:ind w:left="720" w:hanging="360"/>
      </w:pPr>
      <w:r>
        <w:rPr>
          <w:b/>
          <w:lang w:val="en-CA" w:eastAsia="en-CA" w:bidi="ar-SA"/>
          <w:rFonts w:ascii="Cambria" w:hAnsi="Cambria" w:eastAsia="Cambria" w:cs="Cambria"/>
          <w:color w:val="1A1A1A"/>
          <w:sz w:val="21"/>
          <w:szCs w:val="21"/>
        </w:rPr>
        <w:t>(a)</w:t>
      </w:r>
      <w:r>
        <w:rPr>
          <w:lang w:val="en-CA" w:eastAsia="en-CA" w:bidi="ar-SA"/>
          <w:rFonts w:ascii="Cambria" w:hAnsi="Cambria" w:eastAsia="Cambria" w:cs="Cambria"/>
          <w:color w:val="1A1A1A"/>
          <w:sz w:val="21"/>
          <w:szCs w:val="21"/>
        </w:rPr>
        <w:t>Tranche 1 Relief: Begins upon IAEA issuance of the National HEU Verification and Custody Certificate.</w:t>
      </w:r>
    </w:p>
    <w:p>
      <w:pPr>
        <w:pStyle w:val="Normal"/>
        <w:ind w:left="720" w:hanging="360"/>
      </w:pPr>
      <w:r>
        <w:rPr>
          <w:b/>
          <w:lang w:val="en-CA" w:eastAsia="en-CA" w:bidi="ar-SA"/>
          <w:rFonts w:ascii="Cambria" w:hAnsi="Cambria" w:eastAsia="Cambria" w:cs="Cambria"/>
          <w:color w:val="1A1A1A"/>
          <w:sz w:val="21"/>
          <w:szCs w:val="21"/>
        </w:rPr>
        <w:t>(b)</w:t>
      </w:r>
      <w:r>
        <w:rPr>
          <w:lang w:val="en-CA" w:eastAsia="en-CA" w:bidi="ar-SA"/>
          <w:rFonts w:ascii="Cambria" w:hAnsi="Cambria" w:eastAsia="Cambria" w:cs="Cambria"/>
          <w:color w:val="1A1A1A"/>
          <w:sz w:val="21"/>
          <w:szCs w:val="21"/>
        </w:rPr>
        <w:t>Tranche 2 Relief: Completes upon IAEA issuance of the Downblending Completion Certificate.</w:t>
      </w:r>
    </w:p>
    <w:p>
      <w:pPr>
        <w:pStyle w:val="Heading2"/>
      </w:pPr>
      <w:r>
        <w:rPr>
          <w:lang w:val="en-CA" w:eastAsia="en-CA" w:bidi="ar-SA"/>
          <w:rFonts w:ascii="Cambria" w:hAnsi="Cambria" w:eastAsia="Cambria" w:cs="Cambria"/>
          <w:b/>
          <w:sz w:val="26"/>
          <w:szCs w:val="26"/>
          <w:color w:val="8A7040"/>
        </w:rPr>
        <w:t>2.3 Scope of Relief</w:t>
      </w:r>
    </w:p>
    <w:p>
      <w:pPr>
        <w:pStyle w:val="Heading3"/>
      </w:pPr>
      <w:r>
        <w:rPr>
          <w:lang w:val="en-CA" w:eastAsia="en-CA" w:bidi="ar-SA"/>
          <w:rFonts w:ascii="Cambria" w:hAnsi="Cambria" w:eastAsia="Cambria" w:cs="Cambria"/>
          <w:b/>
          <w:color w:val="A6894A"/>
          <w:sz w:val="22"/>
          <w:szCs w:val="22"/>
        </w:rPr>
        <w:t>2.3.1 Tranche 1 Relief (HEU Verification and Custody)</w:t>
      </w:r>
    </w:p>
    <w:p>
      <w:pPr>
        <w:pStyle w:val="Normal"/>
      </w:pPr>
      <w:r>
        <w:rPr>
          <w:lang w:val="en-CA" w:eastAsia="en-CA" w:bidi="ar-SA"/>
          <w:rFonts w:ascii="Cambria" w:hAnsi="Cambria" w:eastAsia="Cambria" w:cs="Cambria"/>
          <w:color w:val="1A1A1A"/>
          <w:sz w:val="21"/>
          <w:szCs w:val="21"/>
        </w:rPr>
        <w:t>Upon IAEA issuance of the National HEU Verification and Custody Certificate, the United States takes all necessary executive actions to:</w:t>
      </w:r>
    </w:p>
    <w:p>
      <w:pPr>
        <w:pStyle w:val="Normal"/>
        <w:ind w:left="720" w:hanging="360"/>
      </w:pPr>
      <w:r>
        <w:rPr>
          <w:b/>
          <w:lang w:val="en-CA" w:eastAsia="en-CA" w:bidi="ar-SA"/>
          <w:rFonts w:ascii="Cambria" w:hAnsi="Cambria" w:eastAsia="Cambria" w:cs="Cambria"/>
          <w:color w:val="1A1A1A"/>
          <w:sz w:val="21"/>
          <w:szCs w:val="21"/>
        </w:rPr>
        <w:t>(a)</w:t>
      </w:r>
      <w:r>
        <w:rPr>
          <w:lang w:val="en-CA" w:eastAsia="en-CA" w:bidi="ar-SA"/>
          <w:rFonts w:ascii="Cambria" w:hAnsi="Cambria" w:eastAsia="Cambria" w:cs="Cambria"/>
          <w:color w:val="1A1A1A"/>
          <w:sz w:val="21"/>
          <w:szCs w:val="21"/>
        </w:rPr>
        <w:t>Terminate all nuclear-related secondary sanctions;</w:t>
      </w:r>
    </w:p>
    <w:p>
      <w:pPr>
        <w:pStyle w:val="Normal"/>
        <w:ind w:left="720" w:hanging="360"/>
      </w:pPr>
      <w:r>
        <w:rPr>
          <w:b/>
          <w:lang w:val="en-CA" w:eastAsia="en-CA" w:bidi="ar-SA"/>
          <w:rFonts w:ascii="Cambria" w:hAnsi="Cambria" w:eastAsia="Cambria" w:cs="Cambria"/>
          <w:color w:val="1A1A1A"/>
          <w:sz w:val="21"/>
          <w:szCs w:val="21"/>
        </w:rPr>
        <w:t>(b)</w:t>
      </w:r>
      <w:r>
        <w:rPr>
          <w:lang w:val="en-CA" w:eastAsia="en-CA" w:bidi="ar-SA"/>
          <w:rFonts w:ascii="Cambria" w:hAnsi="Cambria" w:eastAsia="Cambria" w:cs="Cambria"/>
          <w:color w:val="1A1A1A"/>
          <w:sz w:val="21"/>
          <w:szCs w:val="21"/>
        </w:rPr>
        <w:t>Restore SWIFT access to Iranian banks designated solely for nuclear-related reasons;</w:t>
      </w:r>
    </w:p>
    <w:p>
      <w:pPr>
        <w:pStyle w:val="Normal"/>
        <w:ind w:left="720" w:hanging="360"/>
      </w:pPr>
      <w:r>
        <w:rPr>
          <w:b/>
          <w:lang w:val="en-CA" w:eastAsia="en-CA" w:bidi="ar-SA"/>
          <w:rFonts w:ascii="Cambria" w:hAnsi="Cambria" w:eastAsia="Cambria" w:cs="Cambria"/>
          <w:color w:val="1A1A1A"/>
          <w:sz w:val="21"/>
          <w:szCs w:val="21"/>
        </w:rPr>
        <w:t>(c)</w:t>
      </w:r>
      <w:r>
        <w:rPr>
          <w:lang w:val="en-CA" w:eastAsia="en-CA" w:bidi="ar-SA"/>
          <w:rFonts w:ascii="Cambria" w:hAnsi="Cambria" w:eastAsia="Cambria" w:cs="Cambria"/>
          <w:color w:val="1A1A1A"/>
          <w:sz w:val="21"/>
          <w:szCs w:val="21"/>
        </w:rPr>
        <w:t>Remove designations of Iranian entities and individuals imposed solely for nuclear-related reasons;</w:t>
      </w:r>
    </w:p>
    <w:p>
      <w:pPr>
        <w:pStyle w:val="Normal"/>
        <w:ind w:left="720" w:hanging="360"/>
      </w:pPr>
      <w:r>
        <w:rPr>
          <w:b/>
          <w:lang w:val="en-CA" w:eastAsia="en-CA" w:bidi="ar-SA"/>
          <w:rFonts w:ascii="Cambria" w:hAnsi="Cambria" w:eastAsia="Cambria" w:cs="Cambria"/>
          <w:color w:val="1A1A1A"/>
          <w:sz w:val="21"/>
          <w:szCs w:val="21"/>
        </w:rPr>
        <w:t>(d)</w:t>
      </w:r>
      <w:r>
        <w:rPr>
          <w:lang w:val="en-CA" w:eastAsia="en-CA" w:bidi="ar-SA"/>
          <w:rFonts w:ascii="Cambria" w:hAnsi="Cambria" w:eastAsia="Cambria" w:cs="Cambria"/>
          <w:color w:val="1A1A1A"/>
          <w:sz w:val="21"/>
          <w:szCs w:val="21"/>
        </w:rPr>
        <w:t>Terminate restrictions on Iran's oil, gas, and petrochemical exports;</w:t>
      </w:r>
    </w:p>
    <w:p>
      <w:pPr>
        <w:pStyle w:val="Normal"/>
        <w:ind w:left="720" w:hanging="360"/>
      </w:pPr>
      <w:r>
        <w:rPr>
          <w:b/>
          <w:lang w:val="en-CA" w:eastAsia="en-CA" w:bidi="ar-SA"/>
          <w:rFonts w:ascii="Cambria" w:hAnsi="Cambria" w:eastAsia="Cambria" w:cs="Cambria"/>
          <w:color w:val="1A1A1A"/>
          <w:sz w:val="21"/>
          <w:szCs w:val="21"/>
        </w:rPr>
        <w:t>(e)</w:t>
      </w:r>
      <w:r>
        <w:rPr>
          <w:lang w:val="en-CA" w:eastAsia="en-CA" w:bidi="ar-SA"/>
          <w:rFonts w:ascii="Cambria" w:hAnsi="Cambria" w:eastAsia="Cambria" w:cs="Cambria"/>
          <w:color w:val="1A1A1A"/>
          <w:sz w:val="21"/>
          <w:szCs w:val="21"/>
        </w:rPr>
        <w:t>Restore access to U.S. dollar clearing for humanitarian and non-sanctioned transactions;</w:t>
      </w:r>
    </w:p>
    <w:p>
      <w:pPr>
        <w:pStyle w:val="Normal"/>
        <w:ind w:left="720" w:hanging="360"/>
      </w:pPr>
      <w:r>
        <w:rPr>
          <w:b/>
          <w:lang w:val="en-CA" w:eastAsia="en-CA" w:bidi="ar-SA"/>
          <w:rFonts w:ascii="Cambria" w:hAnsi="Cambria" w:eastAsia="Cambria" w:cs="Cambria"/>
          <w:color w:val="1A1A1A"/>
          <w:sz w:val="21"/>
          <w:szCs w:val="21"/>
        </w:rPr>
        <w:t>(f)</w:t>
      </w:r>
      <w:r>
        <w:rPr>
          <w:lang w:val="en-CA" w:eastAsia="en-CA" w:bidi="ar-SA"/>
          <w:rFonts w:ascii="Cambria" w:hAnsi="Cambria" w:eastAsia="Cambria" w:cs="Cambria"/>
          <w:color w:val="1A1A1A"/>
          <w:sz w:val="21"/>
          <w:szCs w:val="21"/>
        </w:rPr>
        <w:t>Issue OFAC general licenses authorizing all transactions not otherwise prohibited by Non-Nuclear Sanctions.</w:t>
      </w:r>
    </w:p>
    <w:p>
      <w:pPr>
        <w:pStyle w:val="Heading3"/>
      </w:pPr>
      <w:r>
        <w:rPr>
          <w:lang w:val="en-CA" w:eastAsia="en-CA" w:bidi="ar-SA"/>
          <w:rFonts w:ascii="Cambria" w:hAnsi="Cambria" w:eastAsia="Cambria" w:cs="Cambria"/>
          <w:b/>
          <w:color w:val="A6894A"/>
          <w:sz w:val="22"/>
          <w:szCs w:val="22"/>
        </w:rPr>
        <w:t>2.3.2 Tranche 2 Relief (Downblending Completion)</w:t>
      </w:r>
    </w:p>
    <w:p>
      <w:pPr>
        <w:pStyle w:val="Normal"/>
      </w:pPr>
      <w:r>
        <w:rPr>
          <w:lang w:val="en-CA" w:eastAsia="en-CA" w:bidi="ar-SA"/>
          <w:rFonts w:ascii="Cambria" w:hAnsi="Cambria" w:eastAsia="Cambria" w:cs="Cambria"/>
          <w:color w:val="1A1A1A"/>
          <w:sz w:val="21"/>
          <w:szCs w:val="21"/>
        </w:rPr>
        <w:t>Upon IAEA issuance of the Downblending Completion Certificate, the United States takes all necessary executive and legislative actions to:</w:t>
      </w:r>
    </w:p>
    <w:p>
      <w:pPr>
        <w:pStyle w:val="Normal"/>
        <w:ind w:left="720" w:hanging="360"/>
      </w:pPr>
      <w:r>
        <w:rPr>
          <w:b/>
          <w:lang w:val="en-CA" w:eastAsia="en-CA" w:bidi="ar-SA"/>
          <w:rFonts w:ascii="Cambria" w:hAnsi="Cambria" w:eastAsia="Cambria" w:cs="Cambria"/>
          <w:color w:val="1A1A1A"/>
          <w:sz w:val="21"/>
          <w:szCs w:val="21"/>
        </w:rPr>
        <w:t>(a)</w:t>
      </w:r>
      <w:r>
        <w:rPr>
          <w:lang w:val="en-CA" w:eastAsia="en-CA" w:bidi="ar-SA"/>
          <w:rFonts w:ascii="Cambria" w:hAnsi="Cambria" w:eastAsia="Cambria" w:cs="Cambria"/>
          <w:color w:val="1A1A1A"/>
          <w:sz w:val="21"/>
          <w:szCs w:val="21"/>
        </w:rPr>
        <w:t>Terminate all remaining nuclear-related sanctions not addressed in Tranche 1;</w:t>
      </w:r>
    </w:p>
    <w:p>
      <w:pPr>
        <w:pStyle w:val="Normal"/>
        <w:ind w:left="720" w:hanging="360"/>
      </w:pPr>
      <w:r>
        <w:rPr>
          <w:b/>
          <w:lang w:val="en-CA" w:eastAsia="en-CA" w:bidi="ar-SA"/>
          <w:rFonts w:ascii="Cambria" w:hAnsi="Cambria" w:eastAsia="Cambria" w:cs="Cambria"/>
          <w:color w:val="1A1A1A"/>
          <w:sz w:val="21"/>
          <w:szCs w:val="21"/>
        </w:rPr>
        <w:t>(b)</w:t>
      </w:r>
      <w:r>
        <w:rPr>
          <w:lang w:val="en-CA" w:eastAsia="en-CA" w:bidi="ar-SA"/>
          <w:rFonts w:ascii="Cambria" w:hAnsi="Cambria" w:eastAsia="Cambria" w:cs="Cambria"/>
          <w:color w:val="1A1A1A"/>
          <w:sz w:val="21"/>
          <w:szCs w:val="21"/>
        </w:rPr>
        <w:t>Remove Iran from all nuclear-related sanctions lists;</w:t>
      </w:r>
    </w:p>
    <w:p>
      <w:pPr>
        <w:pStyle w:val="Normal"/>
        <w:ind w:left="720" w:hanging="360"/>
      </w:pPr>
      <w:r>
        <w:rPr>
          <w:b/>
          <w:lang w:val="en-CA" w:eastAsia="en-CA" w:bidi="ar-SA"/>
          <w:rFonts w:ascii="Cambria" w:hAnsi="Cambria" w:eastAsia="Cambria" w:cs="Cambria"/>
          <w:color w:val="1A1A1A"/>
          <w:sz w:val="21"/>
          <w:szCs w:val="21"/>
        </w:rPr>
        <w:t>(c)</w:t>
      </w:r>
      <w:r>
        <w:rPr>
          <w:lang w:val="en-CA" w:eastAsia="en-CA" w:bidi="ar-SA"/>
          <w:rFonts w:ascii="Cambria" w:hAnsi="Cambria" w:eastAsia="Cambria" w:cs="Cambria"/>
          <w:color w:val="1A1A1A"/>
          <w:sz w:val="21"/>
          <w:szCs w:val="21"/>
        </w:rPr>
        <w:t>Provide assurances that no new nuclear-related sanctions are imposed for the duration of this Framework;</w:t>
      </w:r>
    </w:p>
    <w:p>
      <w:pPr>
        <w:pStyle w:val="Normal"/>
        <w:ind w:left="720" w:hanging="360"/>
      </w:pPr>
      <w:r>
        <w:rPr>
          <w:b/>
          <w:lang w:val="en-CA" w:eastAsia="en-CA" w:bidi="ar-SA"/>
          <w:rFonts w:ascii="Cambria" w:hAnsi="Cambria" w:eastAsia="Cambria" w:cs="Cambria"/>
          <w:color w:val="1A1A1A"/>
          <w:sz w:val="21"/>
          <w:szCs w:val="21"/>
        </w:rPr>
        <w:t>(d)</w:t>
      </w:r>
      <w:r>
        <w:rPr>
          <w:lang w:val="en-CA" w:eastAsia="en-CA" w:bidi="ar-SA"/>
          <w:rFonts w:ascii="Cambria" w:hAnsi="Cambria" w:eastAsia="Cambria" w:cs="Cambria"/>
          <w:color w:val="1A1A1A"/>
          <w:sz w:val="21"/>
          <w:szCs w:val="21"/>
        </w:rPr>
        <w:t>Support Iran's reinstatement in international financial institutions;</w:t>
      </w:r>
    </w:p>
    <w:p>
      <w:pPr>
        <w:pStyle w:val="Normal"/>
        <w:ind w:left="720" w:hanging="360"/>
      </w:pPr>
      <w:r>
        <w:rPr>
          <w:b/>
          <w:lang w:val="en-CA" w:eastAsia="en-CA" w:bidi="ar-SA"/>
          <w:rFonts w:ascii="Cambria" w:hAnsi="Cambria" w:eastAsia="Cambria" w:cs="Cambria"/>
          <w:color w:val="1A1A1A"/>
          <w:sz w:val="21"/>
          <w:szCs w:val="21"/>
        </w:rPr>
        <w:t>(e)</w:t>
      </w:r>
      <w:r>
        <w:rPr>
          <w:lang w:val="en-CA" w:eastAsia="en-CA" w:bidi="ar-SA"/>
          <w:rFonts w:ascii="Cambria" w:hAnsi="Cambria" w:eastAsia="Cambria" w:cs="Cambria"/>
          <w:color w:val="1A1A1A"/>
          <w:sz w:val="21"/>
          <w:szCs w:val="21"/>
        </w:rPr>
        <w:t>Seek termination of all nuclear-related UNSC sanctions resolutions.</w:t>
      </w:r>
    </w:p>
    <w:p>
      <w:pPr>
        <w:pStyle w:val="Heading2"/>
      </w:pPr>
      <w:r>
        <w:rPr>
          <w:lang w:val="en-CA" w:eastAsia="en-CA" w:bidi="ar-SA"/>
          <w:rFonts w:ascii="Cambria" w:hAnsi="Cambria" w:eastAsia="Cambria" w:cs="Cambria"/>
          <w:b/>
          <w:sz w:val="26"/>
          <w:szCs w:val="26"/>
          <w:color w:val="8A7040"/>
        </w:rPr>
        <w:t>2.4 Carve-Out for Non-Nuclear Sanctions</w:t>
      </w:r>
    </w:p>
    <w:p>
      <w:pPr>
        <w:pStyle w:val="Normal"/>
      </w:pPr>
      <w:r>
        <w:rPr>
          <w:lang w:val="en-CA" w:eastAsia="en-CA" w:bidi="ar-SA"/>
          <w:rFonts w:ascii="Cambria" w:hAnsi="Cambria" w:eastAsia="Cambria" w:cs="Cambria"/>
          <w:color w:val="1A1A1A"/>
          <w:sz w:val="21"/>
          <w:szCs w:val="21"/>
        </w:rPr>
        <w:t>This Annex addresses only Nuclear-Related Sanctions. Non-Nuclear Sanctions remain in full force and effect. Nothing in this Annex requires the United States to lift, suspend, or modify sanctions imposed on the basis of:</w:t>
      </w:r>
    </w:p>
    <w:p>
      <w:pPr>
        <w:pStyle w:val="Normal"/>
      </w:pPr>
      <w:r>
        <w:rPr>
          <w:lang w:val="en-CA" w:eastAsia="en-CA" w:bidi="ar-SA"/>
          <w:rFonts w:ascii="Cambria" w:hAnsi="Cambria" w:eastAsia="Cambria" w:cs="Cambria"/>
          <w:color w:val="1A1A1A"/>
          <w:sz w:val="21"/>
          <w:szCs w:val="21"/>
        </w:rPr>
        <w:t>However, the United States shall not:</w:t>
      </w:r>
    </w:p>
    <w:p>
      <w:pPr>
        <w:pStyle w:val="Normal"/>
        <w:ind w:left="720" w:hanging="360"/>
      </w:pPr>
      <w:r>
        <w:rPr>
          <w:b/>
          <w:lang w:val="en-CA" w:eastAsia="en-CA" w:bidi="ar-SA"/>
          <w:rFonts w:ascii="Cambria" w:hAnsi="Cambria" w:eastAsia="Cambria" w:cs="Cambria"/>
          <w:color w:val="1A1A1A"/>
          <w:sz w:val="21"/>
          <w:szCs w:val="21"/>
        </w:rPr>
        <w:t>(i) Derivative Designations:</w:t>
      </w:r>
      <w:r>
        <w:rPr>
          <w:lang w:val="en-CA" w:eastAsia="en-CA" w:bidi="ar-SA"/>
          <w:rFonts w:ascii="Cambria" w:hAnsi="Cambria" w:eastAsia="Cambria" w:cs="Cambria"/>
          <w:color w:val="1A1A1A"/>
          <w:sz w:val="21"/>
          <w:szCs w:val="21"/>
        </w:rPr>
        <w:t xml:space="preserve"> Impose sanctions on Iranian entities or individuals on nuclear-related grounds that duplicate or are based on the same factual predicate as Non-Nuclear Sanctions.</w:t>
      </w:r>
    </w:p>
    <w:p>
      <w:pPr>
        <w:pStyle w:val="Normal"/>
        <w:ind w:left="720" w:hanging="360"/>
      </w:pPr>
      <w:r>
        <w:rPr>
          <w:b/>
          <w:lang w:val="en-CA" w:eastAsia="en-CA" w:bidi="ar-SA"/>
          <w:rFonts w:ascii="Cambria" w:hAnsi="Cambria" w:eastAsia="Cambria" w:cs="Cambria"/>
          <w:color w:val="1A1A1A"/>
          <w:sz w:val="21"/>
          <w:szCs w:val="21"/>
        </w:rPr>
        <w:t>(ii) Expansion:</w:t>
      </w:r>
      <w:r>
        <w:rPr>
          <w:lang w:val="en-CA" w:eastAsia="en-CA" w:bidi="ar-SA"/>
          <w:rFonts w:ascii="Cambria" w:hAnsi="Cambria" w:eastAsia="Cambria" w:cs="Cambria"/>
          <w:color w:val="1A1A1A"/>
          <w:sz w:val="21"/>
          <w:szCs w:val="21"/>
        </w:rPr>
        <w:t xml:space="preserve"> Expand the scope of Non-Nuclear Sanctions to cover activities that are explicitly authorized under this Annex.</w:t>
      </w:r>
    </w:p>
    <w:p>
      <w:pPr>
        <w:pStyle w:val="Normal"/>
        <w:ind w:left="720" w:hanging="360"/>
      </w:pPr>
      <w:r>
        <w:rPr>
          <w:b/>
          <w:lang w:val="en-CA" w:eastAsia="en-CA" w:bidi="ar-SA"/>
          <w:rFonts w:ascii="Cambria" w:hAnsi="Cambria" w:eastAsia="Cambria" w:cs="Cambria"/>
          <w:color w:val="1A1A1A"/>
          <w:sz w:val="21"/>
          <w:szCs w:val="21"/>
        </w:rPr>
        <w:t>(iii) Regulatory Chilling:</w:t>
      </w:r>
      <w:r>
        <w:rPr>
          <w:lang w:val="en-CA" w:eastAsia="en-CA" w:bidi="ar-SA"/>
          <w:rFonts w:ascii="Cambria" w:hAnsi="Cambria" w:eastAsia="Cambria" w:cs="Cambria"/>
          <w:color w:val="1A1A1A"/>
          <w:sz w:val="21"/>
          <w:szCs w:val="21"/>
        </w:rPr>
        <w:t xml:space="preserve"> Take administrative actions that materially discourage transactions authorized under this Annex, including enhanced due diligence requirements that are disproportionate to the actual risk.</w:t>
      </w:r>
    </w:p>
    <w:p>
      <w:pPr>
        <w:pStyle w:val="Normal"/>
        <w:ind w:left="720" w:hanging="360"/>
      </w:pPr>
      <w:r>
        <w:rPr>
          <w:b/>
          <w:lang w:val="en-CA" w:eastAsia="en-CA" w:bidi="ar-SA"/>
          <w:rFonts w:ascii="Cambria" w:hAnsi="Cambria" w:eastAsia="Cambria" w:cs="Cambria"/>
          <w:color w:val="1A1A1A"/>
          <w:sz w:val="21"/>
          <w:szCs w:val="21"/>
        </w:rPr>
        <w:t>(iv) Good-Faith:</w:t>
      </w:r>
      <w:r>
        <w:rPr>
          <w:lang w:val="en-CA" w:eastAsia="en-CA" w:bidi="ar-SA"/>
          <w:rFonts w:ascii="Cambria" w:hAnsi="Cambria" w:eastAsia="Cambria" w:cs="Cambria"/>
          <w:color w:val="1A1A1A"/>
          <w:sz w:val="21"/>
          <w:szCs w:val="21"/>
        </w:rPr>
        <w:t xml:space="preserve"> The United States shall provide timely guidance to financial institutions and businesses confirming the authorized status of transactions under this Annex, consistent with Annex SRCA Article 10.</w:t>
      </w:r>
    </w:p>
    <w:p>
      <w:pPr>
        <w:pStyle w:val="Normal"/>
        <w:ind w:left="720" w:hanging="360"/>
      </w:pPr>
      <w:r>
        <w:rPr>
          <w:b/>
          <w:lang w:val="en-CA" w:eastAsia="en-CA" w:bidi="ar-SA"/>
          <w:rFonts w:ascii="Cambria" w:hAnsi="Cambria" w:eastAsia="Cambria" w:cs="Cambria"/>
          <w:color w:val="1A1A1A"/>
          <w:sz w:val="21"/>
          <w:szCs w:val="21"/>
        </w:rPr>
        <w:t>(c)</w:t>
      </w:r>
      <w:r>
        <w:rPr>
          <w:lang w:val="en-CA" w:eastAsia="en-CA" w:bidi="ar-SA"/>
          <w:rFonts w:ascii="Cambria" w:hAnsi="Cambria" w:eastAsia="Cambria" w:cs="Cambria"/>
          <w:color w:val="1A1A1A"/>
          <w:sz w:val="21"/>
          <w:szCs w:val="21"/>
        </w:rPr>
        <w:t xml:space="preserve"> If Iran demonstrates that a Non-Nuclear Sanctions designation is, in substance, a nuclear-related designation that circumvents the relief provided by this Annex, Iran may refer the matter to the Joint Commission.</w:t>
      </w:r>
    </w:p>
    <w:p>
      <w:pPr>
        <w:pStyle w:val="Normal"/>
        <w:ind w:left="720" w:hanging="360"/>
      </w:pPr>
      <w:r>
        <w:rPr>
          <w:b/>
          <w:lang w:val="en-CA" w:eastAsia="en-CA" w:bidi="ar-SA"/>
          <w:rFonts w:ascii="Cambria" w:hAnsi="Cambria" w:eastAsia="Cambria" w:cs="Cambria"/>
          <w:color w:val="1A1A1A"/>
          <w:sz w:val="21"/>
          <w:szCs w:val="21"/>
        </w:rPr>
        <w:t>(d)</w:t>
      </w:r>
      <w:r>
        <w:rPr>
          <w:lang w:val="en-CA" w:eastAsia="en-CA" w:bidi="ar-SA"/>
          <w:rFonts w:ascii="Cambria" w:hAnsi="Cambria" w:eastAsia="Cambria" w:cs="Cambria"/>
          <w:color w:val="1A1A1A"/>
          <w:sz w:val="21"/>
          <w:szCs w:val="21"/>
        </w:rPr>
        <w:t xml:space="preserve"> The Joint Commission shall determine whether the designation constitutes a circumvention of this Annex. If the Commission so determines:</w:t>
      </w:r>
    </w:p>
    <w:p>
      <w:pPr>
        <w:pStyle w:val="Normal"/>
        <w:ind w:left="720" w:hanging="360"/>
      </w:pPr>
      <w:r>
        <w:rPr>
          <w:b/>
          <w:lang w:val="en-CA" w:eastAsia="en-CA" w:bidi="ar-SA"/>
          <w:rFonts w:ascii="Cambria" w:hAnsi="Cambria" w:eastAsia="Cambria" w:cs="Cambria"/>
          <w:color w:val="1A1A1A"/>
          <w:sz w:val="21"/>
          <w:szCs w:val="21"/>
        </w:rPr>
        <w:t>(i)</w:t>
      </w:r>
      <w:r>
        <w:rPr>
          <w:lang w:val="en-CA" w:eastAsia="en-CA" w:bidi="ar-SA"/>
          <w:rFonts w:ascii="Cambria" w:hAnsi="Cambria" w:eastAsia="Cambria" w:cs="Cambria"/>
          <w:color w:val="1A1A1A"/>
          <w:sz w:val="21"/>
          <w:szCs w:val="21"/>
        </w:rPr>
        <w:t xml:space="preserve"> The United States shall lift the designation within 30 days;</w:t>
      </w:r>
    </w:p>
    <w:p>
      <w:pPr>
        <w:pStyle w:val="Normal"/>
        <w:ind w:left="720" w:hanging="360"/>
      </w:pPr>
      <w:r>
        <w:rPr>
          <w:b/>
          <w:lang w:val="en-CA" w:eastAsia="en-CA" w:bidi="ar-SA"/>
          <w:rFonts w:ascii="Cambria" w:hAnsi="Cambria" w:eastAsia="Cambria" w:cs="Cambria"/>
          <w:color w:val="1A1A1A"/>
          <w:sz w:val="21"/>
          <w:szCs w:val="21"/>
        </w:rPr>
        <w:t>(ii)</w:t>
      </w:r>
      <w:r>
        <w:rPr>
          <w:lang w:val="en-CA" w:eastAsia="en-CA" w:bidi="ar-SA"/>
          <w:rFonts w:ascii="Cambria" w:hAnsi="Cambria" w:eastAsia="Cambria" w:cs="Cambria"/>
          <w:color w:val="1A1A1A"/>
          <w:sz w:val="21"/>
          <w:szCs w:val="21"/>
        </w:rPr>
        <w:t xml:space="preserve"> The United States shall provide compensation for any economic losses caused by the circumvention; and</w:t>
      </w:r>
    </w:p>
    <w:p>
      <w:pPr>
        <w:pStyle w:val="Normal"/>
        <w:ind w:left="720" w:hanging="360"/>
      </w:pPr>
      <w:r>
        <w:rPr>
          <w:b/>
          <w:lang w:val="en-CA" w:eastAsia="en-CA" w:bidi="ar-SA"/>
          <w:rFonts w:ascii="Cambria" w:hAnsi="Cambria" w:eastAsia="Cambria" w:cs="Cambria"/>
          <w:color w:val="1A1A1A"/>
          <w:sz w:val="21"/>
          <w:szCs w:val="21"/>
        </w:rPr>
        <w:t>(iii)</w:t>
      </w:r>
      <w:r>
        <w:rPr>
          <w:lang w:val="en-CA" w:eastAsia="en-CA" w:bidi="ar-SA"/>
          <w:rFonts w:ascii="Cambria" w:hAnsi="Cambria" w:eastAsia="Cambria" w:cs="Cambria"/>
          <w:color w:val="1A1A1A"/>
          <w:sz w:val="21"/>
          <w:szCs w:val="21"/>
        </w:rPr>
        <w:t xml:space="preserve"> The United States shall be deemed in material breach of this Annex, subject to the Step-Back provisions of Article 5.</w:t>
      </w:r>
    </w:p>
    <w:p>
      <w:pPr>
        <w:pStyle w:val="Normal"/>
        <w:ind w:left="720" w:hanging="360"/>
      </w:pPr>
      <w:r>
        <w:rPr>
          <w:b/>
          <w:lang w:val="en-CA" w:eastAsia="en-CA" w:bidi="ar-SA"/>
          <w:rFonts w:ascii="Cambria" w:hAnsi="Cambria" w:eastAsia="Cambria" w:cs="Cambria"/>
          <w:color w:val="1A1A1A"/>
          <w:sz w:val="21"/>
          <w:szCs w:val="21"/>
        </w:rPr>
        <w:t>(e)</w:t>
      </w:r>
      <w:r>
        <w:rPr>
          <w:lang w:val="en-CA" w:eastAsia="en-CA" w:bidi="ar-SA"/>
          <w:rFonts w:ascii="Cambria" w:hAnsi="Cambria" w:eastAsia="Cambria" w:cs="Cambria"/>
          <w:color w:val="1A1A1A"/>
          <w:sz w:val="21"/>
          <w:szCs w:val="21"/>
        </w:rPr>
        <w:t xml:space="preserve"> The United States shall report quarterly to the Joint Commission on all new Non-Nuclear Sanctions imposed during the term of this Annex.</w:t>
      </w:r>
    </w:p>
    <w:p>
      <w:pPr>
        <w:pStyle w:val="Normal"/>
        <w:ind w:left="720" w:hanging="360"/>
      </w:pPr>
      <w:r>
        <w:rPr>
          <w:b/>
          <w:lang w:val="en-CA" w:eastAsia="en-CA" w:bidi="ar-SA"/>
          <w:rFonts w:ascii="Cambria" w:hAnsi="Cambria" w:eastAsia="Cambria" w:cs="Cambria"/>
          <w:color w:val="1A1A1A"/>
          <w:sz w:val="21"/>
          <w:szCs w:val="21"/>
        </w:rPr>
        <w:t>(a)</w:t>
      </w:r>
      <w:r>
        <w:rPr>
          <w:lang w:val="en-CA" w:eastAsia="en-CA" w:bidi="ar-SA"/>
          <w:rFonts w:ascii="Cambria" w:hAnsi="Cambria" w:eastAsia="Cambria" w:cs="Cambria"/>
          <w:color w:val="1A1A1A"/>
          <w:sz w:val="21"/>
          <w:szCs w:val="21"/>
        </w:rPr>
        <w:t>Terrorism, including designations of the IRGC and affiliated entities;</w:t>
      </w:r>
    </w:p>
    <w:p>
      <w:pPr>
        <w:pStyle w:val="Normal"/>
        <w:ind w:left="720" w:hanging="360"/>
      </w:pPr>
      <w:r>
        <w:rPr>
          <w:b/>
          <w:lang w:val="en-CA" w:eastAsia="en-CA" w:bidi="ar-SA"/>
          <w:rFonts w:ascii="Cambria" w:hAnsi="Cambria" w:eastAsia="Cambria" w:cs="Cambria"/>
          <w:color w:val="1A1A1A"/>
          <w:sz w:val="21"/>
          <w:szCs w:val="21"/>
        </w:rPr>
        <w:t>(b)</w:t>
      </w:r>
      <w:r>
        <w:rPr>
          <w:lang w:val="en-CA" w:eastAsia="en-CA" w:bidi="ar-SA"/>
          <w:rFonts w:ascii="Cambria" w:hAnsi="Cambria" w:eastAsia="Cambria" w:cs="Cambria"/>
          <w:color w:val="1A1A1A"/>
          <w:sz w:val="21"/>
          <w:szCs w:val="21"/>
        </w:rPr>
        <w:t>Human rights abuses;</w:t>
      </w:r>
    </w:p>
    <w:p>
      <w:pPr>
        <w:pStyle w:val="Normal"/>
        <w:ind w:left="720" w:hanging="360"/>
      </w:pPr>
      <w:r>
        <w:rPr>
          <w:b/>
          <w:lang w:val="en-CA" w:eastAsia="en-CA" w:bidi="ar-SA"/>
          <w:rFonts w:ascii="Cambria" w:hAnsi="Cambria" w:eastAsia="Cambria" w:cs="Cambria"/>
          <w:color w:val="1A1A1A"/>
          <w:sz w:val="21"/>
          <w:szCs w:val="21"/>
        </w:rPr>
        <w:t>(c)</w:t>
      </w:r>
      <w:r>
        <w:rPr>
          <w:lang w:val="en-CA" w:eastAsia="en-CA" w:bidi="ar-SA"/>
          <w:rFonts w:ascii="Cambria" w:hAnsi="Cambria" w:eastAsia="Cambria" w:cs="Cambria"/>
          <w:color w:val="1A1A1A"/>
          <w:sz w:val="21"/>
          <w:szCs w:val="21"/>
        </w:rPr>
        <w:t>Missile proliferation;</w:t>
      </w:r>
    </w:p>
    <w:p>
      <w:pPr>
        <w:pStyle w:val="Normal"/>
        <w:ind w:left="720" w:hanging="360"/>
      </w:pPr>
      <w:r>
        <w:rPr>
          <w:b/>
          <w:lang w:val="en-CA" w:eastAsia="en-CA" w:bidi="ar-SA"/>
          <w:rFonts w:ascii="Cambria" w:hAnsi="Cambria" w:eastAsia="Cambria" w:cs="Cambria"/>
          <w:color w:val="1A1A1A"/>
          <w:sz w:val="21"/>
          <w:szCs w:val="21"/>
        </w:rPr>
        <w:t>(d)</w:t>
      </w:r>
      <w:r>
        <w:rPr>
          <w:lang w:val="en-CA" w:eastAsia="en-CA" w:bidi="ar-SA"/>
          <w:rFonts w:ascii="Cambria" w:hAnsi="Cambria" w:eastAsia="Cambria" w:cs="Cambria"/>
          <w:color w:val="1A1A1A"/>
          <w:sz w:val="21"/>
          <w:szCs w:val="21"/>
        </w:rPr>
        <w:t>Conventional arms transfers;</w:t>
      </w:r>
    </w:p>
    <w:p>
      <w:pPr>
        <w:pStyle w:val="Normal"/>
        <w:ind w:left="720" w:hanging="360"/>
      </w:pPr>
      <w:r>
        <w:rPr>
          <w:b/>
          <w:lang w:val="en-CA" w:eastAsia="en-CA" w:bidi="ar-SA"/>
          <w:rFonts w:ascii="Cambria" w:hAnsi="Cambria" w:eastAsia="Cambria" w:cs="Cambria"/>
          <w:color w:val="1A1A1A"/>
          <w:sz w:val="21"/>
          <w:szCs w:val="21"/>
        </w:rPr>
        <w:t>(e)</w:t>
      </w:r>
      <w:r>
        <w:rPr>
          <w:lang w:val="en-CA" w:eastAsia="en-CA" w:bidi="ar-SA"/>
          <w:rFonts w:ascii="Cambria" w:hAnsi="Cambria" w:eastAsia="Cambria" w:cs="Cambria"/>
          <w:color w:val="1A1A1A"/>
          <w:sz w:val="21"/>
          <w:szCs w:val="21"/>
        </w:rPr>
        <w:t>Any other basis not primarily nuclear-related.</w:t>
      </w:r>
    </w:p>
    <w:p>
      <w:pPr>
        <w:pStyle w:val="Normal"/>
      </w:pPr>
      <w:r>
        <w:rPr>
          <w:lang w:val="en-CA" w:eastAsia="en-CA" w:bidi="ar-SA"/>
          <w:rFonts w:ascii="Cambria" w:hAnsi="Cambria" w:eastAsia="Cambria" w:cs="Cambria"/>
          <w:color w:val="1A1A1A"/>
          <w:sz w:val="21"/>
          <w:szCs w:val="21"/>
        </w:rPr>
        <w:t>The Parties acknowledge that Non-Nuclear Sanctions are subject to separate negotiation and are not addressed by this Annex.</w:t>
      </w:r>
    </w:p>
    <w:p>
      <w:pPr>
        <w:pStyle w:val="Heading2"/>
      </w:pPr>
      <w:r>
        <w:rPr>
          <w:lang w:val="en-CA" w:eastAsia="en-CA" w:bidi="ar-SA"/>
          <w:rFonts w:ascii="Cambria" w:hAnsi="Cambria" w:eastAsia="Cambria" w:cs="Cambria"/>
          <w:b/>
          <w:sz w:val="26"/>
          <w:szCs w:val="26"/>
          <w:color w:val="8A7040"/>
        </w:rPr>
        <w:t>2.5 No Precedent Effect</w:t>
      </w:r>
    </w:p>
    <w:p>
      <w:pPr>
        <w:pStyle w:val="Normal"/>
      </w:pPr>
      <w:r>
        <w:rPr>
          <w:lang w:val="en-CA" w:eastAsia="en-CA" w:bidi="ar-SA"/>
          <w:rFonts w:ascii="Cambria" w:hAnsi="Cambria" w:eastAsia="Cambria" w:cs="Cambria"/>
          <w:color w:val="1A1A1A"/>
          <w:sz w:val="21"/>
          <w:szCs w:val="21"/>
        </w:rPr>
        <w:t>This Annex creates no precedent for any other sanctions relief arrangement. The framework architecture applies exclusively to Iran and to the nuclear-related sanctions addressed herein.</w:t>
      </w:r>
    </w:p>
    <w:p>
      <w:pPr>
        <w:pStyle w:val="Heading1"/>
      </w:pPr>
      <w:bookmarkStart w:id="4" w:name="_T3"/>
      <w:r>
        <w:rPr>
          <w:lang w:val="en-CA" w:eastAsia="en-CA" w:bidi="ar-SA"/>
          <w:rFonts w:ascii="Cambria" w:hAnsi="Cambria" w:eastAsia="Cambria" w:cs="Cambria"/>
          <w:b/>
          <w:color w:val="BF8C0D"/>
          <w:sz w:val="36"/>
          <w:szCs w:val="36"/>
        </w:rPr>
        <w:t>Article 3: Relief Tranches and Sequencing</w:t>
      </w:r>
      <w:bookmarkEnd w:id="4"/>
    </w:p>
    <w:p>
      <w:pPr>
        <w:pStyle w:val="Heading2"/>
      </w:pPr>
      <w:r>
        <w:rPr>
          <w:lang w:val="en-CA" w:eastAsia="en-CA" w:bidi="ar-SA"/>
          <w:rFonts w:ascii="Cambria" w:hAnsi="Cambria" w:eastAsia="Cambria" w:cs="Cambria"/>
          <w:b/>
          <w:sz w:val="26"/>
          <w:szCs w:val="26"/>
          <w:color w:val="8A7040"/>
        </w:rPr>
        <w:t>3.1 Overview</w:t>
      </w:r>
    </w:p>
    <w:p>
      <w:pPr>
        <w:pStyle w:val="Normal"/>
      </w:pPr>
      <w:r>
        <w:rPr>
          <w:lang w:val="en-CA" w:eastAsia="en-CA" w:bidi="ar-SA"/>
          <w:rFonts w:ascii="Cambria" w:hAnsi="Cambria" w:eastAsia="Cambria" w:cs="Cambria"/>
          <w:color w:val="1A1A1A"/>
          <w:sz w:val="21"/>
          <w:szCs w:val="21"/>
        </w:rPr>
        <w:t>Sanctions relief under this Annex proceeds in two tranches, synchronized with the verification milestones in Annex ES and Annex EV. The sequence is as follows:</w:t>
      </w:r>
    </w:p>
    <w:tbl>
      <w:tblPr>
        <w:tblStyle w:val="TableNormal"/>
        <w:tblW w:w="5000" w:type="pct"/>
        <w:tblInd w:w="10" w:type="dxa"/>
        <w:tblBorders>
          <w:top w:val="single" w:sz="12" w:space="0" w:color="1A2744"/>
          <w:left w:val="nil"/>
          <w:bottom w:val="single" w:sz="12" w:space="0" w:color="1A2744"/>
          <w:right w:val="nil"/>
          <w:insideH w:val="single" w:sz="4" w:space="0" w:color="C8C3B5"/>
          <w:insideV w:val="nil"/>
        </w:tblBorders>
        <w:tblCellMar>
          <w:left w:w="10" w:type="dxa"/>
          <w:right w:w="10" w:type="dxa"/>
        </w:tblCellMar>
        <w:tblLook w:val="04A0" w:firstRow="1" w:lastRow="0" w:firstColumn="1" w:lastColumn="0" w:noHBand="0" w:noVBand="1"/>
      </w:tblPr>
      <w:tblGrid>
        <w:gridCol w:w="1609"/>
        <w:gridCol w:w="4020"/>
        <w:gridCol w:w="3417"/>
      </w:tblGrid>
      <w:tr>
        <w:tblPrEx>
          <w:tblCellMar>
            <w:top w:w="0" w:type="dxa"/>
            <w:bottom w:w="0" w:type="dxa"/>
          </w:tblCellMar>
        </w:tblPrEx>
        <w:trPr>
          <w:tblHeader w:val="1"/>
        </w:trPr>
        <w:tc>
          <w:tcPr>
            <w:tcW w:w="1609" w:type="dxa"/>
            <w:shd w:val="clear" w:color="auto" w:fill="F5F0E0"/>
          </w:tcPr>
          <w:p>
            <w:pPr>
              <w:pStyle w:val="Normal"/>
              <w:spacing w:before="40" w:after="40"/>
              <w:jc w:val="left"/>
            </w:pPr>
            <w:r>
              <w:rPr>
                <w:b/>
                <w:sz w:val="19"/>
                <w:lang w:val="en-CA" w:eastAsia="en-CA" w:bidi="ar-SA"/>
                <w:rFonts w:ascii="Cambria" w:hAnsi="Cambria" w:eastAsia="Cambria" w:cs="Cambria"/>
                <w:color w:val="1A1A1A"/>
                <w:szCs w:val="21"/>
              </w:rPr>
              <w:t>Tranche</w:t>
            </w:r>
          </w:p>
        </w:tc>
        <w:tc>
          <w:tcPr>
            <w:tcW w:w="4020" w:type="dxa"/>
            <w:shd w:val="clear" w:color="auto" w:fill="F5F0E0"/>
          </w:tcPr>
          <w:p>
            <w:pPr>
              <w:pStyle w:val="Normal"/>
              <w:spacing w:before="40" w:after="40"/>
              <w:jc w:val="left"/>
            </w:pPr>
            <w:r>
              <w:rPr>
                <w:b/>
                <w:sz w:val="19"/>
                <w:lang w:val="en-CA" w:eastAsia="en-CA" w:bidi="ar-SA"/>
                <w:rFonts w:ascii="Cambria" w:hAnsi="Cambria" w:eastAsia="Cambria" w:cs="Cambria"/>
                <w:color w:val="1A1A1A"/>
                <w:szCs w:val="21"/>
              </w:rPr>
              <w:t>IAEA Certificate</w:t>
            </w:r>
          </w:p>
        </w:tc>
        <w:tc>
          <w:tcPr>
            <w:tcW w:w="3417" w:type="dxa"/>
            <w:shd w:val="clear" w:color="auto" w:fill="F5F0E0"/>
          </w:tcPr>
          <w:p>
            <w:pPr>
              <w:pStyle w:val="Normal"/>
              <w:spacing w:before="40" w:after="40"/>
              <w:jc w:val="left"/>
            </w:pPr>
            <w:r>
              <w:rPr>
                <w:b/>
                <w:sz w:val="19"/>
                <w:lang w:val="en-CA" w:eastAsia="en-CA" w:bidi="ar-SA"/>
                <w:rFonts w:ascii="Cambria" w:hAnsi="Cambria" w:eastAsia="Cambria" w:cs="Cambria"/>
                <w:color w:val="1A1A1A"/>
                <w:szCs w:val="21"/>
              </w:rPr>
              <w:t>Relief Actions</w:t>
            </w:r>
          </w:p>
        </w:tc>
      </w:tr>
      <w:tr>
        <w:tblPrEx>
          <w:tblCellMar>
            <w:top w:w="0" w:type="dxa"/>
            <w:bottom w:w="0" w:type="dxa"/>
          </w:tblCellMar>
        </w:tblPrEx>
        <w:tc>
          <w:tcPr>
            <w:tcW w:w="1609" w:type="dxa"/>
          </w:tcPr>
          <w:p>
            <w:pPr>
              <w:pStyle w:val="Normal"/>
              <w:spacing w:before="40" w:after="40"/>
              <w:jc w:val="left"/>
            </w:pPr>
            <w:r>
              <w:rPr>
                <w:color w:val="1A1A1A"/>
                <w:sz w:val="19"/>
                <w:lang w:val="en-CA" w:eastAsia="en-CA" w:bidi="ar-SA"/>
                <w:rFonts w:ascii="Cambria" w:hAnsi="Cambria" w:eastAsia="Cambria" w:cs="Cambria"/>
                <w:szCs w:val="21"/>
              </w:rPr>
              <w:t>Tranche 1</w:t>
            </w:r>
          </w:p>
        </w:tc>
        <w:tc>
          <w:tcPr>
            <w:tcW w:w="4020" w:type="dxa"/>
          </w:tcPr>
          <w:p>
            <w:pPr>
              <w:pStyle w:val="Normal"/>
              <w:spacing w:before="40" w:after="40"/>
              <w:jc w:val="left"/>
            </w:pPr>
            <w:r>
              <w:rPr>
                <w:color w:val="1A1A1A"/>
                <w:sz w:val="19"/>
                <w:lang w:val="en-CA" w:eastAsia="en-CA" w:bidi="ar-SA"/>
                <w:rFonts w:ascii="Cambria" w:hAnsi="Cambria" w:eastAsia="Cambria" w:cs="Cambria"/>
                <w:szCs w:val="21"/>
              </w:rPr>
              <w:t>National HEU Verification and Custody Certificate</w:t>
            </w:r>
          </w:p>
        </w:tc>
        <w:tc>
          <w:tcPr>
            <w:tcW w:w="3417" w:type="dxa"/>
          </w:tcPr>
          <w:p>
            <w:pPr>
              <w:pStyle w:val="Normal"/>
              <w:spacing w:before="40" w:after="40"/>
              <w:jc w:val="left"/>
            </w:pPr>
            <w:r>
              <w:rPr>
                <w:color w:val="1A1A1A"/>
                <w:sz w:val="19"/>
                <w:lang w:val="en-CA" w:eastAsia="en-CA" w:bidi="ar-SA"/>
                <w:rFonts w:ascii="Cambria" w:hAnsi="Cambria" w:eastAsia="Cambria" w:cs="Cambria"/>
                <w:szCs w:val="21"/>
              </w:rPr>
              <w:t>Executive actions: terminate secondary sanctions, restore SWIFT, delist nuclear entities</w:t>
            </w:r>
          </w:p>
        </w:tc>
      </w:tr>
      <w:tr>
        <w:tblPrEx>
          <w:tblCellMar>
            <w:top w:w="0" w:type="dxa"/>
            <w:bottom w:w="0" w:type="dxa"/>
          </w:tblCellMar>
        </w:tblPrEx>
        <w:tc>
          <w:tcPr>
            <w:tcW w:w="1609" w:type="dxa"/>
          </w:tcPr>
          <w:p>
            <w:pPr>
              <w:pStyle w:val="Normal"/>
              <w:spacing w:before="40" w:after="40"/>
              <w:jc w:val="left"/>
            </w:pPr>
            <w:r>
              <w:rPr>
                <w:lang w:val="en-CA" w:eastAsia="en-CA" w:bidi="ar-SA"/>
                <w:rFonts w:ascii="Cambria" w:hAnsi="Cambria" w:eastAsia="Cambria" w:cs="Cambria"/>
                <w:color w:val="1A1A1A"/>
                <w:sz w:val="19"/>
                <w:szCs w:val="21"/>
              </w:rPr>
              <w:t>Tranche 2</w:t>
            </w:r>
          </w:p>
        </w:tc>
        <w:tc>
          <w:tcPr>
            <w:tcW w:w="4020" w:type="dxa"/>
          </w:tcPr>
          <w:p>
            <w:pPr>
              <w:pStyle w:val="Normal"/>
              <w:spacing w:before="40" w:after="40"/>
              <w:jc w:val="left"/>
            </w:pPr>
            <w:r>
              <w:rPr>
                <w:color w:val="1A1A1A"/>
                <w:sz w:val="19"/>
                <w:lang w:val="en-CA" w:eastAsia="en-CA" w:bidi="ar-SA"/>
                <w:rFonts w:ascii="Cambria" w:hAnsi="Cambria" w:eastAsia="Cambria" w:cs="Cambria"/>
                <w:szCs w:val="21"/>
              </w:rPr>
              <w:t>Downblending Completion Certificate</w:t>
            </w:r>
          </w:p>
        </w:tc>
        <w:tc>
          <w:tcPr>
            <w:tcW w:w="3417" w:type="dxa"/>
          </w:tcPr>
          <w:p>
            <w:pPr>
              <w:pStyle w:val="Normal"/>
              <w:spacing w:before="40" w:after="40"/>
              <w:jc w:val="left"/>
            </w:pPr>
            <w:r>
              <w:rPr>
                <w:color w:val="1A1A1A"/>
                <w:sz w:val="19"/>
                <w:lang w:val="en-CA" w:eastAsia="en-CA" w:bidi="ar-SA"/>
                <w:rFonts w:ascii="Cambria" w:hAnsi="Cambria" w:eastAsia="Cambria" w:cs="Cambria"/>
                <w:szCs w:val="21"/>
              </w:rPr>
              <w:t>Full termination: remaining sanctions, no-new-sanctions assurance, UNSC resolution</w:t>
            </w:r>
          </w:p>
        </w:tc>
      </w:tr>
    </w:tbl>
    <w:p>
      <w:pPr>
        <w:pStyle w:val="Heading2"/>
      </w:pPr>
      <w:r>
        <w:rPr>
          <w:lang w:val="en-CA" w:eastAsia="en-CA" w:bidi="ar-SA"/>
          <w:rFonts w:ascii="Cambria" w:hAnsi="Cambria" w:eastAsia="Cambria" w:cs="Cambria"/>
          <w:b/>
          <w:sz w:val="26"/>
          <w:szCs w:val="26"/>
          <w:color w:val="8A7040"/>
        </w:rPr>
        <w:t>3.2 Timing and Deadlines</w:t>
      </w:r>
    </w:p>
    <w:p>
      <w:pPr>
        <w:pStyle w:val="Heading3"/>
      </w:pPr>
      <w:r>
        <w:rPr>
          <w:lang w:val="en-CA" w:eastAsia="en-CA" w:bidi="ar-SA"/>
          <w:rFonts w:ascii="Cambria" w:hAnsi="Cambria" w:eastAsia="Cambria" w:cs="Cambria"/>
          <w:b/>
          <w:color w:val="A6894A"/>
          <w:sz w:val="22"/>
          <w:szCs w:val="22"/>
        </w:rPr>
        <w:t>3.2.1 Target Dates</w:t>
      </w:r>
    </w:p>
    <w:p>
      <w:pPr>
        <w:pStyle w:val="Normal"/>
        <w:ind w:left="720" w:hanging="360"/>
      </w:pPr>
      <w:r>
        <w:rPr>
          <w:b/>
          <w:lang w:val="en-CA" w:eastAsia="en-CA" w:bidi="ar-SA"/>
          <w:rFonts w:ascii="Cambria" w:hAnsi="Cambria" w:eastAsia="Cambria" w:cs="Cambria"/>
          <w:color w:val="1A1A1A"/>
          <w:sz w:val="21"/>
          <w:szCs w:val="21"/>
        </w:rPr>
        <w:t>(a)</w:t>
      </w:r>
      <w:r>
        <w:rPr>
          <w:lang w:val="en-CA" w:eastAsia="en-CA" w:bidi="ar-SA"/>
          <w:rFonts w:ascii="Cambria" w:hAnsi="Cambria" w:eastAsia="Cambria" w:cs="Cambria"/>
          <w:color w:val="1A1A1A"/>
          <w:sz w:val="21"/>
          <w:szCs w:val="21"/>
        </w:rPr>
        <w:t>Tranche 1 targets completion within 15 days of IAEA issuance of the National HEU Verification and Custody Certificate.</w:t>
      </w:r>
    </w:p>
    <w:p>
      <w:pPr>
        <w:pStyle w:val="Normal"/>
        <w:ind w:left="720" w:hanging="360"/>
      </w:pPr>
      <w:r>
        <w:rPr>
          <w:b/>
          <w:lang w:val="en-CA" w:eastAsia="en-CA" w:bidi="ar-SA"/>
          <w:rFonts w:ascii="Cambria" w:hAnsi="Cambria" w:eastAsia="Cambria" w:cs="Cambria"/>
          <w:color w:val="1A1A1A"/>
          <w:sz w:val="21"/>
          <w:szCs w:val="21"/>
        </w:rPr>
        <w:t>(b)</w:t>
      </w:r>
      <w:r>
        <w:rPr>
          <w:lang w:val="en-CA" w:eastAsia="en-CA" w:bidi="ar-SA"/>
          <w:rFonts w:ascii="Cambria" w:hAnsi="Cambria" w:eastAsia="Cambria" w:cs="Cambria"/>
          <w:color w:val="1A1A1A"/>
          <w:sz w:val="21"/>
          <w:szCs w:val="21"/>
        </w:rPr>
        <w:t>Tranche 2 targets completion within 30 days of IAEA issuance of the Downblending Completion Certificate.</w:t>
      </w:r>
    </w:p>
    <w:p>
      <w:pPr>
        <w:pStyle w:val="Heading3"/>
      </w:pPr>
      <w:r>
        <w:rPr>
          <w:lang w:val="en-CA" w:eastAsia="en-CA" w:bidi="ar-SA"/>
          <w:rFonts w:ascii="Cambria" w:hAnsi="Cambria" w:eastAsia="Cambria" w:cs="Cambria"/>
          <w:b/>
          <w:color w:val="A6894A"/>
          <w:sz w:val="22"/>
          <w:szCs w:val="22"/>
        </w:rPr>
        <w:t>3.2.2 Hard-Cap Deadlines</w:t>
      </w:r>
    </w:p>
    <w:p>
      <w:pPr>
        <w:pStyle w:val="Normal"/>
        <w:ind w:left="720" w:hanging="360"/>
      </w:pPr>
      <w:r>
        <w:rPr>
          <w:b/>
          <w:lang w:val="en-CA" w:eastAsia="en-CA" w:bidi="ar-SA"/>
          <w:rFonts w:ascii="Cambria" w:hAnsi="Cambria" w:eastAsia="Cambria" w:cs="Cambria"/>
          <w:color w:val="1A1A1A"/>
          <w:sz w:val="21"/>
          <w:szCs w:val="21"/>
        </w:rPr>
        <w:t>(a)</w:t>
      </w:r>
      <w:r>
        <w:rPr>
          <w:lang w:val="en-CA" w:eastAsia="en-CA" w:bidi="ar-SA"/>
          <w:rFonts w:ascii="Cambria" w:hAnsi="Cambria" w:eastAsia="Cambria" w:cs="Cambria"/>
          <w:color w:val="1A1A1A"/>
          <w:sz w:val="21"/>
          <w:szCs w:val="21"/>
        </w:rPr>
        <w:t>Tranche 1 completes no later than 30 days from IAEA certificate issuance. If not completed by the hard-cap deadline, the matter escalates to the Joint Commission.</w:t>
      </w:r>
    </w:p>
    <w:p>
      <w:pPr>
        <w:pStyle w:val="Normal"/>
        <w:ind w:left="720" w:hanging="360"/>
      </w:pPr>
      <w:r>
        <w:rPr>
          <w:b/>
          <w:lang w:val="en-CA" w:eastAsia="en-CA" w:bidi="ar-SA"/>
          <w:rFonts w:ascii="Cambria" w:hAnsi="Cambria" w:eastAsia="Cambria" w:cs="Cambria"/>
          <w:color w:val="1A1A1A"/>
          <w:sz w:val="21"/>
          <w:szCs w:val="21"/>
        </w:rPr>
        <w:t>(b)</w:t>
      </w:r>
      <w:r>
        <w:rPr>
          <w:lang w:val="en-CA" w:eastAsia="en-CA" w:bidi="ar-SA"/>
          <w:rFonts w:ascii="Cambria" w:hAnsi="Cambria" w:eastAsia="Cambria" w:cs="Cambria"/>
          <w:color w:val="1A1A1A"/>
          <w:sz w:val="21"/>
          <w:szCs w:val="21"/>
        </w:rPr>
        <w:t>Tranche 2 completes no later than 60 days from IAEA certificate issuance. If not completed by the hard-cap deadline, the matter escalates to the Joint Commission.</w:t>
      </w:r>
    </w:p>
    <w:p>
      <w:pPr>
        <w:pStyle w:val="Heading2"/>
      </w:pPr>
      <w:r>
        <w:rPr>
          <w:lang w:val="en-CA" w:eastAsia="en-CA" w:bidi="ar-SA"/>
          <w:rFonts w:ascii="Cambria" w:hAnsi="Cambria" w:eastAsia="Cambria" w:cs="Cambria"/>
          <w:b/>
          <w:sz w:val="26"/>
          <w:szCs w:val="26"/>
          <w:color w:val="8A7040"/>
        </w:rPr>
        <w:t>3.3 Joint Commission Oversight</w:t>
      </w:r>
    </w:p>
    <w:p>
      <w:pPr>
        <w:pStyle w:val="Normal"/>
      </w:pPr>
      <w:r>
        <w:rPr>
          <w:lang w:val="en-CA" w:eastAsia="en-CA" w:bidi="ar-SA"/>
          <w:rFonts w:ascii="Cambria" w:hAnsi="Cambria" w:eastAsia="Cambria" w:cs="Cambria"/>
          <w:color w:val="1A1A1A"/>
          <w:sz w:val="21"/>
          <w:szCs w:val="21"/>
        </w:rPr>
        <w:t>The Joint Commission monitors sanctions relief implementation, reviews IAEA verification certificates, and confirms that relief actions correspond to the applicable milestones. The Commission's confirmation is non-binding but carries significant political weight.</w:t>
      </w:r>
    </w:p>
    <w:p>
      <w:pPr>
        <w:pStyle w:val="Heading2"/>
      </w:pPr>
      <w:r>
        <w:rPr>
          <w:lang w:val="en-CA" w:eastAsia="en-CA" w:bidi="ar-SA"/>
          <w:rFonts w:ascii="Cambria" w:hAnsi="Cambria" w:eastAsia="Cambria" w:cs="Cambria"/>
          <w:b/>
          <w:sz w:val="26"/>
          <w:szCs w:val="26"/>
          <w:color w:val="8A7040"/>
        </w:rPr>
        <w:t>3.4 U.S. Executive Action</w:t>
      </w:r>
    </w:p>
    <w:p>
      <w:pPr>
        <w:pStyle w:val="Normal"/>
      </w:pPr>
      <w:r>
        <w:rPr>
          <w:lang w:val="en-CA" w:eastAsia="en-CA" w:bidi="ar-SA"/>
          <w:rFonts w:ascii="Cambria" w:hAnsi="Cambria" w:eastAsia="Cambria" w:cs="Cambria"/>
          <w:color w:val="1A1A1A"/>
          <w:sz w:val="21"/>
          <w:szCs w:val="21"/>
        </w:rPr>
        <w:t>The United States exercises all available executive authority to implement sanctions relief under this Annex. The United States issues all necessary OFAC licenses, delists all designated entities, and provides all necessary regulatory guidance within the timelines specified in Article 3.2.</w:t>
      </w:r>
    </w:p>
    <w:p>
      <w:pPr>
        <w:pStyle w:val="Heading1"/>
      </w:pPr>
      <w:bookmarkStart w:id="5" w:name="_T4"/>
      <w:r>
        <w:rPr>
          <w:lang w:val="en-CA" w:eastAsia="en-CA" w:bidi="ar-SA"/>
          <w:rFonts w:ascii="Cambria" w:hAnsi="Cambria" w:eastAsia="Cambria" w:cs="Cambria"/>
          <w:b/>
          <w:color w:val="BF8C0D"/>
          <w:sz w:val="36"/>
          <w:szCs w:val="36"/>
        </w:rPr>
        <w:t>Article 4: Verification and Compliance</w:t>
      </w:r>
      <w:bookmarkEnd w:id="5"/>
    </w:p>
    <w:p>
      <w:pPr>
        <w:pStyle w:val="Heading2"/>
      </w:pPr>
      <w:r>
        <w:rPr>
          <w:lang w:val="en-CA" w:eastAsia="en-CA" w:bidi="ar-SA"/>
          <w:rFonts w:ascii="Cambria" w:hAnsi="Cambria" w:eastAsia="Cambria" w:cs="Cambria"/>
          <w:b/>
          <w:sz w:val="26"/>
          <w:szCs w:val="26"/>
          <w:color w:val="8A7040"/>
        </w:rPr>
        <w:t>4.1 IAEA-Led Verification</w:t>
      </w:r>
    </w:p>
    <w:p>
      <w:pPr>
        <w:pStyle w:val="Normal"/>
      </w:pPr>
      <w:r>
        <w:rPr>
          <w:lang w:val="en-CA" w:eastAsia="en-CA" w:bidi="ar-SA"/>
          <w:rFonts w:ascii="Cambria" w:hAnsi="Cambria" w:eastAsia="Cambria" w:cs="Cambria"/>
          <w:color w:val="1A1A1A"/>
          <w:sz w:val="21"/>
          <w:szCs w:val="21"/>
        </w:rPr>
        <w:t>The IAEA serves as the sole verification authority for purposes of this Annex. No Party conducts independent verification of nuclear milestones. The IAEA's technical findings bind all Parties.</w:t>
      </w:r>
    </w:p>
    <w:p>
      <w:pPr>
        <w:pStyle w:val="Heading2"/>
      </w:pPr>
      <w:r>
        <w:rPr>
          <w:lang w:val="en-CA" w:eastAsia="en-CA" w:bidi="ar-SA"/>
          <w:rFonts w:ascii="Cambria" w:hAnsi="Cambria" w:eastAsia="Cambria" w:cs="Cambria"/>
          <w:b/>
          <w:sz w:val="26"/>
          <w:szCs w:val="26"/>
          <w:color w:val="8A7040"/>
        </w:rPr>
        <w:t>4.2 Verification Certificates</w:t>
      </w:r>
    </w:p>
    <w:p>
      <w:pPr>
        <w:pStyle w:val="Normal"/>
      </w:pPr>
      <w:r>
        <w:rPr>
          <w:lang w:val="en-CA" w:eastAsia="en-CA" w:bidi="ar-SA"/>
          <w:rFonts w:ascii="Cambria" w:hAnsi="Cambria" w:eastAsia="Cambria" w:cs="Cambria"/>
          <w:color w:val="1A1A1A"/>
          <w:sz w:val="21"/>
          <w:szCs w:val="21"/>
        </w:rPr>
        <w:t>Completion of each relief tranche requires the corresponding IAEA Verification Certificate. The certificates are:</w:t>
      </w:r>
    </w:p>
    <w:p>
      <w:pPr>
        <w:pStyle w:val="Normal"/>
        <w:ind w:left="720" w:hanging="360"/>
      </w:pPr>
      <w:r>
        <w:rPr>
          <w:lang w:val="en-CA" w:eastAsia="en-CA" w:bidi="ar-SA"/>
          <w:rFonts w:ascii="Cambria" w:hAnsi="Cambria" w:eastAsia="Cambria" w:cs="Cambria"/>
          <w:color w:val="1A1A1A"/>
          <w:sz w:val="21"/>
          <w:szCs w:val="21"/>
          <w:b/>
        </w:rPr>
        <w:t>(a)</w:t>
      </w:r>
      <w:r>
        <w:rPr>
          <w:lang w:val="en-CA" w:eastAsia="en-CA" w:bidi="ar-SA"/>
          <w:rFonts w:ascii="Cambria" w:hAnsi="Cambria" w:eastAsia="Cambria" w:cs="Cambria"/>
          <w:color w:val="1A1A1A"/>
          <w:sz w:val="21"/>
          <w:szCs w:val="21"/>
        </w:rPr>
        <w:t>National HEU Verification and Custody Certificate (Tranche 1);</w:t>
      </w:r>
    </w:p>
    <w:p>
      <w:pPr>
        <w:pStyle w:val="Normal"/>
        <w:ind w:left="720" w:hanging="360"/>
      </w:pPr>
      <w:r>
        <w:rPr>
          <w:b/>
          <w:lang w:val="en-CA" w:eastAsia="en-CA" w:bidi="ar-SA"/>
          <w:rFonts w:ascii="Cambria" w:hAnsi="Cambria" w:eastAsia="Cambria" w:cs="Cambria"/>
          <w:color w:val="1A1A1A"/>
          <w:sz w:val="21"/>
          <w:szCs w:val="21"/>
        </w:rPr>
        <w:t>(b)</w:t>
      </w:r>
      <w:r>
        <w:rPr>
          <w:lang w:val="en-CA" w:eastAsia="en-CA" w:bidi="ar-SA"/>
          <w:rFonts w:ascii="Cambria" w:hAnsi="Cambria" w:eastAsia="Cambria" w:cs="Cambria"/>
          <w:color w:val="1A1A1A"/>
          <w:sz w:val="21"/>
          <w:szCs w:val="21"/>
        </w:rPr>
        <w:t>Downblending Completion Certificate (Tranche 2).</w:t>
      </w:r>
    </w:p>
    <w:p>
      <w:pPr>
        <w:pStyle w:val="Heading2"/>
      </w:pPr>
      <w:r>
        <w:rPr>
          <w:lang w:val="en-CA" w:eastAsia="en-CA" w:bidi="ar-SA"/>
          <w:rFonts w:ascii="Cambria" w:hAnsi="Cambria" w:eastAsia="Cambria" w:cs="Cambria"/>
          <w:b/>
          <w:sz w:val="26"/>
          <w:szCs w:val="26"/>
          <w:color w:val="8A7040"/>
        </w:rPr>
        <w:t>4.3 Compliance Assessment</w:t>
      </w:r>
    </w:p>
    <w:p>
      <w:pPr>
        <w:pStyle w:val="Normal"/>
      </w:pPr>
      <w:r>
        <w:rPr>
          <w:lang w:val="en-CA" w:eastAsia="en-CA" w:bidi="ar-SA"/>
          <w:rFonts w:ascii="Cambria" w:hAnsi="Cambria" w:eastAsia="Cambria" w:cs="Cambria"/>
          <w:color w:val="1A1A1A"/>
          <w:sz w:val="21"/>
          <w:szCs w:val="21"/>
        </w:rPr>
        <w:t>The PCC assesses compliance with relief milestones based on IAEA Verification Certificates. The PCC determines whether a Party has satisfied its obligations and whether relief proceeds or suspends.</w:t>
      </w:r>
    </w:p>
    <w:p>
      <w:pPr>
        <w:pStyle w:val="Heading2"/>
      </w:pPr>
      <w:r>
        <w:rPr>
          <w:lang w:val="en-CA" w:eastAsia="en-CA" w:bidi="ar-SA"/>
          <w:rFonts w:ascii="Cambria" w:hAnsi="Cambria" w:eastAsia="Cambria" w:cs="Cambria"/>
          <w:b/>
          <w:sz w:val="26"/>
          <w:szCs w:val="26"/>
          <w:color w:val="8A7040"/>
        </w:rPr>
        <w:t>4.4 IAEA Non-Compliance Findings</w:t>
      </w:r>
    </w:p>
    <w:p>
      <w:pPr>
        <w:pStyle w:val="Normal"/>
      </w:pPr>
      <w:r>
        <w:rPr>
          <w:lang w:val="en-CA" w:eastAsia="en-CA" w:bidi="ar-SA"/>
          <w:rFonts w:ascii="Cambria" w:hAnsi="Cambria" w:eastAsia="Cambria" w:cs="Cambria"/>
          <w:color w:val="1A1A1A"/>
          <w:sz w:val="21"/>
          <w:szCs w:val="21"/>
        </w:rPr>
        <w:t>Where the IAEA issues a non-compliance finding regarding obligations under this Annex, the finding triggers the Step-Back procedures in Article 5. The IAEA's non-compliance finding binds all Parties and is not subject to political override. This provision applies equally to non-compliance by the United States with its obligations under this Annex.</w:t>
      </w:r>
    </w:p>
    <w:p>
      <w:pPr>
        <w:pStyle w:val="Heading1"/>
      </w:pPr>
      <w:bookmarkStart w:id="6" w:name="_T5"/>
      <w:r>
        <w:rPr>
          <w:lang w:val="en-CA" w:eastAsia="en-CA" w:bidi="ar-SA"/>
          <w:rFonts w:ascii="Cambria" w:hAnsi="Cambria" w:eastAsia="Cambria" w:cs="Cambria"/>
          <w:b/>
          <w:color w:val="BF8C0D"/>
          <w:sz w:val="36"/>
          <w:szCs w:val="36"/>
        </w:rPr>
        <w:t>Article 5: Step-Back, Earn-Back, and Compliance Resilience</w:t>
      </w:r>
      <w:bookmarkEnd w:id="6"/>
    </w:p>
    <w:p>
      <w:pPr>
        <w:pStyle w:val="Heading2"/>
      </w:pPr>
      <w:r>
        <w:rPr>
          <w:lang w:val="en-CA" w:eastAsia="en-CA" w:bidi="ar-SA"/>
          <w:rFonts w:ascii="Cambria" w:hAnsi="Cambria" w:eastAsia="Cambria" w:cs="Cambria"/>
          <w:b/>
          <w:sz w:val="26"/>
          <w:szCs w:val="26"/>
          <w:color w:val="8A7040"/>
        </w:rPr>
        <w:t>5.1 Step-Back: Automatic Suspension</w:t>
      </w:r>
    </w:p>
    <w:p>
      <w:pPr>
        <w:pStyle w:val="Heading3"/>
      </w:pPr>
      <w:r>
        <w:rPr>
          <w:lang w:val="en-CA" w:eastAsia="en-CA" w:bidi="ar-SA"/>
          <w:rFonts w:ascii="Cambria" w:hAnsi="Cambria" w:eastAsia="Cambria" w:cs="Cambria"/>
          <w:b/>
          <w:color w:val="A6894A"/>
          <w:sz w:val="22"/>
          <w:szCs w:val="22"/>
        </w:rPr>
        <w:t>5.1.1 Step-Back Triggers</w:t>
      </w:r>
    </w:p>
    <w:p>
      <w:pPr>
        <w:pStyle w:val="Normal"/>
      </w:pPr>
      <w:r>
        <w:rPr>
          <w:lang w:val="en-CA" w:eastAsia="en-CA" w:bidi="ar-SA"/>
          <w:rFonts w:ascii="Cambria" w:hAnsi="Cambria" w:eastAsia="Cambria" w:cs="Cambria"/>
          <w:color w:val="1A1A1A"/>
          <w:sz w:val="21"/>
          <w:szCs w:val="21"/>
        </w:rPr>
        <w:t>Step-Back activates automatically when any of the following conditions occurs:</w:t>
      </w:r>
    </w:p>
    <w:p>
      <w:pPr>
        <w:pStyle w:val="Normal"/>
        <w:ind w:left="720" w:hanging="360"/>
      </w:pPr>
      <w:r>
        <w:rPr>
          <w:b/>
          <w:lang w:val="en-CA" w:eastAsia="en-CA" w:bidi="ar-SA"/>
          <w:rFonts w:ascii="Cambria" w:hAnsi="Cambria" w:eastAsia="Cambria" w:cs="Cambria"/>
          <w:color w:val="1A1A1A"/>
          <w:sz w:val="21"/>
          <w:szCs w:val="21"/>
        </w:rPr>
        <w:t>(a)</w:t>
      </w:r>
      <w:r>
        <w:rPr>
          <w:lang w:val="en-CA" w:eastAsia="en-CA" w:bidi="ar-SA"/>
          <w:rFonts w:ascii="Cambria" w:hAnsi="Cambria" w:eastAsia="Cambria" w:cs="Cambria"/>
          <w:color w:val="1A1A1A"/>
          <w:sz w:val="21"/>
          <w:szCs w:val="21"/>
        </w:rPr>
        <w:t>IAEA Non-Compliance Finding: The IAEA issues a formal non-compliance finding regarding Iran's obligations under Annex EV or Annex ES.</w:t>
      </w:r>
    </w:p>
    <w:p>
      <w:pPr>
        <w:pStyle w:val="Normal"/>
        <w:ind w:left="720" w:hanging="360"/>
      </w:pPr>
      <w:r>
        <w:rPr>
          <w:b/>
          <w:lang w:val="en-CA" w:eastAsia="en-CA" w:bidi="ar-SA"/>
          <w:rFonts w:ascii="Cambria" w:hAnsi="Cambria" w:eastAsia="Cambria" w:cs="Cambria"/>
          <w:color w:val="1A1A1A"/>
          <w:sz w:val="21"/>
          <w:szCs w:val="21"/>
        </w:rPr>
        <w:t>(b)</w:t>
      </w:r>
      <w:r>
        <w:rPr>
          <w:lang w:val="en-CA" w:eastAsia="en-CA" w:bidi="ar-SA"/>
          <w:rFonts w:ascii="Cambria" w:hAnsi="Cambria" w:eastAsia="Cambria" w:cs="Cambria"/>
          <w:color w:val="1A1A1A"/>
          <w:sz w:val="21"/>
          <w:szCs w:val="21"/>
        </w:rPr>
        <w:t>Milestone Deadline Expiration: Iran fails to achieve a verification milestone by the hard-cap deadline.</w:t>
      </w:r>
    </w:p>
    <w:p>
      <w:pPr>
        <w:pStyle w:val="Normal"/>
        <w:ind w:left="720" w:hanging="360"/>
      </w:pPr>
      <w:r>
        <w:rPr>
          <w:b/>
          <w:lang w:val="en-CA" w:eastAsia="en-CA" w:bidi="ar-SA"/>
          <w:rFonts w:ascii="Cambria" w:hAnsi="Cambria" w:eastAsia="Cambria" w:cs="Cambria"/>
          <w:color w:val="1A1A1A"/>
          <w:sz w:val="21"/>
          <w:szCs w:val="21"/>
        </w:rPr>
        <w:t>(c)</w:t>
      </w:r>
      <w:r>
        <w:rPr>
          <w:lang w:val="en-CA" w:eastAsia="en-CA" w:bidi="ar-SA"/>
          <w:rFonts w:ascii="Cambria" w:hAnsi="Cambria" w:eastAsia="Cambria" w:cs="Cambria"/>
          <w:color w:val="1A1A1A"/>
          <w:sz w:val="21"/>
          <w:szCs w:val="21"/>
        </w:rPr>
        <w:t>Material Breach by Iran: Iran materially breaches an obligation under this Annex, Annex ES, or Annex EV.</w:t>
      </w:r>
    </w:p>
    <w:p>
      <w:pPr>
        <w:pStyle w:val="Normal"/>
        <w:ind w:left="720" w:hanging="360"/>
      </w:pPr>
      <w:r>
        <w:rPr>
          <w:b/>
          <w:lang w:val="en-CA" w:eastAsia="en-CA" w:bidi="ar-SA"/>
          <w:rFonts w:ascii="Cambria" w:hAnsi="Cambria" w:eastAsia="Cambria" w:cs="Cambria"/>
          <w:color w:val="1A1A1A"/>
          <w:sz w:val="21"/>
          <w:szCs w:val="21"/>
        </w:rPr>
        <w:t>(d)</w:t>
      </w:r>
      <w:r>
        <w:rPr>
          <w:lang w:val="en-CA" w:eastAsia="en-CA" w:bidi="ar-SA"/>
          <w:rFonts w:ascii="Cambria" w:hAnsi="Cambria" w:eastAsia="Cambria" w:cs="Cambria"/>
          <w:color w:val="1A1A1A"/>
          <w:sz w:val="21"/>
          <w:szCs w:val="21"/>
        </w:rPr>
        <w:t>Material Breach by the United States: The United States materially breaches an obligation under this Annex, including:</w:t>
      </w:r>
    </w:p>
    <w:p>
      <w:pPr>
        <w:pStyle w:val="Normal"/>
        <w:ind w:left="720" w:hanging="360"/>
      </w:pPr>
      <w:r>
        <w:rPr>
          <w:b/>
          <w:lang w:val="en-CA" w:eastAsia="en-CA" w:bidi="ar-SA"/>
          <w:rFonts w:ascii="Cambria" w:hAnsi="Cambria" w:eastAsia="Cambria" w:cs="Cambria"/>
          <w:color w:val="1A1A1A"/>
          <w:sz w:val="21"/>
          <w:szCs w:val="21"/>
        </w:rPr>
        <w:t>(i)</w:t>
      </w:r>
      <w:r>
        <w:rPr>
          <w:lang w:val="en-CA" w:eastAsia="en-CA" w:bidi="ar-SA"/>
          <w:rFonts w:ascii="Cambria" w:hAnsi="Cambria" w:eastAsia="Cambria" w:cs="Cambria"/>
          <w:color w:val="1A1A1A"/>
          <w:sz w:val="21"/>
          <w:szCs w:val="21"/>
        </w:rPr>
        <w:t xml:space="preserve"> Failure to implement relief actions within the specified timelines, where such failure is not attributable to congressional inaction and where the United States has not demonstrated a good-faith effort as defined in Article 6.6;</w:t>
      </w:r>
    </w:p>
    <w:p>
      <w:pPr>
        <w:pStyle w:val="Normal"/>
        <w:ind w:left="720" w:hanging="360"/>
      </w:pPr>
      <w:r>
        <w:rPr>
          <w:b/>
          <w:lang w:val="en-CA" w:eastAsia="en-CA" w:bidi="ar-SA"/>
          <w:rFonts w:ascii="Cambria" w:hAnsi="Cambria" w:eastAsia="Cambria" w:cs="Cambria"/>
          <w:color w:val="1A1A1A"/>
          <w:sz w:val="21"/>
          <w:szCs w:val="21"/>
        </w:rPr>
        <w:t>(ii)</w:t>
      </w:r>
      <w:r>
        <w:rPr>
          <w:lang w:val="en-CA" w:eastAsia="en-CA" w:bidi="ar-SA"/>
          <w:rFonts w:ascii="Cambria" w:hAnsi="Cambria" w:eastAsia="Cambria" w:cs="Cambria"/>
          <w:color w:val="1A1A1A"/>
          <w:sz w:val="21"/>
          <w:szCs w:val="21"/>
        </w:rPr>
        <w:t xml:space="preserve"> Unilateral imposition of new nuclear-related sanctions not authorized under this Annex;</w:t>
      </w:r>
    </w:p>
    <w:p>
      <w:pPr>
        <w:pStyle w:val="Normal"/>
        <w:ind w:left="720" w:hanging="360"/>
      </w:pPr>
      <w:r>
        <w:rPr>
          <w:b/>
          <w:lang w:val="en-CA" w:eastAsia="en-CA" w:bidi="ar-SA"/>
          <w:rFonts w:ascii="Cambria" w:hAnsi="Cambria" w:eastAsia="Cambria" w:cs="Cambria"/>
          <w:color w:val="1A1A1A"/>
          <w:sz w:val="21"/>
          <w:szCs w:val="21"/>
        </w:rPr>
        <w:t>(iii)</w:t>
      </w:r>
      <w:r>
        <w:rPr>
          <w:lang w:val="en-CA" w:eastAsia="en-CA" w:bidi="ar-SA"/>
          <w:rFonts w:ascii="Cambria" w:hAnsi="Cambria" w:eastAsia="Cambria" w:cs="Cambria"/>
          <w:color w:val="1A1A1A"/>
          <w:sz w:val="21"/>
          <w:szCs w:val="21"/>
        </w:rPr>
        <w:t xml:space="preserve"> Failure to provide third-party assurances as required by Article 7.3; or</w:t>
      </w:r>
    </w:p>
    <w:p>
      <w:pPr>
        <w:pStyle w:val="Normal"/>
        <w:ind w:left="720" w:hanging="360"/>
      </w:pPr>
      <w:r>
        <w:rPr>
          <w:b/>
          <w:lang w:val="en-CA" w:eastAsia="en-CA" w:bidi="ar-SA"/>
          <w:rFonts w:ascii="Cambria" w:hAnsi="Cambria" w:eastAsia="Cambria" w:cs="Cambria"/>
          <w:color w:val="1A1A1A"/>
          <w:sz w:val="21"/>
          <w:szCs w:val="21"/>
        </w:rPr>
        <w:t>(iv)</w:t>
      </w:r>
      <w:r>
        <w:rPr>
          <w:lang w:val="en-CA" w:eastAsia="en-CA" w:bidi="ar-SA"/>
          <w:rFonts w:ascii="Cambria" w:hAnsi="Cambria" w:eastAsia="Cambria" w:cs="Cambria"/>
          <w:color w:val="1A1A1A"/>
          <w:sz w:val="21"/>
          <w:szCs w:val="21"/>
        </w:rPr>
        <w:t xml:space="preserve"> Any other material breach as determined by the Joint Commission.</w:t>
      </w:r>
    </w:p>
    <w:p>
      <w:pPr>
        <w:pStyle w:val="Normal"/>
      </w:pPr>
      <w:r>
        <w:rPr>
          <w:lang w:val="en-CA" w:eastAsia="en-CA" w:bidi="ar-SA"/>
          <w:rFonts w:ascii="Cambria" w:hAnsi="Cambria" w:eastAsia="Cambria" w:cs="Cambria"/>
          <w:color w:val="1A1A1A"/>
          <w:sz w:val="21"/>
          <w:szCs w:val="21"/>
        </w:rPr>
        <w:t>For purposes of this Article, "congressional inaction" means a failure by the U.S. Congress to pass legislation authorizing relief measures that require legislative action. "Good-faith effort" shall be determined by the Joint Commission under Article 6.6.</w:t>
      </w:r>
    </w:p>
    <w:p>
      <w:pPr>
        <w:pStyle w:val="Heading3"/>
      </w:pPr>
      <w:r>
        <w:rPr>
          <w:lang w:val="en-CA" w:eastAsia="en-CA" w:bidi="ar-SA"/>
          <w:rFonts w:ascii="Cambria" w:hAnsi="Cambria" w:eastAsia="Cambria" w:cs="Cambria"/>
          <w:b/>
          <w:color w:val="A6894A"/>
          <w:sz w:val="22"/>
          <w:szCs w:val="22"/>
        </w:rPr>
        <w:t>5.1.2 Effects of Step-Back</w:t>
      </w:r>
    </w:p>
    <w:p>
      <w:pPr>
        <w:pStyle w:val="Normal"/>
      </w:pPr>
      <w:r>
        <w:rPr>
          <w:lang w:val="en-CA" w:eastAsia="en-CA" w:bidi="ar-SA"/>
          <w:rFonts w:ascii="Cambria" w:hAnsi="Cambria" w:eastAsia="Cambria" w:cs="Cambria"/>
          <w:color w:val="1A1A1A"/>
          <w:sz w:val="21"/>
          <w:szCs w:val="21"/>
        </w:rPr>
        <w:t>Upon activation of Step-Back:</w:t>
      </w:r>
    </w:p>
    <w:p>
      <w:pPr>
        <w:pStyle w:val="Normal"/>
        <w:ind w:left="720" w:hanging="360"/>
      </w:pPr>
      <w:r>
        <w:rPr>
          <w:b/>
          <w:lang w:val="en-CA" w:eastAsia="en-CA" w:bidi="ar-SA"/>
          <w:rFonts w:ascii="Cambria" w:hAnsi="Cambria" w:eastAsia="Cambria" w:cs="Cambria"/>
          <w:color w:val="1A1A1A"/>
          <w:sz w:val="21"/>
          <w:szCs w:val="21"/>
        </w:rPr>
        <w:t>(a)</w:t>
      </w:r>
      <w:r>
        <w:rPr>
          <w:lang w:val="en-CA" w:eastAsia="en-CA" w:bidi="ar-SA"/>
          <w:rFonts w:ascii="Cambria" w:hAnsi="Cambria" w:eastAsia="Cambria" w:cs="Cambria"/>
          <w:color w:val="1A1A1A"/>
          <w:sz w:val="21"/>
          <w:szCs w:val="21"/>
        </w:rPr>
        <w:t>All future sanctions relief under this Annex suspends immediately.</w:t>
      </w:r>
    </w:p>
    <w:p>
      <w:pPr>
        <w:pStyle w:val="Normal"/>
        <w:ind w:left="720" w:hanging="360"/>
      </w:pPr>
      <w:r>
        <w:rPr>
          <w:b/>
          <w:lang w:val="en-CA" w:eastAsia="en-CA" w:bidi="ar-SA"/>
          <w:rFonts w:ascii="Cambria" w:hAnsi="Cambria" w:eastAsia="Cambria" w:cs="Cambria"/>
          <w:color w:val="1A1A1A"/>
          <w:sz w:val="21"/>
          <w:szCs w:val="21"/>
        </w:rPr>
        <w:t>(b)</w:t>
      </w:r>
      <w:r>
        <w:rPr>
          <w:lang w:val="en-CA" w:eastAsia="en-CA" w:bidi="ar-SA"/>
          <w:rFonts w:ascii="Cambria" w:hAnsi="Cambria" w:eastAsia="Cambria" w:cs="Cambria"/>
          <w:color w:val="1A1A1A"/>
          <w:sz w:val="21"/>
          <w:szCs w:val="21"/>
        </w:rPr>
        <w:t>Relief already implemented remains in place. The framework architecture excludes clawback of implemented relief.</w:t>
      </w:r>
    </w:p>
    <w:p>
      <w:pPr>
        <w:pStyle w:val="Normal"/>
        <w:ind w:left="720" w:hanging="360"/>
      </w:pPr>
      <w:r>
        <w:rPr>
          <w:b/>
          <w:lang w:val="en-CA" w:eastAsia="en-CA" w:bidi="ar-SA"/>
          <w:rFonts w:ascii="Cambria" w:hAnsi="Cambria" w:eastAsia="Cambria" w:cs="Cambria"/>
          <w:color w:val="1A1A1A"/>
          <w:sz w:val="21"/>
          <w:szCs w:val="21"/>
        </w:rPr>
        <w:t>(c)</w:t>
      </w:r>
      <w:r>
        <w:rPr>
          <w:lang w:val="en-CA" w:eastAsia="en-CA" w:bidi="ar-SA"/>
          <w:rFonts w:ascii="Cambria" w:hAnsi="Cambria" w:eastAsia="Cambria" w:cs="Cambria"/>
          <w:color w:val="1A1A1A"/>
          <w:sz w:val="21"/>
          <w:szCs w:val="21"/>
        </w:rPr>
        <w:t>The Joint Commission convenes within 48 hours to review the Step-Back and determine remediation requirements.</w:t>
      </w:r>
    </w:p>
    <w:p>
      <w:pPr>
        <w:pStyle w:val="Normal"/>
        <w:ind w:left="720" w:hanging="360"/>
      </w:pPr>
      <w:r>
        <w:rPr>
          <w:lang w:val="en-CA" w:eastAsia="en-CA" w:bidi="ar-SA"/>
          <w:rFonts w:ascii="Cambria" w:hAnsi="Cambria" w:eastAsia="Cambria" w:cs="Cambria"/>
          <w:color w:val="1A1A1A"/>
          <w:sz w:val="21"/>
          <w:szCs w:val="21"/>
          <w:b/>
        </w:rPr>
        <w:t>(d)</w:t>
      </w:r>
      <w:r>
        <w:rPr>
          <w:lang w:val="en-CA" w:eastAsia="en-CA" w:bidi="ar-SA"/>
          <w:rFonts w:ascii="Cambria" w:hAnsi="Cambria" w:eastAsia="Cambria" w:cs="Cambria"/>
          <w:color w:val="1A1A1A"/>
          <w:sz w:val="21"/>
          <w:szCs w:val="21"/>
        </w:rPr>
        <w:t>The PCC notifies both Parties and all relevant implementing agencies.</w:t>
      </w:r>
    </w:p>
    <w:p>
      <w:pPr>
        <w:pStyle w:val="Heading2"/>
      </w:pPr>
      <w:r>
        <w:rPr>
          <w:lang w:val="en-CA" w:eastAsia="en-CA" w:bidi="ar-SA"/>
          <w:rFonts w:ascii="Cambria" w:hAnsi="Cambria" w:eastAsia="Cambria" w:cs="Cambria"/>
          <w:b/>
          <w:sz w:val="26"/>
          <w:szCs w:val="26"/>
          <w:color w:val="8A7040"/>
        </w:rPr>
        <w:t>5.2 Earn-Back: Restoration of Relief</w:t>
      </w:r>
    </w:p>
    <w:p>
      <w:pPr>
        <w:pStyle w:val="Heading3"/>
      </w:pPr>
      <w:r>
        <w:rPr>
          <w:lang w:val="en-CA" w:eastAsia="en-CA" w:bidi="ar-SA"/>
          <w:rFonts w:ascii="Cambria" w:hAnsi="Cambria" w:eastAsia="Cambria" w:cs="Cambria"/>
          <w:b/>
          <w:color w:val="A6894A"/>
          <w:sz w:val="22"/>
          <w:szCs w:val="22"/>
        </w:rPr>
        <w:t>5.2.1 Earn-Back Procedure</w:t>
      </w:r>
    </w:p>
    <w:p>
      <w:pPr>
        <w:pStyle w:val="Normal"/>
      </w:pPr>
      <w:r>
        <w:rPr>
          <w:lang w:val="en-CA" w:eastAsia="en-CA" w:bidi="ar-SA"/>
          <w:rFonts w:ascii="Cambria" w:hAnsi="Cambria" w:eastAsia="Cambria" w:cs="Cambria"/>
          <w:color w:val="1A1A1A"/>
          <w:sz w:val="21"/>
          <w:szCs w:val="21"/>
        </w:rPr>
        <w:t>Earn-Back occurs when the Party that triggered the Step-Back completes the required remediation and obtains the corresponding IAEA Verification Certificate. The procedure is:</w:t>
      </w:r>
    </w:p>
    <w:p>
      <w:pPr>
        <w:pStyle w:val="Normal"/>
        <w:ind w:left="720" w:hanging="360"/>
      </w:pPr>
      <w:r>
        <w:rPr>
          <w:b/>
          <w:lang w:val="en-CA" w:eastAsia="en-CA" w:bidi="ar-SA"/>
          <w:rFonts w:ascii="Cambria" w:hAnsi="Cambria" w:eastAsia="Cambria" w:cs="Cambria"/>
          <w:color w:val="1A1A1A"/>
          <w:sz w:val="21"/>
          <w:szCs w:val="21"/>
        </w:rPr>
        <w:t>(a)</w:t>
      </w:r>
      <w:r>
        <w:rPr>
          <w:lang w:val="en-CA" w:eastAsia="en-CA" w:bidi="ar-SA"/>
          <w:rFonts w:ascii="Cambria" w:hAnsi="Cambria" w:eastAsia="Cambria" w:cs="Cambria"/>
          <w:color w:val="1A1A1A"/>
          <w:sz w:val="21"/>
          <w:szCs w:val="21"/>
        </w:rPr>
        <w:t>The non-complying Party completes the required remediation.</w:t>
      </w:r>
    </w:p>
    <w:p>
      <w:pPr>
        <w:pStyle w:val="Normal"/>
        <w:ind w:left="720" w:hanging="360"/>
      </w:pPr>
      <w:r>
        <w:rPr>
          <w:b/>
          <w:lang w:val="en-CA" w:eastAsia="en-CA" w:bidi="ar-SA"/>
          <w:rFonts w:ascii="Cambria" w:hAnsi="Cambria" w:eastAsia="Cambria" w:cs="Cambria"/>
          <w:color w:val="1A1A1A"/>
          <w:sz w:val="21"/>
          <w:szCs w:val="21"/>
        </w:rPr>
        <w:t>(b)</w:t>
      </w:r>
      <w:r>
        <w:rPr>
          <w:lang w:val="en-CA" w:eastAsia="en-CA" w:bidi="ar-SA"/>
          <w:rFonts w:ascii="Cambria" w:hAnsi="Cambria" w:eastAsia="Cambria" w:cs="Cambria"/>
          <w:color w:val="1A1A1A"/>
          <w:sz w:val="21"/>
          <w:szCs w:val="21"/>
        </w:rPr>
        <w:t>The IAEA issues the applicable Verification Certificate.</w:t>
      </w:r>
    </w:p>
    <w:p>
      <w:pPr>
        <w:pStyle w:val="Normal"/>
        <w:ind w:left="720" w:hanging="360"/>
      </w:pPr>
      <w:r>
        <w:rPr>
          <w:b/>
          <w:lang w:val="en-CA" w:eastAsia="en-CA" w:bidi="ar-SA"/>
          <w:rFonts w:ascii="Cambria" w:hAnsi="Cambria" w:eastAsia="Cambria" w:cs="Cambria"/>
          <w:color w:val="1A1A1A"/>
          <w:sz w:val="21"/>
          <w:szCs w:val="21"/>
        </w:rPr>
        <w:t>(c)</w:t>
      </w:r>
      <w:r>
        <w:rPr>
          <w:lang w:val="en-CA" w:eastAsia="en-CA" w:bidi="ar-SA"/>
          <w:rFonts w:ascii="Cambria" w:hAnsi="Cambria" w:eastAsia="Cambria" w:cs="Cambria"/>
          <w:color w:val="1A1A1A"/>
          <w:sz w:val="21"/>
          <w:szCs w:val="21"/>
        </w:rPr>
        <w:t>The PCC confirms remediation and certifies Earn-Back.</w:t>
      </w:r>
    </w:p>
    <w:p>
      <w:pPr>
        <w:pStyle w:val="Normal"/>
        <w:ind w:left="720" w:hanging="360"/>
      </w:pPr>
      <w:r>
        <w:rPr>
          <w:b/>
          <w:lang w:val="en-CA" w:eastAsia="en-CA" w:bidi="ar-SA"/>
          <w:rFonts w:ascii="Cambria" w:hAnsi="Cambria" w:eastAsia="Cambria" w:cs="Cambria"/>
          <w:color w:val="1A1A1A"/>
          <w:sz w:val="21"/>
          <w:szCs w:val="21"/>
        </w:rPr>
        <w:t>(d)</w:t>
      </w:r>
      <w:r>
        <w:rPr>
          <w:lang w:val="en-CA" w:eastAsia="en-CA" w:bidi="ar-SA"/>
          <w:rFonts w:ascii="Cambria" w:hAnsi="Cambria" w:eastAsia="Cambria" w:cs="Cambria"/>
          <w:color w:val="1A1A1A"/>
          <w:sz w:val="21"/>
          <w:szCs w:val="21"/>
        </w:rPr>
        <w:t>Suspended relief resumes within 14 days of certification.</w:t>
      </w:r>
    </w:p>
    <w:p>
      <w:pPr>
        <w:pStyle w:val="Heading3"/>
      </w:pPr>
      <w:r>
        <w:rPr>
          <w:lang w:val="en-CA" w:eastAsia="en-CA" w:bidi="ar-SA"/>
          <w:rFonts w:ascii="Cambria" w:hAnsi="Cambria" w:eastAsia="Cambria" w:cs="Cambria"/>
          <w:b/>
          <w:color w:val="A6894A"/>
          <w:sz w:val="22"/>
          <w:szCs w:val="22"/>
        </w:rPr>
        <w:t>5.2.2 Earn-Back Timelines</w:t>
      </w:r>
    </w:p>
    <w:p>
      <w:pPr>
        <w:pStyle w:val="Normal"/>
        <w:ind w:left="720" w:hanging="360"/>
      </w:pPr>
      <w:r>
        <w:rPr>
          <w:b/>
          <w:lang w:val="en-CA" w:eastAsia="en-CA" w:bidi="ar-SA"/>
          <w:rFonts w:ascii="Cambria" w:hAnsi="Cambria" w:eastAsia="Cambria" w:cs="Cambria"/>
          <w:color w:val="1A1A1A"/>
          <w:sz w:val="21"/>
          <w:szCs w:val="21"/>
        </w:rPr>
        <w:t>(a)</w:t>
      </w:r>
      <w:r>
        <w:rPr>
          <w:lang w:val="en-CA" w:eastAsia="en-CA" w:bidi="ar-SA"/>
          <w:rFonts w:ascii="Cambria" w:hAnsi="Cambria" w:eastAsia="Cambria" w:cs="Cambria"/>
          <w:color w:val="1A1A1A"/>
          <w:sz w:val="21"/>
          <w:szCs w:val="21"/>
        </w:rPr>
        <w:t>Step-Back due to Technical Delay: 14 days of clean compliance restores relief.</w:t>
      </w:r>
    </w:p>
    <w:p>
      <w:pPr>
        <w:pStyle w:val="Normal"/>
        <w:ind w:left="720" w:hanging="360"/>
      </w:pPr>
      <w:r>
        <w:rPr>
          <w:b/>
          <w:lang w:val="en-CA" w:eastAsia="en-CA" w:bidi="ar-SA"/>
          <w:rFonts w:ascii="Cambria" w:hAnsi="Cambria" w:eastAsia="Cambria" w:cs="Cambria"/>
          <w:color w:val="1A1A1A"/>
          <w:sz w:val="21"/>
          <w:szCs w:val="21"/>
        </w:rPr>
        <w:t>(b)</w:t>
      </w:r>
      <w:r>
        <w:rPr>
          <w:lang w:val="en-CA" w:eastAsia="en-CA" w:bidi="ar-SA"/>
          <w:rFonts w:ascii="Cambria" w:hAnsi="Cambria" w:eastAsia="Cambria" w:cs="Cambria"/>
          <w:color w:val="1A1A1A"/>
          <w:sz w:val="21"/>
          <w:szCs w:val="21"/>
        </w:rPr>
        <w:t>Step-Back due to Hard-Cap Breach: 30 days of clean compliance restores relief.</w:t>
      </w:r>
    </w:p>
    <w:p>
      <w:pPr>
        <w:pStyle w:val="Normal"/>
        <w:ind w:left="720" w:hanging="360"/>
      </w:pPr>
      <w:r>
        <w:rPr>
          <w:b/>
          <w:lang w:val="en-CA" w:eastAsia="en-CA" w:bidi="ar-SA"/>
          <w:rFonts w:ascii="Cambria" w:hAnsi="Cambria" w:eastAsia="Cambria" w:cs="Cambria"/>
          <w:color w:val="1A1A1A"/>
          <w:sz w:val="21"/>
          <w:szCs w:val="21"/>
        </w:rPr>
        <w:t>(c)</w:t>
      </w:r>
      <w:r>
        <w:rPr>
          <w:lang w:val="en-CA" w:eastAsia="en-CA" w:bidi="ar-SA"/>
          <w:rFonts w:ascii="Cambria" w:hAnsi="Cambria" w:eastAsia="Cambria" w:cs="Cambria"/>
          <w:color w:val="1A1A1A"/>
          <w:sz w:val="21"/>
          <w:szCs w:val="21"/>
        </w:rPr>
        <w:t>Step-Back due to Material Breach: 90 days of clean compliance restores relief.</w:t>
      </w:r>
    </w:p>
    <w:p>
      <w:pPr>
        <w:pStyle w:val="Heading3"/>
      </w:pPr>
      <w:r>
        <w:rPr>
          <w:lang w:val="en-CA" w:eastAsia="en-CA" w:bidi="ar-SA"/>
          <w:rFonts w:ascii="Cambria" w:hAnsi="Cambria" w:eastAsia="Cambria" w:cs="Cambria"/>
          <w:b/>
          <w:color w:val="A6894A"/>
          <w:sz w:val="22"/>
          <w:szCs w:val="22"/>
        </w:rPr>
        <w:t>5.2.3 Clean Compliance Verification</w:t>
      </w:r>
    </w:p>
    <w:p>
      <w:pPr>
        <w:pStyle w:val="Normal"/>
      </w:pPr>
      <w:r>
        <w:rPr>
          <w:lang w:val="en-CA" w:eastAsia="en-CA" w:bidi="ar-SA"/>
          <w:rFonts w:ascii="Cambria" w:hAnsi="Cambria" w:eastAsia="Cambria" w:cs="Cambria"/>
          <w:color w:val="1A1A1A"/>
          <w:sz w:val="21"/>
          <w:szCs w:val="21"/>
        </w:rPr>
        <w:t>"Clean compliance" for purposes of Earn-Back means:</w:t>
      </w:r>
    </w:p>
    <w:p>
      <w:pPr>
        <w:pStyle w:val="Normal"/>
        <w:ind w:left="720" w:hanging="360"/>
      </w:pPr>
      <w:r>
        <w:rPr>
          <w:b/>
          <w:lang w:val="en-CA" w:eastAsia="en-CA" w:bidi="ar-SA"/>
          <w:rFonts w:ascii="Cambria" w:hAnsi="Cambria" w:eastAsia="Cambria" w:cs="Cambria"/>
          <w:color w:val="1A1A1A"/>
          <w:sz w:val="21"/>
          <w:szCs w:val="21"/>
        </w:rPr>
        <w:t>(a)</w:t>
      </w:r>
      <w:r>
        <w:rPr>
          <w:lang w:val="en-CA" w:eastAsia="en-CA" w:bidi="ar-SA"/>
          <w:rFonts w:ascii="Cambria" w:hAnsi="Cambria" w:eastAsia="Cambria" w:cs="Cambria"/>
          <w:color w:val="1A1A1A"/>
          <w:sz w:val="21"/>
          <w:szCs w:val="21"/>
        </w:rPr>
        <w:t xml:space="preserve"> No new IAEA non-compliance findings during the relevant period;</w:t>
      </w:r>
    </w:p>
    <w:p>
      <w:pPr>
        <w:pStyle w:val="Normal"/>
        <w:ind w:left="720" w:hanging="360"/>
      </w:pPr>
      <w:r>
        <w:rPr>
          <w:b/>
          <w:lang w:val="en-CA" w:eastAsia="en-CA" w:bidi="ar-SA"/>
          <w:rFonts w:ascii="Cambria" w:hAnsi="Cambria" w:eastAsia="Cambria" w:cs="Cambria"/>
          <w:color w:val="1A1A1A"/>
          <w:sz w:val="21"/>
          <w:szCs w:val="21"/>
        </w:rPr>
        <w:t>(b)</w:t>
      </w:r>
      <w:r>
        <w:rPr>
          <w:lang w:val="en-CA" w:eastAsia="en-CA" w:bidi="ar-SA"/>
          <w:rFonts w:ascii="Cambria" w:hAnsi="Cambria" w:eastAsia="Cambria" w:cs="Cambria"/>
          <w:color w:val="1A1A1A"/>
          <w:sz w:val="21"/>
          <w:szCs w:val="21"/>
        </w:rPr>
        <w:t xml:space="preserve"> Full cooperation with all IAEA inspections and verification activities;</w:t>
      </w:r>
    </w:p>
    <w:p>
      <w:pPr>
        <w:pStyle w:val="Normal"/>
        <w:ind w:left="720" w:hanging="360"/>
      </w:pPr>
      <w:r>
        <w:rPr>
          <w:b/>
          <w:lang w:val="en-CA" w:eastAsia="en-CA" w:bidi="ar-SA"/>
          <w:rFonts w:ascii="Cambria" w:hAnsi="Cambria" w:eastAsia="Cambria" w:cs="Cambria"/>
          <w:color w:val="1A1A1A"/>
          <w:sz w:val="21"/>
          <w:szCs w:val="21"/>
        </w:rPr>
        <w:t>(c)</w:t>
      </w:r>
      <w:r>
        <w:rPr>
          <w:lang w:val="en-CA" w:eastAsia="en-CA" w:bidi="ar-SA"/>
          <w:rFonts w:ascii="Cambria" w:hAnsi="Cambria" w:eastAsia="Cambria" w:cs="Cambria"/>
          <w:color w:val="1A1A1A"/>
          <w:sz w:val="21"/>
          <w:szCs w:val="21"/>
        </w:rPr>
        <w:t xml:space="preserve"> No material breaches of any obligation under this Annex, Annex ES, or Annex EV; and</w:t>
      </w:r>
    </w:p>
    <w:p>
      <w:pPr>
        <w:pStyle w:val="Normal"/>
        <w:ind w:left="720" w:hanging="360"/>
      </w:pPr>
      <w:r>
        <w:rPr>
          <w:b/>
          <w:lang w:val="en-CA" w:eastAsia="en-CA" w:bidi="ar-SA"/>
          <w:rFonts w:ascii="Cambria" w:hAnsi="Cambria" w:eastAsia="Cambria" w:cs="Cambria"/>
          <w:color w:val="1A1A1A"/>
          <w:sz w:val="21"/>
          <w:szCs w:val="21"/>
        </w:rPr>
        <w:t>(d)</w:t>
      </w:r>
      <w:r>
        <w:rPr>
          <w:lang w:val="en-CA" w:eastAsia="en-CA" w:bidi="ar-SA"/>
          <w:rFonts w:ascii="Cambria" w:hAnsi="Cambria" w:eastAsia="Cambria" w:cs="Cambria"/>
          <w:color w:val="1A1A1A"/>
          <w:sz w:val="21"/>
          <w:szCs w:val="21"/>
        </w:rPr>
        <w:t xml:space="preserve"> All required verification milestones achieved or maintained.</w:t>
      </w:r>
    </w:p>
    <w:p>
      <w:pPr>
        <w:pStyle w:val="Normal"/>
      </w:pPr>
      <w:r>
        <w:rPr>
          <w:lang w:val="en-CA" w:eastAsia="en-CA" w:bidi="ar-SA"/>
          <w:rFonts w:ascii="Cambria" w:hAnsi="Cambria" w:eastAsia="Cambria" w:cs="Cambria"/>
          <w:color w:val="1A1A1A"/>
          <w:sz w:val="21"/>
          <w:szCs w:val="21"/>
        </w:rPr>
        <w:t>The IAEA shall verify clean compliance and issue a Certificate of Clean Compliance at the conclusion of the relevant period. The certificate shall specify:</w:t>
      </w:r>
    </w:p>
    <w:p>
      <w:pPr>
        <w:pStyle w:val="Normal"/>
        <w:ind w:left="720" w:hanging="360"/>
      </w:pPr>
      <w:r>
        <w:rPr>
          <w:b/>
          <w:lang w:val="en-CA" w:eastAsia="en-CA" w:bidi="ar-SA"/>
          <w:rFonts w:ascii="Cambria" w:hAnsi="Cambria" w:eastAsia="Cambria" w:cs="Cambria"/>
          <w:color w:val="1A1A1A"/>
          <w:sz w:val="21"/>
          <w:szCs w:val="21"/>
        </w:rPr>
        <w:t>(i)</w:t>
      </w:r>
      <w:r>
        <w:rPr>
          <w:lang w:val="en-CA" w:eastAsia="en-CA" w:bidi="ar-SA"/>
          <w:rFonts w:ascii="Cambria" w:hAnsi="Cambria" w:eastAsia="Cambria" w:cs="Cambria"/>
          <w:color w:val="1A1A1A"/>
          <w:sz w:val="21"/>
          <w:szCs w:val="21"/>
        </w:rPr>
        <w:t xml:space="preserve"> The period of compliance verified;</w:t>
      </w:r>
    </w:p>
    <w:p>
      <w:pPr>
        <w:pStyle w:val="Normal"/>
        <w:ind w:left="720" w:hanging="360"/>
      </w:pPr>
      <w:r>
        <w:rPr>
          <w:b/>
          <w:lang w:val="en-CA" w:eastAsia="en-CA" w:bidi="ar-SA"/>
          <w:rFonts w:ascii="Cambria" w:hAnsi="Cambria" w:eastAsia="Cambria" w:cs="Cambria"/>
          <w:color w:val="1A1A1A"/>
          <w:sz w:val="21"/>
          <w:szCs w:val="21"/>
        </w:rPr>
        <w:t>(ii)</w:t>
      </w:r>
      <w:r>
        <w:rPr>
          <w:lang w:val="en-CA" w:eastAsia="en-CA" w:bidi="ar-SA"/>
          <w:rFonts w:ascii="Cambria" w:hAnsi="Cambria" w:eastAsia="Cambria" w:cs="Cambria"/>
          <w:color w:val="1A1A1A"/>
          <w:sz w:val="21"/>
          <w:szCs w:val="21"/>
        </w:rPr>
        <w:t xml:space="preserve"> The specific obligations satisfied;</w:t>
      </w:r>
    </w:p>
    <w:p>
      <w:pPr>
        <w:pStyle w:val="Normal"/>
        <w:ind w:left="720" w:hanging="360"/>
      </w:pPr>
      <w:r>
        <w:rPr>
          <w:b/>
          <w:lang w:val="en-CA" w:eastAsia="en-CA" w:bidi="ar-SA"/>
          <w:rFonts w:ascii="Cambria" w:hAnsi="Cambria" w:eastAsia="Cambria" w:cs="Cambria"/>
          <w:color w:val="1A1A1A"/>
          <w:sz w:val="21"/>
          <w:szCs w:val="21"/>
        </w:rPr>
        <w:t>(iii)</w:t>
      </w:r>
      <w:r>
        <w:rPr>
          <w:lang w:val="en-CA" w:eastAsia="en-CA" w:bidi="ar-SA"/>
          <w:rFonts w:ascii="Cambria" w:hAnsi="Cambria" w:eastAsia="Cambria" w:cs="Cambria"/>
          <w:color w:val="1A1A1A"/>
          <w:sz w:val="21"/>
          <w:szCs w:val="21"/>
        </w:rPr>
        <w:t xml:space="preserve"> Any discrepancies or anomalies noted; and</w:t>
      </w:r>
    </w:p>
    <w:p>
      <w:pPr>
        <w:pStyle w:val="Normal"/>
        <w:ind w:left="720" w:hanging="360"/>
      </w:pPr>
      <w:r>
        <w:rPr>
          <w:b/>
          <w:lang w:val="en-CA" w:eastAsia="en-CA" w:bidi="ar-SA"/>
          <w:rFonts w:ascii="Cambria" w:hAnsi="Cambria" w:eastAsia="Cambria" w:cs="Cambria"/>
          <w:color w:val="1A1A1A"/>
          <w:sz w:val="21"/>
          <w:szCs w:val="21"/>
        </w:rPr>
        <w:t>(iv)</w:t>
      </w:r>
      <w:r>
        <w:rPr>
          <w:lang w:val="en-CA" w:eastAsia="en-CA" w:bidi="ar-SA"/>
          <w:rFonts w:ascii="Cambria" w:hAnsi="Cambria" w:eastAsia="Cambria" w:cs="Cambria"/>
          <w:color w:val="1A1A1A"/>
          <w:sz w:val="21"/>
          <w:szCs w:val="21"/>
        </w:rPr>
        <w:t xml:space="preserve"> A statement of full compliance.</w:t>
      </w:r>
    </w:p>
    <w:p>
      <w:pPr>
        <w:pStyle w:val="Normal"/>
      </w:pPr>
      <w:r>
        <w:rPr>
          <w:lang w:val="en-CA" w:eastAsia="en-CA" w:bidi="ar-SA"/>
          <w:rFonts w:ascii="Cambria" w:hAnsi="Cambria" w:eastAsia="Cambria" w:cs="Cambria"/>
          <w:color w:val="1A1A1A"/>
          <w:sz w:val="21"/>
          <w:szCs w:val="21"/>
        </w:rPr>
        <w:t>If a Party achieves clean compliance for a portion of the required period but not the entire period, the Joint Commission may grant partial Earn-Back proportional to the period of compliance.</w:t>
      </w:r>
    </w:p>
    <w:p>
      <w:pPr>
        <w:pStyle w:val="Normal"/>
      </w:pPr>
      <w:r>
        <w:rPr>
          <w:lang w:val="en-CA" w:eastAsia="en-CA" w:bidi="ar-SA"/>
          <w:rFonts w:ascii="Cambria" w:hAnsi="Cambria" w:eastAsia="Cambria" w:cs="Cambria"/>
          <w:color w:val="1A1A1A"/>
          <w:sz w:val="21"/>
          <w:szCs w:val="21"/>
        </w:rPr>
        <w:t>If the Joint Commission determines that a Party has made substantial progress toward compliance but has not achieved full clean compliance by the end of the required period, the Commission may extend the Earn-Back period by 60 additional days. A Party that fails to achieve Earn-Back due to factors outside its control, including force majeure, shall not be subject to additional penalties and may request a special Joint Commission review.</w:t>
      </w:r>
    </w:p>
    <w:p>
      <w:pPr>
        <w:pStyle w:val="Heading2"/>
      </w:pPr>
      <w:r>
        <w:rPr>
          <w:lang w:val="en-CA" w:eastAsia="en-CA" w:bidi="ar-SA"/>
          <w:rFonts w:ascii="Cambria" w:hAnsi="Cambria" w:eastAsia="Cambria" w:cs="Cambria"/>
          <w:b/>
          <w:sz w:val="26"/>
          <w:szCs w:val="26"/>
          <w:color w:val="8A7040"/>
        </w:rPr>
        <w:t>5.3 Non-Clawback Principle</w:t>
      </w:r>
    </w:p>
    <w:p>
      <w:pPr>
        <w:pStyle w:val="Heading3"/>
      </w:pPr>
      <w:r>
        <w:rPr>
          <w:lang w:val="en-CA" w:eastAsia="en-CA" w:bidi="ar-SA"/>
          <w:rFonts w:ascii="Cambria" w:hAnsi="Cambria" w:eastAsia="Cambria" w:cs="Cambria"/>
          <w:b/>
          <w:color w:val="A6894A"/>
          <w:sz w:val="22"/>
          <w:szCs w:val="22"/>
        </w:rPr>
        <w:t>5.3.1 Absolute Prohibition on Clawback</w:t>
      </w:r>
    </w:p>
    <w:p>
      <w:pPr>
        <w:pStyle w:val="Normal"/>
      </w:pPr>
      <w:r>
        <w:rPr>
          <w:lang w:val="en-CA" w:eastAsia="en-CA" w:bidi="ar-SA"/>
          <w:rFonts w:ascii="Cambria" w:hAnsi="Cambria" w:eastAsia="Cambria" w:cs="Cambria"/>
          <w:color w:val="1A1A1A"/>
          <w:sz w:val="21"/>
          <w:szCs w:val="21"/>
        </w:rPr>
        <w:t>Under no circumstances does either Party demand, seek, or obtain the return of sanctions relief already implemented. Relief already granted under this Annex is irreversible. If Step-Back activates, future relief suspends, but already-implemented relief remains in place.</w:t>
      </w:r>
    </w:p>
    <w:p>
      <w:pPr>
        <w:pStyle w:val="Heading3"/>
      </w:pPr>
      <w:r>
        <w:rPr>
          <w:lang w:val="en-CA" w:eastAsia="en-CA" w:bidi="ar-SA"/>
          <w:rFonts w:ascii="Cambria" w:hAnsi="Cambria" w:eastAsia="Cambria" w:cs="Cambria"/>
          <w:b/>
          <w:color w:val="A6894A"/>
          <w:sz w:val="22"/>
          <w:szCs w:val="22"/>
        </w:rPr>
        <w:t>5.3.2 Exception for New Material Breach</w:t>
      </w:r>
    </w:p>
    <w:p>
      <w:pPr>
        <w:pStyle w:val="Normal"/>
      </w:pPr>
      <w:r>
        <w:rPr>
          <w:lang w:val="en-CA" w:eastAsia="en-CA" w:bidi="ar-SA"/>
          <w:rFonts w:ascii="Cambria" w:hAnsi="Cambria" w:eastAsia="Cambria" w:cs="Cambria"/>
          <w:color w:val="1A1A1A"/>
          <w:sz w:val="21"/>
          <w:szCs w:val="21"/>
        </w:rPr>
        <w:t>The non-clawback principle does not prevent the United States from imposing new sanctions in response to a new, material breach that occurs after Tranche 2 relief is complete. Such new sanctions are governed by the dispute resolution procedures of Article 8.</w:t>
      </w:r>
    </w:p>
    <w:p>
      <w:pPr>
        <w:pStyle w:val="Heading1"/>
      </w:pPr>
      <w:bookmarkStart w:id="7" w:name="_T6"/>
      <w:r>
        <w:rPr>
          <w:lang w:val="en-CA" w:eastAsia="en-CA" w:bidi="ar-SA"/>
          <w:rFonts w:ascii="Cambria" w:hAnsi="Cambria" w:eastAsia="Cambria" w:cs="Cambria"/>
          <w:b/>
          <w:color w:val="BF8C0D"/>
          <w:sz w:val="36"/>
          <w:szCs w:val="36"/>
        </w:rPr>
        <w:t>Article 6: U.S. Congressional Constraints and Executive Authority</w:t>
      </w:r>
      <w:bookmarkEnd w:id="7"/>
    </w:p>
    <w:p>
      <w:pPr>
        <w:pStyle w:val="Heading2"/>
      </w:pPr>
      <w:r>
        <w:rPr>
          <w:lang w:val="en-CA" w:eastAsia="en-CA" w:bidi="ar-SA"/>
          <w:rFonts w:ascii="Cambria" w:hAnsi="Cambria" w:eastAsia="Cambria" w:cs="Cambria"/>
          <w:b/>
          <w:sz w:val="26"/>
          <w:szCs w:val="26"/>
          <w:color w:val="8A7040"/>
        </w:rPr>
        <w:t>6.1 Acknowledgment of Statutory Sanctions</w:t>
      </w:r>
    </w:p>
    <w:p>
      <w:pPr>
        <w:pStyle w:val="Normal"/>
      </w:pPr>
      <w:r>
        <w:rPr>
          <w:lang w:val="en-CA" w:eastAsia="en-CA" w:bidi="ar-SA"/>
          <w:rFonts w:ascii="Cambria" w:hAnsi="Cambria" w:eastAsia="Cambria" w:cs="Cambria"/>
          <w:color w:val="1A1A1A"/>
          <w:sz w:val="21"/>
          <w:szCs w:val="21"/>
        </w:rPr>
        <w:t>The Parties acknowledge that certain U.S. sanctions are imposed by statute and require legislative action for permanent termination. The United States commits to seeking the necessary legislative authorizations for full implementation of this Annex.</w:t>
      </w:r>
    </w:p>
    <w:p>
      <w:pPr>
        <w:pStyle w:val="Heading2"/>
      </w:pPr>
      <w:r>
        <w:rPr>
          <w:lang w:val="en-CA" w:eastAsia="en-CA" w:bidi="ar-SA"/>
          <w:rFonts w:ascii="Cambria" w:hAnsi="Cambria" w:eastAsia="Cambria" w:cs="Cambria"/>
          <w:b/>
          <w:sz w:val="26"/>
          <w:szCs w:val="26"/>
          <w:color w:val="8A7040"/>
        </w:rPr>
        <w:t>6.2 Executive Authority</w:t>
      </w:r>
    </w:p>
    <w:p>
      <w:pPr>
        <w:pStyle w:val="Normal"/>
      </w:pPr>
      <w:r>
        <w:rPr>
          <w:lang w:val="en-CA" w:eastAsia="en-CA" w:bidi="ar-SA"/>
          <w:rFonts w:ascii="Cambria" w:hAnsi="Cambria" w:eastAsia="Cambria" w:cs="Cambria"/>
          <w:color w:val="1A1A1A"/>
          <w:sz w:val="21"/>
          <w:szCs w:val="21"/>
        </w:rPr>
        <w:t>The United States exercises all available executive authority to implement sanctions relief under this Annex, including:</w:t>
      </w:r>
    </w:p>
    <w:p>
      <w:pPr>
        <w:pStyle w:val="Normal"/>
        <w:ind w:left="720" w:hanging="360"/>
      </w:pPr>
      <w:r>
        <w:rPr>
          <w:b/>
          <w:lang w:val="en-CA" w:eastAsia="en-CA" w:bidi="ar-SA"/>
          <w:rFonts w:ascii="Cambria" w:hAnsi="Cambria" w:eastAsia="Cambria" w:cs="Cambria"/>
          <w:color w:val="1A1A1A"/>
          <w:sz w:val="21"/>
          <w:szCs w:val="21"/>
        </w:rPr>
        <w:t>(a)</w:t>
      </w:r>
      <w:r>
        <w:rPr>
          <w:lang w:val="en-CA" w:eastAsia="en-CA" w:bidi="ar-SA"/>
          <w:rFonts w:ascii="Cambria" w:hAnsi="Cambria" w:eastAsia="Cambria" w:cs="Cambria"/>
          <w:color w:val="1A1A1A"/>
          <w:sz w:val="21"/>
          <w:szCs w:val="21"/>
        </w:rPr>
        <w:t>Issuing OFAC licenses and general licenses;</w:t>
      </w:r>
    </w:p>
    <w:p>
      <w:pPr>
        <w:pStyle w:val="Normal"/>
        <w:ind w:left="720" w:hanging="360"/>
      </w:pPr>
      <w:r>
        <w:rPr>
          <w:b/>
          <w:lang w:val="en-CA" w:eastAsia="en-CA" w:bidi="ar-SA"/>
          <w:rFonts w:ascii="Cambria" w:hAnsi="Cambria" w:eastAsia="Cambria" w:cs="Cambria"/>
          <w:color w:val="1A1A1A"/>
          <w:sz w:val="21"/>
          <w:szCs w:val="21"/>
        </w:rPr>
        <w:t>(b)</w:t>
      </w:r>
      <w:r>
        <w:rPr>
          <w:lang w:val="en-CA" w:eastAsia="en-CA" w:bidi="ar-SA"/>
          <w:rFonts w:ascii="Cambria" w:hAnsi="Cambria" w:eastAsia="Cambria" w:cs="Cambria"/>
          <w:color w:val="1A1A1A"/>
          <w:sz w:val="21"/>
          <w:szCs w:val="21"/>
        </w:rPr>
        <w:t>Delisting entities and individuals;</w:t>
      </w:r>
    </w:p>
    <w:p>
      <w:pPr>
        <w:pStyle w:val="Normal"/>
        <w:ind w:left="720" w:hanging="360"/>
      </w:pPr>
      <w:r>
        <w:rPr>
          <w:b/>
          <w:lang w:val="en-CA" w:eastAsia="en-CA" w:bidi="ar-SA"/>
          <w:rFonts w:ascii="Cambria" w:hAnsi="Cambria" w:eastAsia="Cambria" w:cs="Cambria"/>
          <w:color w:val="1A1A1A"/>
          <w:sz w:val="21"/>
          <w:szCs w:val="21"/>
        </w:rPr>
        <w:t>(c)</w:t>
      </w:r>
      <w:r>
        <w:rPr>
          <w:lang w:val="en-CA" w:eastAsia="en-CA" w:bidi="ar-SA"/>
          <w:rFonts w:ascii="Cambria" w:hAnsi="Cambria" w:eastAsia="Cambria" w:cs="Cambria"/>
          <w:color w:val="1A1A1A"/>
          <w:sz w:val="21"/>
          <w:szCs w:val="21"/>
        </w:rPr>
        <w:t>Issuing regulatory guidance and interpretive rulings;</w:t>
      </w:r>
    </w:p>
    <w:p>
      <w:pPr>
        <w:pStyle w:val="Normal"/>
        <w:ind w:left="720" w:hanging="360"/>
      </w:pPr>
      <w:r>
        <w:rPr>
          <w:b/>
          <w:lang w:val="en-CA" w:eastAsia="en-CA" w:bidi="ar-SA"/>
          <w:rFonts w:ascii="Cambria" w:hAnsi="Cambria" w:eastAsia="Cambria" w:cs="Cambria"/>
          <w:color w:val="1A1A1A"/>
          <w:sz w:val="21"/>
          <w:szCs w:val="21"/>
        </w:rPr>
        <w:t>(d)</w:t>
      </w:r>
      <w:r>
        <w:rPr>
          <w:lang w:val="en-CA" w:eastAsia="en-CA" w:bidi="ar-SA"/>
          <w:rFonts w:ascii="Cambria" w:hAnsi="Cambria" w:eastAsia="Cambria" w:cs="Cambria"/>
          <w:color w:val="1A1A1A"/>
          <w:sz w:val="21"/>
          <w:szCs w:val="21"/>
        </w:rPr>
        <w:t>Suspending enforcement of statutory sanctions to the extent permitted by law.</w:t>
      </w:r>
    </w:p>
    <w:p>
      <w:pPr>
        <w:pStyle w:val="Heading2"/>
      </w:pPr>
      <w:r>
        <w:rPr>
          <w:lang w:val="en-CA" w:eastAsia="en-CA" w:bidi="ar-SA"/>
          <w:rFonts w:ascii="Cambria" w:hAnsi="Cambria" w:eastAsia="Cambria" w:cs="Cambria"/>
          <w:b/>
          <w:sz w:val="26"/>
          <w:szCs w:val="26"/>
          <w:color w:val="8A7040"/>
        </w:rPr>
        <w:t>6.3 Good-Faith Effort</w:t>
      </w:r>
    </w:p>
    <w:p>
      <w:pPr>
        <w:pStyle w:val="Normal"/>
      </w:pPr>
      <w:r>
        <w:rPr>
          <w:lang w:val="en-CA" w:eastAsia="en-CA" w:bidi="ar-SA"/>
          <w:rFonts w:ascii="Cambria" w:hAnsi="Cambria" w:eastAsia="Cambria" w:cs="Cambria"/>
          <w:color w:val="1A1A1A"/>
          <w:sz w:val="21"/>
          <w:szCs w:val="21"/>
        </w:rPr>
        <w:t>The United States shall provide binding assurances to third parties that transactions authorized under this Annex do not subject them to U.S. sanctions enforcement action. These assurances shall take the form of:</w:t>
      </w:r>
    </w:p>
    <w:p>
      <w:pPr>
        <w:pStyle w:val="Normal"/>
        <w:ind w:left="720" w:hanging="360"/>
      </w:pPr>
      <w:r>
        <w:rPr>
          <w:b/>
          <w:lang w:val="en-CA" w:eastAsia="en-CA" w:bidi="ar-SA"/>
          <w:rFonts w:ascii="Cambria" w:hAnsi="Cambria" w:eastAsia="Cambria" w:cs="Cambria"/>
          <w:color w:val="1A1A1A"/>
          <w:sz w:val="21"/>
          <w:szCs w:val="21"/>
        </w:rPr>
        <w:t>(i) Written Confirmation:</w:t>
      </w:r>
      <w:r>
        <w:rPr>
          <w:lang w:val="en-CA" w:eastAsia="en-CA" w:bidi="ar-SA"/>
          <w:rFonts w:ascii="Cambria" w:hAnsi="Cambria" w:eastAsia="Cambria" w:cs="Cambria"/>
          <w:color w:val="1A1A1A"/>
          <w:sz w:val="21"/>
          <w:szCs w:val="21"/>
        </w:rPr>
        <w:t xml:space="preserve"> Upon request, the United States shall provide written confirmation that a specific transaction is authorized and does not subject the requesting party to sanctions enforcement.</w:t>
      </w:r>
    </w:p>
    <w:p>
      <w:pPr>
        <w:pStyle w:val="Normal"/>
        <w:ind w:left="720" w:hanging="360"/>
      </w:pPr>
      <w:r>
        <w:rPr>
          <w:b/>
          <w:lang w:val="en-CA" w:eastAsia="en-CA" w:bidi="ar-SA"/>
          <w:rFonts w:ascii="Cambria" w:hAnsi="Cambria" w:eastAsia="Cambria" w:cs="Cambria"/>
          <w:color w:val="1A1A1A"/>
          <w:sz w:val="21"/>
          <w:szCs w:val="21"/>
        </w:rPr>
        <w:t>(ii) Safe Harbor:</w:t>
      </w:r>
      <w:r>
        <w:rPr>
          <w:lang w:val="en-CA" w:eastAsia="en-CA" w:bidi="ar-SA"/>
          <w:rFonts w:ascii="Cambria" w:hAnsi="Cambria" w:eastAsia="Cambria" w:cs="Cambria"/>
          <w:color w:val="1A1A1A"/>
          <w:sz w:val="21"/>
          <w:szCs w:val="21"/>
        </w:rPr>
        <w:t xml:space="preserve"> Any party that relies in good faith on a written confirmation or published guidance shall not be subject to sanctions enforcement.</w:t>
      </w:r>
    </w:p>
    <w:p>
      <w:pPr>
        <w:pStyle w:val="Heading2"/>
      </w:pPr>
      <w:r>
        <w:rPr>
          <w:lang w:val="en-CA" w:eastAsia="en-CA" w:bidi="ar-SA"/>
          <w:rFonts w:ascii="Cambria" w:hAnsi="Cambria" w:eastAsia="Cambria" w:cs="Cambria"/>
          <w:b/>
          <w:sz w:val="26"/>
          <w:szCs w:val="26"/>
          <w:color w:val="8A7040"/>
        </w:rPr>
        <w:t>6.4 No Relief for Statutory Sanctions Without Authorization</w:t>
      </w:r>
    </w:p>
    <w:p>
      <w:pPr>
        <w:pStyle w:val="Normal"/>
      </w:pPr>
      <w:r>
        <w:rPr>
          <w:lang w:val="en-CA" w:eastAsia="en-CA" w:bidi="ar-SA"/>
          <w:rFonts w:ascii="Cambria" w:hAnsi="Cambria" w:eastAsia="Cambria" w:cs="Cambria"/>
          <w:color w:val="1A1A1A"/>
          <w:sz w:val="21"/>
          <w:szCs w:val="21"/>
        </w:rPr>
        <w:t>Sanctions relief requiring legislative action is implemented to the fullest extent permitted by executive authority pending congressional authorization. Where executive authority is insufficient, the United States is not in breach of this Annex for failure to implement relief that requires legislative action, provided the United States has made a good-faith effort to secure such action.</w:t>
      </w:r>
    </w:p>
    <w:p>
      <w:pPr>
        <w:pStyle w:val="Heading2"/>
      </w:pPr>
      <w:r>
        <w:rPr>
          <w:lang w:val="en-CA" w:eastAsia="en-CA" w:bidi="ar-SA"/>
          <w:rFonts w:ascii="Cambria" w:hAnsi="Cambria" w:eastAsia="Cambria" w:cs="Cambria"/>
          <w:b/>
          <w:sz w:val="26"/>
          <w:szCs w:val="26"/>
          <w:color w:val="8A7040"/>
        </w:rPr>
        <w:t>6.5 Congressional Notification</w:t>
      </w:r>
    </w:p>
    <w:p>
      <w:pPr>
        <w:pStyle w:val="Normal"/>
      </w:pPr>
      <w:r>
        <w:rPr>
          <w:lang w:val="en-CA" w:eastAsia="en-CA" w:bidi="ar-SA"/>
          <w:rFonts w:ascii="Cambria" w:hAnsi="Cambria" w:eastAsia="Cambria" w:cs="Cambria"/>
          <w:color w:val="1A1A1A"/>
          <w:sz w:val="21"/>
          <w:szCs w:val="21"/>
        </w:rPr>
        <w:t>The United States provides notification to the relevant congressional committees regarding implementation of this Annex, consistent with applicable law and executive branch practice.</w:t>
      </w:r>
    </w:p>
    <w:p>
      <w:pPr>
        <w:pStyle w:val="Heading1"/>
      </w:pPr>
      <w:bookmarkStart w:id="9" w:name="_T8"/>
      <w:r>
        <w:rPr>
          <w:lang w:val="en-CA" w:eastAsia="en-CA" w:bidi="ar-SA"/>
          <w:rFonts w:ascii="Cambria" w:hAnsi="Cambria" w:eastAsia="Cambria" w:cs="Cambria"/>
          <w:b/>
          <w:color w:val="BF8C0D"/>
          <w:sz w:val="36"/>
          <w:szCs w:val="36"/>
        </w:rPr>
        <w:t>Article 7: International Sanctions and UNSC Coordination</w:t>
      </w:r>
      <w:bookmarkEnd w:id="9"/>
    </w:p>
    <w:p>
      <w:pPr>
        <w:pStyle w:val="Heading2"/>
      </w:pPr>
      <w:r>
        <w:rPr>
          <w:lang w:val="en-CA" w:eastAsia="en-CA" w:bidi="ar-SA"/>
          <w:rFonts w:ascii="Cambria" w:hAnsi="Cambria" w:eastAsia="Cambria" w:cs="Cambria"/>
          <w:b/>
          <w:sz w:val="26"/>
          <w:szCs w:val="26"/>
          <w:color w:val="8A7040"/>
        </w:rPr>
        <w:t>7.1 UN Security Council</w:t>
      </w:r>
    </w:p>
    <w:p>
      <w:pPr>
        <w:pStyle w:val="Normal"/>
      </w:pPr>
      <w:r>
        <w:rPr>
          <w:lang w:val="en-CA" w:eastAsia="en-CA" w:bidi="ar-SA"/>
          <w:rFonts w:ascii="Cambria" w:hAnsi="Cambria" w:eastAsia="Cambria" w:cs="Cambria"/>
          <w:color w:val="1A1A1A"/>
          <w:sz w:val="21"/>
          <w:szCs w:val="21"/>
        </w:rPr>
        <w:t>The Parties support the adoption of a binding UNSC resolution endorsing this Annex and terminating all nuclear-related UNSC sanctions.</w:t>
      </w:r>
    </w:p>
    <w:p>
      <w:pPr>
        <w:pStyle w:val="Heading2"/>
      </w:pPr>
      <w:r>
        <w:rPr>
          <w:lang w:val="en-CA" w:eastAsia="en-CA" w:bidi="ar-SA"/>
          <w:rFonts w:ascii="Cambria" w:hAnsi="Cambria" w:eastAsia="Cambria" w:cs="Cambria"/>
          <w:b/>
          <w:sz w:val="26"/>
          <w:szCs w:val="26"/>
          <w:color w:val="8A7040"/>
        </w:rPr>
        <w:t>7.2 EU and Other Multilateral Sanctions</w:t>
      </w:r>
    </w:p>
    <w:p>
      <w:pPr>
        <w:pStyle w:val="Normal"/>
      </w:pPr>
      <w:r>
        <w:rPr>
          <w:lang w:val="en-CA" w:eastAsia="en-CA" w:bidi="ar-SA"/>
          <w:rFonts w:ascii="Cambria" w:hAnsi="Cambria" w:eastAsia="Cambria" w:cs="Cambria"/>
          <w:color w:val="1A1A1A"/>
          <w:sz w:val="21"/>
          <w:szCs w:val="21"/>
        </w:rPr>
        <w:t>The Parties encourage EU member states and other multilateral partners to implement parallel sanctions relief consistent with this Annex.</w:t>
      </w:r>
    </w:p>
    <w:p>
      <w:pPr>
        <w:pStyle w:val="Heading2"/>
      </w:pPr>
      <w:r>
        <w:rPr>
          <w:lang w:val="en-CA" w:eastAsia="en-CA" w:bidi="ar-SA"/>
          <w:rFonts w:ascii="Cambria" w:hAnsi="Cambria" w:eastAsia="Cambria" w:cs="Cambria"/>
          <w:b/>
          <w:sz w:val="26"/>
          <w:szCs w:val="26"/>
          <w:color w:val="8A7040"/>
        </w:rPr>
        <w:t>7.3 Third-Party Compliance</w:t>
      </w:r>
    </w:p>
    <w:p>
      <w:pPr>
        <w:pStyle w:val="Normal"/>
      </w:pPr>
      <w:r>
        <w:rPr>
          <w:lang w:val="en-CA" w:eastAsia="en-CA" w:bidi="ar-SA"/>
          <w:rFonts w:ascii="Cambria" w:hAnsi="Cambria" w:eastAsia="Cambria" w:cs="Cambria"/>
          <w:color w:val="1A1A1A"/>
          <w:sz w:val="21"/>
          <w:szCs w:val="21"/>
        </w:rPr>
        <w:t>The United States shall provide binding assurances to third parties that transactions authorized under this Annex do not subject them to U.S. sanctions enforcement action. These assurances shall take the form of: (i) Written Confirmation: Upon request, the United States shall provide written confirmation that a specific transaction is authorized and does not subject the requesting party to sanctions enforcement. (ii) Safe Harbor: Any party that relies in good faith on a written confirmation or published guidance shall not be subject to sanctions enforcement. (iii) Compensation: If a third party incurs financial losses due to inconsistent or contradictory U.S. sanctions enforcement action, the third party may file a claim with the Joint Commission. The Joint Commission shall convene an arbitration panel to determine whether the United States breached its assurances and, if so, the appropriate compensation. (iv) 90-Day Notice: Any change in U.S. enforcement policy shall be communicated through the Joint Secretariat with 90 days' advance notice before taking effect.</w:t>
      </w:r>
    </w:p>
    <w:p>
      <w:pPr>
        <w:pStyle w:val="Heading1"/>
      </w:pPr>
      <w:r>
        <w:rPr>
          <w:lang w:val="en-CA" w:eastAsia="en-CA" w:bidi="ar-SA"/>
          <w:rFonts w:ascii="Cambria" w:hAnsi="Cambria" w:eastAsia="Cambria" w:cs="Cambria"/>
          <w:b/>
          <w:color w:val="BF8C0D"/>
          <w:sz w:val="36"/>
          <w:szCs w:val="36"/>
        </w:rPr>
        <w:t>Article 8: Dispute Resolution</w:t>
      </w:r>
    </w:p>
    <w:p>
      <w:pPr>
        <w:pStyle w:val="Heading2"/>
      </w:pPr>
      <w:r>
        <w:rPr>
          <w:lang w:val="en-CA" w:eastAsia="en-CA" w:bidi="ar-SA"/>
          <w:rFonts w:ascii="Cambria" w:hAnsi="Cambria" w:eastAsia="Cambria" w:cs="Cambria"/>
          <w:b/>
          <w:sz w:val="26"/>
          <w:szCs w:val="26"/>
          <w:color w:val="8A7040"/>
        </w:rPr>
        <w:t>8.1 Tiered Process</w:t>
      </w:r>
    </w:p>
    <w:p>
      <w:pPr>
        <w:pStyle w:val="Normal"/>
      </w:pPr>
      <w:r>
        <w:rPr>
          <w:lang w:val="en-CA" w:eastAsia="en-CA" w:bidi="ar-SA"/>
          <w:rFonts w:ascii="Cambria" w:hAnsi="Cambria" w:eastAsia="Cambria" w:cs="Cambria"/>
          <w:color w:val="1A1A1A"/>
          <w:sz w:val="21"/>
          <w:szCs w:val="21"/>
        </w:rPr>
        <w:t>Disputes regarding the interpretation, application, or performance of this Annex proceed through the following tiers:</w:t>
      </w:r>
    </w:p>
    <w:p>
      <w:pPr>
        <w:pStyle w:val="Normal"/>
        <w:ind w:left="720" w:hanging="360"/>
      </w:pPr>
      <w:r>
        <w:rPr>
          <w:lang w:val="en-CA" w:eastAsia="en-CA" w:bidi="ar-SA"/>
          <w:rFonts w:ascii="Cambria" w:hAnsi="Cambria" w:eastAsia="Cambria" w:cs="Cambria"/>
          <w:color w:val="1A1A1A"/>
          <w:sz w:val="21"/>
          <w:szCs w:val="21"/>
          <w:b/>
        </w:rPr>
        <w:t>Tier 1:</w:t>
      </w:r>
      <w:r>
        <w:rPr>
          <w:lang w:val="en-CA" w:eastAsia="en-CA" w:bidi="ar-SA"/>
          <w:rFonts w:ascii="Cambria" w:hAnsi="Cambria" w:eastAsia="Cambria" w:cs="Cambria"/>
          <w:color w:val="1A1A1A"/>
          <w:sz w:val="21"/>
          <w:szCs w:val="21"/>
        </w:rPr>
        <w:t>Technical consultation within the Joint Management Board.</w:t>
      </w:r>
    </w:p>
    <w:p>
      <w:pPr>
        <w:pStyle w:val="Normal"/>
        <w:ind w:left="720" w:hanging="360"/>
      </w:pPr>
      <w:r>
        <w:rPr>
          <w:lang w:val="en-CA" w:eastAsia="en-CA" w:bidi="ar-SA"/>
          <w:rFonts w:ascii="Cambria" w:hAnsi="Cambria" w:eastAsia="Cambria" w:cs="Cambria"/>
          <w:color w:val="1A1A1A"/>
          <w:sz w:val="21"/>
          <w:szCs w:val="21"/>
          <w:b/>
        </w:rPr>
        <w:t>Tier 2:</w:t>
      </w:r>
      <w:r>
        <w:rPr>
          <w:lang w:val="en-CA" w:eastAsia="en-CA" w:bidi="ar-SA"/>
          <w:rFonts w:ascii="Cambria" w:hAnsi="Cambria" w:eastAsia="Cambria" w:cs="Cambria"/>
          <w:color w:val="1A1A1A"/>
          <w:sz w:val="21"/>
          <w:szCs w:val="21"/>
        </w:rPr>
        <w:t>Political mediation by the Joint Commission.</w:t>
      </w:r>
    </w:p>
    <w:p>
      <w:pPr>
        <w:pStyle w:val="Normal"/>
        <w:ind w:left="720" w:hanging="360"/>
      </w:pPr>
      <w:r>
        <w:rPr>
          <w:lang w:val="en-CA" w:eastAsia="en-CA" w:bidi="ar-SA"/>
          <w:rFonts w:ascii="Cambria" w:hAnsi="Cambria" w:eastAsia="Cambria" w:cs="Cambria"/>
          <w:color w:val="1A1A1A"/>
          <w:sz w:val="21"/>
          <w:szCs w:val="21"/>
          <w:b/>
        </w:rPr>
        <w:t>Tier 3:</w:t>
      </w:r>
      <w:r>
        <w:rPr>
          <w:lang w:val="en-CA" w:eastAsia="en-CA" w:bidi="ar-SA"/>
          <w:rFonts w:ascii="Cambria" w:hAnsi="Cambria" w:eastAsia="Cambria" w:cs="Cambria"/>
          <w:color w:val="1A1A1A"/>
          <w:sz w:val="21"/>
          <w:szCs w:val="21"/>
        </w:rPr>
        <w:t>Binding arbitration by the Guarantor Matrix.</w:t>
      </w:r>
    </w:p>
    <w:p>
      <w:pPr>
        <w:pStyle w:val="Heading2"/>
      </w:pPr>
      <w:r>
        <w:rPr>
          <w:lang w:val="en-CA" w:eastAsia="en-CA" w:bidi="ar-SA"/>
          <w:rFonts w:ascii="Cambria" w:hAnsi="Cambria" w:eastAsia="Cambria" w:cs="Cambria"/>
          <w:b/>
          <w:sz w:val="26"/>
          <w:szCs w:val="26"/>
          <w:color w:val="8A7040"/>
        </w:rPr>
        <w:t>8.2 Expedited Procedure for Time-Sensitive Disputes</w:t>
      </w:r>
    </w:p>
    <w:p>
      <w:pPr>
        <w:pStyle w:val="Normal"/>
      </w:pPr>
      <w:r>
        <w:rPr>
          <w:lang w:val="en-CA" w:eastAsia="en-CA" w:bidi="ar-SA"/>
          <w:rFonts w:ascii="Cambria" w:hAnsi="Cambria" w:eastAsia="Cambria" w:cs="Cambria"/>
          <w:color w:val="1A1A1A"/>
          <w:sz w:val="21"/>
          <w:szCs w:val="21"/>
        </w:rPr>
        <w:t>For disputes that require resolution within a compressed timeframe to prevent automatic Step-Back or other time-bound consequences, either Party invokes the expedited procedure under Annex ES Article 8.5.</w:t>
      </w:r>
    </w:p>
    <w:p>
      <w:pPr>
        <w:pStyle w:val="Heading2"/>
      </w:pPr>
      <w:r>
        <w:rPr>
          <w:lang w:val="en-CA" w:eastAsia="en-CA" w:bidi="ar-SA"/>
          <w:rFonts w:ascii="Cambria" w:hAnsi="Cambria" w:eastAsia="Cambria" w:cs="Cambria"/>
          <w:b/>
          <w:sz w:val="26"/>
          <w:szCs w:val="26"/>
          <w:color w:val="8A7040"/>
        </w:rPr>
        <w:t>8.3 Continued Performance During Dispute</w:t>
      </w:r>
    </w:p>
    <w:p>
      <w:pPr>
        <w:pStyle w:val="Normal"/>
      </w:pPr>
      <w:r>
        <w:rPr>
          <w:lang w:val="en-CA" w:eastAsia="en-CA" w:bidi="ar-SA"/>
          <w:rFonts w:ascii="Cambria" w:hAnsi="Cambria" w:eastAsia="Cambria" w:cs="Cambria"/>
          <w:color w:val="1A1A1A"/>
          <w:sz w:val="21"/>
          <w:szCs w:val="21"/>
        </w:rPr>
        <w:t>Pending resolution of any dispute, both Parties continue to perform all obligations under this Annex that are not the subject of the dispute.</w:t>
      </w:r>
    </w:p>
    <w:p>
      <w:pPr>
        <w:pStyle w:val="Heading1"/>
      </w:pPr>
      <w:bookmarkStart w:id="10" w:name="_T9"/>
      <w:r>
        <w:rPr>
          <w:lang w:val="en-CA" w:eastAsia="en-CA" w:bidi="ar-SA"/>
          <w:rFonts w:ascii="Cambria" w:hAnsi="Cambria" w:eastAsia="Cambria" w:cs="Cambria"/>
          <w:b/>
          <w:color w:val="BF8C0D"/>
          <w:sz w:val="36"/>
          <w:szCs w:val="36"/>
        </w:rPr>
        <w:t>Article 9: Duration, Review, and Termination</w:t>
      </w:r>
      <w:bookmarkEnd w:id="10"/>
    </w:p>
    <w:p>
      <w:pPr>
        <w:pStyle w:val="Heading2"/>
      </w:pPr>
      <w:r>
        <w:rPr>
          <w:lang w:val="en-CA" w:eastAsia="en-CA" w:bidi="ar-SA"/>
          <w:rFonts w:ascii="Cambria" w:hAnsi="Cambria" w:eastAsia="Cambria" w:cs="Cambria"/>
          <w:b/>
          <w:sz w:val="26"/>
          <w:szCs w:val="26"/>
          <w:color w:val="8A7040"/>
        </w:rPr>
        <w:t>9.1 Duration</w:t>
      </w:r>
    </w:p>
    <w:p>
      <w:pPr>
        <w:pStyle w:val="Normal"/>
      </w:pPr>
      <w:r>
        <w:rPr>
          <w:lang w:val="en-CA" w:eastAsia="en-CA" w:bidi="ar-SA"/>
          <w:rFonts w:ascii="Cambria" w:hAnsi="Cambria" w:eastAsia="Cambria" w:cs="Cambria"/>
          <w:color w:val="1A1A1A"/>
          <w:sz w:val="21"/>
          <w:szCs w:val="21"/>
        </w:rPr>
        <w:t>This Annex remains in effect for the duration of the MENOC Framework, as specified in MENOC Charter Article 13.1.</w:t>
      </w:r>
    </w:p>
    <w:p>
      <w:pPr>
        <w:pStyle w:val="Heading2"/>
      </w:pPr>
      <w:r>
        <w:rPr>
          <w:lang w:val="en-CA" w:eastAsia="en-CA" w:bidi="ar-SA"/>
          <w:rFonts w:ascii="Cambria" w:hAnsi="Cambria" w:eastAsia="Cambria" w:cs="Cambria"/>
          <w:b/>
          <w:sz w:val="26"/>
          <w:szCs w:val="26"/>
          <w:color w:val="8A7040"/>
        </w:rPr>
        <w:t>9.2 Five-Year Review</w:t>
      </w:r>
    </w:p>
    <w:p>
      <w:pPr>
        <w:pStyle w:val="Normal"/>
      </w:pPr>
      <w:r>
        <w:rPr>
          <w:lang w:val="en-CA" w:eastAsia="en-CA" w:bidi="ar-SA"/>
          <w:rFonts w:ascii="Cambria" w:hAnsi="Cambria" w:eastAsia="Cambria" w:cs="Cambria"/>
          <w:color w:val="1A1A1A"/>
          <w:sz w:val="21"/>
          <w:szCs w:val="21"/>
        </w:rPr>
        <w:t>At the 5-year mark, the Joint Commission convenes a mandatory review assessing the implementation of sanctions relief, compliance with nuclear milestones, and the status of U.S. congressional action on statutory sanctions.</w:t>
      </w:r>
    </w:p>
    <w:p>
      <w:pPr>
        <w:pStyle w:val="Heading2"/>
      </w:pPr>
      <w:r>
        <w:rPr>
          <w:lang w:val="en-CA" w:eastAsia="en-CA" w:bidi="ar-SA"/>
          <w:rFonts w:ascii="Cambria" w:hAnsi="Cambria" w:eastAsia="Cambria" w:cs="Cambria"/>
          <w:b/>
          <w:sz w:val="26"/>
          <w:szCs w:val="26"/>
          <w:color w:val="8A7040"/>
        </w:rPr>
        <w:t>9.3 Termination</w:t>
      </w:r>
    </w:p>
    <w:p>
      <w:pPr>
        <w:pStyle w:val="Normal"/>
      </w:pPr>
      <w:r>
        <w:rPr>
          <w:lang w:val="en-CA" w:eastAsia="en-CA" w:bidi="ar-SA"/>
          <w:rFonts w:ascii="Cambria" w:hAnsi="Cambria" w:eastAsia="Cambria" w:cs="Cambria"/>
          <w:color w:val="1A1A1A"/>
          <w:sz w:val="21"/>
          <w:szCs w:val="21"/>
        </w:rPr>
        <w:t>This Annex terminates upon termination of the MENOC Charter. Termination does not affect sanctions relief already implemented. Termination reinstates the sanctions regime in effect prior to this Annex, subject to the non-clawback principle in Article 5.3.</w:t>
      </w:r>
    </w:p>
    <w:p>
      <w:pPr>
        <w:pStyle w:val="Heading1"/>
      </w:pPr>
      <w:bookmarkStart w:id="11" w:name="_T10"/>
      <w:r>
        <w:rPr>
          <w:lang w:val="en-CA" w:eastAsia="en-CA" w:bidi="ar-SA"/>
          <w:rFonts w:ascii="Cambria" w:hAnsi="Cambria" w:eastAsia="Cambria" w:cs="Cambria"/>
          <w:b/>
          <w:color w:val="BF8C0D"/>
          <w:sz w:val="36"/>
          <w:szCs w:val="36"/>
        </w:rPr>
        <w:t>Article 10: Relationship to Other Annexes</w:t>
      </w:r>
      <w:bookmarkEnd w:id="11"/>
    </w:p>
    <w:p>
      <w:pPr>
        <w:pStyle w:val="Normal"/>
      </w:pPr>
      <w:r>
        <w:rPr>
          <w:lang w:val="en-CA" w:eastAsia="en-CA" w:bidi="ar-SA"/>
          <w:rFonts w:ascii="Cambria" w:hAnsi="Cambria" w:eastAsia="Cambria" w:cs="Cambria"/>
          <w:color w:val="1A1A1A"/>
          <w:sz w:val="21"/>
          <w:szCs w:val="21"/>
        </w:rPr>
        <w:t>This Annex operates in conjunction with:</w:t>
      </w:r>
    </w:p>
    <w:p>
      <w:pPr>
        <w:pStyle w:val="Normal"/>
        <w:ind w:left="720" w:hanging="360"/>
      </w:pPr>
      <w:r>
        <w:rPr>
          <w:lang w:val="en-CA" w:eastAsia="en-CA" w:bidi="ar-SA"/>
          <w:rFonts w:ascii="Cambria" w:hAnsi="Cambria" w:eastAsia="Cambria" w:cs="Cambria"/>
          <w:color w:val="1A1A1A"/>
          <w:sz w:val="21"/>
          <w:szCs w:val="21"/>
          <w:b/>
        </w:rPr>
        <w:t>Annex ES (Escrow and Trigger Sequence Protocol):</w:t>
      </w:r>
      <w:r>
        <w:rPr>
          <w:lang w:val="en-CA" w:eastAsia="en-CA" w:bidi="ar-SA"/>
          <w:rFonts w:ascii="Cambria" w:hAnsi="Cambria" w:eastAsia="Cambria" w:cs="Cambria"/>
          <w:color w:val="1A1A1A"/>
          <w:sz w:val="21"/>
          <w:szCs w:val="21"/>
        </w:rPr>
        <w:t>The same verification milestones trigger both escrow release and sanctions relief. Step-Back and Earn-Back provisions apply consistently across both Annexes.</w:t>
      </w:r>
    </w:p>
    <w:p>
      <w:pPr>
        <w:pStyle w:val="Normal"/>
        <w:ind w:left="720" w:hanging="360"/>
      </w:pPr>
      <w:r>
        <w:rPr>
          <w:lang w:val="en-CA" w:eastAsia="en-CA" w:bidi="ar-SA"/>
          <w:rFonts w:ascii="Cambria" w:hAnsi="Cambria" w:eastAsia="Cambria" w:cs="Cambria"/>
          <w:color w:val="1A1A1A"/>
          <w:sz w:val="21"/>
          <w:szCs w:val="21"/>
          <w:b/>
        </w:rPr>
        <w:t>Annex EV (Verification and Transparency Protocol):</w:t>
      </w:r>
      <w:r>
        <w:rPr>
          <w:lang w:val="en-CA" w:eastAsia="en-CA" w:bidi="ar-SA"/>
          <w:rFonts w:ascii="Cambria" w:hAnsi="Cambria" w:eastAsia="Cambria" w:cs="Cambria"/>
          <w:color w:val="1A1A1A"/>
          <w:sz w:val="21"/>
          <w:szCs w:val="21"/>
        </w:rPr>
        <w:t>IAEA Verification Certificates serve as the basis for sanctions relief. IAEA non-compliance findings trigger Step-Back under both Annexes.</w:t>
      </w:r>
    </w:p>
    <w:p>
      <w:pPr>
        <w:pStyle w:val="Normal"/>
        <w:ind w:left="720" w:hanging="360"/>
      </w:pPr>
      <w:r>
        <w:rPr>
          <w:lang w:val="en-CA" w:eastAsia="en-CA" w:bidi="ar-SA"/>
          <w:rFonts w:ascii="Cambria" w:hAnsi="Cambria" w:eastAsia="Cambria" w:cs="Cambria"/>
          <w:color w:val="1A1A1A"/>
          <w:sz w:val="21"/>
          <w:szCs w:val="21"/>
          <w:b/>
        </w:rPr>
        <w:t>Annex LAES (Damaged Sites Protocol):</w:t>
      </w:r>
      <w:r>
        <w:rPr>
          <w:lang w:val="en-CA" w:eastAsia="en-CA" w:bidi="ar-SA"/>
          <w:rFonts w:ascii="Cambria" w:hAnsi="Cambria" w:eastAsia="Cambria" w:cs="Cambria"/>
          <w:color w:val="1A1A1A"/>
          <w:sz w:val="21"/>
          <w:szCs w:val="21"/>
        </w:rPr>
        <w:t>Verification access to damaged facilities enables the IAEA to issue Verification Certificates that trigger sanctions relief.</w:t>
      </w:r>
    </w:p>
    <w:p>
      <w:pPr>
        <w:pStyle w:val="Normal"/>
        <w:ind w:left="720" w:hanging="360"/>
      </w:pPr>
      <w:r>
        <w:rPr>
          <w:lang w:val="en-CA" w:eastAsia="en-CA" w:bidi="ar-SA"/>
          <w:rFonts w:ascii="Cambria" w:hAnsi="Cambria" w:eastAsia="Cambria" w:cs="Cambria"/>
          <w:color w:val="1A1A1A"/>
          <w:sz w:val="21"/>
          <w:szCs w:val="21"/>
          <w:b/>
        </w:rPr>
        <w:t>Annex RDF (Reconstruction and Development Fund Protocol):</w:t>
      </w:r>
      <w:r>
        <w:rPr>
          <w:lang w:val="en-CA" w:eastAsia="en-CA" w:bidi="ar-SA"/>
          <w:rFonts w:ascii="Cambria" w:hAnsi="Cambria" w:eastAsia="Cambria" w:cs="Cambria"/>
          <w:color w:val="1A1A1A"/>
          <w:sz w:val="21"/>
          <w:szCs w:val="21"/>
        </w:rPr>
        <w:t>Sanctions relief and reconstruction financing both flow from verified compliance. The MRF's performance-based disbursement architecture depends on the same IAEA verification that triggers sanctions relief.</w:t>
      </w:r>
    </w:p>
    <w:p>
      <w:pPr>
        <w:pStyle w:val="Normal"/>
        <w:ind w:left="720" w:hanging="360"/>
      </w:pPr>
      <w:r>
        <w:rPr>
          <w:lang w:val="en-CA" w:eastAsia="en-CA" w:bidi="ar-SA"/>
          <w:rFonts w:ascii="Cambria" w:hAnsi="Cambria" w:eastAsia="Cambria" w:cs="Cambria"/>
          <w:color w:val="1A1A1A"/>
          <w:sz w:val="21"/>
          <w:szCs w:val="21"/>
          <w:b/>
        </w:rPr>
        <w:t>MENOC Charter:</w:t>
      </w:r>
      <w:r>
        <w:rPr>
          <w:lang w:val="en-CA" w:eastAsia="en-CA" w:bidi="ar-SA"/>
          <w:rFonts w:ascii="Cambria" w:hAnsi="Cambria" w:eastAsia="Cambria" w:cs="Cambria"/>
          <w:color w:val="1A1A1A"/>
          <w:sz w:val="21"/>
          <w:szCs w:val="21"/>
        </w:rPr>
        <w:t>The Joint Commission and Joint Management Board oversee implementation. The Staged Deterrent in Charter Article 13.3 provides the overarching compliance framework, including the U.S. escalation right, the Penalty Escrow, and the Cooling-Off Period.</w:t>
      </w:r>
    </w:p>
    <w:p>
      <w:pPr>
        <w:pStyle w:val="Heading1"/>
      </w:pPr>
      <w:bookmarkStart w:id="12" w:name="_TS"/>
      <w:r>
        <w:rPr>
          <w:lang w:val="en-CA" w:eastAsia="en-CA" w:bidi="ar-SA"/>
          <w:rFonts w:ascii="Cambria" w:hAnsi="Cambria" w:eastAsia="Cambria" w:cs="Cambria"/>
          <w:b/>
          <w:color w:val="BF8C0D"/>
          <w:sz w:val="36"/>
          <w:szCs w:val="36"/>
        </w:rPr>
        <w:t>Signature Block</w:t>
      </w:r>
      <w:bookmarkEnd w:id="12"/>
    </w:p>
    <w:p>
      <w:pPr>
        <w:pStyle w:val="Normal"/>
      </w:pPr>
      <w:r>
        <w:rPr>
          <w:lang w:val="en-CA" w:eastAsia="en-CA" w:bidi="ar-SA"/>
          <w:rFonts w:ascii="Cambria" w:hAnsi="Cambria" w:eastAsia="Cambria" w:cs="Cambria"/>
          <w:color w:val="1A1A1A"/>
          <w:sz w:val="21"/>
          <w:szCs w:val="21"/>
        </w:rPr>
        <w:t>In witness whereof, the undersigned, being duly authorized by their respective governments, have signed this Annex SRCA: Sanctions Relief and Compliance Annex.</w:t>
      </w:r>
    </w:p>
    <w:p>
      <w:pPr>
        <w:pStyle w:val="Normal"/>
      </w:pPr>
      <w:r>
        <w:rPr>
          <w:lang w:val="en-CA" w:eastAsia="en-CA" w:bidi="ar-SA"/>
          <w:rFonts w:ascii="Cambria" w:hAnsi="Cambria" w:eastAsia="Cambria" w:cs="Cambria"/>
          <w:color w:val="1A1A1A"/>
          <w:sz w:val="21"/>
          <w:szCs w:val="21"/>
        </w:rPr>
        <w:t>Done at Muscat, Sultanate of Oman, this ______ day of __________, 2026, in triplicate in the English language.</w:t>
      </w:r>
    </w:p>
    <w:p>
      <w:pPr>
        <w:pStyle w:val="Normal"/>
        <w:spacing w:before="400"/>
      </w:pPr>
    </w:p>
    <w:p>
      <w:pPr>
        <w:pStyle w:val="Normal"/>
        <w:spacing w:before="360" w:after="40"/>
      </w:pPr>
      <w:r>
        <w:rPr>
          <w:b/>
          <w:sz w:val="20"/>
          <w:lang w:val="en-CA" w:eastAsia="en-CA" w:bidi="ar-SA"/>
          <w:rFonts w:ascii="Cambria" w:hAnsi="Cambria" w:eastAsia="Cambria" w:cs="Cambria"/>
          <w:color w:val="1A1A1A"/>
          <w:szCs w:val="21"/>
        </w:rPr>
        <w:t>For the Islamic Republic of Iran:</w:t>
      </w:r>
    </w:p>
    <w:p>
      <w:pPr>
        <w:pStyle w:val="Normal"/>
        <w:spacing w:before="60" w:after="40"/>
        <w:ind w:left="360"/>
      </w:pPr>
      <w:r>
        <w:rPr>
          <w:color w:val="1A1A1A"/>
          <w:sz w:val="20"/>
          <w:lang w:val="en-CA" w:eastAsia="en-CA" w:bidi="ar-SA"/>
          <w:rFonts w:ascii="Cambria" w:hAnsi="Cambria" w:eastAsia="Cambria" w:cs="Cambria"/>
          <w:szCs w:val="21"/>
        </w:rPr>
        <w:t>_________________________________</w:t>
      </w:r>
    </w:p>
    <w:p>
      <w:pPr>
        <w:pStyle w:val="Normal"/>
        <w:spacing w:before="60" w:after="40"/>
        <w:ind w:left="360"/>
      </w:pPr>
      <w:r>
        <w:rPr>
          <w:color w:val="1A1A1A"/>
          <w:sz w:val="20"/>
          <w:lang w:val="en-CA" w:eastAsia="en-CA" w:bidi="ar-SA"/>
          <w:rFonts w:ascii="Cambria" w:hAnsi="Cambria" w:eastAsia="Cambria" w:cs="Cambria"/>
          <w:szCs w:val="21"/>
        </w:rPr>
        <w:t>Name:</w:t>
      </w:r>
    </w:p>
    <w:p>
      <w:pPr>
        <w:pStyle w:val="Normal"/>
        <w:spacing w:before="60" w:after="40"/>
        <w:ind w:left="360"/>
      </w:pPr>
      <w:r>
        <w:rPr>
          <w:color w:val="1A1A1A"/>
          <w:sz w:val="20"/>
          <w:lang w:val="en-CA" w:eastAsia="en-CA" w:bidi="ar-SA"/>
          <w:rFonts w:ascii="Cambria" w:hAnsi="Cambria" w:eastAsia="Cambria" w:cs="Cambria"/>
          <w:szCs w:val="21"/>
        </w:rPr>
        <w:t>Title:</w:t>
      </w:r>
    </w:p>
    <w:p>
      <w:pPr>
        <w:pStyle w:val="Normal"/>
        <w:spacing w:before="60" w:after="40"/>
        <w:ind w:left="360"/>
      </w:pPr>
      <w:r>
        <w:rPr>
          <w:color w:val="1A1A1A"/>
          <w:sz w:val="20"/>
          <w:lang w:val="en-CA" w:eastAsia="en-CA" w:bidi="ar-SA"/>
          <w:rFonts w:ascii="Cambria" w:hAnsi="Cambria" w:eastAsia="Cambria" w:cs="Cambria"/>
          <w:szCs w:val="21"/>
        </w:rPr>
        <w:t>Date:</w:t>
      </w:r>
    </w:p>
    <w:p>
      <w:pPr>
        <w:pStyle w:val="Normal"/>
        <w:spacing w:before="360" w:after="40"/>
      </w:pPr>
      <w:r>
        <w:rPr>
          <w:lang w:val="en-CA" w:eastAsia="en-CA" w:bidi="ar-SA"/>
          <w:rFonts w:ascii="Cambria" w:hAnsi="Cambria" w:eastAsia="Cambria" w:cs="Cambria"/>
          <w:color w:val="1A1A1A"/>
          <w:sz w:val="20"/>
          <w:szCs w:val="21"/>
          <w:b/>
        </w:rPr>
        <w:t>For the United States of America:</w:t>
      </w:r>
    </w:p>
    <w:p>
      <w:pPr>
        <w:pStyle w:val="Normal"/>
        <w:spacing w:before="60" w:after="40"/>
        <w:ind w:left="360"/>
      </w:pPr>
      <w:r>
        <w:rPr>
          <w:color w:val="1A1A1A"/>
          <w:sz w:val="20"/>
          <w:lang w:val="en-CA" w:eastAsia="en-CA" w:bidi="ar-SA"/>
          <w:rFonts w:ascii="Cambria" w:hAnsi="Cambria" w:eastAsia="Cambria" w:cs="Cambria"/>
          <w:szCs w:val="21"/>
        </w:rPr>
        <w:t>_________________________________</w:t>
      </w:r>
    </w:p>
    <w:p>
      <w:pPr>
        <w:pStyle w:val="Normal"/>
        <w:spacing w:before="60" w:after="40"/>
        <w:ind w:left="360"/>
      </w:pPr>
      <w:r>
        <w:rPr>
          <w:color w:val="1A1A1A"/>
          <w:sz w:val="20"/>
          <w:lang w:val="en-CA" w:eastAsia="en-CA" w:bidi="ar-SA"/>
          <w:rFonts w:ascii="Cambria" w:hAnsi="Cambria" w:eastAsia="Cambria" w:cs="Cambria"/>
          <w:szCs w:val="21"/>
        </w:rPr>
        <w:t>Name:</w:t>
      </w:r>
    </w:p>
    <w:p>
      <w:pPr>
        <w:pStyle w:val="Normal"/>
        <w:spacing w:before="60" w:after="40"/>
        <w:ind w:left="360"/>
      </w:pPr>
      <w:r>
        <w:rPr>
          <w:color w:val="1A1A1A"/>
          <w:sz w:val="20"/>
          <w:lang w:val="en-CA" w:eastAsia="en-CA" w:bidi="ar-SA"/>
          <w:rFonts w:ascii="Cambria" w:hAnsi="Cambria" w:eastAsia="Cambria" w:cs="Cambria"/>
          <w:szCs w:val="21"/>
        </w:rPr>
        <w:t>Title:</w:t>
      </w:r>
    </w:p>
    <w:p>
      <w:pPr>
        <w:pStyle w:val="Normal"/>
        <w:spacing w:before="60" w:after="40"/>
        <w:ind w:left="360"/>
      </w:pPr>
      <w:r>
        <w:rPr>
          <w:color w:val="1A1A1A"/>
          <w:sz w:val="20"/>
          <w:lang w:val="en-CA" w:eastAsia="en-CA" w:bidi="ar-SA"/>
          <w:rFonts w:ascii="Cambria" w:hAnsi="Cambria" w:eastAsia="Cambria" w:cs="Cambria"/>
          <w:szCs w:val="21"/>
        </w:rPr>
        <w:t>Date:</w:t>
      </w:r>
    </w:p>
    <w:p>
      <w:pPr>
        <w:pStyle w:val="Normal"/>
        <w:spacing w:before="360" w:after="40"/>
      </w:pPr>
      <w:r>
        <w:rPr>
          <w:b/>
          <w:sz w:val="20"/>
          <w:lang w:val="en-CA" w:eastAsia="en-CA" w:bidi="ar-SA"/>
          <w:rFonts w:ascii="Cambria" w:hAnsi="Cambria" w:eastAsia="Cambria" w:cs="Cambria"/>
          <w:color w:val="1A1A1A"/>
          <w:szCs w:val="21"/>
        </w:rPr>
        <w:t>For the European Union:</w:t>
      </w:r>
    </w:p>
    <w:p>
      <w:pPr>
        <w:pStyle w:val="Normal"/>
        <w:spacing w:before="60" w:after="40"/>
        <w:ind w:left="360"/>
      </w:pPr>
      <w:r>
        <w:rPr>
          <w:color w:val="1A1A1A"/>
          <w:sz w:val="20"/>
          <w:lang w:val="en-CA" w:eastAsia="en-CA" w:bidi="ar-SA"/>
          <w:rFonts w:ascii="Cambria" w:hAnsi="Cambria" w:eastAsia="Cambria" w:cs="Cambria"/>
          <w:szCs w:val="21"/>
        </w:rPr>
        <w:t>_________________________________</w:t>
      </w:r>
    </w:p>
    <w:p>
      <w:pPr>
        <w:pStyle w:val="Normal"/>
        <w:spacing w:before="60" w:after="40"/>
        <w:ind w:left="360"/>
      </w:pPr>
      <w:r>
        <w:rPr>
          <w:color w:val="1A1A1A"/>
          <w:sz w:val="20"/>
          <w:lang w:val="en-CA" w:eastAsia="en-CA" w:bidi="ar-SA"/>
          <w:rFonts w:ascii="Cambria" w:hAnsi="Cambria" w:eastAsia="Cambria" w:cs="Cambria"/>
          <w:szCs w:val="21"/>
        </w:rPr>
        <w:t>Name:</w:t>
      </w:r>
    </w:p>
    <w:p>
      <w:pPr>
        <w:pStyle w:val="Normal"/>
        <w:spacing w:before="60" w:after="40"/>
        <w:ind w:left="360"/>
      </w:pPr>
      <w:r>
        <w:rPr>
          <w:color w:val="1A1A1A"/>
          <w:sz w:val="20"/>
          <w:lang w:val="en-CA" w:eastAsia="en-CA" w:bidi="ar-SA"/>
          <w:rFonts w:ascii="Cambria" w:hAnsi="Cambria" w:eastAsia="Cambria" w:cs="Cambria"/>
          <w:szCs w:val="21"/>
        </w:rPr>
        <w:t>Title:</w:t>
      </w:r>
    </w:p>
    <w:p>
      <w:pPr>
        <w:pStyle w:val="Normal"/>
        <w:spacing w:before="60" w:after="40"/>
        <w:ind w:left="360"/>
      </w:pPr>
      <w:r>
        <w:rPr>
          <w:color w:val="1A1A1A"/>
          <w:sz w:val="20"/>
          <w:lang w:val="en-CA" w:eastAsia="en-CA" w:bidi="ar-SA"/>
          <w:rFonts w:ascii="Cambria" w:hAnsi="Cambria" w:eastAsia="Cambria" w:cs="Cambria"/>
          <w:szCs w:val="21"/>
        </w:rPr>
        <w:t>Date:</w:t>
      </w:r>
    </w:p>
    <w:p>
      <w:pPr>
        <w:pStyle w:val="Normal"/>
        <w:spacing w:before="360" w:after="40"/>
      </w:pPr>
      <w:r>
        <w:rPr>
          <w:b/>
          <w:sz w:val="20"/>
          <w:lang w:val="en-CA" w:eastAsia="en-CA" w:bidi="ar-SA"/>
          <w:rFonts w:ascii="Cambria" w:hAnsi="Cambria" w:eastAsia="Cambria" w:cs="Cambria"/>
          <w:color w:val="1A1A1A"/>
          <w:szCs w:val="21"/>
        </w:rPr>
        <w:t>For the Russian Federation:</w:t>
      </w:r>
    </w:p>
    <w:p>
      <w:pPr>
        <w:pStyle w:val="Normal"/>
        <w:spacing w:before="60" w:after="40"/>
        <w:ind w:left="360"/>
      </w:pPr>
      <w:r>
        <w:rPr>
          <w:color w:val="1A1A1A"/>
          <w:sz w:val="20"/>
          <w:lang w:val="en-CA" w:eastAsia="en-CA" w:bidi="ar-SA"/>
          <w:rFonts w:ascii="Cambria" w:hAnsi="Cambria" w:eastAsia="Cambria" w:cs="Cambria"/>
          <w:szCs w:val="21"/>
        </w:rPr>
        <w:t>_________________________________</w:t>
      </w:r>
    </w:p>
    <w:p>
      <w:pPr>
        <w:pStyle w:val="Normal"/>
        <w:spacing w:before="60" w:after="40"/>
        <w:ind w:left="360"/>
      </w:pPr>
      <w:r>
        <w:rPr>
          <w:color w:val="1A1A1A"/>
          <w:sz w:val="20"/>
          <w:lang w:val="en-CA" w:eastAsia="en-CA" w:bidi="ar-SA"/>
          <w:rFonts w:ascii="Cambria" w:hAnsi="Cambria" w:eastAsia="Cambria" w:cs="Cambria"/>
          <w:szCs w:val="21"/>
        </w:rPr>
        <w:t>Name:</w:t>
      </w:r>
    </w:p>
    <w:p>
      <w:pPr>
        <w:pStyle w:val="Normal"/>
        <w:spacing w:before="60" w:after="40"/>
        <w:ind w:left="360"/>
      </w:pPr>
      <w:r>
        <w:rPr>
          <w:color w:val="1A1A1A"/>
          <w:sz w:val="20"/>
          <w:lang w:val="en-CA" w:eastAsia="en-CA" w:bidi="ar-SA"/>
          <w:rFonts w:ascii="Cambria" w:hAnsi="Cambria" w:eastAsia="Cambria" w:cs="Cambria"/>
          <w:szCs w:val="21"/>
        </w:rPr>
        <w:t>Title:</w:t>
      </w:r>
    </w:p>
    <w:p>
      <w:pPr>
        <w:pStyle w:val="Normal"/>
        <w:spacing w:before="60" w:after="40"/>
        <w:ind w:left="360"/>
      </w:pPr>
      <w:r>
        <w:rPr>
          <w:color w:val="1A1A1A"/>
          <w:sz w:val="20"/>
          <w:lang w:val="en-CA" w:eastAsia="en-CA" w:bidi="ar-SA"/>
          <w:rFonts w:ascii="Cambria" w:hAnsi="Cambria" w:eastAsia="Cambria" w:cs="Cambria"/>
          <w:szCs w:val="21"/>
        </w:rPr>
        <w:t>Date:</w:t>
      </w:r>
    </w:p>
    <w:p>
      <w:pPr>
        <w:pStyle w:val="Normal"/>
        <w:spacing w:before="360" w:after="40"/>
      </w:pPr>
      <w:r>
        <w:rPr>
          <w:b/>
          <w:sz w:val="20"/>
          <w:lang w:val="en-CA" w:eastAsia="en-CA" w:bidi="ar-SA"/>
          <w:rFonts w:ascii="Cambria" w:hAnsi="Cambria" w:eastAsia="Cambria" w:cs="Cambria"/>
          <w:color w:val="1A1A1A"/>
          <w:szCs w:val="21"/>
        </w:rPr>
        <w:t>For the Sultanate of Oman (Host State):</w:t>
      </w:r>
    </w:p>
    <w:p>
      <w:pPr>
        <w:pStyle w:val="Normal"/>
        <w:spacing w:before="60" w:after="40"/>
        <w:ind w:left="360"/>
      </w:pPr>
      <w:r>
        <w:rPr>
          <w:color w:val="1A1A1A"/>
          <w:sz w:val="20"/>
          <w:lang w:val="en-CA" w:eastAsia="en-CA" w:bidi="ar-SA"/>
          <w:rFonts w:ascii="Cambria" w:hAnsi="Cambria" w:eastAsia="Cambria" w:cs="Cambria"/>
          <w:szCs w:val="21"/>
        </w:rPr>
        <w:t>_________________________________</w:t>
      </w:r>
    </w:p>
    <w:p>
      <w:pPr>
        <w:pStyle w:val="Normal"/>
        <w:spacing w:before="60" w:after="40"/>
        <w:ind w:left="360"/>
      </w:pPr>
      <w:r>
        <w:rPr>
          <w:color w:val="1A1A1A"/>
          <w:sz w:val="20"/>
          <w:lang w:val="en-CA" w:eastAsia="en-CA" w:bidi="ar-SA"/>
          <w:rFonts w:ascii="Cambria" w:hAnsi="Cambria" w:eastAsia="Cambria" w:cs="Cambria"/>
          <w:szCs w:val="21"/>
        </w:rPr>
        <w:t>Name:</w:t>
      </w:r>
    </w:p>
    <w:p>
      <w:pPr>
        <w:pStyle w:val="Normal"/>
        <w:spacing w:before="60" w:after="40"/>
        <w:ind w:left="360"/>
      </w:pPr>
      <w:r>
        <w:rPr>
          <w:color w:val="1A1A1A"/>
          <w:sz w:val="20"/>
          <w:lang w:val="en-CA" w:eastAsia="en-CA" w:bidi="ar-SA"/>
          <w:rFonts w:ascii="Cambria" w:hAnsi="Cambria" w:eastAsia="Cambria" w:cs="Cambria"/>
          <w:szCs w:val="21"/>
        </w:rPr>
        <w:t>Title:</w:t>
      </w:r>
    </w:p>
    <w:p>
      <w:pPr>
        <w:pStyle w:val="Normal"/>
        <w:spacing w:before="60" w:after="40"/>
        <w:ind w:left="360"/>
      </w:pPr>
      <w:r>
        <w:rPr>
          <w:color w:val="1A1A1A"/>
          <w:sz w:val="20"/>
          <w:lang w:val="en-CA" w:eastAsia="en-CA" w:bidi="ar-SA"/>
          <w:rFonts w:ascii="Cambria" w:hAnsi="Cambria" w:eastAsia="Cambria" w:cs="Cambria"/>
          <w:szCs w:val="21"/>
        </w:rPr>
        <w:t>Date:</w:t>
      </w:r>
    </w:p>
    <w:p>
      <w:pPr>
        <w:pStyle w:val="Heading1"/>
      </w:pPr>
      <w:bookmarkStart w:id="13" w:name="_TM"/>
      <w:r>
        <w:rPr>
          <w:lang w:val="en-CA" w:eastAsia="en-CA" w:bidi="ar-SA"/>
          <w:rFonts w:ascii="Cambria" w:hAnsi="Cambria" w:eastAsia="Cambria" w:cs="Cambria"/>
          <w:b/>
          <w:color w:val="BF8C0D"/>
          <w:sz w:val="36"/>
          <w:szCs w:val="36"/>
        </w:rPr>
        <w:t>Summary</w:t>
      </w:r>
      <w:bookmarkEnd w:id="13"/>
    </w:p>
    <w:p>
      <w:pPr>
        <w:pStyle w:val="Normal"/>
      </w:pPr>
      <w:r>
        <w:rPr>
          <w:lang w:val="en-CA" w:eastAsia="en-CA" w:bidi="ar-SA"/>
          <w:rFonts w:ascii="Cambria" w:hAnsi="Cambria" w:eastAsia="Cambria" w:cs="Cambria"/>
          <w:color w:val="1A1A1A"/>
          <w:sz w:val="21"/>
          <w:szCs w:val="21"/>
        </w:rPr>
        <w:t>Annex SRCA provides the phased, performance-based framework for sanctions relief. The following table summarizes the key features:</w:t>
      </w:r>
    </w:p>
    <w:tbl>
      <w:tblPr>
        <w:tblStyle w:val="TableNormal"/>
        <w:tblW w:w="5000" w:type="pct"/>
        <w:tblInd w:w="10" w:type="dxa"/>
        <w:tblBorders>
          <w:top w:val="single" w:sz="12" w:space="0" w:color="1A2744"/>
          <w:left w:val="nil"/>
          <w:bottom w:val="single" w:sz="12" w:space="0" w:color="1A2744"/>
          <w:right w:val="nil"/>
          <w:insideH w:val="single" w:sz="4" w:space="0" w:color="C8C3B5"/>
          <w:insideV w:val="nil"/>
        </w:tblBorders>
        <w:tblCellMar>
          <w:left w:w="10" w:type="dxa"/>
          <w:right w:w="10" w:type="dxa"/>
        </w:tblCellMar>
        <w:tblLook w:val="04A0" w:firstRow="1" w:lastRow="0" w:firstColumn="1" w:lastColumn="0" w:noHBand="0" w:noVBand="1"/>
      </w:tblPr>
      <w:tblGrid>
        <w:gridCol w:w="3166"/>
        <w:gridCol w:w="5880"/>
      </w:tblGrid>
      <w:tr>
        <w:tblPrEx>
          <w:tblCellMar>
            <w:top w:w="0" w:type="dxa"/>
            <w:bottom w:w="0" w:type="dxa"/>
          </w:tblCellMar>
        </w:tblPrEx>
        <w:trPr>
          <w:tblHeader w:val="1"/>
        </w:trPr>
        <w:tc>
          <w:tcPr>
            <w:tcW w:w="3166" w:type="dxa"/>
            <w:shd w:val="clear" w:color="auto" w:fill="F5F0E0"/>
          </w:tcPr>
          <w:p>
            <w:pPr>
              <w:pStyle w:val="Normal"/>
              <w:spacing w:before="40" w:after="40"/>
              <w:jc w:val="left"/>
            </w:pPr>
            <w:r>
              <w:rPr>
                <w:b/>
                <w:sz w:val="19"/>
                <w:lang w:val="en-CA" w:eastAsia="en-CA" w:bidi="ar-SA"/>
                <w:rFonts w:ascii="Cambria" w:hAnsi="Cambria" w:eastAsia="Cambria" w:cs="Cambria"/>
                <w:color w:val="1A1A1A"/>
                <w:szCs w:val="21"/>
              </w:rPr>
              <w:t>Feature</w:t>
            </w:r>
          </w:p>
        </w:tc>
        <w:tc>
          <w:tcPr>
            <w:tcW w:w="5880" w:type="dxa"/>
            <w:shd w:val="clear" w:color="auto" w:fill="F5F0E0"/>
          </w:tcPr>
          <w:p>
            <w:pPr>
              <w:pStyle w:val="Normal"/>
              <w:spacing w:before="40" w:after="40"/>
              <w:jc w:val="left"/>
            </w:pPr>
            <w:r>
              <w:rPr>
                <w:b/>
                <w:sz w:val="19"/>
                <w:lang w:val="en-CA" w:eastAsia="en-CA" w:bidi="ar-SA"/>
                <w:rFonts w:ascii="Cambria" w:hAnsi="Cambria" w:eastAsia="Cambria" w:cs="Cambria"/>
                <w:color w:val="1A1A1A"/>
                <w:szCs w:val="21"/>
              </w:rPr>
              <w:t>Provision</w:t>
            </w:r>
          </w:p>
        </w:tc>
      </w:tr>
      <w:tr>
        <w:tblPrEx>
          <w:tblCellMar>
            <w:top w:w="0" w:type="dxa"/>
            <w:bottom w:w="0" w:type="dxa"/>
          </w:tblCellMar>
        </w:tblPrEx>
        <w:tc>
          <w:tcPr>
            <w:tcW w:w="3166" w:type="dxa"/>
          </w:tcPr>
          <w:p>
            <w:pPr>
              <w:pStyle w:val="Normal"/>
              <w:spacing w:before="40" w:after="40"/>
              <w:jc w:val="left"/>
            </w:pPr>
            <w:r>
              <w:rPr>
                <w:color w:val="1A1A1A"/>
                <w:sz w:val="19"/>
                <w:lang w:val="en-CA" w:eastAsia="en-CA" w:bidi="ar-SA"/>
                <w:rFonts w:ascii="Cambria" w:hAnsi="Cambria" w:eastAsia="Cambria" w:cs="Cambria"/>
                <w:szCs w:val="21"/>
              </w:rPr>
              <w:t>Relief architecture</w:t>
            </w:r>
          </w:p>
        </w:tc>
        <w:tc>
          <w:tcPr>
            <w:tcW w:w="5880" w:type="dxa"/>
          </w:tcPr>
          <w:p>
            <w:pPr>
              <w:pStyle w:val="Normal"/>
              <w:spacing w:before="40" w:after="40"/>
              <w:jc w:val="left"/>
            </w:pPr>
            <w:r>
              <w:rPr>
                <w:color w:val="1A1A1A"/>
                <w:sz w:val="19"/>
                <w:lang w:val="en-CA" w:eastAsia="en-CA" w:bidi="ar-SA"/>
                <w:rFonts w:ascii="Cambria" w:hAnsi="Cambria" w:eastAsia="Cambria" w:cs="Cambria"/>
                <w:szCs w:val="21"/>
              </w:rPr>
              <w:t>Article 2: Earned, performance-based, synchronized with verification milestones</w:t>
            </w:r>
          </w:p>
        </w:tc>
      </w:tr>
      <w:tr>
        <w:tblPrEx>
          <w:tblCellMar>
            <w:top w:w="0" w:type="dxa"/>
            <w:bottom w:w="0" w:type="dxa"/>
          </w:tblCellMar>
        </w:tblPrEx>
        <w:tc>
          <w:tcPr>
            <w:tcW w:w="3166" w:type="dxa"/>
          </w:tcPr>
          <w:p>
            <w:pPr>
              <w:pStyle w:val="Normal"/>
              <w:spacing w:before="40" w:after="40"/>
              <w:jc w:val="left"/>
            </w:pPr>
            <w:r>
              <w:rPr>
                <w:color w:val="1A1A1A"/>
                <w:sz w:val="19"/>
                <w:lang w:val="en-CA" w:eastAsia="en-CA" w:bidi="ar-SA"/>
                <w:rFonts w:ascii="Cambria" w:hAnsi="Cambria" w:eastAsia="Cambria" w:cs="Cambria"/>
                <w:szCs w:val="21"/>
              </w:rPr>
              <w:t>Relief tranches</w:t>
            </w:r>
          </w:p>
        </w:tc>
        <w:tc>
          <w:tcPr>
            <w:tcW w:w="5880" w:type="dxa"/>
          </w:tcPr>
          <w:p>
            <w:pPr>
              <w:pStyle w:val="Normal"/>
              <w:spacing w:before="40" w:after="40"/>
              <w:jc w:val="left"/>
            </w:pPr>
            <w:r>
              <w:rPr>
                <w:color w:val="1A1A1A"/>
                <w:sz w:val="19"/>
                <w:lang w:val="en-CA" w:eastAsia="en-CA" w:bidi="ar-SA"/>
                <w:rFonts w:ascii="Cambria" w:hAnsi="Cambria" w:eastAsia="Cambria" w:cs="Cambria"/>
                <w:szCs w:val="21"/>
              </w:rPr>
              <w:t>Article 3: Tranche 1 (HEU Verification), Tranche 2 (Downblending)</w:t>
            </w:r>
          </w:p>
        </w:tc>
      </w:tr>
      <w:tr>
        <w:tblPrEx>
          <w:tblCellMar>
            <w:top w:w="0" w:type="dxa"/>
            <w:bottom w:w="0" w:type="dxa"/>
          </w:tblCellMar>
        </w:tblPrEx>
        <w:tc>
          <w:tcPr>
            <w:tcW w:w="3166" w:type="dxa"/>
          </w:tcPr>
          <w:p>
            <w:pPr>
              <w:pStyle w:val="Normal"/>
              <w:spacing w:before="40" w:after="40"/>
              <w:jc w:val="left"/>
            </w:pPr>
            <w:r>
              <w:rPr>
                <w:color w:val="1A1A1A"/>
                <w:sz w:val="19"/>
                <w:lang w:val="en-CA" w:eastAsia="en-CA" w:bidi="ar-SA"/>
                <w:rFonts w:ascii="Cambria" w:hAnsi="Cambria" w:eastAsia="Cambria" w:cs="Cambria"/>
                <w:szCs w:val="21"/>
              </w:rPr>
              <w:t>Verification</w:t>
            </w:r>
          </w:p>
        </w:tc>
        <w:tc>
          <w:tcPr>
            <w:tcW w:w="5880" w:type="dxa"/>
          </w:tcPr>
          <w:p>
            <w:pPr>
              <w:pStyle w:val="Normal"/>
              <w:spacing w:before="40" w:after="40"/>
              <w:jc w:val="left"/>
            </w:pPr>
            <w:r>
              <w:rPr>
                <w:color w:val="1A1A1A"/>
                <w:sz w:val="19"/>
                <w:lang w:val="en-CA" w:eastAsia="en-CA" w:bidi="ar-SA"/>
                <w:rFonts w:ascii="Cambria" w:hAnsi="Cambria" w:eastAsia="Cambria" w:cs="Cambria"/>
                <w:szCs w:val="21"/>
              </w:rPr>
              <w:t>Article 4: IAEA-led, binding technical findings</w:t>
            </w:r>
          </w:p>
        </w:tc>
      </w:tr>
      <w:tr>
        <w:tblPrEx>
          <w:tblCellMar>
            <w:top w:w="0" w:type="dxa"/>
            <w:bottom w:w="0" w:type="dxa"/>
          </w:tblCellMar>
        </w:tblPrEx>
        <w:tc>
          <w:tcPr>
            <w:tcW w:w="3166" w:type="dxa"/>
          </w:tcPr>
          <w:p>
            <w:pPr>
              <w:pStyle w:val="Normal"/>
              <w:spacing w:before="40" w:after="40"/>
              <w:jc w:val="left"/>
            </w:pPr>
            <w:r>
              <w:rPr>
                <w:color w:val="1A1A1A"/>
                <w:sz w:val="19"/>
                <w:lang w:val="en-CA" w:eastAsia="en-CA" w:bidi="ar-SA"/>
                <w:rFonts w:ascii="Cambria" w:hAnsi="Cambria" w:eastAsia="Cambria" w:cs="Cambria"/>
                <w:szCs w:val="21"/>
              </w:rPr>
              <w:t>Step-Back / Earn-Back</w:t>
            </w:r>
          </w:p>
        </w:tc>
        <w:tc>
          <w:tcPr>
            <w:tcW w:w="5880" w:type="dxa"/>
          </w:tcPr>
          <w:p>
            <w:pPr>
              <w:pStyle w:val="Normal"/>
              <w:spacing w:before="40" w:after="40"/>
              <w:jc w:val="left"/>
            </w:pPr>
            <w:r>
              <w:rPr>
                <w:color w:val="1A1A1A"/>
                <w:sz w:val="19"/>
                <w:lang w:val="en-CA" w:eastAsia="en-CA" w:bidi="ar-SA"/>
                <w:rFonts w:ascii="Cambria" w:hAnsi="Cambria" w:eastAsia="Cambria" w:cs="Cambria"/>
                <w:szCs w:val="21"/>
              </w:rPr>
              <w:t>Article 5: Automatic suspension, no clawback, restoration upon compliance</w:t>
            </w:r>
          </w:p>
        </w:tc>
      </w:tr>
      <w:tr>
        <w:tblPrEx>
          <w:tblCellMar>
            <w:top w:w="0" w:type="dxa"/>
            <w:bottom w:w="0" w:type="dxa"/>
          </w:tblCellMar>
        </w:tblPrEx>
        <w:tc>
          <w:tcPr>
            <w:tcW w:w="3166" w:type="dxa"/>
          </w:tcPr>
          <w:p>
            <w:pPr>
              <w:pStyle w:val="Normal"/>
              <w:spacing w:before="40" w:after="40"/>
              <w:jc w:val="left"/>
            </w:pPr>
            <w:r>
              <w:rPr>
                <w:color w:val="1A1A1A"/>
                <w:sz w:val="19"/>
                <w:lang w:val="en-CA" w:eastAsia="en-CA" w:bidi="ar-SA"/>
                <w:rFonts w:ascii="Cambria" w:hAnsi="Cambria" w:eastAsia="Cambria" w:cs="Cambria"/>
                <w:szCs w:val="21"/>
              </w:rPr>
              <w:t>U.S. congressional constraints</w:t>
            </w:r>
          </w:p>
        </w:tc>
        <w:tc>
          <w:tcPr>
            <w:tcW w:w="5880" w:type="dxa"/>
          </w:tcPr>
          <w:p>
            <w:pPr>
              <w:pStyle w:val="Normal"/>
              <w:spacing w:before="40" w:after="40"/>
              <w:jc w:val="left"/>
            </w:pPr>
            <w:r>
              <w:rPr>
                <w:color w:val="1A1A1A"/>
                <w:sz w:val="19"/>
                <w:lang w:val="en-CA" w:eastAsia="en-CA" w:bidi="ar-SA"/>
                <w:rFonts w:ascii="Cambria" w:hAnsi="Cambria" w:eastAsia="Cambria" w:cs="Cambria"/>
                <w:szCs w:val="21"/>
              </w:rPr>
              <w:t>Article 6: Good-faith effort to secure legislative authorization</w:t>
            </w:r>
          </w:p>
        </w:tc>
      </w:tr>
      <w:tr>
        <w:tblPrEx>
          <w:tblCellMar>
            <w:top w:w="0" w:type="dxa"/>
            <w:bottom w:w="0" w:type="dxa"/>
          </w:tblCellMar>
        </w:tblPrEx>
        <w:tc>
          <w:tcPr>
            <w:tcW w:w="3166" w:type="dxa"/>
          </w:tcPr>
          <w:p>
            <w:pPr>
              <w:pStyle w:val="Normal"/>
              <w:spacing w:before="40" w:after="40"/>
              <w:jc w:val="left"/>
            </w:pPr>
            <w:r>
              <w:rPr>
                <w:color w:val="1A1A1A"/>
                <w:sz w:val="19"/>
                <w:lang w:val="en-CA" w:eastAsia="en-CA" w:bidi="ar-SA"/>
                <w:rFonts w:ascii="Cambria" w:hAnsi="Cambria" w:eastAsia="Cambria" w:cs="Cambria"/>
                <w:szCs w:val="21"/>
              </w:rPr>
              <w:t>Dispute resolution</w:t>
            </w:r>
          </w:p>
        </w:tc>
        <w:tc>
          <w:tcPr>
            <w:tcW w:w="5880" w:type="dxa"/>
          </w:tcPr>
          <w:p>
            <w:pPr>
              <w:pStyle w:val="Normal"/>
              <w:spacing w:before="40" w:after="40"/>
              <w:jc w:val="left"/>
            </w:pPr>
            <w:r>
              <w:rPr>
                <w:color w:val="1A1A1A"/>
                <w:sz w:val="19"/>
                <w:lang w:val="en-CA" w:eastAsia="en-CA" w:bidi="ar-SA"/>
                <w:rFonts w:ascii="Cambria" w:hAnsi="Cambria" w:eastAsia="Cambria" w:cs="Cambria"/>
                <w:szCs w:val="21"/>
              </w:rPr>
              <w:t>Article 8: Tiered process, expedited procedure for time-sensitive disputes</w:t>
            </w:r>
          </w:p>
        </w:tc>
      </w:tr>
      <w:tr>
        <w:tblPrEx>
          <w:tblCellMar>
            <w:top w:w="0" w:type="dxa"/>
            <w:bottom w:w="0" w:type="dxa"/>
          </w:tblCellMar>
        </w:tblPrEx>
        <w:tc>
          <w:tcPr>
            <w:tcW w:w="3166" w:type="dxa"/>
          </w:tcPr>
          <w:p>
            <w:pPr>
              <w:pStyle w:val="Normal"/>
              <w:spacing w:before="40" w:after="40"/>
              <w:jc w:val="left"/>
            </w:pPr>
            <w:r>
              <w:rPr>
                <w:color w:val="1A1A1A"/>
                <w:sz w:val="19"/>
                <w:lang w:val="en-CA" w:eastAsia="en-CA" w:bidi="ar-SA"/>
                <w:rFonts w:ascii="Cambria" w:hAnsi="Cambria" w:eastAsia="Cambria" w:cs="Cambria"/>
                <w:szCs w:val="21"/>
              </w:rPr>
              <w:t>Duration</w:t>
            </w:r>
          </w:p>
        </w:tc>
        <w:tc>
          <w:tcPr>
            <w:tcW w:w="5880" w:type="dxa"/>
          </w:tcPr>
          <w:p>
            <w:pPr>
              <w:pStyle w:val="Normal"/>
              <w:spacing w:before="40" w:after="40"/>
              <w:jc w:val="left"/>
            </w:pPr>
            <w:r>
              <w:rPr>
                <w:color w:val="1A1A1A"/>
                <w:sz w:val="19"/>
                <w:lang w:val="en-CA" w:eastAsia="en-CA" w:bidi="ar-SA"/>
                <w:rFonts w:ascii="Cambria" w:hAnsi="Cambria" w:eastAsia="Cambria" w:cs="Cambria"/>
                <w:szCs w:val="21"/>
              </w:rPr>
              <w:t>Article 9: Linked to MENOC Charter 25-year framework, 5-year review</w:t>
            </w:r>
          </w:p>
        </w:tc>
      </w:tr>
    </w:tbl>
    <w:p>
      <w:pPr>
        <w:pStyle w:val="Normal"/>
        <w:sectPr w:rsidR="00D320C7">
          <w:headerReference w:type="default" r:id="rId7"/>
          <w:footerReference w:type="default" r:id="rId8"/>
          <w:pgSz w:w="11906" w:h="16838"/>
          <w:pgMar w:top="1800" w:right="1440" w:bottom="1440" w:left="1440" w:header="720" w:footer="720" w:gutter="0"/>
          <w:cols w:space="720"/>
        </w:sectPr>
      </w:pPr>
    </w:p>
    <w:p>
      <w:pPr>
        <w:pStyle w:val="Normal"/>
      </w:pPr>
      <w:r>
        <w:rPr>
          <w:noProof/>
        </w:rPr>
        <w:lastRenderedPageBreak/>
        <w:drawing>
          <wp:anchor distT="0" distB="0" distL="0" distR="0" simplePos="0" relativeHeight="251658240" behindDoc="1" locked="0" layoutInCell="1" allowOverlap="1" wp14:anchorId="3C311403" wp14:editId="41D982C5">
            <wp:simplePos x="0" y="0"/>
            <wp:positionH relativeFrom="page">
              <wp:posOffset>0</wp:posOffset>
            </wp:positionH>
            <wp:positionV relativeFrom="page">
              <wp:posOffset>0</wp:posOffset>
            </wp:positionV>
            <wp:extent cx="7560000" cy="10692000"/>
            <wp:effectExtent l="0" t="0" r="0" b="0"/>
            <wp:wrapNone/>
            <wp:docPr id="3" name="Bk"/>
            <wp:cNvGraphicFramePr>
              <a:graphicFrameLocks noChangeAspect="1"/>
            </wp:cNvGraphicFramePr>
            <a:graphic>
              <a:graphicData uri="http://schemas.openxmlformats.org/drawingml/2006/picture">
                <pic:pic>
                  <pic:nvPicPr>
                    <pic:cNvPr id="0" name="Bk.png"/>
                    <pic:cNvPicPr/>
                  </pic:nvPicPr>
                  <pic:blipFill>
                    <a:blip r:embed="rId9"/>
                    <a:stretch>
                      <a:fillRect/>
                    </a:stretch>
                  </pic:blipFill>
                  <pic:spPr>
                    <a:xfrm>
                      <a:off x="0" y="0"/>
                      <a:ext cx="7560000" cy="10692000"/>
                    </a:xfrm>
                    <a:prstGeom prst="rect">
                      <a:avLst/>
                    </a:prstGeom>
                  </pic:spPr>
                </pic:pic>
              </a:graphicData>
            </a:graphic>
          </wp:anchor>
        </w:drawing>
      </w:r>
    </w:p>
    <w:p>
      <w:pPr>
        <w:pStyle w:val="Normal"/>
        <w:spacing w:before="6000"/>
        <w:jc w:val="center"/>
      </w:pPr>
      <w:r>
        <w:rPr>
          <w:b/>
          <w:color w:val="1A2744"/>
          <w:sz w:val="40"/>
          <w:lang w:val="en-CA" w:eastAsia="en-CA" w:bidi="ar-SA"/>
          <w:rFonts w:ascii="Cambria" w:hAnsi="Cambria" w:eastAsia="Cambria" w:cs="Cambria"/>
          <w:szCs w:val="21"/>
        </w:rPr>
        <w:t>Annex SRCA</w:t>
      </w:r>
    </w:p>
    <w:p>
      <w:pPr>
        <w:pStyle w:val="Normal"/>
        <w:spacing w:before="160"/>
        <w:jc w:val="center"/>
      </w:pPr>
      <w:r>
        <w:rPr>
          <w:color w:val="A6894A"/>
          <w:sz w:val="22"/>
          <w:lang w:val="en-CA" w:eastAsia="en-CA" w:bidi="ar-SA"/>
          <w:rFonts w:ascii="Cambria" w:hAnsi="Cambria" w:eastAsia="Cambria" w:cs="Cambria"/>
          <w:szCs w:val="21"/>
        </w:rPr>
        <w:t>Sanctions Relief and Compliance Annex</w:t>
      </w:r>
    </w:p>
    <w:p>
      <w:pPr>
        <w:pStyle w:val="Normal"/>
        <w:spacing w:before="400"/>
        <w:jc w:val="center"/>
      </w:pPr>
      <w:r>
        <w:rPr>
          <w:color w:val="1A1A1A"/>
          <w:sz w:val="18"/>
          <w:lang w:val="en-CA" w:eastAsia="en-CA" w:bidi="ar-SA"/>
          <w:rFonts w:ascii="Cambria" w:hAnsi="Cambria" w:eastAsia="Cambria" w:cs="Cambria"/>
          <w:szCs w:val="21"/>
        </w:rPr>
        <w:t>Relief Is Earned. Verification Is Binding. Compliance Is Reversible.</w:t>
      </w:r>
    </w:p>
    <w:p>
      <w:pPr>
        <w:pStyle w:val="Normal"/>
        <w:spacing w:before="300"/>
        <w:jc w:val="center"/>
      </w:pPr>
      <w:r>
        <w:rPr>
          <w:color w:val="1A1A1A"/>
          <w:sz w:val="16"/>
          <w:lang w:val="en-CA" w:eastAsia="en-CA" w:bidi="ar-SA"/>
          <w:rFonts w:ascii="Cambria" w:hAnsi="Cambria" w:eastAsia="Cambria" w:cs="Cambria"/>
          <w:szCs w:val="21"/>
        </w:rPr>
        <w:t xml:space="preserve">Muscat, Sultanate of Oman  |  June 2026</w:t>
      </w:r>
    </w:p>
    <w:sectPr w:rsidR="00D320C7">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1F90D" w14:textId="77777777" w:rsidR="00A466BB" w:rsidRDefault="00A466BB">
      <w:pPr>
        <w:spacing w:after="0" w:line="240" w:lineRule="auto"/>
      </w:pPr>
      <w:r>
        <w:separator/>
      </w:r>
    </w:p>
  </w:endnote>
  <w:endnote w:type="continuationSeparator" w:id="0">
    <w:p w14:paraId="79A7A392" w14:textId="77777777" w:rsidR="00A466BB" w:rsidRDefault="00A466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D0A67" w14:textId="77777777" w:rsidR="00D320C7" w:rsidRDefault="00000000">
    <w:pPr>
      <w:jc w:val="center"/>
    </w:pPr>
    <w:r>
      <w:rPr>
        <w:color w:val="7A7A7A"/>
        <w:sz w:val="18"/>
      </w:rPr>
      <w:fldChar w:fldCharType="begin"/>
    </w:r>
    <w:r>
      <w:rPr>
        <w:color w:val="7A7A7A"/>
        <w:sz w:val="18"/>
      </w:rPr>
      <w:instrText xml:space="preserve"> PAGE </w:instrText>
    </w:r>
    <w:r>
      <w:rPr>
        <w:color w:val="7A7A7A"/>
        <w:sz w:val="18"/>
      </w:rPr>
      <w:fldChar w:fldCharType="separate"/>
    </w:r>
    <w:r>
      <w:rPr>
        <w:color w:val="7A7A7A"/>
        <w:sz w:val="18"/>
      </w:rPr>
      <w:t>PAGE</w:t>
    </w:r>
    <w:r>
      <w:rPr>
        <w:color w:val="7A7A7A"/>
        <w:sz w:val="18"/>
      </w:rPr>
      <w:fldChar w:fldCharType="end"/>
    </w:r>
    <w:r>
      <w:rPr>
        <w:color w:val="7A7A7A"/>
        <w:sz w:val="18"/>
      </w:rPr>
      <w:t xml:space="preserve"> PAGE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F22C9" w14:textId="77777777" w:rsidR="00A466BB" w:rsidRDefault="00A466BB">
      <w:pPr>
        <w:spacing w:after="0" w:line="240" w:lineRule="auto"/>
      </w:pPr>
      <w:r>
        <w:separator/>
      </w:r>
    </w:p>
  </w:footnote>
  <w:footnote w:type="continuationSeparator" w:id="0">
    <w:p w14:paraId="4493E88B" w14:textId="77777777" w:rsidR="00A466BB" w:rsidRDefault="00A466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9C7AA" w14:textId="77777777" w:rsidR="00D320C7" w:rsidRDefault="00000000">
    <w:r>
      <w:rPr>
        <w:noProof/>
      </w:rPr>
      <w:drawing>
        <wp:anchor distT="0" distB="0" distL="0" distR="0" simplePos="0" relativeHeight="251658240" behindDoc="1" locked="0" layoutInCell="1" allowOverlap="1" wp14:anchorId="79C1881F" wp14:editId="108FF677">
          <wp:simplePos x="0" y="0"/>
          <wp:positionH relativeFrom="page">
            <wp:posOffset>0</wp:posOffset>
          </wp:positionH>
          <wp:positionV relativeFrom="page">
            <wp:posOffset>0</wp:posOffset>
          </wp:positionV>
          <wp:extent cx="7560000" cy="10692000"/>
          <wp:effectExtent l="0" t="0" r="0" b="0"/>
          <wp:wrapNone/>
          <wp:docPr id="2" name="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png"/>
                  <pic:cNvPicPr/>
                </pic:nvPicPr>
                <pic:blipFill>
                  <a:blip r:embed="rId1"/>
                  <a:stretch>
                    <a:fillRect/>
                  </a:stretch>
                </pic:blipFill>
                <pic:spPr>
                  <a:xfrm>
                    <a:off x="0" y="0"/>
                    <a:ext cx="7560000" cy="10692000"/>
                  </a:xfrm>
                  <a:prstGeom prst="rect">
                    <a:avLst/>
                  </a:prstGeom>
                </pic:spPr>
              </pic:pic>
            </a:graphicData>
          </a:graphic>
        </wp:anchor>
      </w:drawing>
    </w:r>
  </w:p>
  <w:p w14:paraId="62ED89C4" w14:textId="77777777" w:rsidR="00D320C7" w:rsidRDefault="00000000">
    <w:pPr>
      <w:jc w:val="right"/>
    </w:pPr>
    <w:r>
      <w:rPr>
        <w:color w:val="7A7A7A"/>
        <w:sz w:val="16"/>
      </w:rPr>
      <w:t>Annex SRCA: Sanctions Relief and Compliance Annex</w:t>
    </w:r>
  </w:p>
</w:hdr>
</file>

<file path=word/settings.xml><?xml version="1.0" encoding="utf-8"?>
<w:settings xmlns:m="http://schemas.openxmlformats.org/officeDocument/2006/math" xmlns:mc="http://schemas.openxmlformats.org/markup-compatibility/2006" xmlns:o="urn:schemas-microsoft-com:office:office" xmlns:v="urn:schemas-microsoft-com:vml" xmlns:w="http://schemas.openxmlformats.org/wordprocessingml/2006/main" xmlns:w14="http://schemas.microsoft.com/office/word/2010/wordml" xmlns:w15="http://schemas.microsoft.com/office/word/2012/wordml"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320C7"/>
    <w:rsid w:val="0063023E"/>
    <w:rsid w:val="00A466BB"/>
    <w:rsid w:val="00C46867"/>
    <w:rsid w:val="00D320C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7FDE0"/>
  <w15:docId w15:val="{A5F9F746-BB73-4B0F-AAA5-238918848431}"/>
  <w:updateFields w:val="true"/>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uto"/>
      <w:jc w:val="both"/>
    </w:pPr>
    <w:rPr>
      <w:rFonts w:ascii="Cambria" w:hAnsi="Cambria"/>
      <w:color w:val="1A1A1A"/>
      <w:sz w:val="21"/>
      <w:szCs w:val="21"/>
    </w:rPr>
  </w:style>
  <w:style w:type="paragraph" w:styleId="Heading1">
    <w:name w:val="heading 1"/>
    <w:basedOn w:val="Normal"/>
    <w:uiPriority w:val="9"/>
    <w:qFormat/>
    <w:pPr>
      <w:keepNext/>
      <w:keepLines/>
      <w:spacing w:before="480" w:after="200"/>
      <w:jc w:val="left"/>
      <w:outlineLvl w:val="0"/>
    </w:pPr>
    <w:rPr>
      <w:b/>
      <w:color w:val="BF8C0D"/>
      <w:sz w:val="36"/>
      <w:szCs w:val="36"/>
    </w:rPr>
  </w:style>
  <w:style w:type="paragraph" w:styleId="Heading2">
    <w:name w:val="heading 2"/>
    <w:basedOn w:val="Normal"/>
    <w:uiPriority w:val="9"/>
    <w:unhideWhenUsed/>
    <w:qFormat/>
    <w:pPr>
      <w:keepNext/>
      <w:keepLines/>
      <w:spacing w:before="320" w:after="140"/>
      <w:jc w:val="left"/>
      <w:outlineLvl w:val="1"/>
    </w:pPr>
    <w:rPr>
      <w:b/>
      <w:sz w:val="26"/>
      <w:szCs w:val="26"/>
      <w:color w:val="8A7040"/>
    </w:rPr>
  </w:style>
  <w:style w:type="paragraph" w:styleId="Heading3">
    <w:name w:val="heading 3"/>
    <w:basedOn w:val="Normal"/>
    <w:uiPriority w:val="9"/>
    <w:unhideWhenUsed/>
    <w:qFormat/>
    <w:pPr>
      <w:keepNext/>
      <w:keepLines/>
      <w:spacing w:before="240" w:after="100"/>
      <w:jc w:val="left"/>
      <w:outlineLvl w:val="2"/>
    </w:pPr>
    <w:rPr>
      <w:b/>
      <w:color w:val="A6894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pPr>
      <w:tabs>
        <w:tab w:val="right" w:leader="dot" w:pos="9350"/>
      </w:tabs>
      <w:spacing w:before="180" w:after="60"/>
    </w:pPr>
    <w:rPr>
      <w:b/>
    </w:rPr>
  </w:style>
  <w:style w:type="paragraph" w:styleId="TOC2">
    <w:name w:val="toc 2"/>
    <w:basedOn w:val="Normal"/>
    <w:pPr>
      <w:tabs>
        <w:tab w:val="right" w:leader="dot" w:pos="9350"/>
      </w:tabs>
      <w:spacing w:before="60" w:after="60"/>
      <w:ind w:left="360"/>
    </w:pPr>
    <w:rPr>
      <w:color w:val="4A4A4A"/>
    </w:rPr>
  </w:style>
  <w:style w:type="paragraph" w:styleId="TOC3">
    <w:name w:val="toc 3"/>
    <w:basedOn w:val="Normal"/>
    <w:pPr>
      <w:tabs>
        <w:tab w:val="right" w:leader="dot" w:pos="9350"/>
      </w:tabs>
      <w:spacing w:before="40" w:after="60"/>
      <w:ind w:left="720"/>
    </w:pPr>
    <w:rPr>
      <w:color w:val="4A4A4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otnotes" Target="footnotes.xml" /><Relationship Id="rId5" Type="http://schemas.openxmlformats.org/officeDocument/2006/relationships/endnotes" Target="endnotes.xml" /><Relationship Id="rId6" Type="http://schemas.openxmlformats.org/officeDocument/2006/relationships/image" Target="media/image1.png"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image" Target="media/image3.png" /><Relationship Id="rId10" Type="http://schemas.openxmlformats.org/officeDocument/2006/relationships/fontTable" Target="fontTable.xml" /><Relationship Id="rId11"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2688</Words>
  <Characters>17421</Characters>
  <Application>Microsoft Office Word</Application>
  <DocSecurity>0</DocSecurity>
  <Lines>370</Lines>
  <Paragraphs>291</Paragraphs>
  <ScaleCrop>false</ScaleCrop>
  <Company/>
  <LinksUpToDate>false</LinksUpToDate>
  <CharactersWithSpaces>19818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2</cp:revision>
  <dcterms:created xsi:type="dcterms:W3CDTF">2026-06-29T10:43:00Z</dcterms:created>
  <dcterms:modified xsi:type="dcterms:W3CDTF">2026-06-29T10:44:00Z</dcterms:modified>
</cp:coreProperties>
</file>