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2e0fb69e25964635"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
      <w:pPr>
        <w:spacing w:before="5500"/>
      </w:pPr>
      <w:r/>
    </w:p>
    <w:p>
      <w:pPr>
        <w:spacing w:after="200"/>
        <w:jc w:val="center"/>
      </w:pPr>
      <w:r>
        <w:rPr>
          <w:rFonts w:ascii="Cambria" w:hAnsi="Cambria"/>
          <w:color w:val="a6894a"/>
          <w:spacing w:val="60"/>
          <w:sz w:val="24"/>
        </w:rPr>
        <w:t>ANNEX ST</w:t>
      </w:r>
    </w:p>
    <w:p>
      <w:pPr>
        <w:spacing w:after="400"/>
        <w:jc w:val="center"/>
      </w:pPr>
      <w:r>
        <w:rPr>
          <w:rFonts w:ascii="Cambria" w:hAnsi="Cambria"/>
          <w:b/>
          <w:color w:val="1a2744"/>
          <w:spacing w:val="30"/>
          <w:sz w:val="72"/>
        </w:rPr>
        <w:t>Al-Tawazun</w:t>
      </w:r>
    </w:p>
    <w:p>
      <w:pPr>
        <w:spacing w:after="200"/>
        <w:jc w:val="center"/>
      </w:pPr>
      <w:r>
        <w:rPr>
          <w:rFonts w:ascii="Cambria" w:hAnsi="Cambria"/>
          <w:i/>
          <w:color w:val="1a2744"/>
          <w:sz w:val="32"/>
        </w:rPr>
        <w:t>The Stabilization and Early Warning Protocol</w:t>
      </w:r>
    </w:p>
    <w:p>
      <w:pPr>
        <w:spacing w:after="3000"/>
        <w:jc w:val="center"/>
      </w:pPr>
      <w:r>
        <w:rPr>
          <w:rFonts w:ascii="Cambria" w:hAnsi="Cambria"/>
          <w:color w:val="1A1A1A"/>
          <w:sz w:val="22"/>
        </w:rPr>
        <w:t>A Conflict Prevention Architecture for the MENOC Framework</w:t>
      </w:r>
    </w:p>
    <w:p>
      <w:pPr>
        <w:spacing w:after="120"/>
        <w:jc w:val="center"/>
      </w:pPr>
      <w:r>
        <w:rPr>
          <w:rFonts w:ascii="Cambria" w:hAnsi="Cambria"/>
          <w:color w:val="1A1A1A"/>
          <w:sz w:val="20"/>
        </w:rPr>
        <w:t>Modular  ·  Self-Contained  ·  Incorporable by Reference</w:t>
      </w:r>
    </w:p>
    <w:p>
      <w:pPr>
        <w:jc w:val="center"/>
      </w:pPr>
      <w:r>
        <w:rPr>
          <w:rFonts w:ascii="Cambria" w:hAnsi="Cambria"/>
          <w:color w:val="1A1A1A"/>
          <w:sz w:val="20"/>
        </w:rPr>
        <w:t>Version 2.0  ·  June 2026</w:t>
      </w:r>
    </w:p>
    <w:p>
      <w:pPr>
        <w:sectPr>
          <w:type w:val="nextPage"/>
          <w:pgSz w:w="11906" w:h="16838"/>
          <w:pgMar w:top="0" w:right="0" w:bottom="0" w:left="0" w:header="0" w:footer="0"/>
          <w:titlePg/>
        </w:sectPr>
      </w:pPr>
    </w:p>
    <w:p>
      <w:pPr>
        <w:spacing w:before="600" w:after="200"/>
        <w:jc w:val="center"/>
      </w:pPr>
      <w:r>
        <w:rPr>
          <w:rFonts w:ascii="Cambria" w:hAnsi="Cambria"/>
          <w:b/>
          <w:color w:val="1a2744"/>
          <w:sz w:val="36"/>
        </w:rPr>
        <w:t>Table of Contents</w:t>
      </w:r>
    </w:p>
    <w:p>
      <w:pPr>
        <w:spacing w:after="300"/>
      </w:pPr>
      <w:r>
        <w:rPr>
          <w:color w:val="1A1A1A"/>
          <w:sz w:val="18"/>
        </w:rPr>
        <w:t>Right-click the TOC and select "Update Field" to refresh page numbers</w:t>
      </w:r>
    </w:p>
    <w:p>
      <w:r>
        <w:fldChar w:fldCharType="begin"/>
      </w:r>
      <w:r>
        <w:instrText xml:space="preserve"> TOC \o "1-3" \h \z \u </w:instrText>
      </w:r>
      <w:r>
        <w:fldChar w:fldCharType="separate"/>
      </w:r>
    </w:p>
    <w:p>
      <w:pPr>
        <w:pStyle w:val="TOC1"/>
      </w:pPr>
      <w:r>
        <w:t>Preamble</w:t>
      </w:r>
      <w:r>
        <w:tab/>
      </w:r>
      <w:r>
        <w:t>3</w:t>
      </w:r>
    </w:p>
    <w:p>
      <w:pPr>
        <w:pStyle w:val="TOC1"/>
      </w:pPr>
      <w:r>
        <w:t>Article 1: Definitions</w:t>
      </w:r>
      <w:r>
        <w:tab/>
      </w:r>
      <w:r>
        <w:t>4</w:t>
      </w:r>
    </w:p>
    <w:p>
      <w:pPr>
        <w:pStyle w:val="TOC1"/>
      </w:pPr>
      <w:r>
        <w:t>Article 2: Mandate</w:t>
      </w:r>
      <w:r>
        <w:tab/>
      </w:r>
      <w:r>
        <w:t>7</w:t>
      </w:r>
    </w:p>
    <w:p>
      <w:pPr>
        <w:pStyle w:val="TOC1"/>
      </w:pPr>
      <w:r>
        <w:t>Article 3: Legal Basis</w:t>
      </w:r>
      <w:r>
        <w:tab/>
      </w:r>
      <w:r>
        <w:t>9</w:t>
      </w:r>
    </w:p>
    <w:p>
      <w:pPr>
        <w:pStyle w:val="TOC1"/>
      </w:pPr>
      <w:r>
        <w:t>Article 4: Organizational Structure</w:t>
      </w:r>
      <w:r>
        <w:tab/>
      </w:r>
      <w:r>
        <w:t>10</w:t>
      </w:r>
    </w:p>
    <w:p>
      <w:pPr>
        <w:pStyle w:val="TOC1"/>
      </w:pPr>
      <w:r>
        <w:t>Article 5: Deployment Categories</w:t>
      </w:r>
      <w:r>
        <w:tab/>
      </w:r>
      <w:r>
        <w:t>13</w:t>
      </w:r>
    </w:p>
    <w:p>
      <w:pPr>
        <w:pStyle w:val="TOC1"/>
      </w:pPr>
      <w:r>
        <w:t>Article 6: Treaty Trigger Notices</w:t>
      </w:r>
      <w:r>
        <w:tab/>
      </w:r>
      <w:r>
        <w:t>15</w:t>
      </w:r>
    </w:p>
    <w:p>
      <w:pPr>
        <w:pStyle w:val="TOC1"/>
      </w:pPr>
      <w:r>
        <w:t>Article 7: Verification Functions</w:t>
      </w:r>
      <w:r>
        <w:tab/>
      </w:r>
      <w:r>
        <w:t>18</w:t>
      </w:r>
    </w:p>
    <w:p>
      <w:pPr>
        <w:pStyle w:val="TOC1"/>
      </w:pPr>
      <w:r>
        <w:t>Article 8: Operational Tools</w:t>
      </w:r>
      <w:r>
        <w:tab/>
      </w:r>
      <w:r>
        <w:t>20</w:t>
      </w:r>
    </w:p>
    <w:p>
      <w:pPr>
        <w:pStyle w:val="TOC1"/>
      </w:pPr>
      <w:r>
        <w:t>Article 9: Rapid Response</w:t>
      </w:r>
      <w:r>
        <w:tab/>
      </w:r>
      <w:r>
        <w:t>23</w:t>
      </w:r>
    </w:p>
    <w:p>
      <w:pPr>
        <w:pStyle w:val="TOC1"/>
      </w:pPr>
      <w:r>
        <w:t>Article 10: Sovereignty Safeguards</w:t>
      </w:r>
      <w:r>
        <w:tab/>
      </w:r>
      <w:r>
        <w:t>25</w:t>
      </w:r>
    </w:p>
    <w:p>
      <w:pPr>
        <w:pStyle w:val="TOC1"/>
      </w:pPr>
      <w:r>
        <w:t>Article 11: Integration with the Peace Architecture</w:t>
      </w:r>
      <w:r>
        <w:tab/>
      </w:r>
      <w:r>
        <w:t>27</w:t>
      </w:r>
    </w:p>
    <w:p>
      <w:pPr>
        <w:pStyle w:val="TOC1"/>
      </w:pPr>
      <w:r>
        <w:t>Article 12: Funding</w:t>
      </w:r>
      <w:r>
        <w:tab/>
      </w:r>
      <w:r>
        <w:t>29</w:t>
      </w:r>
    </w:p>
    <w:p>
      <w:pPr>
        <w:pStyle w:val="TOC1"/>
      </w:pPr>
      <w:r>
        <w:t>Article 13: Operational Learning</w:t>
      </w:r>
      <w:r>
        <w:tab/>
      </w:r>
      <w:r>
        <w:t>32</w:t>
      </w:r>
    </w:p>
    <w:p>
      <w:pPr>
        <w:pStyle w:val="TOC1"/>
      </w:pPr>
      <w:r>
        <w:t>Article 14: Public Narrative</w:t>
      </w:r>
      <w:r>
        <w:tab/>
      </w:r>
      <w:r>
        <w:t>34</w:t>
      </w:r>
    </w:p>
    <w:p>
      <w:pPr>
        <w:pStyle w:val="TOC1"/>
      </w:pPr>
      <w:r>
        <w:t>Article 15: Sunset and Review</w:t>
      </w:r>
      <w:r>
        <w:tab/>
      </w:r>
      <w:r>
        <w:t>35</w:t>
      </w:r>
    </w:p>
    <w:p>
      <w:pPr>
        <w:pStyle w:val="TOC1"/>
      </w:pPr>
      <w:r>
        <w:t>Article 16: Relationship to Other Instruments</w:t>
      </w:r>
      <w:r>
        <w:tab/>
      </w:r>
      <w:r>
        <w:t>37</w:t>
      </w:r>
    </w:p>
    <w:p>
      <w:pPr>
        <w:pStyle w:val="TOC1"/>
      </w:pPr>
      <w:r>
        <w:t>Signature Block</w:t>
      </w:r>
      <w:r>
        <w:tab/>
      </w:r>
      <w:r>
        <w:t>38</w:t>
      </w:r>
    </w:p>
    <w:p>
      <w:r>
        <w:fldChar w:fldCharType="end"/>
      </w:r>
    </w:p>
    <w:p>
      <w:pPr>
        <w:sectPr>
          <w:type w:val="nextPage"/>
          <w:pgSz w:w="11906" w:h="16838"/>
          <w:pgMar w:top="1800" w:right="1440" w:bottom="1440" w:left="1440" w:header="720" w:footer="720"/>
        </w:sectPr>
      </w:pPr>
    </w:p>
    <w:p>
      <w:pPr>
        <w:pStyle w:val="Heading1"/>
      </w:pPr>
      <w:r>
        <w:t>Preamble</w:t>
      </w:r>
      <w:bookmarkStart w:name="_TocPreamble" w:id="1"/>
      <w:bookmarkEnd w:id="1"/>
    </w:p>
    <w:p>
      <w:r>
        <w:t>The Parties to this Protocol recognize that sustainable peace in the Middle East demands more than political agreements and economic incentives. Peace demands a permanent architecture of prevention: a system that detects instability before it ignites, that intervenes before escalation becomes irreversible, and that learns continuously from every crisis it encounters.</w:t>
      </w:r>
    </w:p>
    <w:p>
      <w:r>
        <w:t>The Parties name this architecture Al-Tawazun (Arabic: The Balancing). In the classical tradition, tawazun describes the equilibrium of opposing forces, the precise calibration that prevents any single variable from overwhelming the system. This Protocol embodies that principle. It creates neither a police force nor an intelligence agency. It creates a stabilization engine: neutral, technical, and structurally subordinate to the sovereign equality of all signatories.</w:t>
      </w:r>
    </w:p>
    <w:p>
      <w:r>
        <w:t>The name Al-Tawazun reflects the operational logic that governs this Protocol: the logic of the firefighter who prevents catastrophe before it ignites. The Stabilization Branch carries no enforcement authority. It possesses no supranational power. It watches, it warns, and it activates predefined stabilizers. This is the essence of the stabilization engine: present before the crisis, invisible during stability, and decisive at the moment of threshold crossing.</w:t>
      </w:r>
    </w:p>
    <w:p>
      <w:r>
        <w:t>Al-Tawazun operates under three foundational principles:</w:t>
      </w:r>
    </w:p>
    <w:p>
      <w:r>
        <w:t>Sovereign Equality: The framework architecture binds all Parties equally. No provision of this Protocol imposes a unilateral obligation on one Party that the other does not share. Al-Tawazun is not a tool of intervention. It is a shared instrument of mutual prevention.</w:t>
      </w:r>
    </w:p>
    <w:p>
      <w:r>
        <w:t>Technical Neutrality: Every function of Al-Tawazun proceeds from objective indicators, not political judgment. The Stabilization Branch certifies that predefined thresholds have crossed. It does not evaluate the political legitimacy of the underlying actions.</w:t>
      </w:r>
    </w:p>
    <w:p>
      <w:r>
        <w:t>Non-Coercive Activation: Al-Tawazun possesses no enforcement authority. It activates cooling-off protocols, deploys advisory teams, and issues technical certifications. The treaty itself defines the obligations. Al-Tawazun merely certifies that the conditions for those obligations have materialized.</w:t>
      </w:r>
    </w:p>
    <w:p>
      <w:r>
        <w:t>This Protocol constitutes a supplementary arrangement under the MENOC Charter and operates consistently with the United Nations Charter Chapter VI (Pacific Settlement of Disputes). It creates no precedent for coercive international intervention. It establishes a new category of international institution: the stabilization engine.</w:t>
      </w:r>
    </w:p>
    <w:p>
      <w:pPr>
        <w:pStyle w:val="Heading1"/>
      </w:pPr>
      <w:r>
        <w:t>Article 1: Definitions</w:t>
      </w:r>
      <w:bookmarkStart w:name="_TocArt1" w:id="2"/>
      <w:bookmarkEnd w:id="2"/>
    </w:p>
    <w:p>
      <w:r>
        <w:t>For the purposes of this Protocol, the following terms bear the meanings set forth below.</w:t>
      </w:r>
    </w:p>
    <w:p>
      <w:pPr>
        <w:pStyle w:val="Heading2"/>
      </w:pPr>
      <w:r>
        <w:t>1.1 Formal Mission Statement</w:t>
      </w:r>
    </w:p>
    <w:p>
      <w:r>
        <w:t>Al-Tawazun exists to preserve strategic stability through early warning, reciprocal verification facilitation, technical mediation, and crisis de-escalation, while fully respecting the sovereignty and equality of all signatory states.</w:t>
      </w:r>
    </w:p>
    <w:p>
      <w:pPr>
        <w:pStyle w:val="Heading2"/>
      </w:pPr>
      <w:r>
        <w:t>1.2 "Treaty Trigger Notice"</w:t>
      </w:r>
    </w:p>
    <w:p>
      <w:r>
        <w:t>A formal certification issued by Al-Tawazun when predefined indicators cross their associated thresholds. A Treaty Trigger Notice does not impose obligations. The treaty itself defines the obligations. The Notice merely certifies that the conditions for those obligations have materialized.</w:t>
      </w:r>
    </w:p>
    <w:p>
      <w:r>
        <w:t>Each Treaty Trigger Notice carries a confidence level (High, Moderate, or Low) indicating the degree of certainty in the underlying assessment. Each Notice expires automatically after thirty days unless renewed through the review procedure defined in Article 6.7.</w:t>
      </w:r>
    </w:p>
    <w:p>
      <w:r>
        <w:t>Upon issuance, the obligations specified in the Trigger Matrix automatically apply. The Notice activates Cooling-Off Protocols, convenes emergency Joint Commission sessions, and informs the Guarantor Matrix. The Notice does not constitute a Step-Back trigger under Annex ES, but the Joint Commission considers it in assessing good-faith compliance.</w:t>
      </w:r>
    </w:p>
    <w:p>
      <w:pPr>
        <w:pStyle w:val="Heading2"/>
      </w:pPr>
      <w:r>
        <w:t>1.3 "Al-Tawazun" or "the Stabilization Branch"</w:t>
      </w:r>
    </w:p>
    <w:p>
      <w:r>
        <w:t>The conflict-prevention, early-warning, and rapid-intervention mechanism established by this Protocol. It functions as the operational health monitor of the broader peace architecture. It does not govern. It does not command. It detects instability and activates predefined stabilizers.</w:t>
      </w:r>
    </w:p>
    <w:p>
      <w:pPr>
        <w:pStyle w:val="Heading2"/>
      </w:pPr>
      <w:r>
        <w:t>1.4 "Trigger Matrix"</w:t>
      </w:r>
    </w:p>
    <w:p>
      <w:r>
        <w:t>The comprehensive index maintained by Al-Tawazun that specifies the indicators, thresholds, confidence levels, expiration timelines, and associated obligations for each category of Treaty Trigger Notice. The Trigger Matrix is a living document. The Joint Commission reviews and updates it annually based on operational experience and the Lessons Learned Database.</w:t>
      </w:r>
    </w:p>
    <w:p>
      <w:pPr>
        <w:pStyle w:val="Heading2"/>
      </w:pPr>
      <w:r>
        <w:t>1.5 "Preventer Team"</w:t>
      </w:r>
    </w:p>
    <w:p>
      <w:r>
        <w:t>A small, agile, multidisciplinary unit deployed by Al-Tawazun for rapid response and crisis mediation. Each Preventer Team comprises three to seven personnel drawn from diplomatic, technical, and humanitarian disciplines. Preventer Teams deploy without weapons and without uniforms. They function as stability technicians, not inspectors or enforcers.</w:t>
      </w:r>
    </w:p>
    <w:p>
      <w:pPr>
        <w:pStyle w:val="Heading2"/>
      </w:pPr>
      <w:r>
        <w:t>1.6 "Cooling-Off Protocol"</w:t>
      </w:r>
    </w:p>
    <w:p>
      <w:r>
        <w:t>The set of automatic stabilization measures that activate upon issuance of a Treaty Trigger Notice. These measures include: a seventy-two-hour freeze on specified military movements; mandatory activation of established hotlines; emergency convening of the Joint Commission; and deployment of a Preventer Team under the appropriate Deployment Category.</w:t>
      </w:r>
    </w:p>
    <w:p>
      <w:pPr>
        <w:pStyle w:val="Heading2"/>
      </w:pPr>
      <w:r>
        <w:t>1.7 "Deployment Category"</w:t>
      </w:r>
    </w:p>
    <w:p>
      <w:r>
        <w:t>One of four graduated levels of Al-Tawazun engagement, defined in Article 5. Each category specifies the scope of deployment, the consent requirements, and the notification timeline. Categories I and II operate with minimal consent barriers. Categories III and IV require escalating levels of authorization.</w:t>
      </w:r>
    </w:p>
    <w:p>
      <w:pPr>
        <w:pStyle w:val="Heading2"/>
      </w:pPr>
      <w:r>
        <w:t>1.8 "Lessons Learned Database"</w:t>
      </w:r>
    </w:p>
    <w:p>
      <w:r>
        <w:t>The comprehensive record maintained by Al-Tawazun documenting the indicators that preceded each intervention, the effectiveness of deployed measures, the failure modes of early-warning systems, false alarm rates, detection accuracy metrics, and recommendations for treaty updates, threshold revisions, and procedural improvements.</w:t>
      </w:r>
    </w:p>
    <w:p>
      <w:pPr>
        <w:pStyle w:val="Heading2"/>
      </w:pPr>
      <w:r>
        <w:t>1.9 "Signatory State"</w:t>
      </w:r>
    </w:p>
    <w:p>
      <w:r>
        <w:t>Any state that has ratified the MENOC Charter and its associated annexes, including this Protocol.</w:t>
      </w:r>
    </w:p>
    <w:p>
      <w:pPr>
        <w:pStyle w:val="Heading2"/>
      </w:pPr>
      <w:r>
        <w:t>1.10 "Host State"</w:t>
      </w:r>
    </w:p>
    <w:p>
      <w:r>
        <w:t>The signatory state on whose territory Al-Tawazun operates, maintains a Regional Node, or deploys a Preventer Team.</w:t>
      </w:r>
    </w:p>
    <w:p>
      <w:pPr>
        <w:pStyle w:val="Heading2"/>
      </w:pPr>
      <w:r>
        <w:t>1.11 "Joint Commission"</w:t>
      </w:r>
    </w:p>
    <w:p>
      <w:r>
        <w:t>The political oversight body established under the MENOC Charter, comprising representatives of all signatory states. The Joint Commission reviews Al-Tawazun recommendations, approves updates to the Trigger Matrix, adjudicates disputes regarding Stabilization Branch activities, and determines the political consequences of Treaty Trigger Notices.</w:t>
      </w:r>
    </w:p>
    <w:p>
      <w:pPr>
        <w:pStyle w:val="Heading1"/>
      </w:pPr>
      <w:r>
        <w:t>Article 2: Mandate</w:t>
      </w:r>
      <w:bookmarkStart w:name="_TocArt2" w:id="3"/>
      <w:bookmarkEnd w:id="3"/>
    </w:p>
    <w:p>
      <w:pPr>
        <w:pStyle w:val="Heading2"/>
      </w:pPr>
      <w:r>
        <w:t>2.1 Core Function</w:t>
      </w:r>
    </w:p>
    <w:p>
      <w:r>
        <w:t>Al-Tawazun prevents escalation, detects destabilizing actions early, and activates rapid diplomatic or technical interventions before crises ignite. It serves as the stabilization engine of the broader peace architecture: a watchdog supervisor that monitors system health, detects anomalies, and triggers predefined safety protocols.</w:t>
      </w:r>
    </w:p>
    <w:p>
      <w:pPr>
        <w:pStyle w:val="Heading2"/>
      </w:pPr>
      <w:r>
        <w:t>2.2 Mandate Components</w:t>
      </w:r>
    </w:p>
    <w:p>
      <w:r>
        <w:t>Al-Tawazun exercises the following functions:</w:t>
      </w:r>
    </w:p>
    <w:p>
      <w:r>
        <w:t>Early Warning: Al-Tawazun monitors indicators of treaty stress, military mobilization, weapons flows, political drift, economic disruption, and cyber incidents affecting treaty-related infrastructure. It maintains real-time dashboards tracking the operational health of every annex in the peace architecture.</w:t>
      </w:r>
    </w:p>
    <w:p>
      <w:r>
        <w:t>Verification Facilitation: Al-Tawazun facilitates reciprocal verification between signatories. It provides technical expertise, develops mutually acceptable verification protocols, certifies the completion of verification activities, and resolves verification disputes through technical assessment. It does not conduct unilateral inspections.</w:t>
      </w:r>
    </w:p>
    <w:p>
      <w:r>
        <w:t>Intervention: Al-Tawazun deploys small, specialized Preventer Teams to defuse emerging crises. These teams mediate between commanders, verify facts on the ground, coordinate humanitarian access, de-conflict misunderstandings, and recommend de-escalation steps.</w:t>
      </w:r>
    </w:p>
    <w:p>
      <w:r>
        <w:t>Emergency Technical Assistance: Al-Tawazun deploys technical specialists -- including engineers, infrastructure specialists, radiation experts, and environmental scientists -- to assist signatory states upon request. This deployment proceeds without invoking a crisis deployment category. It constitutes technical cooperation, not crisis intervention.</w:t>
      </w:r>
    </w:p>
    <w:p>
      <w:r>
        <w:t>Notification: Al-Tawazun issues Treaty Trigger Notices when indicators cross defined thresholds. These Notices carry confidence levels and activate automatic Cooling-Off Protocols. They convene emergency Joint Commission sessions.</w:t>
      </w:r>
    </w:p>
    <w:p>
      <w:r>
        <w:t>Coordination: Al-Tawazun serves as a neutral hub linking signatory states, UN agencies, and regional organizations. It ensures that all parties maintain shared situational awareness during periods of tension.</w:t>
      </w:r>
    </w:p>
    <w:p>
      <w:pPr>
        <w:pStyle w:val="Heading2"/>
      </w:pPr>
      <w:r>
        <w:t>2.3 Separation of Operational and Political Decisions</w:t>
      </w:r>
    </w:p>
    <w:p>
      <w:r>
        <w:t>The framework architecture maintains a clear separation between operational decisions and political decisions.</w:t>
      </w:r>
    </w:p>
    <w:p>
      <w:r>
        <w:t>Operational decisions remain with Al-Tawazun. These include: issuance of Treaty Trigger Notices; deployment of Preventer Teams under Categories I through III; activation of Cooling-Off Protocols; technical certification of verification activities; and appointment of personnel to the Central Directorate and Regional Nodes.</w:t>
      </w:r>
    </w:p>
    <w:p>
      <w:r>
        <w:t>Political consequences remain solely with the Joint Commission. These include: determining whether a Step-Back event has occurred under Annex ES; imposing sanctions or penalties for material breach; authorizing Category IV Emergency Intervention; approving updates to the Trigger Matrix; and deciding on mandate renewal or dissolution.</w:t>
      </w:r>
    </w:p>
    <w:p>
      <w:r>
        <w:t>This separation protects the neutrality of Al-Tawazun. The Stabilization Branch makes technical determinations. The Joint Commission makes political decisions. Neither body substitutes for the other.</w:t>
      </w:r>
    </w:p>
    <w:p>
      <w:pPr>
        <w:pStyle w:val="Heading2"/>
      </w:pPr>
      <w:r>
        <w:t>2.4 Prohibited Activities</w:t>
      </w:r>
    </w:p>
    <w:p>
      <w:r>
        <w:t>The framework architecture explicitly excludes the following activities from the Al-Tawazun mandate:</w:t>
      </w:r>
    </w:p>
    <w:p>
      <w:r>
        <w:t>Military Operations: Al-Tawazun is prohibited from conducting, coordinating, or supporting any form of military operation. The framework architecture excludes all kinetic enforcement mechanisms.</w:t>
      </w:r>
    </w:p>
    <w:p>
      <w:r>
        <w:t>Intelligence Collection: Al-Tawazun is prohibited from collecting intelligence inside private domestic systems. All data gathering proceeds through treaty-mandated feeds, open-source monitoring, and host-state liaison channels.</w:t>
      </w:r>
    </w:p>
    <w:p>
      <w:r>
        <w:t>Enforcement Actions: Al-Tawazun is prohibited from taking enforcement actions without state consent. It certifies conditions. It does not impose consequences.</w:t>
      </w:r>
    </w:p>
    <w:p>
      <w:r>
        <w:t>Political Interference: Al-Tawazun is prohibited from engaging in political advocacy, electoral interference, or regime change activities. Its function is technical and operational, not political.</w:t>
      </w:r>
    </w:p>
    <w:p>
      <w:pPr>
        <w:pStyle w:val="Heading1"/>
      </w:pPr>
      <w:r>
        <w:t>Article 3: Legal Basis</w:t>
      </w:r>
      <w:bookmarkStart w:name="_TocArt3" w:id="4"/>
      <w:bookmarkEnd w:id="4"/>
    </w:p>
    <w:p>
      <w:r>
        <w:t>Al-Tawazun derives its authority from three sources:</w:t>
      </w:r>
    </w:p>
    <w:p>
      <w:pPr>
        <w:pStyle w:val="Heading2"/>
      </w:pPr>
      <w:r>
        <w:t>3.1 The MENOC Charter</w:t>
      </w:r>
    </w:p>
    <w:p>
      <w:r>
        <w:t>This Protocol constitutes an annex to the Memorandum of Understanding Pertaining to Peace and the associated MENOC Charter. It enters into force upon ratification by all signatory states to the Charter.</w:t>
      </w:r>
    </w:p>
    <w:p>
      <w:pPr>
        <w:pStyle w:val="Heading2"/>
      </w:pPr>
      <w:r>
        <w:t>3.2 United Nations Charter Chapter VI</w:t>
      </w:r>
    </w:p>
    <w:p>
      <w:r>
        <w:t>Al-Tawazun operates under the authority of United Nations Charter Chapter VI (Pacific Settlement of Disputes). This Protocol explicitly avoids Chapter VII (Action with Respect to Threats to the Peace, Breaches of the Peace, and Acts of Aggression), which would confer coercive authority. The Chapter VI basis ensures that Al-Tawazun functions as a facilitator of peaceful settlement, not an instrument of enforcement.</w:t>
      </w:r>
    </w:p>
    <w:p>
      <w:pPr>
        <w:pStyle w:val="Heading2"/>
      </w:pPr>
      <w:r>
        <w:t>3.3 Host-State Agreements</w:t>
      </w:r>
    </w:p>
    <w:p>
      <w:r>
        <w:t>Each signatory state concludes a Host-State Agreement with Al-Tawazun specifying the modalities of operational access, data sharing, and personnel presence on its territory. These agreements are bilateral instruments. They do not create multilateral obligations beyond the consenting state.</w:t>
      </w:r>
    </w:p>
    <w:p>
      <w:pPr>
        <w:pStyle w:val="Heading1"/>
      </w:pPr>
      <w:r>
        <w:t>Article 4: Organizational Structure</w:t>
      </w:r>
      <w:bookmarkStart w:name="_TocArt4" w:id="5"/>
      <w:bookmarkEnd w:id="5"/>
    </w:p>
    <w:p>
      <w:pPr>
        <w:pStyle w:val="Heading2"/>
      </w:pPr>
      <w:r>
        <w:t>4.1 Central Directorate</w:t>
      </w:r>
    </w:p>
    <w:p>
      <w:r>
        <w:t>Al-Tawazun maintains a Central Directorate at a location determined by the Joint Commission. The Central Directorate serves as the coordinating hub for all Stabilization Branch activities.</w:t>
      </w:r>
    </w:p>
    <w:p>
      <w:r>
        <w:t>The Central Directorate comprises the following offices:</w:t>
      </w:r>
    </w:p>
    <w:p>
      <w:r>
        <w:t>Director-General: The Director-General leads Al-Tawazun and reports to the Joint Commission. The Joint Commission appoints the Director-General by consensus for a renewable five-year term. The Director-General possesses no independent enforcement authority. The Director-General coordinates, certifies, and recommends.</w:t>
      </w:r>
    </w:p>
    <w:p>
      <w:r>
        <w:t>Deputy Director for Early Warning: This office maintains the Trigger Matrix, monitors all early-warning indicators, and issues Treaty Trigger Notices when thresholds cross.</w:t>
      </w:r>
    </w:p>
    <w:p>
      <w:r>
        <w:t>Deputy Director for Verification and Monitoring: This office facilitates reciprocal verification between signatories, develops verification protocols, and certifies compliance assessments.</w:t>
      </w:r>
    </w:p>
    <w:p>
      <w:r>
        <w:t>Deputy Director for Rapid Response: This office oversees Preventer Team deployment, manages the Rapid Response Reserve, and coordinates all field-level crisis interventions.</w:t>
      </w:r>
    </w:p>
    <w:p>
      <w:r>
        <w:t>Deputy Director for Political Liaison: This office maintains communication channels with signatory governments, the Joint Commission, the Joint Secretariat, and relevant UN agencies.</w:t>
      </w:r>
    </w:p>
    <w:p>
      <w:r>
        <w:t>Deputy Director for Data and Analytics: This office maintains the Lessons Learned Database, analyzes operational trends, produces the Annual Stabilization Assessment, and publishes the False Alarm Metrics Report.</w:t>
      </w:r>
    </w:p>
    <w:p>
      <w:pPr>
        <w:pStyle w:val="Heading2"/>
      </w:pPr>
      <w:r>
        <w:t>4.2 Regional Nodes</w:t>
      </w:r>
    </w:p>
    <w:p>
      <w:r>
        <w:t>Al-Tawazun maintains four Regional Nodes, one per sub-region:</w:t>
      </w:r>
    </w:p>
    <w:p>
      <w:r>
        <w:t>The Levant Node covers Jordan, Lebanon, Syria, and the Palestinian territories.</w:t>
      </w:r>
    </w:p>
    <w:p>
      <w:r>
        <w:t>The Gulf Node covers the GCC states, Iraq, and Iran.</w:t>
      </w:r>
    </w:p>
    <w:p>
      <w:r>
        <w:t>The North Africa Node covers Egypt, Libya, Tunisia, Algeria, and Morocco.</w:t>
      </w:r>
    </w:p>
    <w:p>
      <w:r>
        <w:t>The Eastern Mediterranean Node covers Turkey, Cyprus, and associated maritime zones.</w:t>
      </w:r>
    </w:p>
    <w:p>
      <w:r>
        <w:t>Each Regional Node maintains the following capabilities: a team of regional analysts tracking sub-specific indicators; liaison officers seconded from host-state foreign ministries; technical specialists in verification, satellite imagery analysis, and data science; rapid-response mediators on standby for immediate Preventer Team deployment; and a Joint Training Exercise coordinator.</w:t>
      </w:r>
    </w:p>
    <w:p>
      <w:pPr>
        <w:pStyle w:val="Heading2"/>
      </w:pPr>
      <w:r>
        <w:t>4.3 Preventer Teams</w:t>
      </w:r>
    </w:p>
    <w:p>
      <w:r>
        <w:t>Preventer Teams constitute the deployable element of Al-Tawazun. Each team comprises three to seven personnel drawn from diplomatic, technical, and humanitarian disciplines.</w:t>
      </w:r>
    </w:p>
    <w:p>
      <w:r>
        <w:t>Preventer Teams deploy without weapons and without uniforms. They carry only identification credentials issued by the Joint Secretariat. Their function is to stabilize, not to enforce. They mediate, verify, de-conflict, and recommend.</w:t>
      </w:r>
    </w:p>
    <w:p>
      <w:r>
        <w:t>Preventer Teams deploy within twenty-four to forty-eight hours of activation under Categories I and II, and within seventy-two hours under Category III. Category IV deployments require Joint Commission authorization and proceed within ninety-six hours.</w:t>
      </w:r>
    </w:p>
    <w:p>
      <w:pPr>
        <w:pStyle w:val="Heading2"/>
      </w:pPr>
      <w:r>
        <w:t>4.4 Conflict-of-Interest Rules</w:t>
      </w:r>
    </w:p>
    <w:p>
      <w:r>
        <w:t>Every Preventer Team member discloses the following before deployment:</w:t>
      </w:r>
    </w:p>
    <w:p>
      <w:r>
        <w:t>Financial interests: All investments, ownership stakes, or financial relationships with entities operating in the deployment region.</w:t>
      </w:r>
    </w:p>
    <w:p>
      <w:r>
        <w:t>Prior government service: All previous employment with the governments of signatory states or entities subject to Al-Tawazun monitoring.</w:t>
      </w:r>
    </w:p>
    <w:p>
      <w:r>
        <w:t>Family relationships: All familial connections to government officials, military officers, or business leaders in signatory states.</w:t>
      </w:r>
    </w:p>
    <w:p>
      <w:r>
        <w:t>Prior employment: All previous positions with organizations that maintain active interests in the deployment region.</w:t>
      </w:r>
    </w:p>
    <w:p>
      <w:r>
        <w:t>The Central Directorate maintains a Conflict-of-Interest Register. Where a disclosed conflict creates a material risk of bias, the affected personnel recuse themselves from the relevant deployment. The Director-General reviews all disclosures within seventy-two hours and determines the appropriate recusal measures.</w:t>
      </w:r>
    </w:p>
    <w:p>
      <w:pPr>
        <w:pStyle w:val="Heading2"/>
      </w:pPr>
      <w:r>
        <w:t>4.5 Rotation Policy</w:t>
      </w:r>
    </w:p>
    <w:p>
      <w:r>
        <w:t>No Preventer Team remains deployed in a single signatory state for more than eighteen consecutive months. After eighteen months, the team rotates to a different Regional Node or returns to the Central Directorate for retraining and reassignment.</w:t>
      </w:r>
    </w:p>
    <w:p>
      <w:r>
        <w:t>The rotation policy reduces perceptions of bias, prevents the development of entrenched relationships that compromise neutrality, and ensures that Preventer Teams maintain broad regional expertise rather than narrow bilateral familiarity.</w:t>
      </w:r>
    </w:p>
    <w:p>
      <w:r>
        <w:t>Staggered rotations ensure continuity: incoming team members shadow outgoing team members for a minimum of thirty days before assuming full operational responsibility.</w:t>
      </w:r>
    </w:p>
    <w:p>
      <w:pPr>
        <w:pStyle w:val="Heading2"/>
      </w:pPr>
      <w:r>
        <w:t>4.6 Independent Scientific Advisory Board</w:t>
      </w:r>
    </w:p>
    <w:p>
      <w:r>
        <w:t>Al-Tawazun maintains an Independent Scientific Advisory Board comprising experts in the following disciplines: satellite imagery and remote sensing; nuclear engineering and safeguards; economics and sanctions analysis; humanitarian operations; cyber security and infrastructure protection; and environmental science.</w:t>
      </w:r>
    </w:p>
    <w:p>
      <w:r>
        <w:t>The Board serves a purely advisory function. It reviews the technical accuracy of Al-Tawazun assessments, evaluates the validity of analytical models, and recommends improvements to monitoring methodologies. The Board possesses no decision-making authority and does not participate in operational deployments.</w:t>
      </w:r>
    </w:p>
    <w:p>
      <w:r>
        <w:t>The Joint Commission appoints Board members for three-year renewable terms. Board members disclose all potential conflicts of interest prior to appointment. The Board publishes an annual technical assessment of Al-Tawazun monitoring capabilities.</w:t>
      </w:r>
    </w:p>
    <w:p>
      <w:pPr>
        <w:pStyle w:val="Heading1"/>
      </w:pPr>
      <w:r>
        <w:t>Article 5: Deployment Categories</w:t>
      </w:r>
      <w:bookmarkStart w:name="_TocArt5" w:id="6"/>
      <w:bookmarkEnd w:id="6"/>
    </w:p>
    <w:p>
      <w:r>
        <w:t>The framework architecture defines four graduated Deployment Categories. Each category specifies the scope of Al-Tawazun engagement, the consent requirements, and the notification timeline. This graduated system addresses the fundamental vulnerability of any stabilization mechanism: the risk that a host state refuses access precisely when access matters most.</w:t>
      </w:r>
    </w:p>
    <w:p>
      <w:pPr>
        <w:pStyle w:val="Heading2"/>
      </w:pPr>
      <w:r>
        <w:t>5.1 Category I: Standard Monitoring</w:t>
      </w:r>
    </w:p>
    <w:p>
      <w:r>
        <w:t>Al-Tawazun personnel conduct standard monitoring activities in any signatory territory with seventy-two hours advance notice to the host state. Category I activities proceed without host-state concurrence.</w:t>
      </w:r>
    </w:p>
    <w:p>
      <w:r>
        <w:t>Category I activities proceed without host-state concurrence. These activities include: review of open-source data feeds; satellite imagery analysis through UNOSAT and commercial providers; remote monitoring of treaty-mandated data feeds; and review of publicly available government reports and official statements.</w:t>
      </w:r>
    </w:p>
    <w:p>
      <w:pPr>
        <w:pStyle w:val="Heading2"/>
      </w:pPr>
      <w:r>
        <w:t>5.2 Category II: Advisory Team</w:t>
      </w:r>
    </w:p>
    <w:p>
      <w:r>
        <w:t>Where indicators cross defined Alert thresholds, Al-Tawazun deploys an Advisory Team of up to five personnel to consult with host-state authorities. The host state receives forty-eight hours advance notice. Host-state concurrence is presumed unless the host state explicitly objects within that forty-eight-hour window.</w:t>
      </w:r>
    </w:p>
    <w:p>
      <w:r>
        <w:t>Category II Advisory Teams do not inspect, investigate, or verify. They consult. They share technical assessments. They recommend de-escalation measures. They facilitate communication between the host state and other signatories.</w:t>
      </w:r>
    </w:p>
    <w:p>
      <w:pPr>
        <w:pStyle w:val="Heading2"/>
      </w:pPr>
      <w:r>
        <w:t>5.3 Category III: Joint Deployment</w:t>
      </w:r>
    </w:p>
    <w:p>
      <w:r>
        <w:t>Where a potential crisis is identified and the Deputy Director for Rapid Response determines that Category II engagement is insufficient, Al-Tawazun seeks host-state concurrence for deployment of a full Preventer Team under Category III.</w:t>
      </w:r>
    </w:p>
    <w:p>
      <w:r>
        <w:t>Category III deployments include host-state personnel as full participants. Al-Tawazun and the host state jointly staff the deployed team. All findings require joint signatures. Either party terminates the deployment on twenty-four hours notice.</w:t>
      </w:r>
    </w:p>
    <w:p>
      <w:r>
        <w:t>If the host state does not provide concurrence within seventy-two hours of the Category III request, the matter escalates automatically to the Guarantor Matrix and the Joint Commission.</w:t>
      </w:r>
    </w:p>
    <w:p>
      <w:pPr>
        <w:pStyle w:val="Heading2"/>
      </w:pPr>
      <w:r>
        <w:t>5.4 Category IV: Emergency Intervention</w:t>
      </w:r>
    </w:p>
    <w:p>
      <w:r>
        <w:t>Where the Guarantor Matrix determines that a serious crisis is imminent and the host state has unreasonably withheld concurrence for Category III, Al-Tawazun deploys under Category IV with a two-thirds vote of the Joint Commission.</w:t>
      </w:r>
    </w:p>
    <w:p>
      <w:r>
        <w:t>Category IV deployments proceed under enhanced transparency protocols. All activities are live-streamed to the Joint Commission. All reports are published within forty-eight hours. The deployment terminates automatically after fourteen days unless the Joint Commission votes to extend.</w:t>
      </w:r>
    </w:p>
    <w:p>
      <w:pPr>
        <w:pStyle w:val="Heading2"/>
      </w:pPr>
      <w:r>
        <w:t>5.5 Emergency Technical Assistance</w:t>
      </w:r>
    </w:p>
    <w:p>
      <w:r>
        <w:t>Sometimes a signatory state does not need mediation. It needs expertise. Al-Tawazun deploys technical specialists -- including engineers, infrastructure specialists, radiation experts, and environmental scientists -- upon request from any signatory state.</w:t>
      </w:r>
    </w:p>
    <w:p>
      <w:r>
        <w:t>Emergency Technical Assistance proceeds without invoking a crisis deployment category. It constitutes technical cooperation, not crisis intervention. The requesting state specifies the scope of assistance, the duration of deployment, and the modalities of access. Al-Tawazun provides the expertise; the requesting state retains full operational control.</w:t>
      </w:r>
    </w:p>
    <w:p>
      <w:r>
        <w:t>Emergency Technical Assistance is available for: post-conflict infrastructure assessment; environmental remediation; radiation safety evaluation; cyber infrastructure hardening; and humanitarian logistics coordination.</w:t>
      </w:r>
    </w:p>
    <w:p>
      <w:pPr>
        <w:pStyle w:val="Heading2"/>
      </w:pPr>
      <w:r>
        <w:t>5.6 Deployment Summary Table</w:t>
      </w:r>
    </w:p>
    <w:tbl>
      <w:tblPr>
        <w:tblW w:w="5000" w:type="pct"/>
        <w:tblBorders>
          <w:top w:val="single" w:color="1a2744" w:sz="12"/>
          <w:left w:val="nil"/>
          <w:bottom w:val="single" w:color="1a2744" w:sz="12"/>
          <w:right w:val="nil"/>
          <w:insideH w:val="single" w:color="c8c4b8" w:sz="4"/>
          <w:insideV w:val="nil"/>
        </w:tblBorders>
      </w:tblPr>
      <w:tblGrid>
        <w:gridCol w:w="1400"/>
        <w:gridCol w:w="2600"/>
        <w:gridCol w:w="3000"/>
        <w:gridCol w:w="2000"/>
      </w:tblGrid>
      <w:tr>
        <w:trPr>
          <w:tblHeader/>
        </w:trPr>
        <w:tc>
          <w:tcPr>
            <w:tcW w:w="1400" w:type="dxa"/>
            <w:shd w:val="clear" w:fill="e8e5dd"/>
          </w:tcPr>
          <w:p>
            <w:pPr>
              <w:spacing w:before="60" w:after="60"/>
              <w:jc w:val="left"/>
            </w:pPr>
            <w:r>
              <w:rPr>
                <w:b/>
                <w:color w:val="1a1a1a"/>
                <w:sz w:val="20"/>
              </w:rPr>
              <w:t>Category</w:t>
            </w:r>
          </w:p>
        </w:tc>
        <w:tc>
          <w:tcPr>
            <w:tcW w:w="2600" w:type="dxa"/>
            <w:shd w:val="clear" w:fill="e8e5dd"/>
          </w:tcPr>
          <w:p>
            <w:pPr>
              <w:spacing w:before="60" w:after="60"/>
              <w:jc w:val="left"/>
            </w:pPr>
            <w:r>
              <w:rPr>
                <w:b/>
                <w:color w:val="1a1a1a"/>
                <w:sz w:val="20"/>
              </w:rPr>
              <w:t>Description</w:t>
            </w:r>
          </w:p>
        </w:tc>
        <w:tc>
          <w:tcPr>
            <w:tcW w:w="3000" w:type="dxa"/>
            <w:shd w:val="clear" w:fill="e8e5dd"/>
          </w:tcPr>
          <w:p>
            <w:pPr>
              <w:spacing w:before="60" w:after="60"/>
              <w:jc w:val="left"/>
            </w:pPr>
            <w:r>
              <w:rPr>
                <w:b/>
                <w:color w:val="1a1a1a"/>
                <w:sz w:val="20"/>
              </w:rPr>
              <w:t>Deploy Authority</w:t>
            </w:r>
          </w:p>
        </w:tc>
        <w:tc>
          <w:tcPr>
            <w:tcW w:w="2000" w:type="dxa"/>
            <w:shd w:val="clear" w:fill="e8e5dd"/>
          </w:tcPr>
          <w:p>
            <w:pPr>
              <w:spacing w:before="60" w:after="60"/>
              <w:jc w:val="left"/>
            </w:pPr>
            <w:r>
              <w:rPr>
                <w:b/>
                <w:color w:val="1a1a1a"/>
                <w:sz w:val="20"/>
              </w:rPr>
              <w:t>Notification</w:t>
            </w:r>
          </w:p>
        </w:tc>
      </w:tr>
      <w:tr>
        <w:tc>
          <w:tcPr>
            <w:tcW w:w="1400" w:type="dxa"/>
          </w:tcPr>
          <w:p>
            <w:pPr>
              <w:spacing w:before="60" w:after="60"/>
              <w:jc w:val="left"/>
            </w:pPr>
            <w:r>
              <w:rPr>
                <w:color w:val="1A1A1A"/>
                <w:sz w:val="20"/>
              </w:rPr>
              <w:t>I</w:t>
            </w:r>
          </w:p>
        </w:tc>
        <w:tc>
          <w:tcPr>
            <w:tcW w:w="2600" w:type="dxa"/>
          </w:tcPr>
          <w:p>
            <w:pPr>
              <w:spacing w:before="60" w:after="60"/>
              <w:jc w:val="left"/>
            </w:pPr>
            <w:r>
              <w:rPr>
                <w:color w:val="1A1A1A"/>
                <w:sz w:val="20"/>
              </w:rPr>
              <w:t>Standard monitoring</w:t>
            </w:r>
          </w:p>
        </w:tc>
        <w:tc>
          <w:tcPr>
            <w:tcW w:w="3000" w:type="dxa"/>
          </w:tcPr>
          <w:p>
            <w:pPr>
              <w:spacing w:before="60" w:after="60"/>
              <w:jc w:val="left"/>
            </w:pPr>
            <w:r>
              <w:rPr>
                <w:color w:val="1A1A1A"/>
                <w:sz w:val="20"/>
              </w:rPr>
              <w:t>Automatic</w:t>
            </w:r>
          </w:p>
        </w:tc>
        <w:tc>
          <w:tcPr>
            <w:tcW w:w="2000" w:type="dxa"/>
          </w:tcPr>
          <w:p>
            <w:pPr>
              <w:spacing w:before="60" w:after="60"/>
              <w:jc w:val="left"/>
            </w:pPr>
            <w:r>
              <w:rPr>
                <w:color w:val="1A1A1A"/>
                <w:sz w:val="20"/>
              </w:rPr>
              <w:t>72 hours</w:t>
            </w:r>
          </w:p>
        </w:tc>
      </w:tr>
      <w:tr>
        <w:tc>
          <w:tcPr>
            <w:tcW w:w="1400" w:type="dxa"/>
          </w:tcPr>
          <w:p>
            <w:pPr>
              <w:spacing w:before="60" w:after="60"/>
              <w:jc w:val="left"/>
            </w:pPr>
            <w:r>
              <w:rPr>
                <w:color w:val="1A1A1A"/>
                <w:sz w:val="20"/>
              </w:rPr>
              <w:t>II</w:t>
            </w:r>
          </w:p>
        </w:tc>
        <w:tc>
          <w:tcPr>
            <w:tcW w:w="2600" w:type="dxa"/>
          </w:tcPr>
          <w:p>
            <w:pPr>
              <w:spacing w:before="60" w:after="60"/>
              <w:jc w:val="left"/>
            </w:pPr>
            <w:r>
              <w:rPr>
                <w:color w:val="1A1A1A"/>
                <w:sz w:val="20"/>
              </w:rPr>
              <w:t>Advisory team (up to 5)</w:t>
            </w:r>
          </w:p>
        </w:tc>
        <w:tc>
          <w:tcPr>
            <w:tcW w:w="3000" w:type="dxa"/>
          </w:tcPr>
          <w:p>
            <w:pPr>
              <w:spacing w:before="60" w:after="60"/>
              <w:jc w:val="left"/>
            </w:pPr>
            <w:r>
              <w:rPr>
                <w:color w:val="1A1A1A"/>
                <w:sz w:val="20"/>
              </w:rPr>
              <w:t>Presumed consent</w:t>
            </w:r>
          </w:p>
        </w:tc>
        <w:tc>
          <w:tcPr>
            <w:tcW w:w="2000" w:type="dxa"/>
          </w:tcPr>
          <w:p>
            <w:pPr>
              <w:spacing w:before="60" w:after="60"/>
              <w:jc w:val="left"/>
            </w:pPr>
            <w:r>
              <w:rPr>
                <w:color w:val="1A1A1A"/>
                <w:sz w:val="20"/>
              </w:rPr>
              <w:t>48 hours</w:t>
            </w:r>
          </w:p>
        </w:tc>
      </w:tr>
      <w:tr>
        <w:tc>
          <w:tcPr>
            <w:tcW w:w="1400" w:type="dxa"/>
          </w:tcPr>
          <w:p>
            <w:pPr>
              <w:spacing w:before="60" w:after="60"/>
              <w:jc w:val="left"/>
            </w:pPr>
            <w:r>
              <w:rPr>
                <w:color w:val="1A1A1A"/>
                <w:sz w:val="20"/>
              </w:rPr>
              <w:t>III</w:t>
            </w:r>
          </w:p>
        </w:tc>
        <w:tc>
          <w:tcPr>
            <w:tcW w:w="2600" w:type="dxa"/>
          </w:tcPr>
          <w:p>
            <w:pPr>
              <w:spacing w:before="60" w:after="60"/>
              <w:jc w:val="left"/>
            </w:pPr>
            <w:r>
              <w:rPr>
                <w:color w:val="1A1A1A"/>
                <w:sz w:val="20"/>
              </w:rPr>
              <w:t>Joint deployment</w:t>
            </w:r>
          </w:p>
        </w:tc>
        <w:tc>
          <w:tcPr>
            <w:tcW w:w="3000" w:type="dxa"/>
          </w:tcPr>
          <w:p>
            <w:pPr>
              <w:spacing w:before="60" w:after="60"/>
              <w:jc w:val="left"/>
            </w:pPr>
            <w:r>
              <w:rPr>
                <w:color w:val="1A1A1A"/>
                <w:sz w:val="20"/>
              </w:rPr>
              <w:t>Host-state concurrence</w:t>
            </w:r>
          </w:p>
        </w:tc>
        <w:tc>
          <w:tcPr>
            <w:tcW w:w="2000" w:type="dxa"/>
          </w:tcPr>
          <w:p>
            <w:pPr>
              <w:spacing w:before="60" w:after="60"/>
              <w:jc w:val="left"/>
            </w:pPr>
            <w:r>
              <w:rPr>
                <w:color w:val="1A1A1A"/>
                <w:sz w:val="20"/>
              </w:rPr>
              <w:t>72 hours</w:t>
            </w:r>
          </w:p>
        </w:tc>
      </w:tr>
      <w:tr>
        <w:tc>
          <w:tcPr>
            <w:tcW w:w="1400" w:type="dxa"/>
          </w:tcPr>
          <w:p>
            <w:pPr>
              <w:spacing w:before="60" w:after="60"/>
              <w:jc w:val="left"/>
            </w:pPr>
            <w:r>
              <w:rPr>
                <w:color w:val="1A1A1A"/>
                <w:sz w:val="20"/>
              </w:rPr>
              <w:t>IV</w:t>
            </w:r>
          </w:p>
        </w:tc>
        <w:tc>
          <w:tcPr>
            <w:tcW w:w="2600" w:type="dxa"/>
          </w:tcPr>
          <w:p>
            <w:pPr>
              <w:spacing w:before="60" w:after="60"/>
              <w:jc w:val="left"/>
            </w:pPr>
            <w:r>
              <w:rPr>
                <w:color w:val="1A1A1A"/>
                <w:sz w:val="20"/>
              </w:rPr>
              <w:t>Emergency intervention</w:t>
            </w:r>
          </w:p>
        </w:tc>
        <w:tc>
          <w:tcPr>
            <w:tcW w:w="3000" w:type="dxa"/>
          </w:tcPr>
          <w:p>
            <w:pPr>
              <w:spacing w:before="60" w:after="60"/>
              <w:jc w:val="left"/>
            </w:pPr>
            <w:r>
              <w:rPr>
                <w:color w:val="1A1A1A"/>
                <w:sz w:val="20"/>
              </w:rPr>
              <w:t>Joint Commission 2/3 vote</w:t>
            </w:r>
          </w:p>
        </w:tc>
        <w:tc>
          <w:tcPr>
            <w:tcW w:w="2000" w:type="dxa"/>
          </w:tcPr>
          <w:p>
            <w:pPr>
              <w:spacing w:before="60" w:after="60"/>
              <w:jc w:val="left"/>
            </w:pPr>
            <w:r>
              <w:rPr>
                <w:color w:val="1A1A1A"/>
                <w:sz w:val="20"/>
              </w:rPr>
              <w:t>96 hours</w:t>
            </w:r>
          </w:p>
        </w:tc>
      </w:tr>
    </w:tbl>
    <w:p>
      <w:pPr>
        <w:pStyle w:val="Heading1"/>
      </w:pPr>
      <w:r>
        <w:t>Article 6: Treaty Trigger Notices</w:t>
      </w:r>
      <w:bookmarkStart w:name="_TocArt6" w:id="7"/>
      <w:bookmarkEnd w:id="7"/>
    </w:p>
    <w:p>
      <w:r>
        <w:t>Al-Tawazun does not issue orders. It certifies conditions. The Treaty Trigger Notice system replaces the concept of "binding cooling-off alerts" with a legally cleaner mechanism: Al-Tawazun certifies that a treaty-defined trigger has occurred, and the treaty itself imposes the associated stabilization obligations.</w:t>
      </w:r>
    </w:p>
    <w:p>
      <w:pPr>
        <w:pStyle w:val="Heading2"/>
      </w:pPr>
      <w:r>
        <w:t>6.1 The Trigger Matrix</w:t>
      </w:r>
    </w:p>
    <w:p>
      <w:r>
        <w:t>Al-Tawazun maintains a comprehensive Trigger Matrix specifying the indicators, thresholds, confidence levels, expiration timelines, and associated obligations for each category of Treaty Trigger Notice.</w:t>
      </w:r>
    </w:p>
    <w:p>
      <w:r>
        <w:t>The Trigger Matrix contains the following categories of triggers:</w:t>
      </w:r>
    </w:p>
    <w:p>
      <w:r>
        <w:t>Amber Trigger: Early-warning indicators show elevated concern. Associated obligations include: enhanced monitoring; forty-eight-hour report to the Joint Commission; and preliminary assessment of escalation risk.</w:t>
      </w:r>
    </w:p>
    <w:p>
      <w:r>
        <w:t>Orange Trigger: Indicators cross the defined threshold for significant concern. Associated obligations include: mandatory Joint Commission convening within forty-eight hours; activation of established hotlines between signatory capitals; and deployment of a Category II Advisory Team.</w:t>
      </w:r>
    </w:p>
    <w:p>
      <w:r>
        <w:t>Red Trigger: Indicators cross the threshold for imminent crisis. Associated obligations include: seventy-two-hour freeze on specified military movements; emergency Joint Commission session within twenty-four hours; deployment of a Category III Preventer Team; and activation of all Crisis Anchors under the MENOC Charter.</w:t>
      </w:r>
    </w:p>
    <w:p>
      <w:pPr>
        <w:pStyle w:val="Heading2"/>
      </w:pPr>
      <w:r>
        <w:t>6.2 Issuance Procedure</w:t>
      </w:r>
    </w:p>
    <w:p>
      <w:r>
        <w:t>The Deputy Director for Early Warning reviews indicator data continuously. Where the data suggests that a threshold has crossed or will cross within forty-eight hours, the Deputy Director convenes an internal Technical Assessment Panel.</w:t>
      </w:r>
    </w:p>
    <w:p>
      <w:r>
        <w:t>The Technical Assessment Panel comprises at least three senior analysts from different Regional Nodes. The Panel reviews the data, assesses the confidence level of the crossing, and votes on whether to recommend issuance of a Treaty Trigger Notice.</w:t>
      </w:r>
    </w:p>
    <w:p>
      <w:r>
        <w:t>The Technical Assessment Panel recommends issuance only upon reaching a two-thirds majority. The Director-General reviews the recommendation and either approves issuance or returns the matter to the Panel with written questions.</w:t>
      </w:r>
    </w:p>
    <w:p>
      <w:r>
        <w:t>Upon Director-General approval, Al-Tawazun issues the Treaty Trigger Notice simultaneously to all signatory states, the Joint Commission, and the Guarantor Matrix.</w:t>
      </w:r>
    </w:p>
    <w:p>
      <w:pPr>
        <w:pStyle w:val="Heading2"/>
      </w:pPr>
      <w:r>
        <w:t>6.3 Automatic Obligations</w:t>
      </w:r>
    </w:p>
    <w:p>
      <w:r>
        <w:t>Upon issuance of a Treaty Trigger Notice, the obligations specified in the Trigger Matrix for that trigger level activate automatically. Al-Tawazun does not impose these obligations. The treaty imposes them. Al-Tawazun merely certifies that the conditions for activation have materialized.</w:t>
      </w:r>
    </w:p>
    <w:p>
      <w:pPr>
        <w:pStyle w:val="Heading2"/>
      </w:pPr>
      <w:r>
        <w:t>6.4 Public versus Private Notices</w:t>
      </w:r>
    </w:p>
    <w:p>
      <w:r>
        <w:t>Treaty Trigger Notices are private by default. They circulate only to signatory states, the Joint Commission, and the Guarantor Matrix. Public issuance requires consensus of the Joint Commission.</w:t>
      </w:r>
    </w:p>
    <w:p>
      <w:r>
        <w:t>The default privacy of Treaty Trigger Notices protects the political space necessary for de-escalation. Public notices are rare and require that all signatories agree that transparency serves the de-escalation objective.</w:t>
      </w:r>
    </w:p>
    <w:p>
      <w:pPr>
        <w:pStyle w:val="Heading2"/>
      </w:pPr>
      <w:r>
        <w:t>6.5 Annual Trigger Matrix Review</w:t>
      </w:r>
    </w:p>
    <w:p>
      <w:r>
        <w:t>The Joint Commission reviews the Trigger Matrix annually. The review considers: the accuracy of thresholds based on operational experience; recommendations from the Lessons Learned Database; technological advances in monitoring capabilities; and changes in the regional security environment.</w:t>
      </w:r>
    </w:p>
    <w:p>
      <w:pPr>
        <w:pStyle w:val="Heading2"/>
      </w:pPr>
      <w:r>
        <w:t>6.6 Confidence Levels</w:t>
      </w:r>
    </w:p>
    <w:p>
      <w:r>
        <w:t>Every Treaty Trigger Notice includes a confidence level indicating the degree of certainty in the underlying assessment:</w:t>
      </w:r>
    </w:p>
    <w:p>
      <w:r>
        <w:t>High Confidence: Multiple independent indicators confirm the crossing. The Technical Assessment Panel reaches unanimous or near-unanimous agreement. The confidence level is High.</w:t>
      </w:r>
    </w:p>
    <w:p>
      <w:r>
        <w:t>Moderate Confidence: Some indicators confirm the crossing; others remain ambiguous. The Technical Assessment Panel reaches the required two-thirds majority but with dissenting views. The confidence level is Moderate.</w:t>
      </w:r>
    </w:p>
    <w:p>
      <w:r>
        <w:t>Low Confidence: Indicators suggest a potential crossing but remain insufficient for definitive certification. The Technical Assessment Panel issues a preliminary advisory rather than a formal Treaty Trigger Notice. The advisory triggers enhanced monitoring but does not activate Cooling-Off Protocols.</w:t>
      </w:r>
    </w:p>
    <w:p>
      <w:r>
        <w:t>The confidence level determines the intensity of the response: High Confidence triggers full protocol activation; Moderate Confidence triggers partial activation with enhanced review; Low Confidence triggers advisory status with increased monitoring frequency.</w:t>
      </w:r>
    </w:p>
    <w:p>
      <w:pPr>
        <w:pStyle w:val="Heading2"/>
      </w:pPr>
      <w:r>
        <w:t>6.7 Trigger Expiration and Review</w:t>
      </w:r>
    </w:p>
    <w:p>
      <w:r>
        <w:t>A Treaty Trigger Notice does not exist indefinitely. Every Notice carries an automatic expiration and review schedule:</w:t>
      </w:r>
    </w:p>
    <w:p>
      <w:r>
        <w:t>Thirty-Day Review: Al-Tawazun reviews the underlying indicators at thirty days. Where the indicators have returned below threshold, the Notice expires automatically. Where the indicators remain elevated, the Notice renews for a further thirty days with an updated confidence level.</w:t>
      </w:r>
    </w:p>
    <w:p>
      <w:r>
        <w:t>Sixty-Day Review: Where a Notice remains active at sixty days, the Technical Assessment Panel conducts a comprehensive reassessment. The Panel evaluates whether the original threshold crossing has evolved, whether new indicators have emerged, and whether the confidence level requires adjustment.</w:t>
      </w:r>
    </w:p>
    <w:p>
      <w:r>
        <w:t>Ninety-Day Review: Where a Notice remains active at ninety days, the matter escalates automatically to the Joint Commission for political review. The Joint Commission determines whether the ongoing trigger indicates a structural problem requiring treaty modification, a temporary anomaly, or a material breach.</w:t>
      </w:r>
    </w:p>
    <w:p>
      <w:r>
        <w:t>The automatic expiration schedule keeps the dashboard current. It prevents stale triggers from accumulating and distorting the situational picture. It ensures that every active trigger reflects current conditions, not historical assessments.</w:t>
      </w:r>
    </w:p>
    <w:p>
      <w:pPr>
        <w:pStyle w:val="Heading1"/>
      </w:pPr>
      <w:r>
        <w:t>Article 7: Verification Functions</w:t>
      </w:r>
      <w:bookmarkStart w:name="_TocArt7" w:id="8"/>
      <w:bookmarkEnd w:id="8"/>
    </w:p>
    <w:p>
      <w:r>
        <w:t>Al-Tawazun approaches verification as a facilitation function, not an inspection function. The framework architecture frames verification as a mutual structural feature shared equally by all signatories. No single state submits to verification. All states participate in reciprocal verification.</w:t>
      </w:r>
    </w:p>
    <w:p>
      <w:pPr>
        <w:pStyle w:val="Heading2"/>
      </w:pPr>
      <w:r>
        <w:t>7.1 Reciprocal Verification Facilitation</w:t>
      </w:r>
    </w:p>
    <w:p>
      <w:r>
        <w:t>Al-Tawazun facilitates reciprocal verification between signatories through the following activities:</w:t>
      </w:r>
    </w:p>
    <w:p>
      <w:r>
        <w:t>Al-Tawazun provides technical expertise and equipment for verification activities. It maintains a shared technical library of verification protocols, equipment specifications, and best practices. All signatories access this library equally.</w:t>
      </w:r>
    </w:p>
    <w:p>
      <w:r>
        <w:t>Al-Tawazun develops mutually acceptable verification protocols through a consultative process involving all signatories. No protocol enters the shared library without consensus approval of the Verification Working Group.</w:t>
      </w:r>
    </w:p>
    <w:p>
      <w:r>
        <w:t>Al-Tawazun certifies the completion of verification activities. Its certification is technical, not political. It confirms that the parties followed the agreed protocol, not that the underlying activity was desirable.</w:t>
      </w:r>
    </w:p>
    <w:p>
      <w:r>
        <w:t>Al-Tawazun resolves verification disputes through technical assessment. Where signatories disagree on verification results, Al-Tawazun convenes a Technical Arbitration Panel of independent experts. The Panel issues an initial technical finding within fifteen days.</w:t>
      </w:r>
    </w:p>
    <w:p>
      <w:pPr>
        <w:pStyle w:val="Heading2"/>
      </w:pPr>
      <w:r>
        <w:t>7.2 Formal Appeals Procedure</w:t>
      </w:r>
    </w:p>
    <w:p>
      <w:r>
        <w:t>Where a signatory state disagrees with a Technical Arbitration Panel finding, the following appeals procedure applies:</w:t>
      </w:r>
    </w:p>
    <w:p>
      <w:r>
        <w:t>Initial Technical Finding: The Panel issues its initial finding within fifteen days of convening. The finding addresses the technical question: whether the parties followed the verification protocol correctly and whether the results support the challenged conclusion.</w:t>
      </w:r>
    </w:p>
    <w:p>
      <w:r>
        <w:t>Request for Reconsideration: Any signatory state requests reconsideration within fifteen days of the initial finding. The request specifies the technical grounds for reconsideration: new evidence, procedural concerns, or methodological objections.</w:t>
      </w:r>
    </w:p>
    <w:p>
      <w:r>
        <w:t>Final Technical Determination: The Panel reviews the reconsideration request and issues a final technical determination within fifteen days. The final determination addresses the grounds raised in the request and either affirms, modifies, or reverses the initial finding.</w:t>
      </w:r>
    </w:p>
    <w:p>
      <w:r>
        <w:t>The final technical determination is binding on Al-Tawazun for operational purposes. It does not preclude the Joint Commission from reaching a different political conclusion. The technical finding addresses verification methodology; the political determination addresses treaty compliance.</w:t>
      </w:r>
    </w:p>
    <w:p>
      <w:pPr>
        <w:pStyle w:val="Heading2"/>
      </w:pPr>
      <w:r>
        <w:t>7.3 Bilateral Verification Encouragement</w:t>
      </w:r>
    </w:p>
    <w:p>
      <w:r>
        <w:t>Al-Tawazun actively encourages bilateral verification arrangements between signatory pairs. Bilateral arrangements reduce the burden on Al-Tawazun resources and increase the ownership that signatories feel over the verification process.</w:t>
      </w:r>
    </w:p>
    <w:p>
      <w:r>
        <w:t>Where two or more signatories establish a bilateral verification arrangement, Al-Tawazun provides technical support, protocol templates, and certification services at no cost. The bilateral arrangement remains sovereign to the participating states. Al-Tawazun does not oversee, supervise, or direct bilateral activities.</w:t>
      </w:r>
    </w:p>
    <w:p>
      <w:pPr>
        <w:pStyle w:val="Heading2"/>
      </w:pPr>
      <w:r>
        <w:t>7.4 Unilateral Inspection Exclusion</w:t>
      </w:r>
    </w:p>
    <w:p>
      <w:r>
        <w:t>The framework architecture excludes unilateral inspection of signatory territory by Al-Tawazun personnel. All verification activities proceed on a reciprocal basis with the full knowledge and participation of the verified state.</w:t>
      </w:r>
    </w:p>
    <w:p>
      <w:r>
        <w:t>This exclusion applies to all Categories of deployment. Even under Category IV Emergency Intervention, Al-Tawazun is prohibited from conducting unilateral inspections. Its function is to stabilize, verify facts on the ground through joint observation, and facilitate communication.</w:t>
      </w:r>
    </w:p>
    <w:p>
      <w:pPr>
        <w:pStyle w:val="Heading1"/>
      </w:pPr>
      <w:r>
        <w:t>Article 8: Operational Tools</w:t>
      </w:r>
      <w:bookmarkStart w:name="_TocArt8" w:id="9"/>
      <w:bookmarkEnd w:id="9"/>
    </w:p>
    <w:p>
      <w:pPr>
        <w:pStyle w:val="Heading2"/>
      </w:pPr>
      <w:r>
        <w:t>8.1 Monitoring and Detection</w:t>
      </w:r>
    </w:p>
    <w:p>
      <w:r>
        <w:t>Al-Tawazun employs a multi-layered monitoring system drawing on diverse data sources:</w:t>
      </w:r>
    </w:p>
    <w:p>
      <w:r>
        <w:t>Satellite Imagery: Al-Tawazun maintains access to UNOSAT and commercial satellite imagery providers. Satellite analysis focuses on detecting changes in military posture, infrastructure construction, and territorial control.</w:t>
      </w:r>
    </w:p>
    <w:p>
      <w:r>
        <w:t>Open-Source Intelligence: Al-Tawazun monitors publicly available information including government statements, military communications, social media trends, financial transactions, and shipping movements. All open-source collection proceeds through publicly accessible channels.</w:t>
      </w:r>
    </w:p>
    <w:p>
      <w:r>
        <w:t>Treaty-Mandated Data Feeds: Signatories provide Al-Tawazun with real-time or near-real-time data feeds specified in the MENOC Charter and associated annexes. These feeds include nuclear facility telemetry under Annex ES, sanctions compliance data under Annex SRCA, and reconstruction progress data under Annex RDF.</w:t>
      </w:r>
    </w:p>
    <w:p>
      <w:r>
        <w:t>Local Liaison Reporting: Each Regional Node maintains liaison relationships with local government officials, civil society organizations, and community leaders. These relationships provide ground-level situational awareness that complements technical monitoring.</w:t>
      </w:r>
    </w:p>
    <w:p>
      <w:r>
        <w:t>Crisis Indicator Dashboards: Al-Tawazun maintains a centralized dashboard tracking all early-warning indicators in real time. The dashboard is accessible to all signatory states through a secure portal. Transparency of monitoring builds confidence in Al-Tawazun findings.</w:t>
      </w:r>
    </w:p>
    <w:p>
      <w:pPr>
        <w:pStyle w:val="Heading2"/>
      </w:pPr>
      <w:r>
        <w:t>8.2 Data Architecture</w:t>
      </w:r>
    </w:p>
    <w:p>
      <w:r>
        <w:t>Al-Tawazun integrates its monitoring systems into the broader peace architecture data ecosystem. The data flows through the following hierarchy:</w:t>
      </w:r>
    </w:p>
    <w:p>
      <w:r>
        <w:t>Political Layer: The Joint Commission and the Guarantor Matrix set strategic priorities and review Al-Tawazun assessments.</w:t>
      </w:r>
    </w:p>
    <w:p>
      <w:r>
        <w:t>Stabilization Layer: Al-Tawazun processes raw data, applies analytical models, and issues Treaty Trigger Notices.</w:t>
      </w:r>
    </w:p>
    <w:p>
      <w:r>
        <w:t>Operational Layer: The annexes (ES, SRCA, RDF, LAES, MENOC Ops) provide treaty-mandated data feeds and receive Al-Tawazun alerts.</w:t>
      </w:r>
    </w:p>
    <w:p>
      <w:r>
        <w:t>Monitoring Layer: Technical monitoring systems (satellite, open-source, telemetry, cyber) provide raw data inputs.</w:t>
      </w:r>
    </w:p>
    <w:p>
      <w:pPr>
        <w:pStyle w:val="Heading2"/>
      </w:pPr>
      <w:r>
        <w:t>8.3 Algorithm Transparency</w:t>
      </w:r>
    </w:p>
    <w:p>
      <w:r>
        <w:t>Where Al-Tawazun employs analytical models, automated scoring systems, or artificial intelligence for indicator assessment, the following transparency requirements apply:</w:t>
      </w:r>
    </w:p>
    <w:p>
      <w:r>
        <w:t>All models are auditable. The methodology, data inputs, weighting factors, and decision thresholds are documented and available for review by the Independent Scientific Advisory Board and the Joint Commission.</w:t>
      </w:r>
    </w:p>
    <w:p>
      <w:r>
        <w:t>No model produces a Treaty Trigger Notice without human review. Automated systems flag potential crossings for analyst evaluation. The Technical Assessment Panel confirms or rejects every flagged crossing before issuance.</w:t>
      </w:r>
    </w:p>
    <w:p>
      <w:r>
        <w:t>The Independent Scientific Advisory Board reviews all models annually for bias, accuracy, and reliability. The Board publishes its findings in the Annual Technical Assessment.</w:t>
      </w:r>
    </w:p>
    <w:p>
      <w:r>
        <w:t>Where a signatory state requests an explanation of a model-based determination, Al-Tawazun provides a detailed technical explanation within ten days.</w:t>
      </w:r>
    </w:p>
    <w:p>
      <w:pPr>
        <w:pStyle w:val="Heading2"/>
      </w:pPr>
      <w:r>
        <w:t>8.4 Cyber Stability Monitoring</w:t>
      </w:r>
    </w:p>
    <w:p>
      <w:r>
        <w:t>Al-Tawazun monitors major cyber incidents affecting treaty-related infrastructure. This monitoring is carefully scoped to infrastructure directly relevant to the peace architecture:</w:t>
      </w:r>
    </w:p>
    <w:p>
      <w:r>
        <w:t>Nuclear facility control systems and safeguards communications infrastructure.</w:t>
      </w:r>
    </w:p>
    <w:p>
      <w:r>
        <w:t>Verification and monitoring data transmission systems.</w:t>
      </w:r>
    </w:p>
    <w:p>
      <w:r>
        <w:t>Joint Commission and Joint Secretariat secure communications.</w:t>
      </w:r>
    </w:p>
    <w:p>
      <w:r>
        <w:t>Sanctions compliance tracking and financial transparency systems.</w:t>
      </w:r>
    </w:p>
    <w:p>
      <w:r>
        <w:t>Al-Tawazun cyber monitoring does not extend to general government networks, military command systems, or civilian infrastructure unrelated to the treaty framework.</w:t>
      </w:r>
    </w:p>
    <w:p>
      <w:r>
        <w:t>Cyber indicators feed into the Trigger Matrix as a distinct category. A significant cyber incident affecting treaty infrastructure may trigger an Amber or Orange Notice depending on severity and confidence level.</w:t>
      </w:r>
    </w:p>
    <w:p>
      <w:pPr>
        <w:pStyle w:val="Heading2"/>
      </w:pPr>
      <w:r>
        <w:t>8.5 Formal Risk Register</w:t>
      </w:r>
    </w:p>
    <w:p>
      <w:r>
        <w:t>Al-Tawazun maintains a Formal Risk Register tracking the top twenty regional risks. Each risk entry includes: a description of the risk; the assessed probability (Low, Moderate, High); the assessed severity (Minor, Significant, Critical); the trend direction (Improving, Stable, Deteriorating); and the mitigating measures currently in effect.</w:t>
      </w:r>
    </w:p>
    <w:p>
      <w:r>
        <w:t>The Risk Register updates quarterly. The Director-General reviews the Register at each quarterly review and presents changes to the Joint Commission.</w:t>
      </w:r>
    </w:p>
    <w:p>
      <w:r>
        <w:t>The Risk Register informs the Trigger Matrix. Where a risk shows deteriorating probability or severity, Al-Tawazun adjusts the relevant thresholds to ensure early detection.</w:t>
      </w:r>
    </w:p>
    <w:p>
      <w:pPr>
        <w:pStyle w:val="Heading2"/>
      </w:pPr>
      <w:r>
        <w:t>8.6 Success Metrics</w:t>
      </w:r>
    </w:p>
    <w:p>
      <w:r>
        <w:t>Al-Tawazun defines success through the following measurable indicators:</w:t>
      </w:r>
    </w:p>
    <w:p>
      <w:r>
        <w:t>Resolution Rate: The percentage of Treaty Trigger Notices resolved without escalation to higher trigger levels or Category IV deployment. Target: above seventy percent.</w:t>
      </w:r>
    </w:p>
    <w:p>
      <w:r>
        <w:t>Deployment Speed: The average time from activation request to Preventer Team arrival on site. Target: under forty-eight hours for Categories I and II.</w:t>
      </w:r>
    </w:p>
    <w:p>
      <w:r>
        <w:t>Verification Facilitation: The number of reciprocal verification missions facilitated annually. Target: proportional to signatory state count.</w:t>
      </w:r>
    </w:p>
    <w:p>
      <w:r>
        <w:t>Delay Reduction: The measured reduction in treaty implementation delays attributable to Al-Tawazun early warning and coordination.</w:t>
      </w:r>
    </w:p>
    <w:p>
      <w:r>
        <w:t>Stakeholder Satisfaction: Annual confidential surveys of signatory state representatives assessing the utility, neutrality, and responsiveness of Al-Tawazun.</w:t>
      </w:r>
    </w:p>
    <w:p>
      <w:r>
        <w:t>Lessons Implementation: The percentage of Lessons Learned Database recommendations implemented within twelve months of issuance. Target: above sixty percent.</w:t>
      </w:r>
    </w:p>
    <w:p>
      <w:r>
        <w:t>The Annual Stabilization Assessment reports all success metrics, compares current performance against targets, and identifies areas requiring improvement.</w:t>
      </w:r>
    </w:p>
    <w:p>
      <w:pPr>
        <w:pStyle w:val="Heading1"/>
      </w:pPr>
      <w:r>
        <w:t>Article 9: Rapid Response</w:t>
      </w:r>
      <w:bookmarkStart w:name="_TocArt9" w:id="10"/>
      <w:bookmarkEnd w:id="10"/>
    </w:p>
    <w:p>
      <w:r>
        <w:t>Preventer Teams respond to crises through four primary functions:</w:t>
      </w:r>
    </w:p>
    <w:p>
      <w:pPr>
        <w:pStyle w:val="Heading2"/>
      </w:pPr>
      <w:r>
        <w:t>9.1 Mediation</w:t>
      </w:r>
    </w:p>
    <w:p>
      <w:r>
        <w:t>Preventer Teams mediate between conflicting parties at the operational level. They do not negotiate political settlements. They resolve misunderstandings, clarify intentions, and identify mutual interests in de-escalation. Their mediation is technical and confidential.</w:t>
      </w:r>
    </w:p>
    <w:p>
      <w:pPr>
        <w:pStyle w:val="Heading2"/>
      </w:pPr>
      <w:r>
        <w:t>9.2 Fact Verification</w:t>
      </w:r>
    </w:p>
    <w:p>
      <w:r>
        <w:t>Preventer Teams verify facts on the ground through direct observation, joint inspection with host-state personnel, and technical measurement. Their findings are joint findings: signed by both Al-Tawazun and host-state representatives.</w:t>
      </w:r>
    </w:p>
    <w:p>
      <w:pPr>
        <w:pStyle w:val="Heading2"/>
      </w:pPr>
      <w:r>
        <w:t>9.3 Humanitarian Coordination</w:t>
      </w:r>
    </w:p>
    <w:p>
      <w:r>
        <w:t>Preventer Teams coordinate humanitarian access during crises. They liaise between humanitarian organizations, military commanders, and government officials to establish safe corridors, de-conflict operations, and ensure that civilian protection remains a priority.</w:t>
      </w:r>
    </w:p>
    <w:p>
      <w:pPr>
        <w:pStyle w:val="Heading2"/>
      </w:pPr>
      <w:r>
        <w:t>9.4 De-escalation Recommendation</w:t>
      </w:r>
    </w:p>
    <w:p>
      <w:r>
        <w:t>Preventer Teams recommend specific de-escalation steps to the parties and to the Joint Commission. These recommendations are technical, not political. They identify the specific actions that each party takes to reduce tension and restore stability.</w:t>
      </w:r>
    </w:p>
    <w:p>
      <w:pPr>
        <w:pStyle w:val="Heading2"/>
      </w:pPr>
      <w:r>
        <w:t>9.5 Rapid Response Reserve</w:t>
      </w:r>
    </w:p>
    <w:p>
      <w:r>
        <w:t>Al-Tawazun maintains a Rapid Response Reserve: a pool of pre-cleared, pre-trained personnel on standby for immediate deployment. The Reserve comprises at least twenty-four personnel across all four Regional Nodes, with a minimum of six personnel per node on standby at all times.</w:t>
      </w:r>
    </w:p>
    <w:p>
      <w:pPr>
        <w:pStyle w:val="Heading2"/>
      </w:pPr>
      <w:r>
        <w:t>9.6 Joint Training Exercises</w:t>
      </w:r>
    </w:p>
    <w:p>
      <w:r>
        <w:t>Once every year, Al-Tawazun conducts a Joint Training Exercise simulating a regional crisis. The Exercise tests: the speed and accuracy of Treaty Trigger Notice issuance; the coordination between Regional Nodes and the Central Directorate; the deployment procedures for all four Deployment Categories; the communications protocols between Al-Tawazun, the Joint Commission, and signatory states; and the effectiveness of Cooling-Off Protocols under simulated pressure.</w:t>
      </w:r>
    </w:p>
    <w:p>
      <w:r>
        <w:t>All signatory states receive an invitation to participate in or observe the Exercise. Participation is voluntary. Observer status is available to all. The Exercise proceeds without real-world Treaty Trigger Notices; all triggers are simulated.</w:t>
      </w:r>
    </w:p>
    <w:p>
      <w:r>
        <w:t>Al-Tawazun publishes an After-Action Report within thirty days of each Exercise. The Report identifies strengths, weaknesses, and recommendations for procedural improvement. The Report feeds directly into the Lessons Learned Database.</w:t>
      </w:r>
    </w:p>
    <w:p>
      <w:pPr>
        <w:pStyle w:val="Heading1"/>
      </w:pPr>
      <w:r>
        <w:t>Article 10: Sovereignty Safeguards</w:t>
      </w:r>
      <w:bookmarkStart w:name="_TocArt10" w:id="11"/>
      <w:bookmarkEnd w:id="11"/>
    </w:p>
    <w:p>
      <w:r>
        <w:t>The following safeguards ensure that Al-Tawazun respects the sovereignty of all signatory states. These safeguards are structural features of the framework, not concessions by any individual state.</w:t>
      </w:r>
    </w:p>
    <w:p>
      <w:r>
        <w:t>No Unilateral Access to Sensitive Sites: The framework architecture excludes unilateral Al-Tawazun access to military installations, government facilities, and other sensitive sites. All access proceeds through joint arrangements with host-state personnel present at all times.</w:t>
      </w:r>
    </w:p>
    <w:p>
      <w:r>
        <w:t>Host-State Concurrence for Deployments: Categories III and IV deployments require host-state concurrence. Category II deployments operate on a presumption of consent that the host state actively overrides if it objects. Only Categories I and II proceed without explicit concurrence.</w:t>
      </w:r>
    </w:p>
    <w:p>
      <w:r>
        <w:t>Opt-In Data Sharing: Data sharing between Al-Tawazun and signatory states operates on an opt-in, tiered basis. Each signatory specifies the categories of data it shares, the frequency of sharing, and the distribution restrictions. No signatory shares data it does not wish to share.</w:t>
      </w:r>
    </w:p>
    <w:p>
      <w:r>
        <w:t>Intelligence Collection Exclusion: The framework architecture excludes intelligence collection beyond the agreed monitoring channels. Al-Tawazun does not operate human intelligence networks, electronic surveillance systems, or signals intelligence capabilities.</w:t>
      </w:r>
    </w:p>
    <w:p>
      <w:r>
        <w:t>Annual Review by Signatory States: The Joint Commission reviews Al-Tawazun operations annually. Signatory states propose modifications to the mandate, the Trigger Matrix, the Deployment Categories, and the operational procedures.</w:t>
      </w:r>
    </w:p>
    <w:p>
      <w:pPr>
        <w:pStyle w:val="Heading2"/>
      </w:pPr>
      <w:r>
        <w:t>10.1 Institutional Independence</w:t>
      </w:r>
    </w:p>
    <w:p>
      <w:r>
        <w:t>The framework architecture explicitly prohibits Al-Tawazun from accepting operational direction from any individual government. The Director-General reports exclusively to the Joint Commission. No single signatory state, group of states, or external entity directs Al-Tawazun operations.</w:t>
      </w:r>
    </w:p>
    <w:p>
      <w:r>
        <w:t>Al-Tawazun is prohibited from accepting political instructions outside the agreed governance structure. The Joint Commission provides political guidance through formal resolutions. Individual states, organizations, or officials do not provide informal political instructions.</w:t>
      </w:r>
    </w:p>
    <w:p>
      <w:r>
        <w:t>The Director-General reports any attempt by any party to provide unauthorized operational direction or political instruction. The report goes to the Joint Commission Chair and the Guarantor Matrix. The Joint Commission reviews the report at its next session and takes appropriate action.</w:t>
      </w:r>
    </w:p>
    <w:p>
      <w:r>
        <w:t>The institutional independence of Al-Tawazun is a structural feature, not a courtesy. It exists to protect the neutrality of the Stabilization Branch and to ensure that all signatory states trust its assessments regardless of which state currently holds political influence.</w:t>
      </w:r>
    </w:p>
    <w:p>
      <w:pPr>
        <w:pStyle w:val="Heading2"/>
      </w:pPr>
      <w:r>
        <w:t>10.2 Rolling Horizon Mandate</w:t>
      </w:r>
    </w:p>
    <w:p>
      <w:r>
        <w:t>Al-Tawazun operates under a rolling five-year horizon with annual performance review. The mandate does not sunset; it renews automatically unless the Joint Commission votes to modify or dissolve. This rolling horizon provides institutional stability while preserving the authority of signatory states to reform or terminate the institution.</w:t>
      </w:r>
    </w:p>
    <w:p>
      <w:r>
        <w:t>The rolling horizon replaces a fixed-term sunset with a continuous evaluation cycle. Each annual review considers whether the institution continues to serve the peace architecture effectively. Where the review identifies serious concerns, the Joint Commission initiates a reform process rather than automatic dissolution.</w:t>
      </w:r>
    </w:p>
    <w:p>
      <w:pPr>
        <w:pStyle w:val="Heading1"/>
      </w:pPr>
      <w:r>
        <w:t>Article 11: Integration with the Peace Architecture</w:t>
      </w:r>
      <w:bookmarkStart w:name="_TocArt11" w:id="12"/>
      <w:bookmarkEnd w:id="12"/>
    </w:p>
    <w:p>
      <w:r>
        <w:t>Al-Tawazun functions as the operating system of the broader peace architecture. It does not replace existing institutions. It monitors them, coordinates between them, and activates stabilizers when the system drifts toward crisis.</w:t>
      </w:r>
    </w:p>
    <w:p>
      <w:pPr>
        <w:pStyle w:val="Heading2"/>
      </w:pPr>
      <w:r>
        <w:t>11.1 Integration with Annex ES (Escrow and Triggers)</w:t>
      </w:r>
    </w:p>
    <w:p>
      <w:r>
        <w:t>Al-Tawazun monitors the Step-Back and Earn-Back triggers under Annex ES before those triggers activate. It provides early warning of potential compliance failures and activates Cooling-Off Protocols before Step-Back becomes automatic.</w:t>
      </w:r>
    </w:p>
    <w:p>
      <w:r>
        <w:t>Where Al-Tawazun issues a Treaty Trigger Notice, the PCC considers that notice in its assessment of whether a Step-Back event has occurred. The notice does not constitute a Step-Back trigger, but it informs the PCC determination of good-faith compliance.</w:t>
      </w:r>
    </w:p>
    <w:p>
      <w:pPr>
        <w:pStyle w:val="Heading2"/>
      </w:pPr>
      <w:r>
        <w:t>11.2 Integration with Annex LAES (Damaged Sites)</w:t>
      </w:r>
    </w:p>
    <w:p>
      <w:r>
        <w:t>Al-Tawazun observes Safety Hold invocations under Annex LAES and provides technical assessments to the Joint Commission regarding the credibility of safety justifications. These observations do not override the Independent Technical Review Panel determinations, but they inform the Joint Commission review of cumulative Safety Hold patterns.</w:t>
      </w:r>
    </w:p>
    <w:p>
      <w:pPr>
        <w:pStyle w:val="Heading2"/>
      </w:pPr>
      <w:r>
        <w:t>11.3 Integration with Annex RDF (Reconstruction)</w:t>
      </w:r>
    </w:p>
    <w:p>
      <w:r>
        <w:t>Al-Tawazun monitors reconstruction project implementation for early signs of delay or diversion. It verifies that reconstruction milestones align with nuclear milestones and issues project health alerts before disbursement issues escalate.</w:t>
      </w:r>
    </w:p>
    <w:p>
      <w:pPr>
        <w:pStyle w:val="Heading2"/>
      </w:pPr>
      <w:r>
        <w:t>11.4 Integration with Annex SRCA (Sanctions Relief)</w:t>
      </w:r>
    </w:p>
    <w:p>
      <w:r>
        <w:t>Al-Tawazun monitors the implementation of sanctions relief and provides quarterly reports to the Joint Commission. The reports identify delays, regulatory obstacles, or compliance issues that affect the synchronized relief schedule.</w:t>
      </w:r>
    </w:p>
    <w:p>
      <w:pPr>
        <w:pStyle w:val="Heading2"/>
      </w:pPr>
      <w:r>
        <w:t>11.5 Integration with the MENOC Charter</w:t>
      </w:r>
    </w:p>
    <w:p>
      <w:r>
        <w:t>Al-Tawazun monitors enrichment activities for early signs of deviation from the CEL standard. It verifies the Staged Deterrent activation thresholds and provides independent assessment of Material Breach allegations. It maintains the operational health of the entire Staged Deterrent Architecture, including monitoring the Penalty Escrow balance and verifying compliance with Earn-Back conditions.</w:t>
      </w:r>
    </w:p>
    <w:p>
      <w:pPr>
        <w:pStyle w:val="Heading2"/>
      </w:pPr>
      <w:r>
        <w:t>11.6 System Architecture</w:t>
      </w:r>
    </w:p>
    <w:p>
      <w:r>
        <w:t>The Al-Tawazun integration architecture follows this hierarchy:</w:t>
      </w:r>
    </w:p>
    <w:p>
      <w:r>
        <w:t>Political Layer: The MENOC Charter, the Joint Commission, and the Guarantor Matrix establish strategic priorities and review Al-Tawazun assessments.</w:t>
      </w:r>
    </w:p>
    <w:p>
      <w:r>
        <w:t>Stabilization Layer: Al-Tawazun processes data, issues Treaty Trigger Notices, and coordinates all stabilization functions.</w:t>
      </w:r>
    </w:p>
    <w:p>
      <w:r>
        <w:t>Operational Layer: The technical annexes (ES, SRCA, RDF, LAES) implement the substantive provisions of the peace architecture and provide treaty-mandated data feeds to Al-Tawazun.</w:t>
      </w:r>
    </w:p>
    <w:p>
      <w:r>
        <w:t>Monitoring Layer: Satellite, open-source, telemetry, cyber, and human reporting systems provide raw data inputs.</w:t>
      </w:r>
    </w:p>
    <w:p>
      <w:pPr>
        <w:pStyle w:val="Heading1"/>
      </w:pPr>
      <w:r>
        <w:t>Article 12: Funding</w:t>
      </w:r>
      <w:bookmarkStart w:name="_TocArt12" w:id="13"/>
      <w:bookmarkEnd w:id="13"/>
    </w:p>
    <w:p>
      <w:r>
        <w:t>Al-Tawazun operates under a hybrid funding model that combines assessed contributions, voluntary contributions, host-state support, and Peacebuilding Fund access. This model mirrors the precedent established by General Assembly Resolution 78/257, which approved fifty million dollars annually in assessed contributions to the UN Peacebuilding Fund starting in 2025.</w:t>
      </w:r>
    </w:p>
    <w:p>
      <w:pPr>
        <w:pStyle w:val="Heading2"/>
      </w:pPr>
      <w:r>
        <w:t>12.1 Assessed Contributions</w:t>
      </w:r>
    </w:p>
    <w:p>
      <w:r>
        <w:t>Al-Tawazun receives assessed contributions from all UN member states that are signatories to the MENOC Charter. The scale of assessments follows the UN regular budget scale of assessments.</w:t>
      </w:r>
    </w:p>
    <w:p>
      <w:r>
        <w:t>The assessed contributions provide the core operating budget for Al-Tawazun, including: salaries for the Director-General and Central Directorate staff; administrative costs of the Central Directorate and four Regional Nodes; basic operational expenses including monitoring technology, communications infrastructure, and data systems; and the Rapid Response Reserve personnel costs.</w:t>
      </w:r>
    </w:p>
    <w:p>
      <w:r>
        <w:t>The assessed contribution mechanism signals that Al-Tawazun is a permanent UN institution, not a voluntary coalition that individual states fund or defund on a whim.</w:t>
      </w:r>
    </w:p>
    <w:p>
      <w:pPr>
        <w:pStyle w:val="Heading2"/>
      </w:pPr>
      <w:r>
        <w:t>12.2 Voluntary Contributions</w:t>
      </w:r>
    </w:p>
    <w:p>
      <w:r>
        <w:t>Signatory states, UN member states, regional organizations, and other partners contribute voluntarily to Al-Tawazun. Voluntary contributions are either earmarked or unearmarked. Unearmarked contributions are preferred because they ensure operational flexibility.</w:t>
      </w:r>
    </w:p>
    <w:p>
      <w:r>
        <w:t>Al-Tawazun maintains a Donor Fund for voluntary contributions, administered by the UN Controller. The Donor Fund publishes quarterly reports listing all contributions, their sources, and their uses.</w:t>
      </w:r>
    </w:p>
    <w:p>
      <w:pPr>
        <w:pStyle w:val="Heading2"/>
      </w:pPr>
      <w:r>
        <w:t>12.3 Host-State Contributions</w:t>
      </w:r>
    </w:p>
    <w:p>
      <w:r>
        <w:t>Each host state for a Regional Node provides office space, facilities, and local logistical support at no cost to Al-Tawazun. This in-kind contribution reflects the standard practice for all UN field operations.</w:t>
      </w:r>
    </w:p>
    <w:p>
      <w:r>
        <w:t>Signatory states make annual host-state contributions, determined by the Joint Commission, to support Al-Tawazun operations in their respective regions.</w:t>
      </w:r>
    </w:p>
    <w:p>
      <w:pPr>
        <w:pStyle w:val="Heading2"/>
      </w:pPr>
      <w:r>
        <w:t>12.4 Peacebuilding Fund Access</w:t>
      </w:r>
    </w:p>
    <w:p>
      <w:r>
        <w:t>Al-Tawazun is eligible for funding from the UN Peacebuilding Fund for specific early-warning, conflict-prevention, and rapid-response activities. Al-Tawazun applies for Peacebuilding Fund resources through standard UN procedures.</w:t>
      </w:r>
    </w:p>
    <w:p>
      <w:r>
        <w:t>Peacebuilding Fund resources support: rapid response deployments beyond the core budget; technology upgrades for monitoring systems; training programs for local partners; and crisis mediation and de-escalation team surge capacity.</w:t>
      </w:r>
    </w:p>
    <w:p>
      <w:pPr>
        <w:pStyle w:val="Heading2"/>
      </w:pPr>
      <w:r>
        <w:t>12.5 Innovative Financing</w:t>
      </w:r>
    </w:p>
    <w:p>
      <w:r>
        <w:t>Al-Tawazun explores innovative financing mechanisms, including public-private partnerships for technology and monitoring systems; philanthropic foundation grants for capacity-building programs; and blended finance instruments for peacebuilding investments.</w:t>
      </w:r>
    </w:p>
    <w:p>
      <w:r>
        <w:t>The Joint Commission reviews innovative financing proposals and approves those consistent with the Al-Tawazun mandate.</w:t>
      </w:r>
    </w:p>
    <w:p>
      <w:pPr>
        <w:pStyle w:val="Heading2"/>
      </w:pPr>
      <w:r>
        <w:t>12.6 Financial Transparency</w:t>
      </w:r>
    </w:p>
    <w:p>
      <w:r>
        <w:t>Al-Tawazun publishes an annual budget and expenditure report. The report goes to the General Assembly, the Security Council, and the Joint Commission.</w:t>
      </w:r>
    </w:p>
    <w:p>
      <w:r>
        <w:t>The report identifies all sources of funding, including assessed contributions, voluntary contributions, host-state contributions, and Peacebuilding Fund allocations. No funding source remains undisclosed.</w:t>
      </w:r>
    </w:p>
    <w:p>
      <w:pPr>
        <w:pStyle w:val="Heading2"/>
      </w:pPr>
      <w:r>
        <w:t>12.7 No Diversion</w:t>
      </w:r>
    </w:p>
    <w:p>
      <w:r>
        <w:t>The framework architecture prohibits diversion of Al-Tawazun funds for purposes other than those authorized under this Protocol. Any detected diversion triggers an immediate Joint Commission investigation and potential suspension of funding from the contributing source.</w:t>
      </w:r>
    </w:p>
    <w:p>
      <w:pPr>
        <w:pStyle w:val="Heading2"/>
      </w:pPr>
      <w:r>
        <w:t>12.8 Estimated Annual Budget</w:t>
      </w:r>
    </w:p>
    <w:tbl>
      <w:tblPr>
        <w:tblW w:w="5000" w:type="pct"/>
        <w:tblBorders>
          <w:top w:val="single" w:color="1a2744" w:sz="12"/>
          <w:left w:val="nil"/>
          <w:bottom w:val="single" w:color="1a2744" w:sz="12"/>
          <w:right w:val="nil"/>
          <w:insideH w:val="single" w:color="c8c4b8" w:sz="4"/>
          <w:insideV w:val="nil"/>
        </w:tblBorders>
      </w:tblPr>
      <w:tblGrid>
        <w:gridCol w:w="4000"/>
        <w:gridCol w:w="2500"/>
        <w:gridCol w:w="2500"/>
      </w:tblGrid>
      <w:tr>
        <w:trPr>
          <w:tblHeader/>
        </w:trPr>
        <w:tc>
          <w:tcPr>
            <w:tcW w:w="4000" w:type="dxa"/>
            <w:shd w:val="clear" w:fill="e8e5dd"/>
          </w:tcPr>
          <w:p>
            <w:pPr>
              <w:spacing w:before="60" w:after="60"/>
              <w:jc w:val="left"/>
            </w:pPr>
            <w:r>
              <w:rPr>
                <w:b/>
                <w:color w:val="1a1a1a"/>
                <w:sz w:val="20"/>
              </w:rPr>
              <w:t>Component</w:t>
            </w:r>
          </w:p>
        </w:tc>
        <w:tc>
          <w:tcPr>
            <w:tcW w:w="2500" w:type="dxa"/>
            <w:shd w:val="clear" w:fill="e8e5dd"/>
          </w:tcPr>
          <w:p>
            <w:pPr>
              <w:spacing w:before="60" w:after="60"/>
              <w:jc w:val="left"/>
            </w:pPr>
            <w:r>
              <w:rPr>
                <w:b/>
                <w:color w:val="1a1a1a"/>
                <w:sz w:val="20"/>
              </w:rPr>
              <w:t>Annual Cost (USD)</w:t>
            </w:r>
          </w:p>
        </w:tc>
        <w:tc>
          <w:tcPr>
            <w:tcW w:w="2500" w:type="dxa"/>
            <w:shd w:val="clear" w:fill="e8e5dd"/>
          </w:tcPr>
          <w:p>
            <w:pPr>
              <w:spacing w:before="60" w:after="60"/>
              <w:jc w:val="left"/>
            </w:pPr>
            <w:r>
              <w:rPr>
                <w:b/>
                <w:color w:val="1a1a1a"/>
                <w:sz w:val="20"/>
              </w:rPr>
              <w:t>Primary Source</w:t>
            </w:r>
          </w:p>
        </w:tc>
      </w:tr>
      <w:tr>
        <w:tc>
          <w:tcPr>
            <w:tcW w:w="4000" w:type="dxa"/>
          </w:tcPr>
          <w:p>
            <w:pPr>
              <w:spacing w:before="60" w:after="60"/>
              <w:jc w:val="left"/>
            </w:pPr>
            <w:r>
              <w:rPr>
                <w:color w:val="1A1A1A"/>
                <w:sz w:val="20"/>
              </w:rPr>
              <w:t>Central Directorate</w:t>
            </w:r>
          </w:p>
        </w:tc>
        <w:tc>
          <w:tcPr>
            <w:tcW w:w="2500" w:type="dxa"/>
          </w:tcPr>
          <w:p>
            <w:pPr>
              <w:spacing w:before="60" w:after="60"/>
              <w:jc w:val="left"/>
            </w:pPr>
            <w:r>
              <w:rPr>
                <w:color w:val="1A1A1A"/>
                <w:sz w:val="20"/>
              </w:rPr>
              <w:t>$15-20 million</w:t>
            </w:r>
          </w:p>
        </w:tc>
        <w:tc>
          <w:tcPr>
            <w:tcW w:w="2500" w:type="dxa"/>
          </w:tcPr>
          <w:p>
            <w:pPr>
              <w:spacing w:before="60" w:after="60"/>
              <w:jc w:val="left"/>
            </w:pPr>
            <w:r>
              <w:rPr>
                <w:color w:val="1A1A1A"/>
                <w:sz w:val="20"/>
              </w:rPr>
              <w:t>Assessed + voluntary</w:t>
            </w:r>
          </w:p>
        </w:tc>
      </w:tr>
      <w:tr>
        <w:tc>
          <w:tcPr>
            <w:tcW w:w="4000" w:type="dxa"/>
          </w:tcPr>
          <w:p>
            <w:pPr>
              <w:spacing w:before="60" w:after="60"/>
              <w:jc w:val="left"/>
            </w:pPr>
            <w:r>
              <w:rPr>
                <w:color w:val="1A1A1A"/>
                <w:sz w:val="20"/>
              </w:rPr>
              <w:t>Regional Nodes (4)</w:t>
            </w:r>
          </w:p>
        </w:tc>
        <w:tc>
          <w:tcPr>
            <w:tcW w:w="2500" w:type="dxa"/>
          </w:tcPr>
          <w:p>
            <w:pPr>
              <w:spacing w:before="60" w:after="60"/>
              <w:jc w:val="left"/>
            </w:pPr>
            <w:r>
              <w:rPr>
                <w:color w:val="1A1A1A"/>
                <w:sz w:val="20"/>
              </w:rPr>
              <w:t>$10-15 million</w:t>
            </w:r>
          </w:p>
        </w:tc>
        <w:tc>
          <w:tcPr>
            <w:tcW w:w="2500" w:type="dxa"/>
          </w:tcPr>
          <w:p>
            <w:pPr>
              <w:spacing w:before="60" w:after="60"/>
              <w:jc w:val="left"/>
            </w:pPr>
            <w:r>
              <w:rPr>
                <w:color w:val="1A1A1A"/>
                <w:sz w:val="20"/>
              </w:rPr>
              <w:t>Voluntary contributions</w:t>
            </w:r>
          </w:p>
        </w:tc>
      </w:tr>
      <w:tr>
        <w:tc>
          <w:tcPr>
            <w:tcW w:w="4000" w:type="dxa"/>
          </w:tcPr>
          <w:p>
            <w:pPr>
              <w:spacing w:before="60" w:after="60"/>
              <w:jc w:val="left"/>
            </w:pPr>
            <w:r>
              <w:rPr>
                <w:color w:val="1A1A1A"/>
                <w:sz w:val="20"/>
              </w:rPr>
              <w:t>Preventer Teams</w:t>
            </w:r>
          </w:p>
        </w:tc>
        <w:tc>
          <w:tcPr>
            <w:tcW w:w="2500" w:type="dxa"/>
          </w:tcPr>
          <w:p>
            <w:pPr>
              <w:spacing w:before="60" w:after="60"/>
              <w:jc w:val="left"/>
            </w:pPr>
            <w:r>
              <w:rPr>
                <w:color w:val="1A1A1A"/>
                <w:sz w:val="20"/>
              </w:rPr>
              <w:t>$15-25 million</w:t>
            </w:r>
          </w:p>
        </w:tc>
        <w:tc>
          <w:tcPr>
            <w:tcW w:w="2500" w:type="dxa"/>
          </w:tcPr>
          <w:p>
            <w:pPr>
              <w:spacing w:before="60" w:after="60"/>
              <w:jc w:val="left"/>
            </w:pPr>
            <w:r>
              <w:rPr>
                <w:color w:val="1A1A1A"/>
                <w:sz w:val="20"/>
              </w:rPr>
              <w:t>Voluntary + host-state</w:t>
            </w:r>
          </w:p>
        </w:tc>
      </w:tr>
      <w:tr>
        <w:tc>
          <w:tcPr>
            <w:tcW w:w="4000" w:type="dxa"/>
          </w:tcPr>
          <w:p>
            <w:pPr>
              <w:spacing w:before="60" w:after="60"/>
              <w:jc w:val="left"/>
            </w:pPr>
            <w:r>
              <w:rPr>
                <w:color w:val="1A1A1A"/>
                <w:sz w:val="20"/>
              </w:rPr>
              <w:t>Early Warning / Technology</w:t>
            </w:r>
          </w:p>
        </w:tc>
        <w:tc>
          <w:tcPr>
            <w:tcW w:w="2500" w:type="dxa"/>
          </w:tcPr>
          <w:p>
            <w:pPr>
              <w:spacing w:before="60" w:after="60"/>
              <w:jc w:val="left"/>
            </w:pPr>
            <w:r>
              <w:rPr>
                <w:color w:val="1A1A1A"/>
                <w:sz w:val="20"/>
              </w:rPr>
              <w:t>$5-10 million</w:t>
            </w:r>
          </w:p>
        </w:tc>
        <w:tc>
          <w:tcPr>
            <w:tcW w:w="2500" w:type="dxa"/>
          </w:tcPr>
          <w:p>
            <w:pPr>
              <w:spacing w:before="60" w:after="60"/>
              <w:jc w:val="left"/>
            </w:pPr>
            <w:r>
              <w:rPr>
                <w:color w:val="1A1A1A"/>
                <w:sz w:val="20"/>
              </w:rPr>
              <w:t>Voluntary + PBF</w:t>
            </w:r>
          </w:p>
        </w:tc>
      </w:tr>
      <w:tr>
        <w:tc>
          <w:tcPr>
            <w:tcW w:w="4000" w:type="dxa"/>
          </w:tcPr>
          <w:p>
            <w:pPr>
              <w:spacing w:before="60" w:after="60"/>
              <w:jc w:val="left"/>
            </w:pPr>
            <w:r>
              <w:rPr>
                <w:color w:val="1A1A1A"/>
                <w:sz w:val="20"/>
              </w:rPr>
              <w:t>Training / Capacity Building</w:t>
            </w:r>
          </w:p>
        </w:tc>
        <w:tc>
          <w:tcPr>
            <w:tcW w:w="2500" w:type="dxa"/>
          </w:tcPr>
          <w:p>
            <w:pPr>
              <w:spacing w:before="60" w:after="60"/>
              <w:jc w:val="left"/>
            </w:pPr>
            <w:r>
              <w:rPr>
                <w:color w:val="1A1A1A"/>
                <w:sz w:val="20"/>
              </w:rPr>
              <w:t>$3-5 million</w:t>
            </w:r>
          </w:p>
        </w:tc>
        <w:tc>
          <w:tcPr>
            <w:tcW w:w="2500" w:type="dxa"/>
          </w:tcPr>
          <w:p>
            <w:pPr>
              <w:spacing w:before="60" w:after="60"/>
              <w:jc w:val="left"/>
            </w:pPr>
            <w:r>
              <w:rPr>
                <w:color w:val="1A1A1A"/>
                <w:sz w:val="20"/>
              </w:rPr>
              <w:t>Voluntary + PBF</w:t>
            </w:r>
          </w:p>
        </w:tc>
      </w:tr>
      <w:tr>
        <w:tc>
          <w:tcPr>
            <w:tcW w:w="4000" w:type="dxa"/>
          </w:tcPr>
          <w:p>
            <w:pPr>
              <w:spacing w:before="60" w:after="60"/>
              <w:jc w:val="left"/>
            </w:pPr>
            <w:r>
              <w:rPr>
                <w:color w:val="1A1A1A"/>
                <w:sz w:val="20"/>
              </w:rPr>
              <w:t>Administrative / Support</w:t>
            </w:r>
          </w:p>
        </w:tc>
        <w:tc>
          <w:tcPr>
            <w:tcW w:w="2500" w:type="dxa"/>
          </w:tcPr>
          <w:p>
            <w:pPr>
              <w:spacing w:before="60" w:after="60"/>
              <w:jc w:val="left"/>
            </w:pPr>
            <w:r>
              <w:rPr>
                <w:color w:val="1A1A1A"/>
                <w:sz w:val="20"/>
              </w:rPr>
              <w:t>$5-8 million</w:t>
            </w:r>
          </w:p>
        </w:tc>
        <w:tc>
          <w:tcPr>
            <w:tcW w:w="2500" w:type="dxa"/>
          </w:tcPr>
          <w:p>
            <w:pPr>
              <w:spacing w:before="60" w:after="60"/>
              <w:jc w:val="left"/>
            </w:pPr>
            <w:r>
              <w:rPr>
                <w:color w:val="1A1A1A"/>
                <w:sz w:val="20"/>
              </w:rPr>
              <w:t>Assessed contributions</w:t>
            </w:r>
          </w:p>
        </w:tc>
      </w:tr>
      <w:tr>
        <w:tc>
          <w:tcPr>
            <w:tcW w:w="4000" w:type="dxa"/>
          </w:tcPr>
          <w:p>
            <w:pPr>
              <w:spacing w:before="60" w:after="60"/>
              <w:jc w:val="left"/>
            </w:pPr>
            <w:r>
              <w:rPr>
                <w:color w:val="1A1A1A"/>
                <w:sz w:val="20"/>
              </w:rPr>
              <w:t>Total Estimated Budget</w:t>
            </w:r>
          </w:p>
        </w:tc>
        <w:tc>
          <w:tcPr>
            <w:tcW w:w="2500" w:type="dxa"/>
          </w:tcPr>
          <w:p>
            <w:pPr>
              <w:spacing w:before="60" w:after="60"/>
              <w:jc w:val="left"/>
            </w:pPr>
            <w:r>
              <w:rPr>
                <w:color w:val="1A1A1A"/>
                <w:sz w:val="20"/>
              </w:rPr>
              <w:t>$55-85 million</w:t>
            </w:r>
          </w:p>
        </w:tc>
        <w:tc>
          <w:tcPr>
            <w:tcW w:w="2500" w:type="dxa"/>
          </w:tcPr>
          <w:p>
            <w:pPr>
              <w:spacing w:before="60" w:after="60"/>
              <w:jc w:val="left"/>
            </w:pPr>
            <w:r>
              <w:rPr>
                <w:color w:val="1A1A1A"/>
                <w:sz w:val="20"/>
              </w:rPr>
              <w:t>Hybrid model</w:t>
            </w:r>
          </w:p>
        </w:tc>
      </w:tr>
    </w:tbl>
    <w:p>
      <w:pPr>
        <w:pStyle w:val="Heading1"/>
      </w:pPr>
      <w:r>
        <w:t>Article 13: Operational Learning</w:t>
      </w:r>
      <w:bookmarkStart w:name="_TocArt13" w:id="14"/>
      <w:bookmarkEnd w:id="14"/>
    </w:p>
    <w:p>
      <w:r>
        <w:t>A mature institution continuously improves its detection models, procedures, and treaty recommendations based on operational experience. Al-Tawazun embeds this learning function into every aspect of its operations.</w:t>
      </w:r>
    </w:p>
    <w:p>
      <w:pPr>
        <w:pStyle w:val="Heading2"/>
      </w:pPr>
      <w:r>
        <w:t>13.1 Lessons Learned Database</w:t>
      </w:r>
    </w:p>
    <w:p>
      <w:r>
        <w:t>Al-Tawazun maintains a comprehensive Lessons Learned Database documenting the following for every intervention:</w:t>
      </w:r>
    </w:p>
    <w:p>
      <w:r>
        <w:t>The indicators that preceded the intervention, ranked by order of appearance and confidence level.</w:t>
      </w:r>
    </w:p>
    <w:p>
      <w:r>
        <w:t>The effectiveness of deployed measures, scored against predefined success criteria.</w:t>
      </w:r>
    </w:p>
    <w:p>
      <w:r>
        <w:t>The failure modes of early-warning systems, including false positives, false negatives, and latency issues.</w:t>
      </w:r>
    </w:p>
    <w:p>
      <w:r>
        <w:t>Recommendations for treaty updates, threshold revisions, and procedural improvements.</w:t>
      </w:r>
    </w:p>
    <w:p>
      <w:pPr>
        <w:pStyle w:val="Heading2"/>
      </w:pPr>
      <w:r>
        <w:t>13.2 False Alarm Metrics</w:t>
      </w:r>
    </w:p>
    <w:p>
      <w:r>
        <w:t>Al-Tawazun tracks and publishes the following performance metrics annually:</w:t>
      </w:r>
    </w:p>
    <w:p>
      <w:r>
        <w:t>False Positive Rate: The percentage of Treaty Trigger Notices issued where the underlying indicators subsequently returned below threshold without intervention. This measures the rate of unnecessary alerts.</w:t>
      </w:r>
    </w:p>
    <w:p>
      <w:r>
        <w:t>False Negative Rate: The number of significant destabilizing events that occurred without a preceding Treaty Trigger Notice. This measures the rate of missed detections.</w:t>
      </w:r>
    </w:p>
    <w:p>
      <w:r>
        <w:t>Average Response Time: The mean time from indicator threshold crossing to Treaty Trigger Notice issuance. This measures the speed of the detection-to-notification pipeline.</w:t>
      </w:r>
    </w:p>
    <w:p>
      <w:r>
        <w:t>Detection Accuracy: The percentage of Treaty Trigger Notices where joint verification or host-state admission subsequently confirmed the certified condition. This measures the overall reliability of the assessment process.</w:t>
      </w:r>
    </w:p>
    <w:p>
      <w:r>
        <w:t>The False Alarm Metrics Report publishes these figures in aggregate form, without attribution to specific signatory states. Transparency of performance builds credibility and trust in Al-Tawazun assessments.</w:t>
      </w:r>
    </w:p>
    <w:p>
      <w:pPr>
        <w:pStyle w:val="Heading2"/>
      </w:pPr>
      <w:r>
        <w:t>13.3 Annual Learning Review</w:t>
      </w:r>
    </w:p>
    <w:p>
      <w:r>
        <w:t>The Joint Commission reviews the Lessons Learned Database annually and considers recommendations for: revising treaty triggers and thresholds; updating deployment protocols; enhancing early-warning systems; and adjusting the Al-Tawazun mandate.</w:t>
      </w:r>
    </w:p>
    <w:p>
      <w:pPr>
        <w:pStyle w:val="Heading2"/>
      </w:pPr>
      <w:r>
        <w:t>13.4 Sanitized Publication</w:t>
      </w:r>
    </w:p>
    <w:p>
      <w:r>
        <w:t>The Lessons Learned Database is available to all signatories in a sanitized, non-attributed form. Sanitization removes state identifiers, individual names, and sensitive operational details while preserving the analytical value of the lessons.</w:t>
      </w:r>
    </w:p>
    <w:p>
      <w:pPr>
        <w:pStyle w:val="Heading2"/>
      </w:pPr>
      <w:r>
        <w:t>13.5 Continuous Improvement Cycle</w:t>
      </w:r>
    </w:p>
    <w:p>
      <w:r>
        <w:t>Al-Tawazun operates on a continuous improvement cycle: detect, intervene, learn, adapt, redetect. Each iteration of the cycle refines the Trigger Matrix, improves the accuracy of indicator thresholds, and enhances the effectiveness of deployed Preventer Teams.</w:t>
      </w:r>
    </w:p>
    <w:p>
      <w:pPr>
        <w:pStyle w:val="Heading1"/>
      </w:pPr>
      <w:r>
        <w:t>Article 14: Public Narrative</w:t>
      </w:r>
      <w:bookmarkStart w:name="_TocArt14" w:id="15"/>
      <w:bookmarkEnd w:id="15"/>
    </w:p>
    <w:p>
      <w:r>
        <w:t>The public narrative surrounding Al-Tawazun is not a public relations exercise. It is a structural feature of the framework. How states perceive Al-Tawazun determines how willingly they cooperate with it. The narrative shapes the political space within which the Stabilization Branch operates.</w:t>
      </w:r>
    </w:p>
    <w:p>
      <w:r>
        <w:t>Al-Tawazun presents itself as: firefighters, not police; stability technicians, not inspectors; neutral troubleshooters, not enforcers; and a safety valve, not a supranational authority.</w:t>
      </w:r>
    </w:p>
    <w:p>
      <w:r>
        <w:t>This framing transforms the political psychology of cooperation. Instead of the perception that "the UN is coming to tell us what to do," the perception becomes "the UN is here because every house in the neighborhood might catch fire." Psychologically, this is a fundamental difference.</w:t>
      </w:r>
    </w:p>
    <w:p>
      <w:pPr>
        <w:pStyle w:val="Heading2"/>
      </w:pPr>
      <w:r>
        <w:t>14.1 Public Annual Report</w:t>
      </w:r>
    </w:p>
    <w:p>
      <w:r>
        <w:t>Al-Tawazun produces two annual reports:</w:t>
      </w:r>
    </w:p>
    <w:p>
      <w:r>
        <w:t>The Classified Annual Report circulates exclusively to the Joint Commission, the Guarantor Matrix, and signatory state governments. It contains detailed operational data, specific indicator assessments, and state-attributed findings.</w:t>
      </w:r>
    </w:p>
    <w:p>
      <w:r>
        <w:t>The Public Annual Report demonstrates the value of Al-Tawazun without exposing sensitive details. It contains: aggregate statistics on Treaty Trigger Notices issued and resolved; summary data on verification missions facilitated; general trends in regional stability indicators; anonymized case studies of successful de-escalation; and the False Alarm Metrics Report.</w:t>
      </w:r>
    </w:p>
    <w:p>
      <w:r>
        <w:t>The Public Annual Report demonstrates that Al-Tawazun operates transparently, delivers measurable results, and respects the confidentiality of sensitive operations.</w:t>
      </w:r>
    </w:p>
    <w:p>
      <w:pPr>
        <w:pStyle w:val="Heading2"/>
      </w:pPr>
      <w:r>
        <w:t>14.2 Communications Authority</w:t>
      </w:r>
    </w:p>
    <w:p>
      <w:r>
        <w:t>The Director-General of Al-Tawazun approves all external communications. The Joint Commission reviews the communications strategy annually.</w:t>
      </w:r>
    </w:p>
    <w:p>
      <w:pPr>
        <w:pStyle w:val="Heading1"/>
      </w:pPr>
      <w:r>
        <w:t>Article 15: Sunset and Review</w:t>
      </w:r>
      <w:bookmarkStart w:name="_TocArt15" w:id="16"/>
      <w:bookmarkEnd w:id="16"/>
    </w:p>
    <w:p>
      <w:pPr>
        <w:pStyle w:val="Heading2"/>
      </w:pPr>
      <w:r>
        <w:t>15.1 Rolling Horizon Mandate</w:t>
      </w:r>
    </w:p>
    <w:p>
      <w:r>
        <w:t>Al-Tawazun operates under a rolling five-year horizon with annual performance review. The mandate does not sunset on a fixed date; it renews continuously unless the Joint Commission votes to modify or dissolve. This rolling horizon provides institutional stability while preserving the authority of signatory states to reform or terminate the institution.</w:t>
      </w:r>
    </w:p>
    <w:p>
      <w:r>
        <w:t>The rolling horizon replaces a fixed-term sunset with a continuous evaluation cycle. Each annual review considers whether the institution continues to serve the peace architecture effectively. Where the review identifies serious concerns, the Joint Commission initiates a reform process rather than automatic dissolution.</w:t>
      </w:r>
    </w:p>
    <w:p>
      <w:pPr>
        <w:pStyle w:val="Heading2"/>
      </w:pPr>
      <w:r>
        <w:t>15.2 Annual Performance Review</w:t>
      </w:r>
    </w:p>
    <w:p>
      <w:r>
        <w:t>The Joint Commission conducts an annual performance review assessing: the accuracy of Treaty Trigger Notices; the effectiveness of Preventer Team deployments; the operational health of the monitoring systems; the state of the Lessons Learned Database; compliance with sovereignty safeguards; and the success metrics defined in Article 8.6.</w:t>
      </w:r>
    </w:p>
    <w:p>
      <w:pPr>
        <w:pStyle w:val="Heading2"/>
      </w:pPr>
      <w:r>
        <w:t>15.3 Graceful Degradation</w:t>
      </w:r>
    </w:p>
    <w:p>
      <w:r>
        <w:t>Where the Joint Commission determines that Al-Tawazun is no longer fully effective but still provides value, the Commission initiates a Graceful Degradation process rather than immediate dissolution. Graceful Degradation reduces the scope of Al-Tawazun operations incrementally while preserving core functions:</w:t>
      </w:r>
    </w:p>
    <w:p>
      <w:r>
        <w:t>Phase One: Reduction of Category IV authorization and limitation of new Preventer Team deployments to Categories I through III.</w:t>
      </w:r>
    </w:p>
    <w:p>
      <w:r>
        <w:t>Phase Two: Consolidation of Regional Nodes from four to two, with maintained coverage through enhanced remote monitoring.</w:t>
      </w:r>
    </w:p>
    <w:p>
      <w:r>
        <w:t>Phase Three: Transition to a lean monitoring and certification-only posture, with Preventer Team functions transferred to bilateral arrangements or UN agencies.</w:t>
      </w:r>
    </w:p>
    <w:p>
      <w:r>
        <w:t>Phase Four: Orderly dissolution with full data transfer to the Joint Secretariat and publication of the complete Lessons Learned Database.</w:t>
      </w:r>
    </w:p>
    <w:p>
      <w:r>
        <w:t>Each phase lasts a minimum of six months. The Joint Commission votes on progression between phases. At any phase, the Commission votes to restore full operations if conditions improve.</w:t>
      </w:r>
    </w:p>
    <w:p>
      <w:pPr>
        <w:pStyle w:val="Heading2"/>
      </w:pPr>
      <w:r>
        <w:t>15.4 Mandate Renewal Vote</w:t>
      </w:r>
    </w:p>
    <w:p>
      <w:r>
        <w:t>The Joint Commission votes on mandate continuation in the final year of each five-year horizon. Continuation requires consensus. Where consensus is not achievable, the Commission considers whether to initiate Graceful Degradation.</w:t>
      </w:r>
    </w:p>
    <w:p>
      <w:pPr>
        <w:pStyle w:val="Heading2"/>
      </w:pPr>
      <w:r>
        <w:t>15.5 Reform Proposals</w:t>
      </w:r>
    </w:p>
    <w:p>
      <w:r>
        <w:t>Any signatory state proposes reforms to the Al-Tawazun mandate, structure, or procedures at any time. The Joint Commission considers all reform proposals within ninety days of submission.</w:t>
      </w:r>
    </w:p>
    <w:p>
      <w:pPr>
        <w:pStyle w:val="Heading2"/>
      </w:pPr>
      <w:r>
        <w:t>15.6 Independent External Review</w:t>
      </w:r>
    </w:p>
    <w:p>
      <w:r>
        <w:t>Every five years, Al-Tawazun invites outside experts to review its procedures, governance, and effectiveness. The Independent External Review panel comprises experts who have no current or prior affiliation with Al-Tawazun, the Joint Commission, or any signatory state government.</w:t>
      </w:r>
    </w:p>
    <w:p>
      <w:r>
        <w:t>The Review panel evaluates: the accuracy and timeliness of Treaty Trigger Notices; the effectiveness of Preventer Team deployments; the adequacy of sovereignty safeguards; the independence of the Stabilization Branch from political influence; the transparency of funding and operations; and the overall contribution of Al-Tawazun to regional stability.</w:t>
      </w:r>
    </w:p>
    <w:p>
      <w:r>
        <w:t>The Review panel publishes its findings and recommendations. The Joint Commission considers the recommendations within ninety days and publishes its response, including which recommendations it accepts, modifies, or declines.</w:t>
      </w:r>
    </w:p>
    <w:p>
      <w:pPr>
        <w:pStyle w:val="Heading1"/>
      </w:pPr>
      <w:r>
        <w:t>Article 16: Relationship to Other Instruments</w:t>
      </w:r>
      <w:bookmarkStart w:name="_TocArt16" w:id="17"/>
      <w:bookmarkEnd w:id="17"/>
    </w:p>
    <w:p>
      <w:r>
        <w:t>This Protocol operates as a supplementary instrument to the MENOC Charter and all associated annexes.</w:t>
      </w:r>
    </w:p>
    <w:p>
      <w:r>
        <w:t>Where this Protocol conflicts with another instrument on a matter within this Protocol's scope, this Protocol governs.</w:t>
      </w:r>
    </w:p>
    <w:p>
      <w:r>
        <w:t>Al-Tawazun coordinates with the Joint Secretariat, the Joint Commission, and all relevant bodies to ensure consistency with the broader peace architecture.</w:t>
      </w:r>
    </w:p>
    <w:p>
      <w:r>
        <w:t>Nothing in this Protocol derogates from the authority of the IAEA, the Joint Commission, or the Guarantor Matrix.</w:t>
      </w:r>
    </w:p>
    <w:p>
      <w:r>
        <w:t>This Protocol does not amend, supersede, or replace Iran's NPT Safeguards Agreement (INFCIRC/214), the Additional Protocol (INFCIRC/214/Add.1), or the Agency's Statute.</w:t>
      </w:r>
    </w:p>
    <w:p>
      <w:pPr>
        <w:pStyle w:val="Heading2"/>
      </w:pPr>
      <w:r>
        <w:t>16.1 Shared Technology Standards</w:t>
      </w:r>
    </w:p>
    <w:p>
      <w:r>
        <w:t>Al-Tawazun maintains a Technical Standards Annex specifying shared protocols for: satellite imagery formats and resolution standards; telemetry data formats and transmission protocols; encryption standards for secure communications; and interoperability requirements for monitoring equipment.</w:t>
      </w:r>
    </w:p>
    <w:p>
      <w:r>
        <w:t>The Technical Standards Annex ensures that all signatory states, Regional Nodes, and monitoring systems use compatible formats and protocols. This standardization reduces integration costs, accelerates data sharing, and prevents vendor lock-in.</w:t>
      </w:r>
    </w:p>
    <w:p>
      <w:r>
        <w:t>The Independent Scientific Advisory Board reviews the Technical Standards Annex annually and recommends updates to reflect technological advances.</w:t>
      </w:r>
    </w:p>
    <w:p>
      <w:pPr>
        <w:pStyle w:val="Heading1"/>
      </w:pPr>
      <w:r>
        <w:t>Signature Block</w:t>
      </w:r>
      <w:bookmarkStart w:name="_TocSig" w:id="18"/>
      <w:bookmarkEnd w:id="18"/>
    </w:p>
    <w:p>
      <w:r>
        <w:t>In witness whereof, the undersigned, being duly authorized by their respective governments, have signed this Protocol.</w:t>
      </w:r>
    </w:p>
    <w:p>
      <w:r>
        <w:t>Done at _______________________________, this ______ day of _________________________, 2026, in duplicate in the English language.</w:t>
      </w:r>
    </w:p>
    <w:p>
      <w:r>
        <w:t>For the Islamic Republic of Iran:</w:t>
      </w:r>
    </w:p>
    <w:p>
      <w:r>
        <w:t>Name: _________________________________________________</w:t>
      </w:r>
    </w:p>
    <w:p>
      <w:r>
        <w:t>Title: _________________________________________________</w:t>
      </w:r>
    </w:p>
    <w:p>
      <w:r>
        <w:t>Date: _________________________________________________</w:t>
      </w:r>
    </w:p>
    <w:p>
      <w:r>
        <w:t>For the United States of America:</w:t>
      </w:r>
    </w:p>
    <w:p>
      <w:r>
        <w:t>Name: _________________________________________________</w:t>
      </w:r>
    </w:p>
    <w:p>
      <w:r>
        <w:t>Title: _________________________________________________</w:t>
      </w:r>
    </w:p>
    <w:p>
      <w:r>
        <w:t>Date: _________________________________________________</w:t>
      </w:r>
    </w:p>
    <w:p>
      <w:r>
        <w:t>The United Nations acknowledges the establishment of Al-Tawazun under this Protocol and affirms its consistency with the purposes and principles of the United Nations Charter.</w:t>
      </w:r>
    </w:p>
    <w:p>
      <w:r>
        <w:t>For the United Nations:</w:t>
      </w:r>
    </w:p>
    <w:p>
      <w:r>
        <w:t>Name: _________________________________________________</w:t>
      </w:r>
    </w:p>
    <w:p>
      <w:r>
        <w:t>Title: Secretary-General</w:t>
      </w:r>
    </w:p>
    <w:p>
      <w:r>
        <w:t>Date: _________________________________________________</w:t>
      </w:r>
    </w:p>
    <w:p>
      <w:pPr>
        <w:sectPr>
          <w:headerReference w:type="default" r:id="Rbbc1126c0c264d8e"/>
          <w:footerReference w:type="default" r:id="R83ca75f5028441c4"/>
          <w:pgSz w:w="11906" w:h="16838"/>
          <w:pgMar w:top="1800" w:right="1440" w:bottom="1440" w:left="1440" w:header="720" w:footer="720"/>
        </w:sectPr>
      </w:pPr>
    </w:p>
    <w:p/>
    <w:p>
      <w:pPr>
        <w:spacing w:before="6000"/>
        <w:jc w:val="center"/>
      </w:pPr>
      <w:r>
        <w:rPr>
          <w:rFonts w:ascii="Cambria" w:hAnsi="Cambria"/>
          <w:color w:val="a6894a"/>
          <w:spacing w:val="60"/>
          <w:sz w:val="28"/>
        </w:rPr>
        <w:t>التوازن</w:t>
      </w:r>
    </w:p>
    <w:p>
      <w:pPr>
        <w:spacing w:before="400"/>
        <w:jc w:val="center"/>
      </w:pPr>
      <w:r>
        <w:rPr>
          <w:rFonts w:ascii="Cambria" w:hAnsi="Cambria"/>
          <w:i/>
          <w:color w:val="1a2744"/>
          <w:sz w:val="22"/>
        </w:rPr>
        <w:t>The Balancing</w:t>
      </w:r>
    </w:p>
    <w:p>
      <w:pPr>
        <w:spacing w:before="600"/>
        <w:jc w:val="center"/>
      </w:pPr>
      <w:r>
        <w:rPr>
          <w:rFonts w:ascii="Cambria" w:hAnsi="Cambria"/>
          <w:color w:val="1A1A1A"/>
          <w:sz w:val="20"/>
        </w:rPr>
        <w:t>"They prevent fires. They do not rule anyone."</w:t>
      </w:r>
    </w:p>
    <w:p>
      <w:pPr>
        <w:spacing w:before="3000"/>
        <w:jc w:val="center"/>
      </w:pPr>
      <w:r>
        <w:rPr>
          <w:rFonts w:ascii="Cambria" w:hAnsi="Cambria"/>
          <w:color w:val="1A1A1A"/>
          <w:sz w:val="18"/>
        </w:rPr>
        <w:t>Authorized Negotiators Only -- Confidential -- Not for Public Distribution</w:t>
      </w:r>
    </w:p>
    <w:p>
      <w:pPr>
        <w:spacing w:before="200"/>
        <w:jc w:val="center"/>
      </w:pPr>
      <w:r>
        <w:rPr>
          <w:rFonts w:ascii="Cambria" w:hAnsi="Cambria"/>
          <w:color w:val="1A1A1A"/>
          <w:sz w:val="18"/>
        </w:rPr>
        <w:t>Version 2.0 -- June 2026</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a7a7a"/>
        <w:sz w:val="18"/>
      </w:rPr>
      <w:fldChar w:fldCharType="begin"/>
    </w:r>
    <w:r>
      <w:rPr>
        <w:color w:val="7a7a7a"/>
        <w:sz w:val="18"/>
      </w:rPr>
      <w:instrText xml:space="preserve"> PAGE </w:instrText>
    </w:r>
    <w:r>
      <w:rPr>
        <w:color w:val="7a7a7a"/>
        <w:sz w:val="18"/>
      </w:rPr>
      <w:fldChar w:fldCharType="separate"/>
    </w:r>
    <w:r>
      <w:rPr>
        <w:color w:val="7a7a7a"/>
        <w:sz w:val="18"/>
      </w:rPr>
      <w:t>1</w:t>
    </w:r>
    <w:r>
      <w:fldChar w:fldCharType="end"/>
    </w:r>
    <w:r>
      <w:rPr>
        <w:color w:val="7a7a7a"/>
        <w:sz w:val="18"/>
      </w:rPr>
      <w:t xml:space="preserve"> / </w:t>
    </w:r>
    <w:r>
      <w:rPr>
        <w:color w:val="7a7a7a"/>
        <w:sz w:val="18"/>
      </w:rPr>
      <w:fldChar w:fldCharType="begin"/>
    </w:r>
    <w:r>
      <w:rPr>
        <w:color w:val="7a7a7a"/>
        <w:sz w:val="18"/>
      </w:rPr>
      <w:instrText xml:space="preserve"> NUMPAGES </w:instrText>
    </w:r>
    <w:r>
      <w:rPr>
        <w:color w:val="7a7a7a"/>
        <w:sz w:val="18"/>
      </w:rPr>
      <w:fldChar w:fldCharType="separate"/>
    </w:r>
    <w:r>
      <w:rPr>
        <w:color w:val="7a7a7a"/>
        <w:sz w:val="18"/>
      </w:rPr>
      <w:t>1</w:t>
    </w:r>
    <w:r>
      <w:fldChar w:fldCharType="end"/>
    </w:r>
  </w:p>
</w:ftr>
</file>

<file path=word/header1.xml><?xml version="1.0" encoding="utf-8"?>
<w:hdr xmlns:w="http://schemas.openxmlformats.org/wordprocessingml/2006/main">
  <w:p>
    <w:pPr>
      <w:jc w:val="right"/>
    </w:pPr>
    <w:r>
      <w:rPr>
        <w:rFonts w:ascii="Cambria" w:hAnsi="Cambria"/>
        <w:color w:val="7a7a7a"/>
        <w:sz w:val="18"/>
      </w:rPr>
      <w:t>Annex ST: Al-Tawazun Protocol</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288" w:lineRule="auto"/>
      <w:jc w:val="both"/>
    </w:pPr>
    <w:rPr>
      <w:rFonts w:ascii="Cambria" w:hAnsi="Cambria" w:eastAsia="Microsoft YaHei"/>
      <w:color w:val="1a1a1a"/>
      <w:sz w:val="22"/>
    </w:rPr>
  </w:style>
  <w:style w:type="paragraph" w:styleId="Heading1">
    <w:name w:val="heading 1"/>
    <w:basedOn w:val="Normal"/>
    <w:pPr>
      <w:keepNext/>
      <w:keepLines/>
      <w:spacing w:before="480" w:after="240"/>
      <w:outlineLvl w:val="0"/>
    </w:pPr>
    <w:rPr>
      <w:rFonts w:ascii="Cambria" w:hAnsi="Cambria" w:eastAsia="Microsoft YaHei"/>
      <w:b/>
      <w:color w:val="1a2744"/>
      <w:sz w:val="36"/>
    </w:rPr>
  </w:style>
  <w:style w:type="paragraph" w:styleId="Heading2">
    <w:name w:val="heading 2"/>
    <w:basedOn w:val="Normal"/>
    <w:pPr>
      <w:keepNext/>
      <w:keepLines/>
      <w:spacing w:before="360" w:after="160"/>
      <w:outlineLvl w:val="1"/>
    </w:pPr>
    <w:rPr>
      <w:rFonts w:ascii="Cambria" w:hAnsi="Cambria" w:eastAsia="Microsoft YaHei"/>
      <w:b/>
      <w:color w:val="1a1a1a"/>
      <w:sz w:val="28"/>
    </w:rPr>
  </w:style>
  <w:style w:type="paragraph" w:styleId="Heading3">
    <w:name w:val="heading 3"/>
    <w:basedOn w:val="Normal"/>
    <w:pPr>
      <w:keepNext/>
      <w:keepLines/>
      <w:spacing w:before="280" w:after="120"/>
      <w:outlineLvl w:val="2"/>
    </w:pPr>
    <w:rPr>
      <w:rFonts w:ascii="Cambria" w:hAnsi="Cambria" w:eastAsia="Microsoft YaHei"/>
      <w:b/>
      <w:color w:val="4a4a4a"/>
      <w:sz w:val="24"/>
    </w:rPr>
  </w:style>
  <w:style w:type="paragraph" w:styleId="Caption">
    <w:name w:val="Caption"/>
    <w:basedOn w:val="Normal"/>
    <w:pPr>
      <w:spacing w:before="60" w:after="280"/>
      <w:jc w:val="center"/>
    </w:pPr>
    <w:rPr>
      <w:color w:val="7a7a7a"/>
      <w:sz w:val="18"/>
    </w:rPr>
  </w:style>
  <w:style w:type="paragraph" w:styleId="TOC1">
    <w:name w:val="toc 1"/>
    <w:basedOn w:val="Normal"/>
    <w:pPr>
      <w:tabs>
        <w:tab w:val="right" w:leader="dot" w:pos="9350"/>
      </w:tabs>
      <w:spacing w:before="180" w:after="60"/>
      <w:ind w:left="0"/>
    </w:pPr>
    <w:rPr>
      <w:b/>
      <w:color w:val="1a1a1a"/>
    </w:rPr>
  </w:style>
  <w:style w:type="paragraph" w:styleId="TOC2">
    <w:name w:val="toc 2"/>
    <w:basedOn w:val="Normal"/>
    <w:pPr>
      <w:tabs>
        <w:tab w:val="right" w:leader="dot" w:pos="9350"/>
      </w:tabs>
      <w:spacing w:before="60" w:after="60"/>
      <w:ind w:left="360"/>
    </w:pPr>
    <w:rPr>
      <w:color w:val="4a4a4a"/>
    </w:rPr>
  </w:style>
  <w:style w:type="paragraph" w:styleId="TOC3">
    <w:name w:val="toc 3"/>
    <w:basedOn w:val="Normal"/>
    <w:pPr>
      <w:tabs>
        <w:tab w:val="right" w:leader="dot" w:pos="9350"/>
      </w:tabs>
      <w:spacing w:before="40" w:after="60"/>
      <w:ind w:left="720"/>
    </w:pPr>
    <w:rPr>
      <w:color w:val="4a4a4a"/>
    </w:rPr>
  </w:style>
</w:styles>
</file>

<file path=word/_rels/document.xml.rels><?xml version='1.0' encoding='UTF-8'?>
<Relationships xmlns="http://schemas.openxmlformats.org/package/2006/relationships"><Relationship Type="http://schemas.openxmlformats.org/officeDocument/2006/relationships/styles" Target="styles.xml" Id="R21c9dec08cb54a93" /><Relationship Type="http://schemas.openxmlformats.org/officeDocument/2006/relationships/numbering" Target="numbering.xml" Id="R38e22e58b0004cfc" /><Relationship Type="http://schemas.openxmlformats.org/officeDocument/2006/relationships/image" Target="media/image.png" Id="R2a8f40efc7604579" /><Relationship Type="http://schemas.openxmlformats.org/officeDocument/2006/relationships/image" Target="media/image2.png" Id="Rca6df9257fd34174" /><Relationship Type="http://schemas.openxmlformats.org/officeDocument/2006/relationships/header" Target="header1.xml" Id="Rbbc1126c0c264d8e" /><Relationship Type="http://schemas.openxmlformats.org/officeDocument/2006/relationships/footer" Target="footer1.xml" Id="R83ca75f5028441c4" /><Relationship Type="http://schemas.openxmlformats.org/officeDocument/2006/relationships/settings" Target="settings.xml" Id="Re48bef49c3104993" /></Relationships>
</file>