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e340da3a534944cc"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15a8fa59e84445ba"/>
                    <a:stretch>
                      <a:fillRect/>
                    </a:stretch>
                  </pic:blipFill>
                  <pic:spPr>
                    <a:xfrm>
                      <a:off x="0" y="0"/>
                      <a:ext cx="7560000" cy="10692000"/>
                    </a:xfrm>
                    <a:prstGeom prst="rect"/>
                  </pic:spPr>
                </pic:pic>
              </a:graphicData>
            </a:graphic>
          </wp:anchor>
        </w:drawing>
      </w:r>
    </w:p>
    <w:p>
      <w:pPr>
        <w:spacing w:before="5000"/>
      </w:pPr>
      <w:r/>
    </w:p>
    <w:p>
      <w:pPr>
        <w:spacing w:after="120"/>
        <w:ind w:left="1200" w:right="1200"/>
        <w:jc w:val="left"/>
      </w:pPr>
      <w:r>
        <w:rPr>
          <w:color w:val="78909C"/>
          <w:spacing w:val="30"/>
          <w:sz w:val="28"/>
        </w:rPr>
        <w:t>DOCUMENT NUMBER CTAF-2026-001</w:t>
      </w:r>
    </w:p>
    <w:p>
      <w:pPr>
        <w:spacing w:after="400"/>
        <w:ind w:left="1200" w:right="1200"/>
        <w:jc w:val="left"/>
      </w:pPr>
      <w:r>
        <w:rPr>
          <w:b/>
          <w:color w:val="FFFFFF"/>
          <w:spacing w:val="20"/>
          <w:sz w:val="60"/>
        </w:rPr>
        <w:t>Coordinated Technical Activation Framework</w:t>
      </w:r>
    </w:p>
    <w:p>
      <w:pPr>
        <w:spacing w:after="200"/>
        <w:ind w:left="1200" w:right="1200"/>
        <w:jc w:val="left"/>
      </w:pPr>
      <w:r>
        <w:rPr>
          <w:color w:val="78909C"/>
          <w:sz w:val="28"/>
        </w:rPr>
        <w:t>For the Implementation of the Islamabad MoU Technical Annexes</w:t>
      </w:r>
    </w:p>
    <w:p>
      <w:pPr>
        <w:spacing w:after="3000"/>
        <w:ind w:left="1200" w:right="1200"/>
        <w:jc w:val="left"/>
      </w:pPr>
      <w:r>
        <w:rPr>
          <w:i/>
          <w:color w:val="90A4AE"/>
          <w:sz w:val="22"/>
        </w:rPr>
        <w:t>Coordinated Technical Activation Framework (CTAF)</w:t>
      </w:r>
    </w:p>
    <w:p>
      <w:pPr>
        <w:ind w:left="1200"/>
      </w:pPr>
      <w:r>
        <w:rPr>
          <w:color w:val="78909C"/>
          <w:sz w:val="20"/>
        </w:rPr>
        <w:t>Classification: CONFIDENTIAL / FOR MEDIATOR USE ONLY / NON-PAPER</w:t>
      </w:r>
    </w:p>
    <w:p>
      <w:pPr>
        <w:sectPr>
          <w:type w:val="nextPage"/>
          <w:pgSz w:w="11906" w:h="16838"/>
          <w:pgMar w:top="0" w:right="0" w:bottom="0" w:left="0" w:header="0" w:footer="0"/>
          <w:titlePg/>
        </w:sectPr>
      </w:pPr>
    </w:p>
    <w:p>
      <w:pPr>
        <w:pStyle w:val="Heading1"/>
      </w:pPr>
      <w:r>
        <w:t>Document Control</w:t>
      </w:r>
    </w:p>
    <w:tbl>
      <w:tblPr>
        <w:tblW w:w="5000" w:type="pct"/>
        <w:tblBorders>
          <w:top w:val="single" w:color="546E7A" w:sz="8"/>
          <w:left w:val="nil"/>
          <w:bottom w:val="single" w:color="546E7A" w:sz="8"/>
          <w:right w:val="nil"/>
          <w:insideH w:val="single" w:color="CFD8DC" w:sz="4"/>
        </w:tblBorders>
      </w:tblPr>
      <w:tblGrid>
        <w:gridCol w:w="3500"/>
        <w:gridCol w:w="5500"/>
      </w:tblGrid>
      <w:tr>
        <w:trPr>
          <w:tblHeader/>
        </w:trPr>
        <w:tc>
          <w:tcPr>
            <w:tcW w:w="3500" w:type="dxa"/>
            <w:shd w:val="clear" w:fill="ECEFF1"/>
          </w:tcPr>
          <w:p>
            <w:pPr>
              <w:spacing w:before="40" w:after="40"/>
            </w:pPr>
            <w:r>
              <w:rPr>
                <w:b/>
                <w:color w:val="263238"/>
                <w:sz w:val="20"/>
              </w:rPr>
              <w:t>Field</w:t>
            </w:r>
          </w:p>
        </w:tc>
        <w:tc>
          <w:tcPr>
            <w:tcW w:w="5500" w:type="dxa"/>
            <w:shd w:val="clear" w:fill="ECEFF1"/>
          </w:tcPr>
          <w:p>
            <w:pPr>
              <w:spacing w:before="40" w:after="40"/>
            </w:pPr>
            <w:r>
              <w:rPr>
                <w:b/>
                <w:color w:val="263238"/>
                <w:sz w:val="20"/>
              </w:rPr>
              <w:t>Detail</w:t>
            </w:r>
          </w:p>
        </w:tc>
      </w:tr>
      <w:tr>
        <w:tc>
          <w:tcPr>
            <w:tcW w:w="3500" w:type="dxa"/>
          </w:tcPr>
          <w:p>
            <w:pPr>
              <w:spacing w:before="40" w:after="40"/>
            </w:pPr>
            <w:r>
              <w:rPr>
                <w:color w:val="455A64"/>
                <w:sz w:val="20"/>
              </w:rPr>
              <w:t>Document Number</w:t>
            </w:r>
          </w:p>
        </w:tc>
        <w:tc>
          <w:tcPr>
            <w:tcW w:w="5500" w:type="dxa"/>
          </w:tcPr>
          <w:p>
            <w:pPr>
              <w:spacing w:before="40" w:after="40"/>
            </w:pPr>
            <w:r>
              <w:rPr>
                <w:color w:val="455A64"/>
                <w:sz w:val="20"/>
              </w:rPr>
              <w:t>CTAF-2026-001</w:t>
            </w:r>
          </w:p>
        </w:tc>
      </w:tr>
      <w:tr>
        <w:tc>
          <w:tcPr>
            <w:tcW w:w="3500" w:type="dxa"/>
          </w:tcPr>
          <w:p>
            <w:pPr>
              <w:spacing w:before="40" w:after="40"/>
            </w:pPr>
            <w:r>
              <w:rPr>
                <w:color w:val="455A64"/>
                <w:sz w:val="20"/>
              </w:rPr>
              <w:t>Version</w:t>
            </w:r>
          </w:p>
        </w:tc>
        <w:tc>
          <w:tcPr>
            <w:tcW w:w="5500" w:type="dxa"/>
          </w:tcPr>
          <w:p>
            <w:pPr>
              <w:spacing w:before="40" w:after="40"/>
            </w:pPr>
            <w:r>
              <w:rPr>
                <w:color w:val="455A64"/>
                <w:sz w:val="20"/>
              </w:rPr>
              <w:t>1.0</w:t>
            </w:r>
          </w:p>
        </w:tc>
      </w:tr>
      <w:tr>
        <w:tc>
          <w:tcPr>
            <w:tcW w:w="3500" w:type="dxa"/>
          </w:tcPr>
          <w:p>
            <w:pPr>
              <w:spacing w:before="40" w:after="40"/>
            </w:pPr>
            <w:r>
              <w:rPr>
                <w:color w:val="455A64"/>
                <w:sz w:val="20"/>
              </w:rPr>
              <w:t>Issuance</w:t>
            </w:r>
          </w:p>
        </w:tc>
        <w:tc>
          <w:tcPr>
            <w:tcW w:w="5500" w:type="dxa"/>
          </w:tcPr>
          <w:p>
            <w:pPr>
              <w:spacing w:before="40" w:after="40"/>
            </w:pPr>
            <w:r>
              <w:rPr>
                <w:color w:val="455A64"/>
                <w:sz w:val="20"/>
              </w:rPr>
              <w:t>T-12 hours relative to Framework endorsement</w:t>
            </w:r>
          </w:p>
        </w:tc>
      </w:tr>
      <w:tr>
        <w:tc>
          <w:tcPr>
            <w:tcW w:w="3500" w:type="dxa"/>
          </w:tcPr>
          <w:p>
            <w:pPr>
              <w:spacing w:before="40" w:after="40"/>
            </w:pPr>
            <w:r>
              <w:rPr>
                <w:color w:val="455A64"/>
                <w:sz w:val="20"/>
              </w:rPr>
              <w:t>Supersedes</w:t>
            </w:r>
          </w:p>
        </w:tc>
        <w:tc>
          <w:tcPr>
            <w:tcW w:w="5500" w:type="dxa"/>
          </w:tcPr>
          <w:p>
            <w:pPr>
              <w:spacing w:before="40" w:after="40"/>
            </w:pPr>
            <w:r>
              <w:rPr>
                <w:color w:val="455A64"/>
                <w:sz w:val="20"/>
              </w:rPr>
              <w:t>None</w:t>
            </w:r>
          </w:p>
        </w:tc>
      </w:tr>
      <w:tr>
        <w:tc>
          <w:tcPr>
            <w:tcW w:w="3500" w:type="dxa"/>
          </w:tcPr>
          <w:p>
            <w:pPr>
              <w:spacing w:before="40" w:after="40"/>
            </w:pPr>
            <w:r>
              <w:rPr>
                <w:color w:val="455A64"/>
                <w:sz w:val="20"/>
              </w:rPr>
              <w:t>Distribution</w:t>
            </w:r>
          </w:p>
        </w:tc>
        <w:tc>
          <w:tcPr>
            <w:tcW w:w="5500" w:type="dxa"/>
          </w:tcPr>
          <w:p>
            <w:pPr>
              <w:spacing w:before="40" w:after="40"/>
            </w:pPr>
            <w:r>
              <w:rPr>
                <w:color w:val="455A64"/>
                <w:sz w:val="20"/>
              </w:rPr>
              <w:t>United States Technical Delegation / Islamic Republic of Iran Technical Delegation / Qatari FM / Omani FM / Swiss Relay</w:t>
            </w:r>
          </w:p>
        </w:tc>
      </w:tr>
      <w:tr>
        <w:tc>
          <w:tcPr>
            <w:tcW w:w="3500" w:type="dxa"/>
          </w:tcPr>
          <w:p>
            <w:pPr>
              <w:spacing w:before="40" w:after="40"/>
            </w:pPr>
            <w:r>
              <w:rPr>
                <w:color w:val="455A64"/>
                <w:sz w:val="20"/>
              </w:rPr>
              <w:t>Classification</w:t>
            </w:r>
          </w:p>
        </w:tc>
        <w:tc>
          <w:tcPr>
            <w:tcW w:w="5500" w:type="dxa"/>
          </w:tcPr>
          <w:p>
            <w:pPr>
              <w:spacing w:before="40" w:after="40"/>
            </w:pPr>
            <w:r>
              <w:rPr>
                <w:color w:val="455A64"/>
                <w:sz w:val="20"/>
              </w:rPr>
              <w:t>CONFIDENTIAL / FOR MEDIATOR USE ONLY / NON-PAPER</w:t>
            </w:r>
          </w:p>
        </w:tc>
      </w:tr>
      <w:tr>
        <w:tc>
          <w:tcPr>
            <w:tcW w:w="3500" w:type="dxa"/>
          </w:tcPr>
          <w:p>
            <w:pPr>
              <w:spacing w:before="40" w:after="40"/>
            </w:pPr>
            <w:r>
              <w:rPr>
                <w:color w:val="455A64"/>
                <w:sz w:val="20"/>
              </w:rPr>
              <w:t>Cross-References</w:t>
            </w:r>
          </w:p>
        </w:tc>
        <w:tc>
          <w:tcPr>
            <w:tcW w:w="5500" w:type="dxa"/>
          </w:tcPr>
          <w:p>
            <w:pPr>
              <w:spacing w:before="40" w:after="40"/>
            </w:pPr>
            <w:r>
              <w:rPr>
                <w:color w:val="455A64"/>
                <w:sz w:val="20"/>
              </w:rPr>
              <w:t>Islamabad MoU; Annex ES; Annex EV; Annex SRCA; Annex LAES</w:t>
            </w:r>
          </w:p>
        </w:tc>
      </w:tr>
      <w:tr>
        <w:tc>
          <w:tcPr>
            <w:tcW w:w="3500" w:type="dxa"/>
          </w:tcPr>
          <w:p>
            <w:pPr>
              <w:spacing w:before="40" w:after="40"/>
            </w:pPr>
            <w:r>
              <w:rPr>
                <w:color w:val="455A64"/>
                <w:sz w:val="20"/>
              </w:rPr>
              <w:t>Contact Point</w:t>
            </w:r>
          </w:p>
        </w:tc>
        <w:tc>
          <w:tcPr>
            <w:tcW w:w="5500" w:type="dxa"/>
          </w:tcPr>
          <w:p>
            <w:pPr>
              <w:spacing w:before="40" w:after="40"/>
            </w:pPr>
            <w:r>
              <w:rPr>
                <w:color w:val="455A64"/>
                <w:sz w:val="20"/>
              </w:rPr>
              <w:t>Joint Secretariat, Muscat</w:t>
            </w:r>
          </w:p>
        </w:tc>
      </w:tr>
    </w:tbl>
    <w:p>
      <w:pPr>
        <w:sectPr>
          <w:type w:val="nextPage"/>
          <w:pgSz w:w="11906" w:h="16838"/>
          <w:pgMar w:top="1800" w:right="1440" w:bottom="1440" w:left="1440" w:header="720" w:footer="720"/>
        </w:sectPr>
      </w:pPr>
    </w:p>
    <w:p>
      <w:pPr>
        <w:pStyle w:val="Heading1"/>
      </w:pPr>
      <w:r>
        <w:t>Table of Contents</w:t>
      </w:r>
    </w:p>
    <w:p>
      <w:pPr>
        <w:spacing w:after="300"/>
      </w:pPr>
      <w:r>
        <w:rPr>
          <w:color w:val="90A4AE"/>
          <w:sz w:val="18"/>
        </w:rPr>
        <w:t>Right-click the TOC and select "Update Field" to refresh page numbers</w:t>
      </w:r>
    </w:p>
    <w:p>
      <w:r>
        <w:fldChar w:fldCharType="begin"/>
      </w:r>
      <w:r>
        <w:instrText xml:space="preserve"> TOC \o "1-3" \h \z \u </w:instrText>
      </w:r>
      <w:r>
        <w:fldChar w:fldCharType="separate"/>
      </w:r>
    </w:p>
    <w:p>
      <w:pPr>
        <w:pStyle w:val="TOC1"/>
      </w:pPr>
      <w:r>
        <w:t>Section 1: Background and Purpose</w:t>
      </w:r>
      <w:r>
        <w:tab/>
      </w:r>
      <w:r>
        <w:t>3</w:t>
      </w:r>
    </w:p>
    <w:p>
      <w:pPr>
        <w:pStyle w:val="TOC1"/>
      </w:pPr>
      <w:r>
        <w:t>Section 2: Participation Structure</w:t>
      </w:r>
      <w:r>
        <w:tab/>
      </w:r>
      <w:r>
        <w:t>4</w:t>
      </w:r>
    </w:p>
    <w:p>
      <w:pPr>
        <w:pStyle w:val="TOC1"/>
      </w:pPr>
      <w:r>
        <w:t>Section 3: Agenda for Joint Implementation Process</w:t>
      </w:r>
      <w:r>
        <w:tab/>
      </w:r>
      <w:r>
        <w:t>6</w:t>
      </w:r>
    </w:p>
    <w:p>
      <w:pPr>
        <w:pStyle w:val="TOC1"/>
      </w:pPr>
      <w:r>
        <w:t>Section 4: Outputs and Deliverables</w:t>
      </w:r>
      <w:r>
        <w:tab/>
      </w:r>
      <w:r>
        <w:t>7</w:t>
      </w:r>
    </w:p>
    <w:p>
      <w:pPr>
        <w:pStyle w:val="TOC1"/>
      </w:pPr>
      <w:r>
        <w:t>Section 5: Initial Confidence-Building Measure</w:t>
      </w:r>
      <w:r>
        <w:tab/>
      </w:r>
      <w:r>
        <w:t>8</w:t>
      </w:r>
    </w:p>
    <w:p>
      <w:pPr>
        <w:pStyle w:val="TOC1"/>
      </w:pPr>
      <w:r>
        <w:t>Section 6: Timeline and Milestones</w:t>
      </w:r>
      <w:r>
        <w:tab/>
      </w:r>
      <w:r>
        <w:t>9</w:t>
      </w:r>
    </w:p>
    <w:p>
      <w:pPr>
        <w:pStyle w:val="TOC1"/>
      </w:pPr>
      <w:r>
        <w:t>Section 7: Dispute Resolution</w:t>
      </w:r>
      <w:r>
        <w:tab/>
      </w:r>
      <w:r>
        <w:t>10</w:t>
      </w:r>
    </w:p>
    <w:p>
      <w:pPr>
        <w:pStyle w:val="TOC1"/>
      </w:pPr>
      <w:r>
        <w:t>Section 8: Operational Pause</w:t>
      </w:r>
      <w:r>
        <w:tab/>
      </w:r>
      <w:r>
        <w:t>11</w:t>
      </w:r>
    </w:p>
    <w:p>
      <w:pPr>
        <w:pStyle w:val="TOC1"/>
      </w:pPr>
      <w:r>
        <w:t>Section 9: Endorsement Blocks</w:t>
      </w:r>
      <w:r>
        <w:tab/>
      </w:r>
      <w:r>
        <w:t>12</w:t>
      </w:r>
    </w:p>
    <w:p>
      <w:pPr>
        <w:pStyle w:val="TOC1"/>
      </w:pPr>
      <w:r>
        <w:t>Section 10: Responsibility Matrix</w:t>
      </w:r>
      <w:r>
        <w:tab/>
      </w:r>
      <w:r>
        <w:t>13</w:t>
      </w:r>
    </w:p>
    <w:p>
      <w:pPr>
        <w:pStyle w:val="TOC1"/>
      </w:pPr>
      <w:r>
        <w:t>Annexes</w:t>
      </w:r>
      <w:r>
        <w:tab/>
      </w:r>
      <w:r>
        <w:t>14</w:t>
      </w:r>
    </w:p>
    <w:p>
      <w:r>
        <w:fldChar w:fldCharType="end"/>
      </w:r>
    </w:p>
    <w:p>
      <w:pPr>
        <w:sectPr>
          <w:type w:val="nextPage"/>
          <w:pgSz w:w="11906" w:h="16838"/>
          <w:pgMar w:top="1800" w:right="1440" w:bottom="1440" w:left="1440" w:header="720" w:footer="720"/>
        </w:sectPr>
      </w:pPr>
    </w:p>
    <w:tbl>
      <w:tblPr>
        <w:tblW w:w="5000" w:type="pct"/>
        <w:tblBorders>
          <w:top w:val="single" w:color="546E7A" w:sz="6"/>
          <w:left w:val="single" w:color="546E7A" w:sz="6"/>
          <w:bottom w:val="single" w:color="546E7A" w:sz="6"/>
          <w:right w:val="single" w:color="546E7A" w:sz="6"/>
        </w:tblBorders>
      </w:tblPr>
      <w:tblGrid>
        <w:gridCol w:w="9000"/>
      </w:tblGrid>
      <w:tr>
        <w:trPr>
          <w:tblHeader/>
        </w:trPr>
        <w:tc>
          <w:tcPr>
            <w:tcW w:w="9000" w:type="dxa"/>
            <w:shd w:val="clear" w:fill="F5F7F8"/>
          </w:tcPr>
          <w:p>
            <w:pPr>
              <w:spacing w:before="120" w:after="60"/>
            </w:pPr>
            <w:r>
              <w:rPr>
                <w:b/>
                <w:color w:val="37474F"/>
                <w:sz w:val="22"/>
              </w:rPr>
              <w:t>Purpose and Scope</w:t>
            </w:r>
            <w:r>
              <w:br/>
            </w:r>
            <w:r>
              <w:rPr>
                <w:color w:val="455A64"/>
                <w:sz w:val="20"/>
              </w:rPr>
              <w:t>• Establishes operational procedures for technical implementation</w:t>
            </w:r>
            <w:r>
              <w:br/>
            </w:r>
            <w:r>
              <w:rPr>
                <w:color w:val="455A64"/>
                <w:sz w:val="20"/>
              </w:rPr>
              <w:t>• Does not alter substantive obligations under the Islamabad MoU</w:t>
            </w:r>
            <w:r>
              <w:br/>
            </w:r>
            <w:r>
              <w:rPr>
                <w:color w:val="455A64"/>
                <w:sz w:val="20"/>
              </w:rPr>
              <w:t>• Expires upon completion of implementation or mutual disengagement</w:t>
            </w:r>
          </w:p>
        </w:tc>
      </w:tr>
    </w:tbl>
    <w:p>
      <w:pPr>
        <w:pStyle w:val="Heading1"/>
      </w:pPr>
      <w:r>
        <w:t>Section 1: Background and Purpose</w:t>
      </w:r>
    </w:p>
    <w:p>
      <w:r>
        <w:t>This Procedural Framework records the mutually agreed operational arrangements for initiating implementation of the Technical Annexes associated with the Islamabad Memorandum of Understanding. It establishes synchronized procedures for convening technical working groups, transmitting documentation, confirming operational milestones, and coordinating mediator facilitation. The Framework is procedural in nature and neither amends nor supersedes the Islamabad Memorandum of Understanding or any annex incorporated therein.</w:t>
      </w:r>
    </w:p>
    <w:p>
      <w:pPr>
        <w:pStyle w:val="Heading2"/>
      </w:pPr>
      <w:r>
        <w:t>1.1 Without Prejudice</w:t>
      </w:r>
    </w:p>
    <w:p>
      <w:r>
        <w:t>Participation in this Framework does not prejudice the legal positions, sovereignty claims, sanctions positions, or future political negotiations of any Party. Acceptance of this procedural framework does not constitute recognition or sovereignty concession by any Party.</w:t>
      </w:r>
    </w:p>
    <w:p>
      <w:pPr>
        <w:pStyle w:val="Heading2"/>
      </w:pPr>
      <w:r>
        <w:t>1.2 Confidentiality</w:t>
      </w:r>
    </w:p>
    <w:p>
      <w:r>
        <w:t>All technical discussions, draft matrices, and working papers generated under this Framework remain confidential unless jointly released by both Parties. Mediators and facilitators maintain the confidentiality of all proceedings.</w:t>
      </w:r>
    </w:p>
    <w:p>
      <w:pPr>
        <w:pStyle w:val="Heading2"/>
      </w:pPr>
      <w:r>
        <w:t>1.3 Document Hierarchy</w:t>
      </w:r>
    </w:p>
    <w:p>
      <w:r>
        <w:t>In the event of inconsistency between provisions, the following hierarchy governs:</w:t>
      </w:r>
    </w:p>
    <w:p>
      <w:pPr>
        <w:numPr>
          <w:ilvl w:val="0"/>
          <w:numId w:val="1"/>
        </w:numPr>
      </w:pPr>
      <w:r>
        <w:t>First: The Islamabad Memorandum of Understanding</w:t>
      </w:r>
    </w:p>
    <w:p>
      <w:pPr>
        <w:numPr>
          <w:ilvl w:val="0"/>
          <w:numId w:val="1"/>
        </w:numPr>
      </w:pPr>
      <w:r>
        <w:t>Second: Technical Annexes incorporated by reference</w:t>
      </w:r>
    </w:p>
    <w:p>
      <w:pPr>
        <w:numPr>
          <w:ilvl w:val="0"/>
          <w:numId w:val="1"/>
        </w:numPr>
      </w:pPr>
      <w:r>
        <w:t>Third: This Procedural Framework (CTAF-2026-001)</w:t>
      </w:r>
    </w:p>
    <w:p>
      <w:pPr>
        <w:numPr>
          <w:ilvl w:val="0"/>
          <w:numId w:val="1"/>
        </w:numPr>
      </w:pPr>
      <w:r>
        <w:t>Fourth: Agreed Procedural Minutes issued under this Framework</w:t>
      </w:r>
    </w:p>
    <w:p>
      <w:pPr>
        <w:pStyle w:val="Heading2"/>
      </w:pPr>
      <w:r>
        <w:t>1.4 This Framework Records Party Agreement</w:t>
      </w:r>
    </w:p>
    <w:p>
      <w:r>
        <w:t>This Framework records procedures agreed by the Parties. The Co-Chairs and mediators facilitate implementation. They do not create obligations for, or direct the actions of, any sovereign state.</w:t>
      </w:r>
    </w:p>
    <w:p>
      <w:pPr>
        <w:pStyle w:val="Heading2"/>
      </w:pPr>
      <w:r>
        <w:t>1.5 No Automatic Escalation</w:t>
      </w:r>
    </w:p>
    <w:p>
      <w:r>
        <w:t>Failure to complete one verification cycle does not terminate or invalidate the overall framework. The Parties retain the option to continue engagement through subsequent cycles regardless of the status of any individual cycle.</w:t>
      </w:r>
    </w:p>
    <w:p>
      <w:pPr>
        <w:pStyle w:val="Heading2"/>
      </w:pPr>
      <w:r>
        <w:t>1.6 Definition of Terms</w:t>
      </w:r>
    </w:p>
    <w:tbl>
      <w:tblPr>
        <w:tblW w:w="5000" w:type="pct"/>
        <w:tblBorders>
          <w:top w:val="single" w:color="546E7A" w:sz="8"/>
          <w:left w:val="nil"/>
          <w:bottom w:val="single" w:color="546E7A" w:sz="8"/>
          <w:right w:val="nil"/>
          <w:insideH w:val="single" w:color="CFD8DC" w:sz="4"/>
        </w:tblBorders>
      </w:tblPr>
      <w:tblGrid>
        <w:gridCol w:w="2800"/>
        <w:gridCol w:w="6200"/>
      </w:tblGrid>
      <w:tr>
        <w:trPr>
          <w:tblHeader/>
        </w:trPr>
        <w:tc>
          <w:tcPr>
            <w:tcW w:w="2800" w:type="dxa"/>
            <w:shd w:val="clear" w:fill="ECEFF1"/>
          </w:tcPr>
          <w:p>
            <w:pPr>
              <w:spacing w:before="40" w:after="40"/>
            </w:pPr>
            <w:r>
              <w:rPr>
                <w:b/>
                <w:color w:val="263238"/>
                <w:sz w:val="20"/>
              </w:rPr>
              <w:t>Term</w:t>
            </w:r>
          </w:p>
        </w:tc>
        <w:tc>
          <w:tcPr>
            <w:tcW w:w="6200" w:type="dxa"/>
            <w:shd w:val="clear" w:fill="ECEFF1"/>
          </w:tcPr>
          <w:p>
            <w:pPr>
              <w:spacing w:before="40" w:after="40"/>
            </w:pPr>
            <w:r>
              <w:rPr>
                <w:b/>
                <w:color w:val="263238"/>
                <w:sz w:val="20"/>
              </w:rPr>
              <w:t>Definition</w:t>
            </w:r>
          </w:p>
        </w:tc>
      </w:tr>
      <w:tr>
        <w:tc>
          <w:tcPr>
            <w:tcW w:w="2800" w:type="dxa"/>
          </w:tcPr>
          <w:p>
            <w:pPr>
              <w:spacing w:before="40" w:after="40"/>
            </w:pPr>
            <w:r>
              <w:rPr>
                <w:color w:val="455A64"/>
                <w:sz w:val="20"/>
              </w:rPr>
              <w:t>Dual Corridor</w:t>
            </w:r>
          </w:p>
        </w:tc>
        <w:tc>
          <w:tcPr>
            <w:tcW w:w="6200" w:type="dxa"/>
          </w:tcPr>
          <w:p>
            <w:pPr>
              <w:spacing w:before="40" w:after="40"/>
            </w:pPr>
            <w:r>
              <w:rPr>
                <w:color w:val="455A64"/>
                <w:sz w:val="20"/>
              </w:rPr>
              <w:t>The framework architecture coordinates commercial transit through the Strait of Hormuz via the Joint Iran-Oman Committee on the Strait of Hormuz, established under Article 5 of the Islamabad MoU, ensuring redundant oversight without unilateral control.</w:t>
            </w:r>
          </w:p>
        </w:tc>
      </w:tr>
      <w:tr>
        <w:tc>
          <w:tcPr>
            <w:tcW w:w="2800" w:type="dxa"/>
          </w:tcPr>
          <w:p>
            <w:pPr>
              <w:spacing w:before="40" w:after="40"/>
            </w:pPr>
            <w:r>
              <w:rPr>
                <w:color w:val="455A64"/>
                <w:sz w:val="20"/>
              </w:rPr>
              <w:t>Unobstructed Passage</w:t>
            </w:r>
          </w:p>
        </w:tc>
        <w:tc>
          <w:tcPr>
            <w:tcW w:w="6200" w:type="dxa"/>
          </w:tcPr>
          <w:p>
            <w:pPr>
              <w:spacing w:before="40" w:after="40"/>
            </w:pPr>
            <w:r>
              <w:rPr>
                <w:color w:val="455A64"/>
                <w:sz w:val="20"/>
              </w:rPr>
              <w:t>Commercial transit through the Strait of Hormuz at a minimum average speed of 12 knots, with full navigable channel clearance, continuous AIS transmission, and zero interference from any Party. The framework architecture measures unobstructed passage through objective transit metrics verified by the Technical Working Group.</w:t>
            </w:r>
          </w:p>
        </w:tc>
      </w:tr>
      <w:tr>
        <w:tc>
          <w:tcPr>
            <w:tcW w:w="2800" w:type="dxa"/>
          </w:tcPr>
          <w:p>
            <w:pPr>
              <w:spacing w:before="40" w:after="40"/>
            </w:pPr>
            <w:r>
              <w:rPr>
                <w:color w:val="455A64"/>
                <w:sz w:val="20"/>
              </w:rPr>
              <w:t>Active Escrow</w:t>
            </w:r>
          </w:p>
        </w:tc>
        <w:tc>
          <w:tcPr>
            <w:tcW w:w="6200" w:type="dxa"/>
          </w:tcPr>
          <w:p>
            <w:pPr>
              <w:spacing w:before="40" w:after="40"/>
            </w:pPr>
            <w:r>
              <w:rPr>
                <w:color w:val="455A64"/>
                <w:sz w:val="20"/>
              </w:rPr>
              <w:t>Funds that have shifted from frozen status to eligible-for-activation status within Qatari escrow accounts, subject to the use restrictions specified in the Islamabad MoU and confirmation procedures under Annex ES. Active escrow funds remain restricted to humanitarian and agricultural goods per the MoU parameters.</w:t>
            </w:r>
          </w:p>
        </w:tc>
      </w:tr>
      <w:tr>
        <w:tc>
          <w:tcPr>
            <w:tcW w:w="2800" w:type="dxa"/>
          </w:tcPr>
          <w:p>
            <w:pPr>
              <w:spacing w:before="40" w:after="40"/>
            </w:pPr>
            <w:r>
              <w:rPr>
                <w:color w:val="455A64"/>
                <w:sz w:val="20"/>
              </w:rPr>
              <w:t>Persian Gulf Strait Authority (PGSA)</w:t>
            </w:r>
          </w:p>
        </w:tc>
        <w:tc>
          <w:tcPr>
            <w:tcW w:w="6200" w:type="dxa"/>
          </w:tcPr>
          <w:p>
            <w:pPr>
              <w:spacing w:before="40" w:after="40"/>
            </w:pPr>
            <w:r>
              <w:rPr>
                <w:color w:val="455A64"/>
                <w:sz w:val="20"/>
              </w:rPr>
              <w:t>The instrument through which Iran manages and coordinates transit data through the Strait of Hormuz. See Section 5.3 for the comprehensive non-recognition clause.</w:t>
            </w:r>
          </w:p>
        </w:tc>
      </w:tr>
      <w:tr>
        <w:tc>
          <w:tcPr>
            <w:tcW w:w="2800" w:type="dxa"/>
          </w:tcPr>
          <w:p>
            <w:pPr>
              <w:spacing w:before="40" w:after="40"/>
            </w:pPr>
            <w:r>
              <w:rPr>
                <w:color w:val="455A64"/>
                <w:sz w:val="20"/>
              </w:rPr>
              <w:t>Joint Iran-Oman Committee on the Strait of Hormuz</w:t>
            </w:r>
          </w:p>
        </w:tc>
        <w:tc>
          <w:tcPr>
            <w:tcW w:w="6200" w:type="dxa"/>
          </w:tcPr>
          <w:p>
            <w:pPr>
              <w:spacing w:before="40" w:after="40"/>
            </w:pPr>
            <w:r>
              <w:rPr>
                <w:color w:val="455A64"/>
                <w:sz w:val="20"/>
              </w:rPr>
              <w:t>The bilateral body established under Article 5 of the Islamabad MoU, through which Iran and Oman coordinate transit management and data-sharing for the Strait of Hormuz. This Committee serves as the operational conduit between the PGSA and the Swiss technical relay.</w:t>
            </w:r>
          </w:p>
        </w:tc>
      </w:tr>
      <w:tr>
        <w:tc>
          <w:tcPr>
            <w:tcW w:w="2800" w:type="dxa"/>
          </w:tcPr>
          <w:p>
            <w:pPr>
              <w:spacing w:before="40" w:after="40"/>
            </w:pPr>
            <w:r>
              <w:rPr>
                <w:color w:val="455A64"/>
                <w:sz w:val="20"/>
              </w:rPr>
              <w:t>Technical Working Group</w:t>
            </w:r>
          </w:p>
        </w:tc>
        <w:tc>
          <w:tcPr>
            <w:tcW w:w="6200" w:type="dxa"/>
          </w:tcPr>
          <w:p>
            <w:pPr>
              <w:spacing w:before="40" w:after="40"/>
            </w:pPr>
            <w:r>
              <w:rPr>
                <w:color w:val="455A64"/>
                <w:sz w:val="20"/>
              </w:rPr>
              <w:t>The operational body comprising technical delegates from each Party, convened every 15 days to review verification data, confirm transit metrics, and recommend tranche activations. The TWG operates through the Joint Secretariat in Muscat, reviews corroborated data from the Swiss relay, and reports to the Co-Chairs. The TWG operates on the basis of consensus.</w:t>
            </w:r>
          </w:p>
        </w:tc>
      </w:tr>
      <w:tr>
        <w:tc>
          <w:tcPr>
            <w:tcW w:w="2800" w:type="dxa"/>
          </w:tcPr>
          <w:p>
            <w:pPr>
              <w:spacing w:before="40" w:after="40"/>
            </w:pPr>
            <w:r>
              <w:rPr>
                <w:color w:val="455A64"/>
                <w:sz w:val="20"/>
              </w:rPr>
              <w:t>T+0</w:t>
            </w:r>
          </w:p>
        </w:tc>
        <w:tc>
          <w:tcPr>
            <w:tcW w:w="6200" w:type="dxa"/>
          </w:tcPr>
          <w:p>
            <w:pPr>
              <w:spacing w:before="40" w:after="40"/>
            </w:pPr>
            <w:r>
              <w:rPr>
                <w:color w:val="455A64"/>
                <w:sz w:val="20"/>
              </w:rPr>
              <w:t>The moment of endorsement of this Framework by all four parties, marking the commencement of all subsequent timelines.</w:t>
            </w:r>
          </w:p>
        </w:tc>
      </w:tr>
    </w:tbl>
    <w:p>
      <w:pPr>
        <w:pStyle w:val="Heading1"/>
      </w:pPr>
      <w:r>
        <w:t>Section 2: Participation Structure</w:t>
      </w:r>
    </w:p>
    <w:p>
      <w:pPr>
        <w:pStyle w:val="Heading2"/>
      </w:pPr>
      <w:r>
        <w:t>2.1 Primary Venues</w:t>
      </w:r>
    </w:p>
    <w:tbl>
      <w:tblPr>
        <w:tblW w:w="5000" w:type="pct"/>
        <w:tblBorders>
          <w:top w:val="single" w:color="546E7A" w:sz="8"/>
          <w:left w:val="nil"/>
          <w:bottom w:val="single" w:color="546E7A" w:sz="8"/>
          <w:right w:val="nil"/>
          <w:insideH w:val="single" w:color="CFD8DC" w:sz="4"/>
        </w:tblBorders>
      </w:tblPr>
      <w:tblGrid>
        <w:gridCol w:w="3500"/>
        <w:gridCol w:w="2500"/>
        <w:gridCol w:w="3000"/>
      </w:tblGrid>
      <w:tr>
        <w:trPr>
          <w:tblHeader/>
        </w:trPr>
        <w:tc>
          <w:tcPr>
            <w:tcW w:w="3500" w:type="dxa"/>
            <w:shd w:val="clear" w:fill="ECEFF1"/>
          </w:tcPr>
          <w:p>
            <w:pPr>
              <w:spacing w:before="40" w:after="40"/>
            </w:pPr>
            <w:r>
              <w:rPr>
                <w:b/>
                <w:color w:val="263238"/>
                <w:sz w:val="20"/>
              </w:rPr>
              <w:t>Venue</w:t>
            </w:r>
          </w:p>
        </w:tc>
        <w:tc>
          <w:tcPr>
            <w:tcW w:w="2500" w:type="dxa"/>
            <w:shd w:val="clear" w:fill="ECEFF1"/>
          </w:tcPr>
          <w:p>
            <w:pPr>
              <w:spacing w:before="40" w:after="40"/>
            </w:pPr>
            <w:r>
              <w:rPr>
                <w:b/>
                <w:color w:val="263238"/>
                <w:sz w:val="20"/>
              </w:rPr>
              <w:t>Host</w:t>
            </w:r>
          </w:p>
        </w:tc>
        <w:tc>
          <w:tcPr>
            <w:tcW w:w="3000" w:type="dxa"/>
            <w:shd w:val="clear" w:fill="ECEFF1"/>
          </w:tcPr>
          <w:p>
            <w:pPr>
              <w:spacing w:before="40" w:after="40"/>
            </w:pPr>
            <w:r>
              <w:rPr>
                <w:b/>
                <w:color w:val="263238"/>
                <w:sz w:val="20"/>
              </w:rPr>
              <w:t>Delegation Present</w:t>
            </w:r>
          </w:p>
        </w:tc>
      </w:tr>
      <w:tr>
        <w:tc>
          <w:tcPr>
            <w:tcW w:w="3500" w:type="dxa"/>
          </w:tcPr>
          <w:p>
            <w:pPr>
              <w:spacing w:before="40" w:after="40"/>
            </w:pPr>
            <w:r>
              <w:rPr>
                <w:color w:val="455A64"/>
                <w:sz w:val="20"/>
              </w:rPr>
              <w:t>Primary Venue (Doha)</w:t>
            </w:r>
          </w:p>
        </w:tc>
        <w:tc>
          <w:tcPr>
            <w:tcW w:w="2500" w:type="dxa"/>
          </w:tcPr>
          <w:p>
            <w:pPr>
              <w:spacing w:before="40" w:after="40"/>
            </w:pPr>
            <w:r>
              <w:rPr>
                <w:color w:val="455A64"/>
                <w:sz w:val="20"/>
              </w:rPr>
              <w:t>State of Qatar</w:t>
            </w:r>
          </w:p>
        </w:tc>
        <w:tc>
          <w:tcPr>
            <w:tcW w:w="3000" w:type="dxa"/>
          </w:tcPr>
          <w:p>
            <w:pPr>
              <w:spacing w:before="40" w:after="40"/>
            </w:pPr>
            <w:r>
              <w:rPr>
                <w:color w:val="455A64"/>
                <w:sz w:val="20"/>
              </w:rPr>
              <w:t>United States Technical Delegation</w:t>
            </w:r>
          </w:p>
        </w:tc>
      </w:tr>
      <w:tr>
        <w:tc>
          <w:tcPr>
            <w:tcW w:w="3500" w:type="dxa"/>
          </w:tcPr>
          <w:p>
            <w:pPr>
              <w:spacing w:before="40" w:after="40"/>
            </w:pPr>
            <w:r>
              <w:rPr>
                <w:color w:val="455A64"/>
                <w:sz w:val="20"/>
              </w:rPr>
              <w:t>Primary Venue (Muscat)</w:t>
            </w:r>
          </w:p>
        </w:tc>
        <w:tc>
          <w:tcPr>
            <w:tcW w:w="2500" w:type="dxa"/>
          </w:tcPr>
          <w:p>
            <w:pPr>
              <w:spacing w:before="40" w:after="40"/>
            </w:pPr>
            <w:r>
              <w:rPr>
                <w:color w:val="455A64"/>
                <w:sz w:val="20"/>
              </w:rPr>
              <w:t>Sultanate of Oman</w:t>
            </w:r>
          </w:p>
        </w:tc>
        <w:tc>
          <w:tcPr>
            <w:tcW w:w="3000" w:type="dxa"/>
          </w:tcPr>
          <w:p>
            <w:pPr>
              <w:spacing w:before="40" w:after="40"/>
            </w:pPr>
            <w:r>
              <w:rPr>
                <w:color w:val="455A64"/>
                <w:sz w:val="20"/>
              </w:rPr>
              <w:t>Islamic Republic of Iran Technical Delegation</w:t>
            </w:r>
          </w:p>
        </w:tc>
      </w:tr>
    </w:tbl>
    <w:p>
      <w:pPr>
        <w:pStyle w:val="Heading2"/>
      </w:pPr>
      <w:r>
        <w:t>2.2 Relay Mechanism</w:t>
      </w:r>
    </w:p>
    <w:p>
      <w:r>
        <w:t>The Swiss Federal Department of Foreign Affairs facilitates secure communications between the Doha and Muscat venues using secure communications consistent with agreed diplomatic standards. All transmitted documents pass through the Swiss relay with simultaneous distribution to both venues. No document reaches one venue before the other. Technical communications specifications appear in Annex B.</w:t>
      </w:r>
    </w:p>
    <w:p>
      <w:pPr>
        <w:pStyle w:val="Heading2"/>
      </w:pPr>
      <w:r>
        <w:t>2.3 Co-Chairs</w:t>
      </w:r>
    </w:p>
    <w:p>
      <w:r>
        <w:t>Lead Co-Chair: State of Qatar</w:t>
      </w:r>
    </w:p>
    <w:p>
      <w:r>
        <w:t>Co-Chair: Sultanate of Oman</w:t>
      </w:r>
    </w:p>
    <w:p>
      <w:r>
        <w:t>Facilitation: The Swiss Federal Department of Foreign Affairs hosts the technical teams and transmits all text simultaneously to Doha and Muscat for Qatari-Omani co-endorsement.</w:t>
      </w:r>
    </w:p>
    <w:p>
      <w:pPr>
        <w:pStyle w:val="Heading2"/>
      </w:pPr>
      <w:r>
        <w:t>2.4 Observers</w:t>
      </w:r>
    </w:p>
    <w:p>
      <w:r>
        <w:t>No external observers participate in the Joint Implementation Process.</w:t>
      </w:r>
    </w:p>
    <w:p>
      <w:pPr>
        <w:pStyle w:val="Heading2"/>
      </w:pPr>
      <w:r>
        <w:t>2.5 Joint Secretariat</w:t>
      </w:r>
    </w:p>
    <w:p>
      <w:r>
        <w:t>The Joint Secretariat in Muscat serves as the administrative coordination hub for this Framework. All communications route through the Joint Secretariat. The Joint Secretariat maintains the official record, coordinates scheduling, and ensures that no Party acts on information not shared through official channels.</w:t>
      </w:r>
    </w:p>
    <w:p>
      <w:pPr>
        <w:pStyle w:val="Heading1"/>
      </w:pPr>
      <w:r>
        <w:t>Section 3: Agenda for Joint Implementation Process</w:t>
      </w:r>
    </w:p>
    <w:p>
      <w:pPr>
        <w:pStyle w:val="Heading2"/>
      </w:pPr>
      <w:r>
        <w:t>3.1 Sole Agenda Item</w:t>
      </w:r>
    </w:p>
    <w:p>
      <w:r>
        <w:t>Establishment of the verification matrix for the maritime transit corridor through the Joint Iran-Oman Committee on the Strait of Hormuz, established under Article 5 of the Islamabad MoU.</w:t>
      </w:r>
    </w:p>
    <w:p>
      <w:pPr>
        <w:pStyle w:val="Heading2"/>
      </w:pPr>
      <w:r>
        <w:t>3.2 Sub-Topics</w:t>
      </w:r>
    </w:p>
    <w:p>
      <w:pPr>
        <w:numPr>
          <w:ilvl w:val="0"/>
          <w:numId w:val="1"/>
        </w:numPr>
      </w:pPr>
      <w:r>
        <w:t>Definitions of unobstructed passage: metrics include transit speed (minimum 12 knots average), clearance width (full navigable channel), and exclusion criteria (military vessels operate under separate protocols).</w:t>
      </w:r>
    </w:p>
    <w:p>
      <w:pPr>
        <w:numPr>
          <w:ilvl w:val="0"/>
          <w:numId w:val="1"/>
        </w:numPr>
      </w:pPr>
      <w:r>
        <w:t>Data-sharing protocols: The Joint Iran-Oman Committee on the Strait of Hormuz receives transit and scheduling data from the Persian Gulf Strait Authority (PGSA) and relays this data to the Swiss relay for onward transmission to the Technical Working Group for independent corroboration against satellite-based Automatic Identification System (AIS) and radar monitoring. The corroborated verification package routes through the Joint Secretariat to the Qatari Central Bank for eligibility determination under Annex ES. References to the Persian Gulf Strait Authority (PGSA) are included solely for the technical purposes of implementing this Framework and do not constitute recognition of legal status, sovereignty, jurisdiction, institutional legitimacy, maritime claims, or the legal position of any Party.</w:t>
      </w:r>
    </w:p>
    <w:p>
      <w:pPr>
        <w:numPr>
          <w:ilvl w:val="0"/>
          <w:numId w:val="1"/>
        </w:numPr>
      </w:pPr>
      <w:r>
        <w:t>Dispute resolution mechanism for the first 15-day cycle: Any disagreement on verification metrics refers immediately to the Swiss relay for technical clarification as expeditiously as practicable and normally within two hours.</w:t>
      </w:r>
    </w:p>
    <w:p>
      <w:pPr>
        <w:numPr>
          <w:ilvl w:val="0"/>
          <w:numId w:val="1"/>
        </w:numPr>
      </w:pPr>
      <w:r>
        <w:t>Timeline for the first operational cycle: Days 1 through 15 constitute Cycle 1, beginning immediately upon endorsement of the Agreed Procedural Minutes.</w:t>
      </w:r>
    </w:p>
    <w:p>
      <w:pPr>
        <w:pStyle w:val="Heading2"/>
      </w:pPr>
      <w:r>
        <w:t>3.3 Excluded Topics</w:t>
      </w:r>
    </w:p>
    <w:p>
      <w:r>
        <w:t>The following topics remain exclusively on the political track and do not appear on the Joint Implementation Process agenda: asset releases beyond the Initial Confidence-Building Measure defined in Section 5; sanctions relief schedules; military posture adjustments; and sovereignty claims over the Strait of Hormuz. The Joint Implementation Process addresses operational metrics only. Political matters remain with the respective capitals.</w:t>
      </w:r>
    </w:p>
    <w:p>
      <w:pPr>
        <w:pStyle w:val="Heading1"/>
      </w:pPr>
      <w:r>
        <w:t>Section 4: Outputs and Deliverables</w:t>
      </w:r>
    </w:p>
    <w:p>
      <w:pPr>
        <w:pStyle w:val="Heading2"/>
      </w:pPr>
      <w:r>
        <w:t>4.1 Primary Output</w:t>
      </w:r>
    </w:p>
    <w:p>
      <w:r>
        <w:t>The Agreed Procedural Minutes constitute the sole jointly endorsed document produced by the Joint Implementation Process.</w:t>
      </w:r>
    </w:p>
    <w:p>
      <w:pPr>
        <w:pStyle w:val="Heading2"/>
      </w:pPr>
      <w:r>
        <w:t>4.2 Contents of Minutes</w:t>
      </w:r>
    </w:p>
    <w:p>
      <w:pPr>
        <w:numPr>
          <w:ilvl w:val="0"/>
          <w:numId w:val="1"/>
        </w:numPr>
      </w:pPr>
      <w:r>
        <w:t>Confirmed work plan for the first 15-day verification cycle, including specific transit metrics, data-sharing schedules, and joint monitoring procedures.</w:t>
      </w:r>
    </w:p>
    <w:p>
      <w:pPr>
        <w:numPr>
          <w:ilvl w:val="0"/>
          <w:numId w:val="1"/>
        </w:numPr>
      </w:pPr>
      <w:r>
        <w:t>Schedule for subsequent meetings every 15 days throughout the 60-day interim period established under the Islamabad MoU.</w:t>
      </w:r>
    </w:p>
    <w:p>
      <w:pPr>
        <w:numPr>
          <w:ilvl w:val="0"/>
          <w:numId w:val="1"/>
        </w:numPr>
      </w:pPr>
      <w:r>
        <w:t>Neutral present-tense verb framework for the verification matrix, drafted by Swiss technical advisors, reflecting the synchronized reciprocity architecture.</w:t>
      </w:r>
    </w:p>
    <w:p>
      <w:pPr>
        <w:pStyle w:val="Heading2"/>
      </w:pPr>
      <w:r>
        <w:t>4.3 Timeline for Delivery</w:t>
      </w:r>
    </w:p>
    <w:p>
      <w:r>
        <w:t>The Agreed Procedural Minutes circulate to all four parties by T+0. All four parties endorse the Minutes by T+8 hours.</w:t>
      </w:r>
    </w:p>
    <w:p>
      <w:pPr>
        <w:pStyle w:val="Heading1"/>
      </w:pPr>
      <w:r>
        <w:t>Section 5: Initial Confidence-Building Measure</w:t>
      </w:r>
    </w:p>
    <w:p>
      <w:pPr>
        <w:pStyle w:val="Heading2"/>
      </w:pPr>
      <w:r>
        <w:t>5.1 Activation Trigger</w:t>
      </w:r>
    </w:p>
    <w:tbl>
      <w:tblPr>
        <w:tblW w:w="5000" w:type="pct"/>
        <w:tblBorders>
          <w:top w:val="single" w:color="546E7A" w:sz="8"/>
          <w:left w:val="nil"/>
          <w:bottom w:val="single" w:color="546E7A" w:sz="8"/>
          <w:right w:val="nil"/>
          <w:insideH w:val="single" w:color="CFD8DC" w:sz="4"/>
        </w:tblBorders>
      </w:tblPr>
      <w:tblGrid>
        <w:gridCol w:w="3000"/>
        <w:gridCol w:w="3000"/>
        <w:gridCol w:w="3000"/>
      </w:tblGrid>
      <w:tr>
        <w:trPr>
          <w:tblHeader/>
        </w:trPr>
        <w:tc>
          <w:tcPr>
            <w:tcW w:w="3000" w:type="dxa"/>
            <w:shd w:val="clear" w:fill="ECEFF1"/>
          </w:tcPr>
          <w:p>
            <w:pPr>
              <w:spacing w:before="40" w:after="40"/>
            </w:pPr>
            <w:r>
              <w:rPr>
                <w:b/>
                <w:color w:val="263238"/>
                <w:sz w:val="20"/>
              </w:rPr>
              <w:t>Trigger Event</w:t>
            </w:r>
          </w:p>
        </w:tc>
        <w:tc>
          <w:tcPr>
            <w:tcW w:w="3000" w:type="dxa"/>
            <w:shd w:val="clear" w:fill="ECEFF1"/>
          </w:tcPr>
          <w:p>
            <w:pPr>
              <w:spacing w:before="40" w:after="40"/>
            </w:pPr>
            <w:r>
              <w:rPr>
                <w:b/>
                <w:color w:val="263238"/>
                <w:sz w:val="20"/>
              </w:rPr>
              <w:t>Financial Effect</w:t>
            </w:r>
          </w:p>
        </w:tc>
        <w:tc>
          <w:tcPr>
            <w:tcW w:w="3000" w:type="dxa"/>
            <w:shd w:val="clear" w:fill="ECEFF1"/>
          </w:tcPr>
          <w:p>
            <w:pPr>
              <w:spacing w:before="40" w:after="40"/>
            </w:pPr>
            <w:r>
              <w:rPr>
                <w:b/>
                <w:color w:val="263238"/>
                <w:sz w:val="20"/>
              </w:rPr>
              <w:t>Restrictions</w:t>
            </w:r>
          </w:p>
        </w:tc>
      </w:tr>
      <w:tr>
        <w:tc>
          <w:tcPr>
            <w:tcW w:w="3000" w:type="dxa"/>
          </w:tcPr>
          <w:p>
            <w:pPr>
              <w:spacing w:before="40" w:after="40"/>
            </w:pPr>
            <w:r>
              <w:rPr>
                <w:color w:val="455A64"/>
                <w:sz w:val="20"/>
              </w:rPr>
              <w:t>Delivery of the first verified transit data package from the Joint Iran-Oman Committee to the Swiss relay, confirming unobstructed passage for a minimum 48-hour period</w:t>
            </w:r>
          </w:p>
        </w:tc>
        <w:tc>
          <w:tcPr>
            <w:tcW w:w="3000" w:type="dxa"/>
          </w:tcPr>
          <w:p>
            <w:pPr>
              <w:spacing w:before="40" w:after="40"/>
            </w:pPr>
            <w:r>
              <w:rPr>
                <w:color w:val="455A64"/>
                <w:sz w:val="20"/>
              </w:rPr>
              <w:t>$500 million becomes eligible for activation upon confirmation under Annex ES procedures</w:t>
            </w:r>
          </w:p>
        </w:tc>
        <w:tc>
          <w:tcPr>
            <w:tcW w:w="3000" w:type="dxa"/>
          </w:tcPr>
          <w:p>
            <w:pPr>
              <w:spacing w:before="40" w:after="40"/>
            </w:pPr>
            <w:r>
              <w:rPr>
                <w:color w:val="455A64"/>
                <w:sz w:val="20"/>
              </w:rPr>
              <w:t>Restricted to humanitarian and agricultural goods per Islamabad MoU parameters</w:t>
            </w:r>
          </w:p>
        </w:tc>
      </w:tr>
    </w:tbl>
    <w:p>
      <w:pPr>
        <w:pStyle w:val="Heading2"/>
      </w:pPr>
      <w:r>
        <w:t>5.2 Performance-Indexed Tranches</w:t>
      </w:r>
    </w:p>
    <w:tbl>
      <w:tblPr>
        <w:tblW w:w="5000" w:type="pct"/>
        <w:tblBorders>
          <w:top w:val="single" w:color="546E7A" w:sz="8"/>
          <w:left w:val="nil"/>
          <w:bottom w:val="single" w:color="546E7A" w:sz="8"/>
          <w:right w:val="nil"/>
          <w:insideH w:val="single" w:color="CFD8DC" w:sz="4"/>
        </w:tblBorders>
      </w:tblPr>
      <w:tblGrid>
        <w:gridCol w:w="2000"/>
        <w:gridCol w:w="4000"/>
        <w:gridCol w:w="3000"/>
      </w:tblGrid>
      <w:tr>
        <w:trPr>
          <w:tblHeader/>
        </w:trPr>
        <w:tc>
          <w:tcPr>
            <w:tcW w:w="2000" w:type="dxa"/>
            <w:shd w:val="clear" w:fill="ECEFF1"/>
          </w:tcPr>
          <w:p>
            <w:pPr>
              <w:spacing w:before="40" w:after="40"/>
            </w:pPr>
            <w:r>
              <w:rPr>
                <w:b/>
                <w:color w:val="263238"/>
                <w:sz w:val="20"/>
              </w:rPr>
              <w:t>Verification Cycle</w:t>
            </w:r>
          </w:p>
        </w:tc>
        <w:tc>
          <w:tcPr>
            <w:tcW w:w="4000" w:type="dxa"/>
            <w:shd w:val="clear" w:fill="ECEFF1"/>
          </w:tcPr>
          <w:p>
            <w:pPr>
              <w:spacing w:before="40" w:after="40"/>
            </w:pPr>
            <w:r>
              <w:rPr>
                <w:b/>
                <w:color w:val="263238"/>
                <w:sz w:val="20"/>
              </w:rPr>
              <w:t>Performance Metric</w:t>
            </w:r>
          </w:p>
        </w:tc>
        <w:tc>
          <w:tcPr>
            <w:tcW w:w="3000" w:type="dxa"/>
            <w:shd w:val="clear" w:fill="ECEFF1"/>
          </w:tcPr>
          <w:p>
            <w:pPr>
              <w:spacing w:before="40" w:after="40"/>
            </w:pPr>
            <w:r>
              <w:rPr>
                <w:b/>
                <w:color w:val="263238"/>
                <w:sz w:val="20"/>
              </w:rPr>
              <w:t>Release Amount</w:t>
            </w:r>
          </w:p>
        </w:tc>
      </w:tr>
      <w:tr>
        <w:tc>
          <w:tcPr>
            <w:tcW w:w="2000" w:type="dxa"/>
          </w:tcPr>
          <w:p>
            <w:pPr>
              <w:spacing w:before="40" w:after="40"/>
            </w:pPr>
            <w:r>
              <w:rPr>
                <w:color w:val="455A64"/>
                <w:sz w:val="20"/>
              </w:rPr>
              <w:t>Cycle 1 (Days 1-15)</w:t>
            </w:r>
          </w:p>
        </w:tc>
        <w:tc>
          <w:tcPr>
            <w:tcW w:w="4000" w:type="dxa"/>
          </w:tcPr>
          <w:p>
            <w:pPr>
              <w:spacing w:before="40" w:after="40"/>
            </w:pPr>
            <w:r>
              <w:rPr>
                <w:color w:val="455A64"/>
                <w:sz w:val="20"/>
              </w:rPr>
              <w:t>15 consecutive days of unobstructed passage, verified by Technical Working Group corroboration of AIS and radar data</w:t>
            </w:r>
          </w:p>
        </w:tc>
        <w:tc>
          <w:tcPr>
            <w:tcW w:w="3000" w:type="dxa"/>
          </w:tcPr>
          <w:p>
            <w:pPr>
              <w:spacing w:before="40" w:after="40"/>
            </w:pPr>
            <w:r>
              <w:rPr>
                <w:color w:val="455A64"/>
                <w:sz w:val="20"/>
              </w:rPr>
              <w:t>$200 million per 48-hour period of confirmed unobstructed transit, subject to Annex ES confirmation</w:t>
            </w:r>
          </w:p>
        </w:tc>
      </w:tr>
      <w:tr>
        <w:tc>
          <w:tcPr>
            <w:tcW w:w="2000" w:type="dxa"/>
          </w:tcPr>
          <w:p>
            <w:pPr>
              <w:spacing w:before="40" w:after="40"/>
            </w:pPr>
            <w:r>
              <w:rPr>
                <w:color w:val="455A64"/>
                <w:sz w:val="20"/>
              </w:rPr>
              <w:t>Cycle 2 (Days 16-30)</w:t>
            </w:r>
          </w:p>
        </w:tc>
        <w:tc>
          <w:tcPr>
            <w:tcW w:w="4000" w:type="dxa"/>
          </w:tcPr>
          <w:p>
            <w:pPr>
              <w:spacing w:before="40" w:after="40"/>
            </w:pPr>
            <w:r>
              <w:rPr>
                <w:color w:val="455A64"/>
                <w:sz w:val="20"/>
              </w:rPr>
              <w:t>Continuation of unobstructed passage plus compliance with data-sharing protocols through the Joint Iran-Oman Committee</w:t>
            </w:r>
          </w:p>
        </w:tc>
        <w:tc>
          <w:tcPr>
            <w:tcW w:w="3000" w:type="dxa"/>
          </w:tcPr>
          <w:p>
            <w:pPr>
              <w:spacing w:before="40" w:after="40"/>
            </w:pPr>
            <w:r>
              <w:rPr>
                <w:color w:val="455A64"/>
                <w:sz w:val="20"/>
              </w:rPr>
              <w:t>$200 million per 48-hour period, subject to Annex ES confirmation</w:t>
            </w:r>
          </w:p>
        </w:tc>
      </w:tr>
      <w:tr>
        <w:tc>
          <w:tcPr>
            <w:tcW w:w="2000" w:type="dxa"/>
          </w:tcPr>
          <w:p>
            <w:pPr>
              <w:spacing w:before="40" w:after="40"/>
            </w:pPr>
            <w:r>
              <w:rPr>
                <w:color w:val="455A64"/>
                <w:sz w:val="20"/>
              </w:rPr>
              <w:t>Cycle 3 (Days 31-45)</w:t>
            </w:r>
          </w:p>
        </w:tc>
        <w:tc>
          <w:tcPr>
            <w:tcW w:w="4000" w:type="dxa"/>
          </w:tcPr>
          <w:p>
            <w:pPr>
              <w:spacing w:before="40" w:after="40"/>
            </w:pPr>
            <w:r>
              <w:rPr>
                <w:color w:val="455A64"/>
                <w:sz w:val="20"/>
              </w:rPr>
              <w:t>Full dual-corridor operationalization with Joint Iran-Oman Committee active and reporting to Joint Secretariat</w:t>
            </w:r>
          </w:p>
        </w:tc>
        <w:tc>
          <w:tcPr>
            <w:tcW w:w="3000" w:type="dxa"/>
          </w:tcPr>
          <w:p>
            <w:pPr>
              <w:spacing w:before="40" w:after="40"/>
            </w:pPr>
            <w:r>
              <w:rPr>
                <w:color w:val="455A64"/>
                <w:sz w:val="20"/>
              </w:rPr>
              <w:t>$200 million per 48-hour period, subject to Annex ES confirmation</w:t>
            </w:r>
          </w:p>
        </w:tc>
      </w:tr>
      <w:tr>
        <w:tc>
          <w:tcPr>
            <w:tcW w:w="2000" w:type="dxa"/>
          </w:tcPr>
          <w:p>
            <w:pPr>
              <w:spacing w:before="40" w:after="40"/>
            </w:pPr>
            <w:r>
              <w:rPr>
                <w:color w:val="455A64"/>
                <w:sz w:val="20"/>
              </w:rPr>
              <w:t>Cycle 4 (Days 46-60)</w:t>
            </w:r>
          </w:p>
        </w:tc>
        <w:tc>
          <w:tcPr>
            <w:tcW w:w="4000" w:type="dxa"/>
          </w:tcPr>
          <w:p>
            <w:pPr>
              <w:spacing w:before="40" w:after="40"/>
            </w:pPr>
            <w:r>
              <w:rPr>
                <w:color w:val="455A64"/>
                <w:sz w:val="20"/>
              </w:rPr>
              <w:t>Sustained unobstructed passage throughout the 60-day interim period with zero verified interdiction events</w:t>
            </w:r>
          </w:p>
        </w:tc>
        <w:tc>
          <w:tcPr>
            <w:tcW w:w="3000" w:type="dxa"/>
          </w:tcPr>
          <w:p>
            <w:pPr>
              <w:spacing w:before="40" w:after="40"/>
            </w:pPr>
            <w:r>
              <w:rPr>
                <w:color w:val="455A64"/>
                <w:sz w:val="20"/>
              </w:rPr>
              <w:t>$200 million per 48-hour period, with final reconciliation upon completion of 60-day interim, subject to Annex ES confirmation</w:t>
            </w:r>
          </w:p>
        </w:tc>
      </w:tr>
    </w:tbl>
    <w:p>
      <w:pPr>
        <w:pStyle w:val="Heading2"/>
      </w:pPr>
      <w:r>
        <w:t>5.3 Verification Authority</w:t>
      </w:r>
    </w:p>
    <w:p>
      <w:r>
        <w:t>The Technical Working Group reviews verification data. The Co-Chairs confirm operational milestones. The Swiss relay facilitates the transmission of corroborated data.</w:t>
      </w:r>
    </w:p>
    <w:p>
      <w:r>
        <w:t>The Joint Iran-Oman Committee on the Strait of Hormuz, established under Article 5 of the Islamabad MoU, provides transit data through its existing channels. The Technical Working Group corroborates this data using satellite-based AIS and radar monitoring. The corroborated verification package routes through the Joint Secretariat.</w:t>
      </w:r>
    </w:p>
    <w:p>
      <w:r>
        <w:t>The reference to the Persian Gulf Strait Authority (PGSA) in the data-sharing protocols above constitutes the sole acknowledgment of that entity within this Framework. References to the PGSA are included solely for the technical purposes of implementing this Framework and do not constitute recognition of legal status, sovereignty, jurisdiction, institutional legitimacy, maritime claims, or the legal position of any Party.</w:t>
      </w:r>
    </w:p>
    <w:p>
      <w:pPr>
        <w:pStyle w:val="Heading2"/>
      </w:pPr>
      <w:r>
        <w:t>5.4 Technical Working Group Decision-Making</w:t>
      </w:r>
    </w:p>
    <w:p>
      <w:r>
        <w:t>The Technical Working Group operates on the basis of consensus. Where consensus is not achieved on a technical matter, the Co-Chairs certify the matter for referral through the dispute resolution procedures in Section 7.</w:t>
      </w:r>
    </w:p>
    <w:p>
      <w:pPr>
        <w:pStyle w:val="Heading1"/>
      </w:pPr>
      <w:r>
        <w:t>Section 6: Timeline and Milestones</w:t>
      </w:r>
    </w:p>
    <w:tbl>
      <w:tblPr>
        <w:tblW w:w="5000" w:type="pct"/>
        <w:tblBorders>
          <w:top w:val="single" w:color="546E7A" w:sz="8"/>
          <w:left w:val="nil"/>
          <w:bottom w:val="single" w:color="546E7A" w:sz="8"/>
          <w:right w:val="nil"/>
          <w:insideH w:val="single" w:color="CFD8DC" w:sz="4"/>
        </w:tblBorders>
      </w:tblPr>
      <w:tblGrid>
        <w:gridCol w:w="3000"/>
        <w:gridCol w:w="2500"/>
        <w:gridCol w:w="3500"/>
      </w:tblGrid>
      <w:tr>
        <w:trPr>
          <w:tblHeader/>
        </w:trPr>
        <w:tc>
          <w:tcPr>
            <w:tcW w:w="3000" w:type="dxa"/>
            <w:shd w:val="clear" w:fill="ECEFF1"/>
          </w:tcPr>
          <w:p>
            <w:pPr>
              <w:spacing w:before="40" w:after="40"/>
            </w:pPr>
            <w:r>
              <w:rPr>
                <w:b/>
                <w:color w:val="263238"/>
                <w:sz w:val="20"/>
              </w:rPr>
              <w:t>Milestone</w:t>
            </w:r>
          </w:p>
        </w:tc>
        <w:tc>
          <w:tcPr>
            <w:tcW w:w="2500" w:type="dxa"/>
            <w:shd w:val="clear" w:fill="ECEFF1"/>
          </w:tcPr>
          <w:p>
            <w:pPr>
              <w:spacing w:before="40" w:after="40"/>
            </w:pPr>
            <w:r>
              <w:rPr>
                <w:b/>
                <w:color w:val="263238"/>
                <w:sz w:val="20"/>
              </w:rPr>
              <w:t>Time</w:t>
            </w:r>
          </w:p>
        </w:tc>
        <w:tc>
          <w:tcPr>
            <w:tcW w:w="3500" w:type="dxa"/>
            <w:shd w:val="clear" w:fill="ECEFF1"/>
          </w:tcPr>
          <w:p>
            <w:pPr>
              <w:spacing w:before="40" w:after="40"/>
            </w:pPr>
            <w:r>
              <w:rPr>
                <w:b/>
                <w:color w:val="263238"/>
                <w:sz w:val="20"/>
              </w:rPr>
              <w:t>Responsible Party</w:t>
            </w:r>
          </w:p>
        </w:tc>
      </w:tr>
      <w:tr>
        <w:tc>
          <w:tcPr>
            <w:tcW w:w="3000" w:type="dxa"/>
          </w:tcPr>
          <w:p>
            <w:pPr>
              <w:spacing w:before="40" w:after="40"/>
            </w:pPr>
            <w:r>
              <w:rPr>
                <w:color w:val="455A64"/>
                <w:sz w:val="20"/>
              </w:rPr>
              <w:t>Circulation of this Framework</w:t>
            </w:r>
          </w:p>
        </w:tc>
        <w:tc>
          <w:tcPr>
            <w:tcW w:w="2500" w:type="dxa"/>
          </w:tcPr>
          <w:p>
            <w:pPr>
              <w:spacing w:before="40" w:after="40"/>
            </w:pPr>
            <w:r>
              <w:rPr>
                <w:color w:val="455A64"/>
                <w:sz w:val="20"/>
              </w:rPr>
              <w:t>T-12 hours</w:t>
            </w:r>
          </w:p>
        </w:tc>
        <w:tc>
          <w:tcPr>
            <w:tcW w:w="3500" w:type="dxa"/>
          </w:tcPr>
          <w:p>
            <w:pPr>
              <w:spacing w:before="40" w:after="40"/>
            </w:pPr>
            <w:r>
              <w:rPr>
                <w:color w:val="455A64"/>
                <w:sz w:val="20"/>
              </w:rPr>
              <w:t>Qatari and Omani Foreign Ministers</w:t>
            </w:r>
          </w:p>
        </w:tc>
      </w:tr>
      <w:tr>
        <w:tc>
          <w:tcPr>
            <w:tcW w:w="3000" w:type="dxa"/>
          </w:tcPr>
          <w:p>
            <w:pPr>
              <w:spacing w:before="40" w:after="40"/>
            </w:pPr>
            <w:r>
              <w:rPr>
                <w:color w:val="455A64"/>
                <w:sz w:val="20"/>
              </w:rPr>
              <w:t>Deadline for preliminary acceptance</w:t>
            </w:r>
          </w:p>
        </w:tc>
        <w:tc>
          <w:tcPr>
            <w:tcW w:w="2500" w:type="dxa"/>
          </w:tcPr>
          <w:p>
            <w:pPr>
              <w:spacing w:before="40" w:after="40"/>
            </w:pPr>
            <w:r>
              <w:rPr>
                <w:color w:val="455A64"/>
                <w:sz w:val="20"/>
              </w:rPr>
              <w:t>T+0</w:t>
            </w:r>
          </w:p>
        </w:tc>
        <w:tc>
          <w:tcPr>
            <w:tcW w:w="3500" w:type="dxa"/>
          </w:tcPr>
          <w:p>
            <w:pPr>
              <w:spacing w:before="40" w:after="40"/>
            </w:pPr>
            <w:r>
              <w:rPr>
                <w:color w:val="455A64"/>
                <w:sz w:val="20"/>
              </w:rPr>
              <w:t>United States and Iran Technical Delegations</w:t>
            </w:r>
          </w:p>
        </w:tc>
      </w:tr>
      <w:tr>
        <w:tc>
          <w:tcPr>
            <w:tcW w:w="3000" w:type="dxa"/>
          </w:tcPr>
          <w:p>
            <w:pPr>
              <w:spacing w:before="40" w:after="40"/>
            </w:pPr>
            <w:r>
              <w:rPr>
                <w:color w:val="455A64"/>
                <w:sz w:val="20"/>
              </w:rPr>
              <w:t>Joint Implementation Process convenes</w:t>
            </w:r>
          </w:p>
        </w:tc>
        <w:tc>
          <w:tcPr>
            <w:tcW w:w="2500" w:type="dxa"/>
          </w:tcPr>
          <w:p>
            <w:pPr>
              <w:spacing w:before="40" w:after="40"/>
            </w:pPr>
            <w:r>
              <w:rPr>
                <w:color w:val="455A64"/>
                <w:sz w:val="20"/>
              </w:rPr>
              <w:t>T+0</w:t>
            </w:r>
          </w:p>
        </w:tc>
        <w:tc>
          <w:tcPr>
            <w:tcW w:w="3500" w:type="dxa"/>
          </w:tcPr>
          <w:p>
            <w:pPr>
              <w:spacing w:before="40" w:after="40"/>
            </w:pPr>
            <w:r>
              <w:rPr>
                <w:color w:val="455A64"/>
                <w:sz w:val="20"/>
              </w:rPr>
              <w:t>Co-chairs (Qatar and Oman)</w:t>
            </w:r>
          </w:p>
        </w:tc>
      </w:tr>
      <w:tr>
        <w:tc>
          <w:tcPr>
            <w:tcW w:w="3000" w:type="dxa"/>
          </w:tcPr>
          <w:p>
            <w:pPr>
              <w:spacing w:before="40" w:after="40"/>
            </w:pPr>
            <w:r>
              <w:rPr>
                <w:color w:val="455A64"/>
                <w:sz w:val="20"/>
              </w:rPr>
              <w:t>Agreed Minutes endorsed</w:t>
            </w:r>
          </w:p>
        </w:tc>
        <w:tc>
          <w:tcPr>
            <w:tcW w:w="2500" w:type="dxa"/>
          </w:tcPr>
          <w:p>
            <w:pPr>
              <w:spacing w:before="40" w:after="40"/>
            </w:pPr>
            <w:r>
              <w:rPr>
                <w:color w:val="455A64"/>
                <w:sz w:val="20"/>
              </w:rPr>
              <w:t>T+8 hours</w:t>
            </w:r>
          </w:p>
        </w:tc>
        <w:tc>
          <w:tcPr>
            <w:tcW w:w="3500" w:type="dxa"/>
          </w:tcPr>
          <w:p>
            <w:pPr>
              <w:spacing w:before="40" w:after="40"/>
            </w:pPr>
            <w:r>
              <w:rPr>
                <w:color w:val="455A64"/>
                <w:sz w:val="20"/>
              </w:rPr>
              <w:t>All four parties</w:t>
            </w:r>
          </w:p>
        </w:tc>
      </w:tr>
      <w:tr>
        <w:tc>
          <w:tcPr>
            <w:tcW w:w="3000" w:type="dxa"/>
          </w:tcPr>
          <w:p>
            <w:pPr>
              <w:spacing w:before="40" w:after="40"/>
            </w:pPr>
            <w:r>
              <w:rPr>
                <w:color w:val="455A64"/>
                <w:sz w:val="20"/>
              </w:rPr>
              <w:t>Initial Confidence-Building Measure activation</w:t>
            </w:r>
          </w:p>
        </w:tc>
        <w:tc>
          <w:tcPr>
            <w:tcW w:w="2500" w:type="dxa"/>
          </w:tcPr>
          <w:p>
            <w:pPr>
              <w:spacing w:before="40" w:after="40"/>
            </w:pPr>
            <w:r>
              <w:rPr>
                <w:color w:val="455A64"/>
                <w:sz w:val="20"/>
              </w:rPr>
              <w:t>T+8 hours (upon endorsement of Minutes)</w:t>
            </w:r>
          </w:p>
        </w:tc>
        <w:tc>
          <w:tcPr>
            <w:tcW w:w="3500" w:type="dxa"/>
          </w:tcPr>
          <w:p>
            <w:pPr>
              <w:spacing w:before="40" w:after="40"/>
            </w:pPr>
            <w:r>
              <w:rPr>
                <w:color w:val="455A64"/>
                <w:sz w:val="20"/>
              </w:rPr>
              <w:t>Swiss relay and Qatari Central Bank</w:t>
            </w:r>
          </w:p>
        </w:tc>
      </w:tr>
    </w:tbl>
    <w:p>
      <w:pPr>
        <w:pStyle w:val="Heading1"/>
      </w:pPr>
      <w:r>
        <w:t>Section 7: Dispute Resolution</w:t>
      </w:r>
    </w:p>
    <w:p>
      <w:pPr>
        <w:pStyle w:val="Heading2"/>
      </w:pPr>
      <w:r>
        <w:t>7.1 First-Level Mechanism</w:t>
      </w:r>
    </w:p>
    <w:p>
      <w:r>
        <w:t>Any disagreement on verification metrics refers immediately to the Swiss relay for technical clarification. The Swiss relay provides a response as expeditiously as practicable and normally within two hours. This mechanism addresses factual disputes, data interpretation disagreements, and procedural questions.</w:t>
      </w:r>
    </w:p>
    <w:p>
      <w:pPr>
        <w:pStyle w:val="Heading2"/>
      </w:pPr>
      <w:r>
        <w:t>7.2 Second-Level Mechanism</w:t>
      </w:r>
    </w:p>
    <w:p>
      <w:r>
        <w:t>If the Swiss relay fails to resolve the dispute as expeditiously as practicable and normally within two hours, the matter refers automatically to Oman-Qatar mediation with Swiss facilitation. This process convenes within 12 hours and produces a technical determination within 24 hours of convening. The Parties determine subsequent action based on this determination.</w:t>
      </w:r>
    </w:p>
    <w:p>
      <w:pPr>
        <w:pStyle w:val="Heading2"/>
      </w:pPr>
      <w:r>
        <w:t>7.3 Fallback</w:t>
      </w:r>
    </w:p>
    <w:p>
      <w:r>
        <w:t>If no resolution emerges within the 24-hour window, the active 15-day cycle pauses. The relevant tranche remains pending until resolution occurs. The pause does not affect previously activated measures. Neither Party loses benefits already earned.</w:t>
      </w:r>
    </w:p>
    <w:p>
      <w:pPr>
        <w:pStyle w:val="Heading1"/>
      </w:pPr>
      <w:r>
        <w:t>Section 8: Operational Pause</w:t>
      </w:r>
    </w:p>
    <w:p>
      <w:r>
        <w:t>Either Party invokes an Operational Pause in the event of: security incidents affecting personnel or venues; natural disasters or force majeure events; communications infrastructure failures lasting more than 4 hours; or other circumstances that materially prevent safe or meaningful engagement.</w:t>
      </w:r>
    </w:p>
    <w:p>
      <w:r>
        <w:t>The invoking Party notifies the Joint Secretariat and all Co-Chairs immediately upon invocation. The pause takes effect upon notification. All timelines suspend during the pause. The Joint Implementation Process resumes upon mutual notification through the Joint Secretariat that conditions permit continuation.</w:t>
      </w:r>
    </w:p>
    <w:p>
      <w:pPr>
        <w:pStyle w:val="Heading1"/>
      </w:pPr>
      <w:r>
        <w:t>Section 9: Endorsement Blocks</w:t>
      </w:r>
    </w:p>
    <w:tbl>
      <w:tblPr>
        <w:tblW w:w="5000" w:type="pct"/>
        <w:tblBorders>
          <w:top w:val="single" w:color="546E7A" w:sz="8"/>
          <w:left w:val="nil"/>
          <w:bottom w:val="single" w:color="546E7A" w:sz="8"/>
          <w:right w:val="nil"/>
          <w:insideH w:val="single" w:color="CFD8DC" w:sz="4"/>
        </w:tblBorders>
      </w:tblPr>
      <w:tblGrid>
        <w:gridCol w:w="4500"/>
        <w:gridCol w:w="4500"/>
      </w:tblGrid>
      <w:tr>
        <w:trPr>
          <w:tblHeader/>
        </w:trPr>
        <w:tc>
          <w:tcPr>
            <w:tcW w:w="4500" w:type="dxa"/>
            <w:shd w:val="clear" w:fill="ECEFF1"/>
          </w:tcPr>
          <w:p>
            <w:pPr>
              <w:spacing w:before="40" w:after="40"/>
            </w:pPr>
            <w:r>
              <w:rPr>
                <w:b/>
                <w:color w:val="263238"/>
                <w:sz w:val="20"/>
              </w:rPr>
              <w:t>FOR THE STATE OF QATAR</w:t>
            </w:r>
          </w:p>
        </w:tc>
        <w:tc>
          <w:tcPr>
            <w:tcW w:w="4500" w:type="dxa"/>
            <w:shd w:val="clear" w:fill="ECEFF1"/>
          </w:tcPr>
          <w:p>
            <w:pPr>
              <w:spacing w:before="40" w:after="40"/>
            </w:pPr>
            <w:r>
              <w:rPr>
                <w:b/>
                <w:color w:val="263238"/>
                <w:sz w:val="20"/>
              </w:rPr>
              <w:t>FOR THE SULTANATE OF OMAN</w:t>
            </w:r>
          </w:p>
        </w:tc>
      </w:tr>
      <w:tr>
        <w:tc>
          <w:tcPr>
            <w:tcW w:w="4500" w:type="dxa"/>
          </w:tcPr>
          <w:p>
            <w:pPr>
              <w:spacing w:before="60" w:after="60"/>
            </w:pPr>
            <w:r>
              <w:rPr>
                <w:color w:val="455A64"/>
                <w:sz w:val="20"/>
              </w:rPr>
              <w:t>Name: _______________________</w:t>
            </w:r>
          </w:p>
        </w:tc>
        <w:tc>
          <w:tcPr>
            <w:tcW w:w="4500" w:type="dxa"/>
          </w:tcPr>
          <w:p>
            <w:pPr>
              <w:spacing w:before="60" w:after="60"/>
            </w:pPr>
            <w:r>
              <w:rPr>
                <w:color w:val="455A64"/>
                <w:sz w:val="20"/>
              </w:rPr>
              <w:t>Name: _______________________</w:t>
            </w:r>
          </w:p>
        </w:tc>
      </w:tr>
      <w:tr>
        <w:tc>
          <w:tcPr>
            <w:tcW w:w="4500" w:type="dxa"/>
          </w:tcPr>
          <w:p>
            <w:pPr>
              <w:spacing w:before="60" w:after="60"/>
            </w:pPr>
            <w:r>
              <w:rPr>
                <w:color w:val="455A64"/>
                <w:sz w:val="20"/>
              </w:rPr>
              <w:t>Title: _______________________</w:t>
            </w:r>
          </w:p>
        </w:tc>
        <w:tc>
          <w:tcPr>
            <w:tcW w:w="4500" w:type="dxa"/>
          </w:tcPr>
          <w:p>
            <w:pPr>
              <w:spacing w:before="60" w:after="60"/>
            </w:pPr>
            <w:r>
              <w:rPr>
                <w:color w:val="455A64"/>
                <w:sz w:val="20"/>
              </w:rPr>
              <w:t>Title: _______________________</w:t>
            </w:r>
          </w:p>
        </w:tc>
      </w:tr>
      <w:tr>
        <w:tc>
          <w:tcPr>
            <w:tcW w:w="4500" w:type="dxa"/>
          </w:tcPr>
          <w:p>
            <w:pPr>
              <w:spacing w:before="60" w:after="60"/>
            </w:pPr>
            <w:r>
              <w:rPr>
                <w:color w:val="455A64"/>
                <w:sz w:val="20"/>
              </w:rPr>
              <w:t>Date: _______________________</w:t>
            </w:r>
          </w:p>
        </w:tc>
        <w:tc>
          <w:tcPr>
            <w:tcW w:w="4500" w:type="dxa"/>
          </w:tcPr>
          <w:p>
            <w:pPr>
              <w:spacing w:before="60" w:after="60"/>
            </w:pPr>
            <w:r>
              <w:rPr>
                <w:color w:val="455A64"/>
                <w:sz w:val="20"/>
              </w:rPr>
              <w:t>Date: _______________________</w:t>
            </w:r>
          </w:p>
        </w:tc>
      </w:tr>
      <w:tr>
        <w:tc>
          <w:tcPr>
            <w:tcW w:w="4500" w:type="dxa"/>
          </w:tcPr>
          <w:p>
            <w:pPr>
              <w:spacing w:before="60" w:after="60"/>
            </w:pPr>
            <w:r>
              <w:rPr>
                <w:color w:val="455A64"/>
                <w:sz w:val="20"/>
              </w:rPr>
              <w:t>Endorsement: _________________</w:t>
            </w:r>
          </w:p>
        </w:tc>
        <w:tc>
          <w:tcPr>
            <w:tcW w:w="4500" w:type="dxa"/>
          </w:tcPr>
          <w:p>
            <w:pPr>
              <w:spacing w:before="60" w:after="60"/>
            </w:pPr>
            <w:r>
              <w:rPr>
                <w:color w:val="455A64"/>
                <w:sz w:val="20"/>
              </w:rPr>
              <w:t>Endorsement: _________________</w:t>
            </w:r>
          </w:p>
        </w:tc>
      </w:tr>
      <w:tr>
        <w:trPr>
          <w:tblHeader/>
        </w:trPr>
        <w:tc>
          <w:tcPr>
            <w:tcW w:w="4500" w:type="dxa"/>
            <w:shd w:val="clear" w:fill="ECEFF1"/>
          </w:tcPr>
          <w:p>
            <w:pPr>
              <w:spacing w:before="40" w:after="40"/>
            </w:pPr>
            <w:r>
              <w:rPr>
                <w:b/>
                <w:color w:val="263238"/>
                <w:sz w:val="20"/>
              </w:rPr>
              <w:t>FOR THE SWISS RELAY</w:t>
            </w:r>
          </w:p>
        </w:tc>
        <w:tc>
          <w:tcPr>
            <w:tcW w:w="4500" w:type="dxa"/>
            <w:shd w:val="clear" w:fill="ECEFF1"/>
          </w:tcPr>
          <w:p>
            <w:pPr>
              <w:spacing w:before="40" w:after="40"/>
            </w:pPr>
            <w:r>
              <w:rPr>
                <w:b/>
                <w:color w:val="263238"/>
                <w:sz w:val="20"/>
              </w:rPr>
              <w:t>WITNESSED BY</w:t>
            </w:r>
          </w:p>
        </w:tc>
      </w:tr>
      <w:tr>
        <w:tc>
          <w:tcPr>
            <w:tcW w:w="4500" w:type="dxa"/>
          </w:tcPr>
          <w:p>
            <w:pPr>
              <w:spacing w:before="60" w:after="60"/>
            </w:pPr>
            <w:r>
              <w:rPr>
                <w:color w:val="455A64"/>
                <w:sz w:val="20"/>
              </w:rPr>
              <w:t>Name: _______________________</w:t>
            </w:r>
          </w:p>
        </w:tc>
        <w:tc>
          <w:tcPr>
            <w:tcW w:w="4500" w:type="dxa"/>
          </w:tcPr>
          <w:p>
            <w:pPr>
              <w:spacing w:before="60" w:after="60"/>
            </w:pPr>
            <w:r>
              <w:rPr>
                <w:color w:val="455A64"/>
                <w:sz w:val="20"/>
              </w:rPr>
              <w:t>United States Technical Delegation</w:t>
            </w:r>
          </w:p>
        </w:tc>
      </w:tr>
      <w:tr>
        <w:tc>
          <w:tcPr>
            <w:tcW w:w="4500" w:type="dxa"/>
          </w:tcPr>
          <w:p>
            <w:pPr>
              <w:spacing w:before="60" w:after="60"/>
            </w:pPr>
            <w:r>
              <w:rPr>
                <w:color w:val="455A64"/>
                <w:sz w:val="20"/>
              </w:rPr>
              <w:t>Title: _______________________</w:t>
            </w:r>
          </w:p>
        </w:tc>
        <w:tc>
          <w:tcPr>
            <w:tcW w:w="4500" w:type="dxa"/>
          </w:tcPr>
          <w:p>
            <w:pPr>
              <w:spacing w:before="60" w:after="60"/>
            </w:pPr>
            <w:r>
              <w:rPr>
                <w:color w:val="455A64"/>
                <w:sz w:val="20"/>
              </w:rPr>
              <w:t>_________________________________</w:t>
            </w:r>
          </w:p>
        </w:tc>
      </w:tr>
      <w:tr>
        <w:tc>
          <w:tcPr>
            <w:tcW w:w="4500" w:type="dxa"/>
          </w:tcPr>
          <w:p>
            <w:pPr>
              <w:spacing w:before="60" w:after="60"/>
            </w:pPr>
            <w:r>
              <w:rPr>
                <w:color w:val="455A64"/>
                <w:sz w:val="20"/>
              </w:rPr>
              <w:t>Date: _______________________</w:t>
            </w:r>
          </w:p>
        </w:tc>
        <w:tc>
          <w:tcPr>
            <w:tcW w:w="4500" w:type="dxa"/>
          </w:tcPr>
          <w:p>
            <w:pPr>
              <w:spacing w:before="60" w:after="60"/>
            </w:pPr>
            <w:r>
              <w:rPr>
                <w:color w:val="455A64"/>
                <w:sz w:val="20"/>
              </w:rPr>
              <w:t>Islamic Republic of Iran Technical Delegation</w:t>
            </w:r>
          </w:p>
        </w:tc>
      </w:tr>
      <w:tr>
        <w:tc>
          <w:tcPr>
            <w:tcW w:w="4500" w:type="dxa"/>
          </w:tcPr>
          <w:p>
            <w:pPr>
              <w:spacing w:before="60" w:after="60"/>
            </w:pPr>
            <w:r>
              <w:rPr>
                <w:color w:val="455A64"/>
                <w:sz w:val="20"/>
              </w:rPr>
              <w:t>Endorsement: _________________</w:t>
            </w:r>
          </w:p>
        </w:tc>
        <w:tc>
          <w:tcPr>
            <w:tcW w:w="4500" w:type="dxa"/>
          </w:tcPr>
          <w:p>
            <w:pPr>
              <w:spacing w:before="60" w:after="60"/>
            </w:pPr>
            <w:r>
              <w:rPr>
                <w:color w:val="455A64"/>
                <w:sz w:val="20"/>
              </w:rPr>
              <w:t>_________________________________</w:t>
            </w:r>
          </w:p>
        </w:tc>
      </w:tr>
    </w:tbl>
    <w:p>
      <w:r>
        <w:t>Participation in this Framework does not prejudice the legal positions, sovereignty claims, sanctions positions, or future political negotiations of either Party.</w:t>
      </w:r>
    </w:p>
    <w:p>
      <w:pPr>
        <w:pStyle w:val="Heading1"/>
      </w:pPr>
      <w:r>
        <w:t>Section 10: Responsibility Matrix</w:t>
      </w:r>
    </w:p>
    <w:tbl>
      <w:tblPr>
        <w:tblW w:w="5000" w:type="pct"/>
        <w:tblBorders>
          <w:top w:val="single" w:color="546E7A" w:sz="8"/>
          <w:left w:val="nil"/>
          <w:bottom w:val="single" w:color="546E7A" w:sz="8"/>
          <w:right w:val="nil"/>
          <w:insideH w:val="single" w:color="CFD8DC" w:sz="4"/>
        </w:tblBorders>
      </w:tblPr>
      <w:tblGrid>
        <w:gridCol w:w="2500"/>
        <w:gridCol w:w="6500"/>
      </w:tblGrid>
      <w:tr>
        <w:trPr>
          <w:tblHeader/>
        </w:trPr>
        <w:tc>
          <w:tcPr>
            <w:tcW w:w="2500" w:type="dxa"/>
            <w:shd w:val="clear" w:fill="ECEFF1"/>
          </w:tcPr>
          <w:p>
            <w:pPr>
              <w:spacing w:before="40" w:after="40"/>
            </w:pPr>
            <w:r>
              <w:rPr>
                <w:b/>
                <w:color w:val="263238"/>
                <w:sz w:val="20"/>
              </w:rPr>
              <w:t>Actor</w:t>
            </w:r>
          </w:p>
        </w:tc>
        <w:tc>
          <w:tcPr>
            <w:tcW w:w="6500" w:type="dxa"/>
            <w:shd w:val="clear" w:fill="ECEFF1"/>
          </w:tcPr>
          <w:p>
            <w:pPr>
              <w:spacing w:before="40" w:after="40"/>
            </w:pPr>
            <w:r>
              <w:rPr>
                <w:b/>
                <w:color w:val="263238"/>
                <w:sz w:val="20"/>
              </w:rPr>
              <w:t>Responsibility</w:t>
            </w:r>
          </w:p>
        </w:tc>
      </w:tr>
      <w:tr>
        <w:tc>
          <w:tcPr>
            <w:tcW w:w="2500" w:type="dxa"/>
          </w:tcPr>
          <w:p>
            <w:pPr>
              <w:spacing w:before="40" w:after="40"/>
            </w:pPr>
            <w:r>
              <w:rPr>
                <w:color w:val="455A64"/>
                <w:sz w:val="20"/>
              </w:rPr>
              <w:t>Qatar</w:t>
            </w:r>
          </w:p>
        </w:tc>
        <w:tc>
          <w:tcPr>
            <w:tcW w:w="6500" w:type="dxa"/>
          </w:tcPr>
          <w:p>
            <w:pPr>
              <w:spacing w:before="40" w:after="40"/>
            </w:pPr>
            <w:r>
              <w:rPr>
                <w:color w:val="455A64"/>
                <w:sz w:val="20"/>
              </w:rPr>
              <w:t>Lead Co-Chair; convenes Joint Implementation Process; confirms operational milestones</w:t>
            </w:r>
          </w:p>
        </w:tc>
      </w:tr>
      <w:tr>
        <w:tc>
          <w:tcPr>
            <w:tcW w:w="2500" w:type="dxa"/>
          </w:tcPr>
          <w:p>
            <w:pPr>
              <w:spacing w:before="40" w:after="40"/>
            </w:pPr>
            <w:r>
              <w:rPr>
                <w:color w:val="455A64"/>
                <w:sz w:val="20"/>
              </w:rPr>
              <w:t>Oman</w:t>
            </w:r>
          </w:p>
        </w:tc>
        <w:tc>
          <w:tcPr>
            <w:tcW w:w="6500" w:type="dxa"/>
          </w:tcPr>
          <w:p>
            <w:pPr>
              <w:spacing w:before="40" w:after="40"/>
            </w:pPr>
            <w:r>
              <w:rPr>
                <w:color w:val="455A64"/>
                <w:sz w:val="20"/>
              </w:rPr>
              <w:t>Co-Chair; hosts Joint Secretariat; facilitates Joint Iran-Oman Committee coordination</w:t>
            </w:r>
          </w:p>
        </w:tc>
      </w:tr>
      <w:tr>
        <w:tc>
          <w:tcPr>
            <w:tcW w:w="2500" w:type="dxa"/>
          </w:tcPr>
          <w:p>
            <w:pPr>
              <w:spacing w:before="40" w:after="40"/>
            </w:pPr>
            <w:r>
              <w:rPr>
                <w:color w:val="455A64"/>
                <w:sz w:val="20"/>
              </w:rPr>
              <w:t>Switzerland</w:t>
            </w:r>
          </w:p>
        </w:tc>
        <w:tc>
          <w:tcPr>
            <w:tcW w:w="6500" w:type="dxa"/>
          </w:tcPr>
          <w:p>
            <w:pPr>
              <w:spacing w:before="40" w:after="40"/>
            </w:pPr>
            <w:r>
              <w:rPr>
                <w:color w:val="455A64"/>
                <w:sz w:val="20"/>
              </w:rPr>
              <w:t>Facilitates relay; transmits documents; authenticates procedural records</w:t>
            </w:r>
          </w:p>
        </w:tc>
      </w:tr>
      <w:tr>
        <w:tc>
          <w:tcPr>
            <w:tcW w:w="2500" w:type="dxa"/>
          </w:tcPr>
          <w:p>
            <w:pPr>
              <w:spacing w:before="40" w:after="40"/>
            </w:pPr>
            <w:r>
              <w:rPr>
                <w:color w:val="455A64"/>
                <w:sz w:val="20"/>
              </w:rPr>
              <w:t>Joint Secretariat (Muscat)</w:t>
            </w:r>
          </w:p>
        </w:tc>
        <w:tc>
          <w:tcPr>
            <w:tcW w:w="6500" w:type="dxa"/>
          </w:tcPr>
          <w:p>
            <w:pPr>
              <w:spacing w:before="40" w:after="40"/>
            </w:pPr>
            <w:r>
              <w:rPr>
                <w:color w:val="455A64"/>
                <w:sz w:val="20"/>
              </w:rPr>
              <w:t>Administrative coordination; maintains official record; routes all communications</w:t>
            </w:r>
          </w:p>
        </w:tc>
      </w:tr>
      <w:tr>
        <w:tc>
          <w:tcPr>
            <w:tcW w:w="2500" w:type="dxa"/>
          </w:tcPr>
          <w:p>
            <w:pPr>
              <w:spacing w:before="40" w:after="40"/>
            </w:pPr>
            <w:r>
              <w:rPr>
                <w:color w:val="455A64"/>
                <w:sz w:val="20"/>
              </w:rPr>
              <w:t>Technical Working Group</w:t>
            </w:r>
          </w:p>
        </w:tc>
        <w:tc>
          <w:tcPr>
            <w:tcW w:w="6500" w:type="dxa"/>
          </w:tcPr>
          <w:p>
            <w:pPr>
              <w:spacing w:before="40" w:after="40"/>
            </w:pPr>
            <w:r>
              <w:rPr>
                <w:color w:val="455A64"/>
                <w:sz w:val="20"/>
              </w:rPr>
              <w:t>Reviews verification data; corroborates transit metrics; recommends tranche activations; operates by consensus</w:t>
            </w:r>
          </w:p>
        </w:tc>
      </w:tr>
      <w:tr>
        <w:tc>
          <w:tcPr>
            <w:tcW w:w="2500" w:type="dxa"/>
          </w:tcPr>
          <w:p>
            <w:pPr>
              <w:spacing w:before="40" w:after="40"/>
            </w:pPr>
            <w:r>
              <w:rPr>
                <w:color w:val="455A64"/>
                <w:sz w:val="20"/>
              </w:rPr>
              <w:t>Parties (U.S. and Iran)</w:t>
            </w:r>
          </w:p>
        </w:tc>
        <w:tc>
          <w:tcPr>
            <w:tcW w:w="6500" w:type="dxa"/>
          </w:tcPr>
          <w:p>
            <w:pPr>
              <w:spacing w:before="40" w:after="40"/>
            </w:pPr>
            <w:r>
              <w:rPr>
                <w:color w:val="455A64"/>
                <w:sz w:val="20"/>
              </w:rPr>
              <w:t>Decision-making; endorsement of Minutes; compliance with agreed procedures</w:t>
            </w:r>
          </w:p>
        </w:tc>
      </w:tr>
    </w:tbl>
    <w:p>
      <w:pPr>
        <w:pStyle w:val="Heading1"/>
      </w:pPr>
      <w:r>
        <w:t>Annexes</w:t>
      </w:r>
    </w:p>
    <w:tbl>
      <w:tblPr>
        <w:tblW w:w="5000" w:type="pct"/>
        <w:tblBorders>
          <w:top w:val="single" w:color="546E7A" w:sz="8"/>
          <w:left w:val="nil"/>
          <w:bottom w:val="single" w:color="546E7A" w:sz="8"/>
          <w:right w:val="nil"/>
          <w:insideH w:val="single" w:color="CFD8DC" w:sz="4"/>
        </w:tblBorders>
      </w:tblPr>
      <w:tblGrid>
        <w:gridCol w:w="1500"/>
        <w:gridCol w:w="4500"/>
        <w:gridCol w:w="3000"/>
      </w:tblGrid>
      <w:tr>
        <w:trPr>
          <w:tblHeader/>
        </w:trPr>
        <w:tc>
          <w:tcPr>
            <w:tcW w:w="1500" w:type="dxa"/>
            <w:shd w:val="clear" w:fill="ECEFF1"/>
          </w:tcPr>
          <w:p>
            <w:pPr>
              <w:spacing w:before="40" w:after="40"/>
            </w:pPr>
            <w:r>
              <w:rPr>
                <w:b/>
                <w:color w:val="263238"/>
                <w:sz w:val="20"/>
              </w:rPr>
              <w:t>Annex</w:t>
            </w:r>
          </w:p>
        </w:tc>
        <w:tc>
          <w:tcPr>
            <w:tcW w:w="4500" w:type="dxa"/>
            <w:shd w:val="clear" w:fill="ECEFF1"/>
          </w:tcPr>
          <w:p>
            <w:pPr>
              <w:spacing w:before="40" w:after="40"/>
            </w:pPr>
            <w:r>
              <w:rPr>
                <w:b/>
                <w:color w:val="263238"/>
                <w:sz w:val="20"/>
              </w:rPr>
              <w:t>Content</w:t>
            </w:r>
          </w:p>
        </w:tc>
        <w:tc>
          <w:tcPr>
            <w:tcW w:w="3000" w:type="dxa"/>
            <w:shd w:val="clear" w:fill="ECEFF1"/>
          </w:tcPr>
          <w:p>
            <w:pPr>
              <w:spacing w:before="40" w:after="40"/>
            </w:pPr>
            <w:r>
              <w:rPr>
                <w:b/>
                <w:color w:val="263238"/>
                <w:sz w:val="20"/>
              </w:rPr>
              <w:t>Status</w:t>
            </w:r>
          </w:p>
        </w:tc>
      </w:tr>
      <w:tr>
        <w:tc>
          <w:tcPr>
            <w:tcW w:w="1500" w:type="dxa"/>
          </w:tcPr>
          <w:p>
            <w:pPr>
              <w:spacing w:before="40" w:after="40"/>
            </w:pPr>
            <w:r>
              <w:rPr>
                <w:color w:val="455A64"/>
                <w:sz w:val="20"/>
              </w:rPr>
              <w:t>Annex A</w:t>
            </w:r>
          </w:p>
        </w:tc>
        <w:tc>
          <w:tcPr>
            <w:tcW w:w="4500" w:type="dxa"/>
          </w:tcPr>
          <w:p>
            <w:pPr>
              <w:spacing w:before="40" w:after="40"/>
            </w:pPr>
            <w:r>
              <w:rPr>
                <w:color w:val="455A64"/>
                <w:sz w:val="20"/>
              </w:rPr>
              <w:t>Technical definitions and metrics for unobstructed passage</w:t>
            </w:r>
          </w:p>
        </w:tc>
        <w:tc>
          <w:tcPr>
            <w:tcW w:w="3000" w:type="dxa"/>
          </w:tcPr>
          <w:p>
            <w:pPr>
              <w:spacing w:before="40" w:after="40"/>
            </w:pPr>
            <w:r>
              <w:rPr>
                <w:color w:val="455A64"/>
                <w:sz w:val="20"/>
              </w:rPr>
              <w:t>Pending technical completion</w:t>
            </w:r>
          </w:p>
        </w:tc>
      </w:tr>
      <w:tr>
        <w:tc>
          <w:tcPr>
            <w:tcW w:w="1500" w:type="dxa"/>
          </w:tcPr>
          <w:p>
            <w:pPr>
              <w:spacing w:before="40" w:after="40"/>
            </w:pPr>
            <w:r>
              <w:rPr>
                <w:color w:val="455A64"/>
                <w:sz w:val="20"/>
              </w:rPr>
              <w:t>Annex B</w:t>
            </w:r>
          </w:p>
        </w:tc>
        <w:tc>
          <w:tcPr>
            <w:tcW w:w="4500" w:type="dxa"/>
          </w:tcPr>
          <w:p>
            <w:pPr>
              <w:spacing w:before="40" w:after="40"/>
            </w:pPr>
            <w:r>
              <w:rPr>
                <w:color w:val="455A64"/>
                <w:sz w:val="20"/>
              </w:rPr>
              <w:t>Data-sharing protocols: PGSA transit data through Joint Iran-Oman Committee to Swiss relay for corroboration</w:t>
            </w:r>
          </w:p>
        </w:tc>
        <w:tc>
          <w:tcPr>
            <w:tcW w:w="3000" w:type="dxa"/>
          </w:tcPr>
          <w:p>
            <w:pPr>
              <w:spacing w:before="40" w:after="40"/>
            </w:pPr>
            <w:r>
              <w:rPr>
                <w:color w:val="455A64"/>
                <w:sz w:val="20"/>
              </w:rPr>
              <w:t>Pending technical completion</w:t>
            </w:r>
          </w:p>
        </w:tc>
      </w:tr>
      <w:tr>
        <w:tc>
          <w:tcPr>
            <w:tcW w:w="1500" w:type="dxa"/>
          </w:tcPr>
          <w:p>
            <w:pPr>
              <w:spacing w:before="40" w:after="40"/>
            </w:pPr>
            <w:r>
              <w:rPr>
                <w:color w:val="455A64"/>
                <w:sz w:val="20"/>
              </w:rPr>
              <w:t>Annex C</w:t>
            </w:r>
          </w:p>
        </w:tc>
        <w:tc>
          <w:tcPr>
            <w:tcW w:w="4500" w:type="dxa"/>
          </w:tcPr>
          <w:p>
            <w:pPr>
              <w:spacing w:before="40" w:after="40"/>
            </w:pPr>
            <w:r>
              <w:rPr>
                <w:color w:val="455A64"/>
                <w:sz w:val="20"/>
              </w:rPr>
              <w:t>Escrow release mechanics detailed procedures</w:t>
            </w:r>
          </w:p>
        </w:tc>
        <w:tc>
          <w:tcPr>
            <w:tcW w:w="3000" w:type="dxa"/>
          </w:tcPr>
          <w:p>
            <w:pPr>
              <w:spacing w:before="40" w:after="40"/>
            </w:pPr>
            <w:r>
              <w:rPr>
                <w:color w:val="455A64"/>
                <w:sz w:val="20"/>
              </w:rPr>
              <w:t>Pending technical completion</w:t>
            </w:r>
          </w:p>
        </w:tc>
      </w:tr>
      <w:tr>
        <w:tc>
          <w:tcPr>
            <w:tcW w:w="1500" w:type="dxa"/>
          </w:tcPr>
          <w:p>
            <w:pPr>
              <w:spacing w:before="40" w:after="40"/>
            </w:pPr>
            <w:r>
              <w:rPr>
                <w:color w:val="455A64"/>
                <w:sz w:val="20"/>
              </w:rPr>
              <w:t>Annex D</w:t>
            </w:r>
          </w:p>
        </w:tc>
        <w:tc>
          <w:tcPr>
            <w:tcW w:w="4500" w:type="dxa"/>
          </w:tcPr>
          <w:p>
            <w:pPr>
              <w:spacing w:before="40" w:after="40"/>
            </w:pPr>
            <w:r>
              <w:rPr>
                <w:color w:val="455A64"/>
                <w:sz w:val="20"/>
              </w:rPr>
              <w:t>15-day rolling verification cadence template</w:t>
            </w:r>
          </w:p>
        </w:tc>
        <w:tc>
          <w:tcPr>
            <w:tcW w:w="3000" w:type="dxa"/>
          </w:tcPr>
          <w:p>
            <w:pPr>
              <w:spacing w:before="40" w:after="40"/>
            </w:pPr>
            <w:r>
              <w:rPr>
                <w:color w:val="455A64"/>
                <w:sz w:val="20"/>
              </w:rPr>
              <w:t>Drafted by Swiss technical advisors</w:t>
            </w:r>
          </w:p>
        </w:tc>
      </w:tr>
      <w:tr>
        <w:tc>
          <w:tcPr>
            <w:tcW w:w="1500" w:type="dxa"/>
          </w:tcPr>
          <w:p>
            <w:pPr>
              <w:spacing w:before="40" w:after="40"/>
            </w:pPr>
            <w:r>
              <w:rPr>
                <w:color w:val="455A64"/>
                <w:sz w:val="20"/>
              </w:rPr>
              <w:t>Annex E</w:t>
            </w:r>
          </w:p>
        </w:tc>
        <w:tc>
          <w:tcPr>
            <w:tcW w:w="4500" w:type="dxa"/>
          </w:tcPr>
          <w:p>
            <w:pPr>
              <w:spacing w:before="40" w:after="40"/>
            </w:pPr>
            <w:r>
              <w:rPr>
                <w:color w:val="455A64"/>
                <w:sz w:val="20"/>
              </w:rPr>
              <w:t>Joint Iran-Oman Committee on the Strait of Hormuz operational procedures</w:t>
            </w:r>
          </w:p>
        </w:tc>
        <w:tc>
          <w:tcPr>
            <w:tcW w:w="3000" w:type="dxa"/>
          </w:tcPr>
          <w:p>
            <w:pPr>
              <w:spacing w:before="40" w:after="40"/>
            </w:pPr>
            <w:r>
              <w:rPr>
                <w:color w:val="455A64"/>
                <w:sz w:val="20"/>
              </w:rPr>
              <w:t>Pending technical completion</w:t>
            </w:r>
          </w:p>
        </w:tc>
      </w:tr>
      <w:tr>
        <w:tc>
          <w:tcPr>
            <w:tcW w:w="1500" w:type="dxa"/>
          </w:tcPr>
          <w:p>
            <w:pPr>
              <w:spacing w:before="40" w:after="40"/>
            </w:pPr>
            <w:r>
              <w:rPr>
                <w:color w:val="455A64"/>
                <w:sz w:val="20"/>
              </w:rPr>
              <w:t>Annex F</w:t>
            </w:r>
          </w:p>
        </w:tc>
        <w:tc>
          <w:tcPr>
            <w:tcW w:w="4500" w:type="dxa"/>
          </w:tcPr>
          <w:p>
            <w:pPr>
              <w:spacing w:before="40" w:after="40"/>
            </w:pPr>
            <w:r>
              <w:rPr>
                <w:color w:val="455A64"/>
                <w:sz w:val="20"/>
              </w:rPr>
              <w:t>Technical communications specifications and redundancy standards</w:t>
            </w:r>
          </w:p>
        </w:tc>
        <w:tc>
          <w:tcPr>
            <w:tcW w:w="3000" w:type="dxa"/>
          </w:tcPr>
          <w:p>
            <w:pPr>
              <w:spacing w:before="40" w:after="40"/>
            </w:pPr>
            <w:r>
              <w:rPr>
                <w:color w:val="455A64"/>
                <w:sz w:val="20"/>
              </w:rPr>
              <w:t>Pending technical completion</w:t>
            </w:r>
          </w:p>
        </w:tc>
      </w:tr>
    </w:tbl>
    <w:p>
      <w:pPr>
        <w:sectPr>
          <w:headerReference w:type="default" r:id="Re2a6a25543c84a40"/>
          <w:footerReference w:type="default" r:id="Rf26fbb56c158478b"/>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9d21e4c222e04ae8"/>
                    <a:stretch>
                      <a:fillRect/>
                    </a:stretch>
                  </pic:blipFill>
                  <pic:spPr>
                    <a:xfrm>
                      <a:off x="0" y="0"/>
                      <a:ext cx="7560000" cy="10692000"/>
                    </a:xfrm>
                    <a:prstGeom prst="rect"/>
                  </pic:spPr>
                </pic:pic>
              </a:graphicData>
            </a:graphic>
          </wp:anchor>
        </w:drawing>
      </w:r>
    </w:p>
    <w:p>
      <w:pPr>
        <w:spacing w:before="6000"/>
        <w:jc w:val="center"/>
      </w:pPr>
      <w:r>
        <w:rPr>
          <w:b/>
          <w:color w:val="78909C"/>
          <w:sz w:val="48"/>
        </w:rPr>
        <w:t>CTAF-2026-001</w:t>
      </w:r>
    </w:p>
    <w:p>
      <w:pPr>
        <w:spacing w:before="300"/>
        <w:jc w:val="center"/>
      </w:pPr>
      <w:r>
        <w:rPr>
          <w:color w:val="90A4AE"/>
          <w:sz w:val="22"/>
        </w:rPr>
        <w:t>Coordinated Technical Activation Framework</w:t>
      </w:r>
    </w:p>
    <w:p>
      <w:pPr>
        <w:spacing w:before="100"/>
        <w:jc w:val="center"/>
      </w:pPr>
      <w:r>
        <w:rPr>
          <w:color w:val="90A4AE"/>
          <w:sz w:val="20"/>
        </w:rPr>
        <w:t>Coordinated Technical Activation Framework (CTAF)</w:t>
      </w:r>
    </w:p>
    <w:p>
      <w:pPr>
        <w:spacing w:before="3000"/>
        <w:jc w:val="center"/>
      </w:pPr>
      <w:r>
        <w:rPr>
          <w:color w:val="78909C"/>
          <w:sz w:val="16"/>
        </w:rPr>
        <w:t>CONFIDENTIAL / FOR MEDIATOR USE ONLY / NON-PAPER</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90A4AE"/>
        <w:sz w:val="18"/>
      </w:rPr>
      <w:fldChar w:fldCharType="begin"/>
    </w:r>
    <w:r>
      <w:rPr>
        <w:color w:val="90A4AE"/>
        <w:sz w:val="18"/>
      </w:rPr>
      <w:instrText xml:space="preserve"> PAGE </w:instrText>
    </w:r>
    <w:r>
      <w:rPr>
        <w:color w:val="90A4AE"/>
        <w:sz w:val="18"/>
      </w:rPr>
      <w:fldChar w:fldCharType="separate"/>
    </w:r>
    <w:r>
      <w:rPr>
        <w:color w:val="90A4AE"/>
        <w:sz w:val="18"/>
      </w:rPr>
      <w:t>1</w:t>
    </w:r>
    <w:r>
      <w:rPr>
        <w:color w:val="90A4AE"/>
        <w:sz w:val="18"/>
      </w:rPr>
      <w:fldChar w:fldCharType="end"/>
    </w:r>
  </w:p>
</w:ftr>
</file>

<file path=word/header1.xml><?xml version="1.0" encoding="utf-8"?>
<w:hdr xmlns:w="http://schemas.openxmlformats.org/wordprocessingml/2006/main">
  <w:p>
    <w:pPr>
      <w:jc w:val="right"/>
    </w:pPr>
    <w:r>
      <w:rPr>
        <w:color w:val="90A4AE"/>
        <w:sz w:val="16"/>
      </w:rPr>
      <w:t>CTAF-2026-001 | CONFIDENTIAL | NON-PAPER</w:t>
    </w:r>
  </w:p>
</w:hdr>
</file>

<file path=word/numbering.xml><?xml version="1.0" encoding="utf-8"?>
<w:numbering xmlns:w="http://schemas.openxmlformats.org/wordprocessingml/2006/main">
  <w:abstractNum w:abstractNumId="1">
    <w:lvl w:ilvl="0">
      <w:numFmt w:val="bullet"/>
      <w:lvlText w:val="•"/>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300" w:lineRule="auto"/>
    </w:pPr>
    <w:rPr>
      <w:rFonts w:ascii="Calibri" w:hAnsi="Calibri" w:eastAsia="Microsoft YaHei"/>
      <w:color w:val="263238"/>
      <w:sz w:val="22"/>
    </w:rPr>
  </w:style>
  <w:style w:type="paragraph" w:styleId="Heading1">
    <w:name w:val="heading 1"/>
    <w:basedOn w:val="Normal"/>
    <w:pPr>
      <w:keepNext/>
      <w:keepLines/>
      <w:spacing w:before="500" w:after="200"/>
      <w:outlineLvl w:val="0"/>
    </w:pPr>
    <w:rPr>
      <w:rFonts w:ascii="Calibri" w:hAnsi="Calibri" w:eastAsia="Microsoft YaHei"/>
      <w:b/>
      <w:color w:val="37474F"/>
      <w:sz w:val="36"/>
    </w:rPr>
  </w:style>
  <w:style w:type="paragraph" w:styleId="Heading2">
    <w:name w:val="heading 2"/>
    <w:basedOn w:val="Normal"/>
    <w:pPr>
      <w:keepNext/>
      <w:keepLines/>
      <w:spacing w:before="360" w:after="160"/>
      <w:outlineLvl w:val="1"/>
    </w:pPr>
    <w:rPr>
      <w:rFonts w:ascii="Calibri" w:hAnsi="Calibri" w:eastAsia="Microsoft YaHei"/>
      <w:b/>
      <w:color w:val="455A64"/>
      <w:sz w:val="28"/>
    </w:rPr>
  </w:style>
  <w:style w:type="paragraph" w:styleId="Heading3">
    <w:name w:val="heading 3"/>
    <w:basedOn w:val="Normal"/>
    <w:pPr>
      <w:keepNext/>
      <w:keepLines/>
      <w:spacing w:before="280" w:after="120"/>
      <w:outlineLvl w:val="2"/>
    </w:pPr>
    <w:rPr>
      <w:rFonts w:ascii="Calibri" w:hAnsi="Calibri" w:eastAsia="Microsoft YaHei"/>
      <w:b/>
      <w:color w:val="546E7A"/>
      <w:sz w:val="24"/>
    </w:rPr>
  </w:style>
  <w:style w:type="paragraph" w:styleId="Caption">
    <w:name w:val="Caption"/>
    <w:basedOn w:val="Normal"/>
    <w:pPr>
      <w:spacing w:before="60" w:after="280"/>
      <w:jc w:val="center"/>
    </w:pPr>
    <w:rPr>
      <w:color w:val="90A4AE"/>
      <w:sz w:val="20"/>
    </w:rPr>
  </w:style>
  <w:style w:type="paragraph" w:styleId="TOC1">
    <w:name w:val="toc 1"/>
    <w:basedOn w:val="Normal"/>
    <w:pPr>
      <w:tabs>
        <w:tab w:val="right" w:leader="dot" w:pos="9350"/>
      </w:tabs>
      <w:spacing w:before="200" w:after="60"/>
      <w:ind w:left="0"/>
    </w:pPr>
    <w:rPr>
      <w:b/>
      <w:color w:val="263238"/>
    </w:rPr>
  </w:style>
  <w:style w:type="paragraph" w:styleId="TOC2">
    <w:name w:val="toc 2"/>
    <w:basedOn w:val="Normal"/>
    <w:pPr>
      <w:tabs>
        <w:tab w:val="right" w:leader="dot" w:pos="9350"/>
      </w:tabs>
      <w:spacing w:before="60" w:after="60"/>
      <w:ind w:left="360"/>
    </w:pPr>
    <w:rPr>
      <w:color w:val="455A64"/>
    </w:rPr>
  </w:style>
</w:styles>
</file>

<file path=word/_rels/document.xml.rels><?xml version='1.0' encoding='UTF-8'?>
<Relationships xmlns="http://schemas.openxmlformats.org/package/2006/relationships"><Relationship Type="http://schemas.openxmlformats.org/officeDocument/2006/relationships/styles" Target="styles.xml" Id="R17c7a5cf88354881" /><Relationship Type="http://schemas.openxmlformats.org/officeDocument/2006/relationships/numbering" Target="numbering.xml" Id="Rb21bba00279d4df5" /><Relationship Type="http://schemas.openxmlformats.org/officeDocument/2006/relationships/image" Target="media/image.png" Id="R15a8fa59e84445ba" /><Relationship Type="http://schemas.openxmlformats.org/officeDocument/2006/relationships/image" Target="media/image2.png" Id="R9d21e4c222e04ae8" /><Relationship Type="http://schemas.openxmlformats.org/officeDocument/2006/relationships/header" Target="header1.xml" Id="Re2a6a25543c84a40" /><Relationship Type="http://schemas.openxmlformats.org/officeDocument/2006/relationships/footer" Target="footer1.xml" Id="Rf26fbb56c158478b" /><Relationship Type="http://schemas.openxmlformats.org/officeDocument/2006/relationships/settings" Target="settings.xml" Id="R1072188271ba41db" /></Relationships>
</file>