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2224893ca9024eda"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d8210f88dc034e3a"/>
                    <a:stretch>
                      <a:fillRect/>
                    </a:stretch>
                  </pic:blipFill>
                  <pic:spPr>
                    <a:xfrm>
                      <a:off x="0" y="0"/>
                      <a:ext cx="7560000" cy="10692000"/>
                    </a:xfrm>
                    <a:prstGeom prst="rect"/>
                  </pic:spPr>
                </pic:pic>
              </a:graphicData>
            </a:graphic>
          </wp:anchor>
        </w:drawing>
      </w:r>
    </w:p>
    <w:p>
      <w:pPr>
        <w:pStyle w:val="Normal"/>
        <w:spacing w:before="5500"/>
      </w:pPr>
    </w:p>
    <w:p>
      <w:pPr>
        <w:pStyle w:val="Normal"/>
        <w:spacing w:after="200"/>
        <w:jc w:val="center"/>
      </w:pPr>
      <w:r>
        <w:rPr>
          <w:rFonts w:ascii="Cambria" w:hAnsi="Cambria" w:eastAsia="Cambria" w:cs="Cambria"/>
          <w:b/>
          <w:color w:val="1A2744"/>
          <w:sz w:val="72"/>
          <w:szCs w:val="22"/>
          <w:spacing w:val="30"/>
        </w:rPr>
        <w:t>MENOC</w:t>
      </w:r>
    </w:p>
    <w:p>
      <w:pPr>
        <w:pStyle w:val="Normal"/>
        <w:spacing w:after="120"/>
        <w:jc w:val="center"/>
      </w:pPr>
      <w:r>
        <w:rPr>
          <w:rFonts w:ascii="Cambria" w:hAnsi="Cambria" w:eastAsia="Cambria" w:cs="Cambria"/>
          <w:color w:val="A6894A"/>
          <w:sz w:val="32"/>
          <w:szCs w:val="22"/>
        </w:rPr>
        <w:t>Middle East Nuclear Organization for Cooperation</w:t>
      </w:r>
    </w:p>
    <w:p>
      <w:pPr>
        <w:pStyle w:val="Normal"/>
        <w:spacing w:after="600"/>
        <w:jc w:val="center"/>
      </w:pPr>
      <w:r>
        <w:rPr>
          <w:rFonts w:ascii="Cambria" w:hAnsi="Cambria" w:eastAsia="Cambria" w:cs="Cambria"/>
          <w:color w:val="1A1A1A"/>
          <w:sz w:val="28"/>
          <w:szCs w:val="22"/>
        </w:rPr>
        <w:t>Founding Charter</w:t>
      </w:r>
    </w:p>
    <w:p>
      <w:pPr>
        <w:pStyle w:val="Normal"/>
        <w:spacing w:after="100"/>
        <w:jc w:val="center"/>
      </w:pPr>
      <w:r>
        <w:rPr>
          <w:rFonts w:ascii="Cambria" w:hAnsi="Cambria" w:eastAsia="Cambria" w:cs="Cambria"/>
          <w:color w:val="4A4A4A"/>
          <w:sz w:val="22"/>
          <w:szCs w:val="22"/>
        </w:rPr>
        <w:t>A Multinational Framework for Verified Peaceful Nuclear Cooperation</w:t>
      </w:r>
    </w:p>
    <w:p>
      <w:pPr>
        <w:pStyle w:val="Normal"/>
        <w:spacing w:before="2500"/>
        <w:jc w:val="center"/>
      </w:pPr>
      <w:r>
        <w:rPr>
          <w:rFonts w:ascii="Cambria" w:hAnsi="Cambria" w:eastAsia="Cambria" w:cs="Cambria"/>
          <w:color w:val="4A4A4A"/>
          <w:sz w:val="20"/>
          <w:szCs w:val="22"/>
        </w:rPr>
        <w:t>Muscat, Sultanate of Oman</w:t>
      </w:r>
    </w:p>
    <w:p>
      <w:pPr>
        <w:pStyle w:val="Normal"/>
        <w:jc w:val="center"/>
      </w:pPr>
      <w:r>
        <w:rPr>
          <w:rFonts w:ascii="Cambria" w:hAnsi="Cambria" w:eastAsia="Cambria" w:cs="Cambria"/>
          <w:color w:val="4A4A4A"/>
          <w:sz w:val="20"/>
          <w:szCs w:val="22"/>
        </w:rPr>
        <w:t>2026 | Rev. A</w:t>
      </w:r>
    </w:p>
    <w:p>
      <w:pPr>
        <w:pStyle w:val="Normal"/>
        <w:sectPr>
          <w:type w:val="nextPage"/>
          <w:pgSz w:w="11906" w:h="16838"/>
          <w:pgMar w:top="0" w:right="0" w:bottom="0" w:left="0" w:header="0" w:footer="0"/>
          <w:titlePg/>
        </w:sectPr>
      </w:pPr>
    </w:p>
    <w:p>
      <w:pPr>
        <w:pStyle w:val="Heading1"/>
      </w:pPr>
      <w:r>
        <w:rPr>
          <w:rFonts w:ascii="Cambria" w:hAnsi="Cambria" w:eastAsia="Microsoft YaHei" w:cs="Cambria"/>
          <w:b/>
          <w:color w:val="1A2744"/>
          <w:sz w:val="40"/>
          <w:szCs w:val="40"/>
        </w:rPr>
        <w:t>Table of Contents</w:t>
      </w:r>
    </w:p>
    <w:p>
      <w:pPr>
        <w:pStyle w:val="Normal"/>
        <w:spacing w:after="300"/>
      </w:pPr>
      <w:r>
        <w:rPr>
          <w:color w:val="4A4A4A"/>
          <w:sz w:val="18"/>
          <w:rFonts w:ascii="Cambria" w:hAnsi="Cambria" w:eastAsia="Microsoft YaHei" w:cs="Cambria"/>
          <w:szCs w:val="22"/>
        </w:rPr>
        <w:t>Right-click the TOC and select "Update Field" to refresh page numbers</w:t>
      </w:r>
    </w:p>
    <w:p>
      <w:pPr>
        <w:pStyle w:val="Normal"/>
      </w:pPr>
      <w:r>
        <w:fldChar w:fldCharType="begin"/>
      </w:r>
      <w:r>
        <w:instrText xml:space="preserve"> TOC \o "1-3" \h \z \u </w:instrText>
      </w:r>
      <w:r>
        <w:fldChar w:fldCharType="separate"/>
      </w:r>
    </w:p>
    <w:p>
      <w:pPr>
        <w:pStyle w:val="TOC1"/>
      </w:pPr>
      <w:r>
        <w:rPr>
          <w:rFonts w:ascii="Cambria" w:hAnsi="Cambria" w:eastAsia="Microsoft YaHei" w:cs="Cambria"/>
          <w:sz w:val="22"/>
          <w:szCs w:val="22"/>
          <w:b/>
          <w:color w:val="1A1A1A"/>
        </w:rPr>
        <w:t>Preamble</w:t>
      </w:r>
      <w:r>
        <w:rPr>
          <w:rFonts w:ascii="Cambria" w:hAnsi="Cambria" w:eastAsia="Microsoft YaHei"/>
          <w:sz w:val="22"/>
          <w:szCs w:val="22"/>
          <w:b/>
          <w:color w:val="1A1A1A"/>
        </w:rPr>
        <w:tab/>
      </w:r>
      <w:r>
        <w:rPr>
          <w:rFonts w:ascii="Cambria" w:hAnsi="Cambria" w:eastAsia="Microsoft YaHei" w:cs="Cambria"/>
          <w:sz w:val="22"/>
          <w:szCs w:val="22"/>
          <w:b/>
          <w:color w:val="1A1A1A"/>
        </w:rPr>
        <w:t>3</w:t>
      </w:r>
    </w:p>
    <w:p>
      <w:pPr>
        <w:pStyle w:val="TOC1"/>
      </w:pPr>
      <w:r>
        <w:rPr>
          <w:rFonts w:ascii="Cambria" w:hAnsi="Cambria" w:eastAsia="Microsoft YaHei" w:cs="Cambria"/>
          <w:sz w:val="22"/>
          <w:szCs w:val="22"/>
          <w:b/>
          <w:color w:val="1A1A1A"/>
        </w:rPr>
        <w:t>Article 1: Establishment</w:t>
      </w:r>
      <w:r>
        <w:rPr>
          <w:rFonts w:ascii="Cambria" w:hAnsi="Cambria" w:eastAsia="Microsoft YaHei"/>
          <w:sz w:val="22"/>
          <w:szCs w:val="22"/>
          <w:b/>
          <w:color w:val="1A1A1A"/>
        </w:rPr>
        <w:tab/>
      </w:r>
      <w:r>
        <w:rPr>
          <w:rFonts w:ascii="Cambria" w:hAnsi="Cambria" w:eastAsia="Microsoft YaHei" w:cs="Cambria"/>
          <w:sz w:val="22"/>
          <w:szCs w:val="22"/>
          <w:b/>
          <w:color w:val="1A1A1A"/>
        </w:rPr>
        <w:t>5</w:t>
      </w:r>
    </w:p>
    <w:p>
      <w:pPr>
        <w:pStyle w:val="TOC1"/>
      </w:pPr>
      <w:r>
        <w:rPr>
          <w:rFonts w:ascii="Cambria" w:hAnsi="Cambria" w:eastAsia="Microsoft YaHei" w:cs="Cambria"/>
          <w:sz w:val="22"/>
          <w:szCs w:val="22"/>
          <w:b/>
          <w:color w:val="1A1A1A"/>
        </w:rPr>
        <w:t>Article 2: Objectives and Functions</w:t>
      </w:r>
      <w:r>
        <w:rPr>
          <w:rFonts w:ascii="Cambria" w:hAnsi="Cambria" w:eastAsia="Microsoft YaHei"/>
          <w:sz w:val="22"/>
          <w:szCs w:val="22"/>
          <w:b/>
          <w:color w:val="1A1A1A"/>
        </w:rPr>
        <w:tab/>
      </w:r>
      <w:r>
        <w:rPr>
          <w:rFonts w:ascii="Cambria" w:hAnsi="Cambria" w:eastAsia="Microsoft YaHei" w:cs="Cambria"/>
          <w:sz w:val="22"/>
          <w:szCs w:val="22"/>
          <w:b/>
          <w:color w:val="1A1A1A"/>
        </w:rPr>
        <w:t>7</w:t>
      </w:r>
    </w:p>
    <w:p>
      <w:pPr>
        <w:pStyle w:val="TOC1"/>
      </w:pPr>
      <w:r>
        <w:rPr>
          <w:rFonts w:ascii="Cambria" w:hAnsi="Cambria" w:eastAsia="Microsoft YaHei" w:cs="Cambria"/>
          <w:sz w:val="22"/>
          <w:szCs w:val="22"/>
          <w:b/>
          <w:color w:val="1A1A1A"/>
        </w:rPr>
        <w:t>Article 3: Membership</w:t>
      </w:r>
      <w:r>
        <w:rPr>
          <w:rFonts w:ascii="Cambria" w:hAnsi="Cambria" w:eastAsia="Microsoft YaHei"/>
          <w:sz w:val="22"/>
          <w:szCs w:val="22"/>
          <w:b/>
          <w:color w:val="1A1A1A"/>
        </w:rPr>
        <w:tab/>
      </w:r>
      <w:r>
        <w:rPr>
          <w:rFonts w:ascii="Cambria" w:hAnsi="Cambria" w:eastAsia="Microsoft YaHei" w:cs="Cambria"/>
          <w:sz w:val="22"/>
          <w:szCs w:val="22"/>
          <w:b/>
          <w:color w:val="1A1A1A"/>
        </w:rPr>
        <w:t>9</w:t>
      </w:r>
    </w:p>
    <w:p>
      <w:pPr>
        <w:pStyle w:val="TOC1"/>
      </w:pPr>
      <w:r>
        <w:rPr>
          <w:rFonts w:ascii="Cambria" w:hAnsi="Cambria" w:eastAsia="Microsoft YaHei" w:cs="Cambria"/>
          <w:sz w:val="22"/>
          <w:szCs w:val="22"/>
          <w:b/>
          <w:color w:val="1A1A1A"/>
        </w:rPr>
        <w:t>Article 4: Ownership and Control</w:t>
      </w:r>
      <w:r>
        <w:rPr>
          <w:rFonts w:ascii="Cambria" w:hAnsi="Cambria" w:eastAsia="Microsoft YaHei"/>
          <w:sz w:val="22"/>
          <w:szCs w:val="22"/>
          <w:b/>
          <w:color w:val="1A1A1A"/>
        </w:rPr>
        <w:tab/>
      </w:r>
      <w:r>
        <w:rPr>
          <w:rFonts w:ascii="Cambria" w:hAnsi="Cambria" w:eastAsia="Microsoft YaHei" w:cs="Cambria"/>
          <w:sz w:val="22"/>
          <w:szCs w:val="22"/>
          <w:b/>
          <w:color w:val="1A1A1A"/>
        </w:rPr>
        <w:t>11</w:t>
      </w:r>
    </w:p>
    <w:p>
      <w:pPr>
        <w:pStyle w:val="TOC1"/>
      </w:pPr>
      <w:r>
        <w:rPr>
          <w:rFonts w:ascii="Cambria" w:hAnsi="Cambria" w:eastAsia="Microsoft YaHei" w:cs="Cambria"/>
          <w:sz w:val="22"/>
          <w:szCs w:val="22"/>
          <w:b/>
          <w:color w:val="1A1A1A"/>
        </w:rPr>
        <w:t>Article 5: Joint Management Board</w:t>
      </w:r>
      <w:r>
        <w:rPr>
          <w:rFonts w:ascii="Cambria" w:hAnsi="Cambria" w:eastAsia="Microsoft YaHei"/>
          <w:sz w:val="22"/>
          <w:szCs w:val="22"/>
          <w:b/>
          <w:color w:val="1A1A1A"/>
        </w:rPr>
        <w:tab/>
      </w:r>
      <w:r>
        <w:rPr>
          <w:rFonts w:ascii="Cambria" w:hAnsi="Cambria" w:eastAsia="Microsoft YaHei" w:cs="Cambria"/>
          <w:sz w:val="22"/>
          <w:szCs w:val="22"/>
          <w:b/>
          <w:color w:val="1A1A1A"/>
        </w:rPr>
        <w:t>13</w:t>
      </w:r>
    </w:p>
    <w:p>
      <w:pPr>
        <w:pStyle w:val="TOC1"/>
      </w:pPr>
      <w:r>
        <w:rPr>
          <w:rFonts w:ascii="Cambria" w:hAnsi="Cambria" w:eastAsia="Microsoft YaHei" w:cs="Cambria"/>
          <w:sz w:val="22"/>
          <w:szCs w:val="22"/>
          <w:b/>
          <w:color w:val="1A1A1A"/>
        </w:rPr>
        <w:t>Article 6: Operations</w:t>
      </w:r>
      <w:r>
        <w:rPr>
          <w:rFonts w:ascii="Cambria" w:hAnsi="Cambria" w:eastAsia="Microsoft YaHei"/>
          <w:sz w:val="22"/>
          <w:szCs w:val="22"/>
          <w:b/>
          <w:color w:val="1A1A1A"/>
        </w:rPr>
        <w:tab/>
      </w:r>
      <w:r>
        <w:rPr>
          <w:rFonts w:ascii="Cambria" w:hAnsi="Cambria" w:eastAsia="Microsoft YaHei" w:cs="Cambria"/>
          <w:sz w:val="22"/>
          <w:szCs w:val="22"/>
          <w:b/>
          <w:color w:val="1A1A1A"/>
        </w:rPr>
        <w:t>16</w:t>
      </w:r>
    </w:p>
    <w:p>
      <w:pPr>
        <w:pStyle w:val="TOC1"/>
      </w:pPr>
      <w:r>
        <w:rPr>
          <w:rFonts w:ascii="Cambria" w:hAnsi="Cambria" w:eastAsia="Microsoft YaHei" w:cs="Cambria"/>
          <w:sz w:val="22"/>
          <w:szCs w:val="22"/>
          <w:b/>
          <w:color w:val="1A1A1A"/>
        </w:rPr>
        <w:t>Article 7: IAEA Relations</w:t>
      </w:r>
      <w:r>
        <w:rPr>
          <w:rFonts w:ascii="Cambria" w:hAnsi="Cambria" w:eastAsia="Microsoft YaHei"/>
          <w:sz w:val="22"/>
          <w:szCs w:val="22"/>
          <w:b/>
          <w:color w:val="1A1A1A"/>
        </w:rPr>
        <w:tab/>
      </w:r>
      <w:r>
        <w:rPr>
          <w:rFonts w:ascii="Cambria" w:hAnsi="Cambria" w:eastAsia="Microsoft YaHei" w:cs="Cambria"/>
          <w:sz w:val="22"/>
          <w:szCs w:val="22"/>
          <w:b/>
          <w:color w:val="1A1A1A"/>
        </w:rPr>
        <w:t>18</w:t>
      </w:r>
    </w:p>
    <w:p>
      <w:pPr>
        <w:pStyle w:val="TOC1"/>
      </w:pPr>
      <w:r>
        <w:rPr>
          <w:rFonts w:ascii="Cambria" w:hAnsi="Cambria" w:eastAsia="Microsoft YaHei" w:cs="Cambria"/>
          <w:sz w:val="22"/>
          <w:szCs w:val="22"/>
          <w:b/>
          <w:color w:val="1A1A1A"/>
        </w:rPr>
        <w:t>Article 8: Joint Commission</w:t>
      </w:r>
      <w:r>
        <w:rPr>
          <w:rFonts w:ascii="Cambria" w:hAnsi="Cambria" w:eastAsia="Microsoft YaHei"/>
          <w:sz w:val="22"/>
          <w:szCs w:val="22"/>
          <w:b/>
          <w:color w:val="1A1A1A"/>
        </w:rPr>
        <w:tab/>
      </w:r>
      <w:r>
        <w:rPr>
          <w:rFonts w:ascii="Cambria" w:hAnsi="Cambria" w:eastAsia="Microsoft YaHei" w:cs="Cambria"/>
          <w:sz w:val="22"/>
          <w:szCs w:val="22"/>
          <w:b/>
          <w:color w:val="1A1A1A"/>
        </w:rPr>
        <w:t>20</w:t>
      </w:r>
    </w:p>
    <w:p>
      <w:pPr>
        <w:pStyle w:val="TOC1"/>
      </w:pPr>
      <w:r>
        <w:rPr>
          <w:rFonts w:ascii="Cambria" w:hAnsi="Cambria" w:eastAsia="Microsoft YaHei" w:cs="Cambria"/>
          <w:sz w:val="22"/>
          <w:szCs w:val="22"/>
          <w:b/>
          <w:color w:val="1A1A1A"/>
        </w:rPr>
        <w:t>Article 9: Verification Standards</w:t>
      </w:r>
      <w:r>
        <w:rPr>
          <w:rFonts w:ascii="Cambria" w:hAnsi="Cambria" w:eastAsia="Microsoft YaHei"/>
          <w:sz w:val="22"/>
          <w:szCs w:val="22"/>
          <w:b/>
          <w:color w:val="1A1A1A"/>
        </w:rPr>
        <w:tab/>
      </w:r>
      <w:r>
        <w:rPr>
          <w:rFonts w:ascii="Cambria" w:hAnsi="Cambria" w:eastAsia="Microsoft YaHei" w:cs="Cambria"/>
          <w:sz w:val="22"/>
          <w:szCs w:val="22"/>
          <w:b/>
          <w:color w:val="1A1A1A"/>
        </w:rPr>
        <w:t>22</w:t>
      </w:r>
    </w:p>
    <w:p>
      <w:pPr>
        <w:pStyle w:val="TOC1"/>
      </w:pPr>
      <w:r>
        <w:rPr>
          <w:rFonts w:ascii="Cambria" w:hAnsi="Cambria" w:eastAsia="Microsoft YaHei" w:cs="Cambria"/>
          <w:sz w:val="22"/>
          <w:szCs w:val="22"/>
          <w:b/>
          <w:color w:val="1A1A1A"/>
        </w:rPr>
        <w:t>Article 10: Dispute Resolution</w:t>
      </w:r>
      <w:r>
        <w:rPr>
          <w:rFonts w:ascii="Cambria" w:hAnsi="Cambria" w:eastAsia="Microsoft YaHei"/>
          <w:sz w:val="22"/>
          <w:szCs w:val="22"/>
          <w:b/>
          <w:color w:val="1A1A1A"/>
        </w:rPr>
        <w:tab/>
      </w:r>
      <w:r>
        <w:rPr>
          <w:rFonts w:ascii="Cambria" w:hAnsi="Cambria" w:eastAsia="Microsoft YaHei" w:cs="Cambria"/>
          <w:sz w:val="22"/>
          <w:szCs w:val="22"/>
          <w:b/>
          <w:color w:val="1A1A1A"/>
        </w:rPr>
        <w:t>24</w:t>
      </w:r>
    </w:p>
    <w:p>
      <w:pPr>
        <w:pStyle w:val="TOC1"/>
      </w:pPr>
      <w:r>
        <w:rPr>
          <w:rFonts w:ascii="Cambria" w:hAnsi="Cambria" w:eastAsia="Microsoft YaHei" w:cs="Cambria"/>
          <w:sz w:val="22"/>
          <w:szCs w:val="22"/>
          <w:b/>
          <w:color w:val="1A1A1A"/>
        </w:rPr>
        <w:t>Article 11: Budget</w:t>
      </w:r>
      <w:r>
        <w:rPr>
          <w:rFonts w:ascii="Cambria" w:hAnsi="Cambria" w:eastAsia="Microsoft YaHei"/>
          <w:sz w:val="22"/>
          <w:szCs w:val="22"/>
          <w:b/>
          <w:color w:val="1A1A1A"/>
        </w:rPr>
        <w:tab/>
      </w:r>
      <w:r>
        <w:rPr>
          <w:rFonts w:ascii="Cambria" w:hAnsi="Cambria" w:eastAsia="Microsoft YaHei" w:cs="Cambria"/>
          <w:sz w:val="22"/>
          <w:szCs w:val="22"/>
          <w:b/>
          <w:color w:val="1A1A1A"/>
        </w:rPr>
        <w:t>26</w:t>
      </w:r>
    </w:p>
    <w:p>
      <w:pPr>
        <w:pStyle w:val="TOC1"/>
      </w:pPr>
      <w:r>
        <w:rPr>
          <w:rFonts w:ascii="Cambria" w:hAnsi="Cambria" w:eastAsia="Microsoft YaHei" w:cs="Cambria"/>
          <w:sz w:val="22"/>
          <w:szCs w:val="22"/>
          <w:b/>
          <w:color w:val="1A1A1A"/>
        </w:rPr>
        <w:t>Article 12: Amendment</w:t>
      </w:r>
      <w:r>
        <w:rPr>
          <w:rFonts w:ascii="Cambria" w:hAnsi="Cambria" w:eastAsia="Microsoft YaHei"/>
          <w:sz w:val="22"/>
          <w:szCs w:val="22"/>
          <w:b/>
          <w:color w:val="1A1A1A"/>
        </w:rPr>
        <w:tab/>
      </w:r>
      <w:r>
        <w:rPr>
          <w:rFonts w:ascii="Cambria" w:hAnsi="Cambria" w:eastAsia="Microsoft YaHei" w:cs="Cambria"/>
          <w:sz w:val="22"/>
          <w:szCs w:val="22"/>
          <w:b/>
          <w:color w:val="1A1A1A"/>
        </w:rPr>
        <w:t>28</w:t>
      </w:r>
    </w:p>
    <w:p>
      <w:pPr>
        <w:pStyle w:val="TOC1"/>
      </w:pPr>
      <w:r>
        <w:rPr>
          <w:rFonts w:ascii="Cambria" w:hAnsi="Cambria" w:eastAsia="Microsoft YaHei" w:cs="Cambria"/>
          <w:sz w:val="22"/>
          <w:szCs w:val="22"/>
          <w:b/>
          <w:color w:val="1A1A1A"/>
        </w:rPr>
        <w:t>Article 13: Duration and Termination</w:t>
      </w:r>
      <w:r>
        <w:rPr>
          <w:rFonts w:ascii="Cambria" w:hAnsi="Cambria" w:eastAsia="Microsoft YaHei"/>
          <w:sz w:val="22"/>
          <w:szCs w:val="22"/>
          <w:b/>
          <w:color w:val="1A1A1A"/>
        </w:rPr>
        <w:tab/>
      </w:r>
      <w:r>
        <w:rPr>
          <w:rFonts w:ascii="Cambria" w:hAnsi="Cambria" w:eastAsia="Microsoft YaHei" w:cs="Cambria"/>
          <w:sz w:val="22"/>
          <w:szCs w:val="22"/>
          <w:b/>
          <w:color w:val="1A1A1A"/>
        </w:rPr>
        <w:t>29</w:t>
      </w:r>
    </w:p>
    <w:p>
      <w:pPr>
        <w:pStyle w:val="TOC1"/>
      </w:pPr>
      <w:r>
        <w:rPr>
          <w:rFonts w:ascii="Cambria" w:hAnsi="Cambria" w:eastAsia="Microsoft YaHei" w:cs="Cambria"/>
          <w:sz w:val="22"/>
          <w:szCs w:val="22"/>
          <w:b/>
          <w:color w:val="1A1A1A"/>
        </w:rPr>
        <w:t>Article 14: Final Provisions</w:t>
      </w:r>
      <w:r>
        <w:rPr>
          <w:rFonts w:ascii="Cambria" w:hAnsi="Cambria" w:eastAsia="Microsoft YaHei"/>
          <w:sz w:val="22"/>
          <w:szCs w:val="22"/>
          <w:b/>
          <w:color w:val="1A1A1A"/>
        </w:rPr>
        <w:tab/>
      </w:r>
      <w:r>
        <w:rPr>
          <w:rFonts w:ascii="Cambria" w:hAnsi="Cambria" w:eastAsia="Microsoft YaHei" w:cs="Cambria"/>
          <w:sz w:val="22"/>
          <w:szCs w:val="22"/>
          <w:b/>
          <w:color w:val="1A1A1A"/>
        </w:rPr>
        <w:t>33</w:t>
      </w:r>
    </w:p>
    <w:p>
      <w:pPr>
        <w:pStyle w:val="TOC1"/>
      </w:pPr>
      <w:r>
        <w:rPr>
          <w:rFonts w:ascii="Cambria" w:hAnsi="Cambria" w:eastAsia="Microsoft YaHei" w:cs="Cambria"/>
          <w:sz w:val="22"/>
          <w:szCs w:val="22"/>
          <w:b/>
          <w:color w:val="1A1A1A"/>
        </w:rPr>
        <w:t>Structure Summary</w:t>
      </w:r>
      <w:r>
        <w:rPr>
          <w:rFonts w:ascii="Cambria" w:hAnsi="Cambria" w:eastAsia="Microsoft YaHei"/>
          <w:sz w:val="22"/>
          <w:szCs w:val="22"/>
          <w:b/>
          <w:color w:val="1A1A1A"/>
        </w:rPr>
        <w:tab/>
      </w:r>
      <w:r>
        <w:rPr>
          <w:rFonts w:ascii="Cambria" w:hAnsi="Cambria" w:eastAsia="Microsoft YaHei" w:cs="Cambria"/>
          <w:sz w:val="22"/>
          <w:szCs w:val="22"/>
          <w:b/>
          <w:color w:val="1A1A1A"/>
        </w:rPr>
        <w:t>35</w:t>
      </w:r>
    </w:p>
    <w:p>
      <w:pPr>
        <w:pStyle w:val="Normal"/>
      </w:pPr>
      <w:r>
        <w:fldChar w:fldCharType="end"/>
      </w:r>
    </w:p>
    <w:p>
      <w:pPr>
        <w:pStyle w:val="Normal"/>
        <w:sectPr>
          <w:type w:val="nextPage"/>
          <w:pgSz w:w="11906" w:h="16838"/>
          <w:pgMar w:top="1800" w:right="1440" w:bottom="1440" w:left="1440" w:header="720" w:footer="720"/>
        </w:sectPr>
      </w:pPr>
    </w:p>
    <w:p>
      <w:pPr>
        <w:pStyle w:val="Heading1"/>
      </w:pPr>
      <w:bookmarkStart w:name="_TocPreamble" w:id="1"/>
      <w:r>
        <w:rPr>
          <w:rFonts w:ascii="Cambria" w:hAnsi="Cambria" w:eastAsia="Microsoft YaHei" w:cs="Cambria"/>
          <w:b/>
          <w:color w:val="1A2744"/>
          <w:sz w:val="40"/>
          <w:szCs w:val="40"/>
        </w:rPr>
        <w:t>Preamble</w:t>
      </w:r>
      <w:bookmarkEnd w:id="1"/>
    </w:p>
    <w:p>
      <w:pPr>
        <w:pStyle w:val="Normal"/>
      </w:pPr>
      <w:r>
        <w:rPr>
          <w:rFonts w:ascii="Cambria" w:hAnsi="Cambria" w:eastAsia="Microsoft YaHei" w:cs="Cambria"/>
          <w:color w:val="1A1A1A"/>
          <w:sz w:val="22"/>
          <w:szCs w:val="22"/>
        </w:rPr>
        <w:t>The Middle East Nuclear Organization for Cooperation (MENOC) exists to close the verification gap created by the military strikes of June 2025 against the nuclear facilities of the Islamic Republic of Iran at Fordow, Natanz, and Isfahan.</w:t>
      </w:r>
    </w:p>
    <w:p>
      <w:pPr>
        <w:pStyle w:val="Normal"/>
      </w:pPr>
      <w:r>
        <w:rPr>
          <w:rFonts w:ascii="Cambria" w:hAnsi="Cambria" w:eastAsia="Microsoft YaHei" w:cs="Cambria"/>
          <w:color w:val="1A1A1A"/>
          <w:sz w:val="22"/>
          <w:szCs w:val="22"/>
        </w:rPr>
        <w:t>The international community faces an unprecedented situation: the International Atomic Energy Agency (IAEA) has lost continuous access to safeguarded nuclear material at these facilities, continuity of knowledge remains disrupted, and the regional non-proliferation architecture requires immediate reinforcement.</w:t>
      </w:r>
    </w:p>
    <w:p>
      <w:pPr>
        <w:pStyle w:val="Normal"/>
      </w:pPr>
      <w:r>
        <w:rPr>
          <w:rFonts w:ascii="Cambria" w:hAnsi="Cambria" w:eastAsia="Microsoft YaHei" w:cs="Cambria"/>
          <w:color w:val="1A1A1A"/>
          <w:sz w:val="22"/>
          <w:szCs w:val="22"/>
        </w:rPr>
        <w:t>All States Parties to the Treaty on the Non-Proliferation of Nuclear Weapons (NPT) possess the inalienable right to develop research, production, and use of nuclear energy for peaceful purposes without discrimination and in conformity with Articles I, II, and III of the NPT.</w:t>
      </w:r>
    </w:p>
    <w:p>
      <w:pPr>
        <w:pStyle w:val="Normal"/>
      </w:pPr>
      <w:r>
        <w:rPr>
          <w:rFonts w:ascii="Cambria" w:hAnsi="Cambria" w:eastAsia="Microsoft YaHei" w:cs="Cambria"/>
          <w:color w:val="1A1A1A"/>
          <w:sz w:val="22"/>
          <w:szCs w:val="22"/>
        </w:rPr>
        <w:t>Iran's nuclear program, consistent with its NPT obligations, operates exclusively for peaceful purposes under IAEA safeguards. Iran retains full sovereignty over all nuclear facilities, equipment, and material on its territory.</w:t>
      </w:r>
    </w:p>
    <w:p>
      <w:pPr>
        <w:pStyle w:val="Normal"/>
      </w:pPr>
      <w:r>
        <w:rPr>
          <w:rFonts w:ascii="Cambria" w:hAnsi="Cambria" w:eastAsia="Microsoft YaHei" w:cs="Cambria"/>
          <w:color w:val="1A1A1A"/>
          <w:sz w:val="22"/>
          <w:szCs w:val="22"/>
        </w:rPr>
        <w:t>A cooperative framework for peaceful nuclear energy advances regional stability, economic development, scientific cooperation, and mutual confidence among the States of the Middle East and the broader international community.</w:t>
      </w:r>
    </w:p>
    <w:p>
      <w:pPr>
        <w:pStyle w:val="Normal"/>
      </w:pPr>
      <w:r>
        <w:rPr>
          <w:rFonts w:ascii="Cambria" w:hAnsi="Cambria" w:eastAsia="Microsoft YaHei" w:cs="Cambria"/>
          <w:color w:val="1A1A1A"/>
          <w:sz w:val="22"/>
          <w:szCs w:val="22"/>
        </w:rPr>
        <w:t>The Parties to this Charter share an abiding interest in preventing nuclear proliferation, ensuring exclusively peaceful uses of nuclear energy, and strengthening the global non-proliferation regime.</w:t>
      </w:r>
    </w:p>
    <w:p>
      <w:pPr>
        <w:pStyle w:val="Normal"/>
      </w:pPr>
      <w:r>
        <w:rPr>
          <w:rFonts w:ascii="Cambria" w:hAnsi="Cambria" w:eastAsia="Microsoft YaHei" w:cs="Cambria"/>
          <w:color w:val="1A1A1A"/>
          <w:sz w:val="22"/>
          <w:szCs w:val="22"/>
        </w:rPr>
        <w:t>IAEA safeguards constitute the international verification standard. MENOC reinforces these safeguards through supplementary transparency mechanisms. Nothing in this Charter substitutes for or supersedes Iran's NPT Safeguards Agreement.</w:t>
      </w:r>
    </w:p>
    <w:p>
      <w:pPr>
        <w:pStyle w:val="Normal"/>
      </w:pPr>
      <w:r>
        <w:rPr>
          <w:rFonts w:ascii="Cambria" w:hAnsi="Cambria" w:eastAsia="Microsoft YaHei" w:cs="Cambria"/>
          <w:color w:val="1A1A1A"/>
          <w:sz w:val="22"/>
          <w:szCs w:val="22"/>
        </w:rPr>
        <w:t>This Charter establishes a framework of multinational oversight that preserves Iran's sovereign ownership of all nuclear facilities, equipment, and material while providing the international community with verifiable assurance of the exclusively peaceful nature of Iran's nuclear activities.</w:t>
      </w:r>
    </w:p>
    <w:p>
      <w:pPr>
        <w:pStyle w:val="Heading1"/>
      </w:pPr>
      <w:bookmarkStart w:name="_TocArt1" w:id="2"/>
      <w:r>
        <w:rPr>
          <w:rFonts w:ascii="Cambria" w:hAnsi="Cambria" w:eastAsia="Microsoft YaHei" w:cs="Cambria"/>
          <w:b/>
          <w:color w:val="1A2744"/>
          <w:sz w:val="40"/>
          <w:szCs w:val="40"/>
        </w:rPr>
        <w:t>Article 1: Establishment</w:t>
      </w:r>
      <w:bookmarkEnd w:id="2"/>
    </w:p>
    <w:p>
      <w:pPr>
        <w:pStyle w:val="Heading2"/>
      </w:pPr>
      <w:r>
        <w:rPr>
          <w:rFonts w:ascii="Cambria" w:hAnsi="Cambria" w:eastAsia="Microsoft YaHei" w:cs="Cambria"/>
          <w:b/>
          <w:color w:val="1A1A1A"/>
          <w:sz w:val="28"/>
          <w:szCs w:val="28"/>
        </w:rPr>
        <w:t>1.1 Establishment</w:t>
      </w:r>
    </w:p>
    <w:p>
      <w:pPr>
        <w:pStyle w:val="Normal"/>
      </w:pPr>
      <w:r>
        <w:rPr>
          <w:rFonts w:ascii="Cambria" w:hAnsi="Cambria" w:eastAsia="Microsoft YaHei" w:cs="Cambria"/>
          <w:color w:val="1A1A1A"/>
          <w:sz w:val="22"/>
          <w:szCs w:val="22"/>
        </w:rPr>
        <w:t>The Parties to this Charter establish the Middle East Nuclear Organization for Cooperation (hereinafter referred to as "MENOC") as an international organization on the terms and conditions set forth in this Charter.</w:t>
      </w:r>
    </w:p>
    <w:p>
      <w:pPr>
        <w:pStyle w:val="Heading2"/>
      </w:pPr>
      <w:r>
        <w:rPr>
          <w:rFonts w:ascii="Cambria" w:hAnsi="Cambria" w:eastAsia="Microsoft YaHei" w:cs="Cambria"/>
          <w:b/>
          <w:color w:val="1A1A1A"/>
          <w:sz w:val="28"/>
          <w:szCs w:val="28"/>
        </w:rPr>
        <w:t>1.2 Legal Seat</w:t>
      </w:r>
    </w:p>
    <w:p>
      <w:pPr>
        <w:pStyle w:val="Normal"/>
      </w:pPr>
      <w:r>
        <w:rPr>
          <w:rFonts w:ascii="Cambria" w:hAnsi="Cambria" w:eastAsia="Microsoft YaHei" w:cs="Cambria"/>
          <w:color w:val="1A1A1A"/>
          <w:sz w:val="22"/>
          <w:szCs w:val="22"/>
        </w:rPr>
        <w:t>MENOC maintains its headquarters in Muscat, Sultanate of Oman. Oman serves as the Host State. A separate Host State Agreement between MENOC and the Government of the Sultanate of Oman defines the terms of the host relationship.</w:t>
      </w:r>
    </w:p>
    <w:p>
      <w:pPr>
        <w:pStyle w:val="Heading2"/>
      </w:pPr>
      <w:r>
        <w:rPr>
          <w:rFonts w:ascii="Cambria" w:hAnsi="Cambria" w:eastAsia="Microsoft YaHei" w:cs="Cambria"/>
          <w:b/>
          <w:color w:val="1A1A1A"/>
          <w:sz w:val="28"/>
          <w:szCs w:val="28"/>
        </w:rPr>
        <w:t>1.3 Legal Personality</w:t>
      </w:r>
    </w:p>
    <w:p>
      <w:pPr>
        <w:pStyle w:val="Normal"/>
      </w:pPr>
      <w:r>
        <w:rPr>
          <w:rFonts w:ascii="Cambria" w:hAnsi="Cambria" w:eastAsia="Microsoft YaHei" w:cs="Cambria"/>
          <w:color w:val="1A1A1A"/>
          <w:sz w:val="22"/>
          <w:szCs w:val="22"/>
        </w:rPr>
        <w:t>MENOC possesses full legal personality under the law of the Sultanate of Oman and under international law. MENOC holds the capacity to contract, to acquire and dispose of property, to institute legal proceedings before courts and tribunals, and to participate in legal proceedings brought against it.</w:t>
      </w:r>
    </w:p>
    <w:p>
      <w:pPr>
        <w:pStyle w:val="Heading2"/>
      </w:pPr>
      <w:r>
        <w:rPr>
          <w:rFonts w:ascii="Cambria" w:hAnsi="Cambria" w:eastAsia="Microsoft YaHei" w:cs="Cambria"/>
          <w:b/>
          <w:color w:val="1A1A1A"/>
          <w:sz w:val="28"/>
          <w:szCs w:val="28"/>
        </w:rPr>
        <w:t>1.4 Privileges and Immunities</w:t>
      </w:r>
    </w:p>
    <w:p>
      <w:pPr>
        <w:pStyle w:val="Normal"/>
      </w:pPr>
      <w:r>
        <w:rPr>
          <w:rFonts w:ascii="Cambria" w:hAnsi="Cambria" w:eastAsia="Microsoft YaHei" w:cs="Cambria"/>
          <w:color w:val="1A1A1A"/>
          <w:sz w:val="22"/>
          <w:szCs w:val="22"/>
        </w:rPr>
        <w:t>MENOC, its officials, and representatives of member states enjoy privileges and immunities equivalent to those of a specialized agency of the United Nations. The Host State Agreement defines the specific scope, terms, and conditions of these privileges and immunities.</w:t>
      </w:r>
    </w:p>
    <w:p>
      <w:pPr>
        <w:pStyle w:val="Heading2"/>
      </w:pPr>
      <w:r>
        <w:rPr>
          <w:rFonts w:ascii="Cambria" w:hAnsi="Cambria" w:eastAsia="Microsoft YaHei" w:cs="Cambria"/>
          <w:b/>
          <w:color w:val="1A1A1A"/>
          <w:sz w:val="28"/>
          <w:szCs w:val="28"/>
        </w:rPr>
        <w:t>1.5 Official Languages</w:t>
      </w:r>
    </w:p>
    <w:p>
      <w:pPr>
        <w:pStyle w:val="Normal"/>
      </w:pPr>
      <w:r>
        <w:rPr>
          <w:rFonts w:ascii="Cambria" w:hAnsi="Cambria" w:eastAsia="Microsoft YaHei" w:cs="Cambria"/>
          <w:color w:val="1A1A1A"/>
          <w:sz w:val="22"/>
          <w:szCs w:val="22"/>
        </w:rPr>
        <w:t>English, Arabic, and Persian constitute the official languages of MENOC. In the event of divergence among authentic texts, the English text prevails.</w:t>
      </w:r>
    </w:p>
    <w:p>
      <w:pPr>
        <w:pStyle w:val="Heading1"/>
      </w:pPr>
      <w:bookmarkStart w:name="_TocArt2" w:id="3"/>
      <w:r>
        <w:rPr>
          <w:rFonts w:ascii="Cambria" w:hAnsi="Cambria" w:eastAsia="Microsoft YaHei" w:cs="Cambria"/>
          <w:b/>
          <w:color w:val="1A2744"/>
          <w:sz w:val="40"/>
          <w:szCs w:val="40"/>
        </w:rPr>
        <w:t>Article 2: Objectives and Functions</w:t>
      </w:r>
      <w:bookmarkEnd w:id="3"/>
    </w:p>
    <w:p>
      <w:pPr>
        <w:pStyle w:val="Heading2"/>
      </w:pPr>
      <w:r>
        <w:rPr>
          <w:rFonts w:ascii="Cambria" w:hAnsi="Cambria" w:eastAsia="Microsoft YaHei" w:cs="Cambria"/>
          <w:b/>
          <w:color w:val="1A1A1A"/>
          <w:sz w:val="28"/>
          <w:szCs w:val="28"/>
        </w:rPr>
        <w:t>2.1 Objectives</w:t>
      </w:r>
    </w:p>
    <w:p>
      <w:pPr>
        <w:pStyle w:val="Normal"/>
      </w:pPr>
      <w:r>
        <w:rPr>
          <w:rFonts w:ascii="Cambria" w:hAnsi="Cambria" w:eastAsia="Microsoft YaHei" w:cs="Cambria"/>
          <w:color w:val="1A1A1A"/>
          <w:sz w:val="22"/>
          <w:szCs w:val="22"/>
        </w:rPr>
        <w:t>MENOC pursues the following objectives:</w:t>
      </w:r>
    </w:p>
    <w:p>
      <w:pPr>
        <w:pStyle w:val="Normal"/>
        <w:ind w:left="720" w:hanging="360"/>
      </w:pPr>
      <w:r>
        <w:rPr>
          <w:b/>
          <w:rFonts w:ascii="Cambria" w:hAnsi="Cambria" w:eastAsia="Microsoft YaHei" w:cs="Cambria"/>
          <w:color w:val="1A1A1A"/>
          <w:sz w:val="22"/>
          <w:szCs w:val="22"/>
        </w:rPr>
        <w:t xml:space="preserve">(a) </w:t>
      </w:r>
      <w:r>
        <w:rPr>
          <w:rFonts w:ascii="Cambria" w:hAnsi="Cambria" w:eastAsia="Microsoft YaHei" w:cs="Cambria"/>
          <w:color w:val="1A1A1A"/>
          <w:sz w:val="22"/>
          <w:szCs w:val="22"/>
        </w:rPr>
        <w:t>MENOC enables peaceful nuclear cooperation under verified IAEA safeguards.</w:t>
      </w:r>
    </w:p>
    <w:p>
      <w:pPr>
        <w:pStyle w:val="Normal"/>
        <w:ind w:left="720" w:hanging="360"/>
      </w:pPr>
      <w:r>
        <w:rPr>
          <w:b/>
          <w:rFonts w:ascii="Cambria" w:hAnsi="Cambria" w:eastAsia="Microsoft YaHei" w:cs="Cambria"/>
          <w:color w:val="1A1A1A"/>
          <w:sz w:val="22"/>
          <w:szCs w:val="22"/>
        </w:rPr>
        <w:t xml:space="preserve">(b) </w:t>
      </w:r>
      <w:r>
        <w:rPr>
          <w:rFonts w:ascii="Cambria" w:hAnsi="Cambria" w:eastAsia="Microsoft YaHei" w:cs="Cambria"/>
          <w:color w:val="1A1A1A"/>
          <w:sz w:val="22"/>
          <w:szCs w:val="22"/>
        </w:rPr>
        <w:t>MENOC provides a framework for multinational oversight of enrichment activities at the covered facilities.</w:t>
      </w:r>
    </w:p>
    <w:p>
      <w:pPr>
        <w:pStyle w:val="Normal"/>
        <w:ind w:left="720" w:hanging="360"/>
      </w:pPr>
      <w:r>
        <w:rPr>
          <w:b/>
          <w:rFonts w:ascii="Cambria" w:hAnsi="Cambria" w:eastAsia="Microsoft YaHei" w:cs="Cambria"/>
          <w:color w:val="1A1A1A"/>
          <w:sz w:val="22"/>
          <w:szCs w:val="22"/>
        </w:rPr>
        <w:t xml:space="preserve">(c) </w:t>
      </w:r>
      <w:r>
        <w:rPr>
          <w:rFonts w:ascii="Cambria" w:hAnsi="Cambria" w:eastAsia="Microsoft YaHei" w:cs="Cambria"/>
          <w:color w:val="1A1A1A"/>
          <w:sz w:val="22"/>
          <w:szCs w:val="22"/>
        </w:rPr>
        <w:t>MENOC builds confidence in the exclusively peaceful nature of Iran's nuclear program.</w:t>
      </w:r>
    </w:p>
    <w:p>
      <w:pPr>
        <w:pStyle w:val="Normal"/>
        <w:ind w:left="720" w:hanging="360"/>
      </w:pPr>
      <w:r>
        <w:rPr>
          <w:b/>
          <w:rFonts w:ascii="Cambria" w:hAnsi="Cambria" w:eastAsia="Microsoft YaHei" w:cs="Cambria"/>
          <w:color w:val="1A1A1A"/>
          <w:sz w:val="22"/>
          <w:szCs w:val="22"/>
        </w:rPr>
        <w:t xml:space="preserve">(d) </w:t>
      </w:r>
      <w:r>
        <w:rPr>
          <w:rFonts w:ascii="Cambria" w:hAnsi="Cambria" w:eastAsia="Microsoft YaHei" w:cs="Cambria"/>
          <w:color w:val="1A1A1A"/>
          <w:sz w:val="22"/>
          <w:szCs w:val="22"/>
        </w:rPr>
        <w:t>MENOC facilitates the sequencing of sanctions relief and the normalization of economic relations.</w:t>
      </w:r>
    </w:p>
    <w:p>
      <w:pPr>
        <w:pStyle w:val="Heading2"/>
      </w:pPr>
      <w:r>
        <w:rPr>
          <w:rFonts w:ascii="Cambria" w:hAnsi="Cambria" w:eastAsia="Microsoft YaHei" w:cs="Cambria"/>
          <w:b/>
          <w:color w:val="1A1A1A"/>
          <w:sz w:val="28"/>
          <w:szCs w:val="28"/>
        </w:rPr>
        <w:t>2.2 Functions</w:t>
      </w:r>
    </w:p>
    <w:p>
      <w:pPr>
        <w:pStyle w:val="Normal"/>
      </w:pPr>
      <w:r>
        <w:rPr>
          <w:rFonts w:ascii="Cambria" w:hAnsi="Cambria" w:eastAsia="Microsoft YaHei" w:cs="Cambria"/>
          <w:color w:val="1A1A1A"/>
          <w:sz w:val="22"/>
          <w:szCs w:val="22"/>
        </w:rPr>
        <w:t>MENOC exercises the following functions:</w:t>
      </w:r>
    </w:p>
    <w:p>
      <w:pPr>
        <w:pStyle w:val="Normal"/>
        <w:ind w:left="720" w:hanging="360"/>
      </w:pPr>
      <w:r>
        <w:rPr>
          <w:b/>
          <w:rFonts w:ascii="Cambria" w:hAnsi="Cambria" w:eastAsia="Microsoft YaHei" w:cs="Cambria"/>
          <w:color w:val="1A1A1A"/>
          <w:sz w:val="22"/>
          <w:szCs w:val="22"/>
        </w:rPr>
        <w:t xml:space="preserve">(a) </w:t>
      </w:r>
      <w:r>
        <w:rPr>
          <w:rFonts w:ascii="Cambria" w:hAnsi="Cambria" w:eastAsia="Microsoft YaHei" w:cs="Cambria"/>
          <w:color w:val="1A1A1A"/>
          <w:sz w:val="22"/>
          <w:szCs w:val="22"/>
        </w:rPr>
        <w:t>MENOC operates the enrichment facilities at Fordow, Natanz, and Isfahan within the parameters defined in Article 6.</w:t>
      </w:r>
    </w:p>
    <w:p>
      <w:pPr>
        <w:pStyle w:val="Normal"/>
        <w:ind w:left="720" w:hanging="360"/>
      </w:pPr>
      <w:r>
        <w:rPr>
          <w:b/>
          <w:rFonts w:ascii="Cambria" w:hAnsi="Cambria" w:eastAsia="Microsoft YaHei" w:cs="Cambria"/>
          <w:color w:val="1A1A1A"/>
          <w:sz w:val="22"/>
          <w:szCs w:val="22"/>
        </w:rPr>
        <w:t xml:space="preserve">(b) </w:t>
      </w:r>
      <w:r>
        <w:rPr>
          <w:rFonts w:ascii="Cambria" w:hAnsi="Cambria" w:eastAsia="Microsoft YaHei" w:cs="Cambria"/>
          <w:color w:val="1A1A1A"/>
          <w:sz w:val="22"/>
          <w:szCs w:val="22"/>
        </w:rPr>
        <w:t>MENOC ensures that enrichment remains below the Civilian Enrichment Level (3.67% U-235) at all covered facilities.</w:t>
      </w:r>
    </w:p>
    <w:p>
      <w:pPr>
        <w:pStyle w:val="Normal"/>
        <w:ind w:left="720" w:hanging="360"/>
      </w:pPr>
      <w:r>
        <w:rPr>
          <w:b/>
          <w:rFonts w:ascii="Cambria" w:hAnsi="Cambria" w:eastAsia="Microsoft YaHei" w:cs="Cambria"/>
          <w:color w:val="1A1A1A"/>
          <w:sz w:val="22"/>
          <w:szCs w:val="22"/>
        </w:rPr>
        <w:t xml:space="preserve">(c) </w:t>
      </w:r>
      <w:r>
        <w:rPr>
          <w:rFonts w:ascii="Cambria" w:hAnsi="Cambria" w:eastAsia="Microsoft YaHei" w:cs="Cambria"/>
          <w:color w:val="1A1A1A"/>
          <w:sz w:val="22"/>
          <w:szCs w:val="22"/>
        </w:rPr>
        <w:t>MENOC facilitates IAEA verification activities and continuous monitoring.</w:t>
      </w:r>
    </w:p>
    <w:p>
      <w:pPr>
        <w:pStyle w:val="Normal"/>
        <w:ind w:left="720" w:hanging="360"/>
      </w:pPr>
      <w:r>
        <w:rPr>
          <w:b/>
          <w:rFonts w:ascii="Cambria" w:hAnsi="Cambria" w:eastAsia="Microsoft YaHei" w:cs="Cambria"/>
          <w:color w:val="1A1A1A"/>
          <w:sz w:val="22"/>
          <w:szCs w:val="22"/>
        </w:rPr>
        <w:t xml:space="preserve">(d) </w:t>
      </w:r>
      <w:r>
        <w:rPr>
          <w:rFonts w:ascii="Cambria" w:hAnsi="Cambria" w:eastAsia="Microsoft YaHei" w:cs="Cambria"/>
          <w:color w:val="1A1A1A"/>
          <w:sz w:val="22"/>
          <w:szCs w:val="22"/>
        </w:rPr>
        <w:t>MENOC maintains nuclear material accountancy records and submits these records to IAEA verification.</w:t>
      </w:r>
    </w:p>
    <w:p>
      <w:pPr>
        <w:pStyle w:val="Normal"/>
        <w:ind w:left="720" w:hanging="360"/>
      </w:pPr>
      <w:r>
        <w:rPr>
          <w:b/>
          <w:rFonts w:ascii="Cambria" w:hAnsi="Cambria" w:eastAsia="Microsoft YaHei" w:cs="Cambria"/>
          <w:color w:val="1A1A1A"/>
          <w:sz w:val="22"/>
          <w:szCs w:val="22"/>
        </w:rPr>
        <w:t xml:space="preserve">(e) </w:t>
      </w:r>
      <w:r>
        <w:rPr>
          <w:rFonts w:ascii="Cambria" w:hAnsi="Cambria" w:eastAsia="Microsoft YaHei" w:cs="Cambria"/>
          <w:color w:val="1A1A1A"/>
          <w:sz w:val="22"/>
          <w:szCs w:val="22"/>
        </w:rPr>
        <w:t>MENOC provides transparency reports to partner states through the mechanisms defined in Article 9.</w:t>
      </w:r>
    </w:p>
    <w:p>
      <w:pPr>
        <w:pStyle w:val="Normal"/>
        <w:ind w:left="720" w:hanging="360"/>
      </w:pPr>
      <w:r>
        <w:rPr>
          <w:b/>
          <w:rFonts w:ascii="Cambria" w:hAnsi="Cambria" w:eastAsia="Microsoft YaHei" w:cs="Cambria"/>
          <w:color w:val="1A1A1A"/>
          <w:sz w:val="22"/>
          <w:szCs w:val="22"/>
        </w:rPr>
        <w:t xml:space="preserve">(f) </w:t>
      </w:r>
      <w:r>
        <w:rPr>
          <w:rFonts w:ascii="Cambria" w:hAnsi="Cambria" w:eastAsia="Microsoft YaHei" w:cs="Cambria"/>
          <w:color w:val="1A1A1A"/>
          <w:sz w:val="22"/>
          <w:szCs w:val="22"/>
        </w:rPr>
        <w:t>MENOC coordinates with the Joint Commission on political and strategic matters within the scope of this Charter.</w:t>
      </w:r>
    </w:p>
    <w:p>
      <w:pPr>
        <w:pStyle w:val="Heading1"/>
      </w:pPr>
      <w:bookmarkStart w:name="_TocArt3" w:id="4"/>
      <w:r>
        <w:rPr>
          <w:rFonts w:ascii="Cambria" w:hAnsi="Cambria" w:eastAsia="Microsoft YaHei" w:cs="Cambria"/>
          <w:b/>
          <w:color w:val="1A2744"/>
          <w:sz w:val="40"/>
          <w:szCs w:val="40"/>
        </w:rPr>
        <w:t>Article 3: Membership</w:t>
      </w:r>
      <w:bookmarkEnd w:id="4"/>
    </w:p>
    <w:p>
      <w:pPr>
        <w:pStyle w:val="Heading2"/>
      </w:pPr>
      <w:r>
        <w:rPr>
          <w:rFonts w:ascii="Cambria" w:hAnsi="Cambria" w:eastAsia="Microsoft YaHei" w:cs="Cambria"/>
          <w:b/>
          <w:color w:val="1A1A1A"/>
          <w:sz w:val="28"/>
          <w:szCs w:val="28"/>
        </w:rPr>
        <w:t>3.1 Founding Members</w:t>
      </w:r>
    </w:p>
    <w:p>
      <w:pPr>
        <w:pStyle w:val="Normal"/>
      </w:pPr>
      <w:r>
        <w:rPr>
          <w:rFonts w:ascii="Cambria" w:hAnsi="Cambria" w:eastAsia="Microsoft YaHei" w:cs="Cambria"/>
          <w:color w:val="1A1A1A"/>
          <w:sz w:val="22"/>
          <w:szCs w:val="22"/>
        </w:rPr>
        <w:t>The founding members of MENOC are:</w:t>
      </w:r>
    </w:p>
    <w:p>
      <w:pPr>
        <w:pStyle w:val="Normal"/>
        <w:ind w:left="720" w:hanging="360"/>
      </w:pPr>
      <w:r>
        <w:rPr>
          <w:b/>
          <w:rFonts w:ascii="Cambria" w:hAnsi="Cambria" w:eastAsia="Microsoft YaHei" w:cs="Cambria"/>
          <w:color w:val="1A1A1A"/>
          <w:sz w:val="22"/>
          <w:szCs w:val="22"/>
        </w:rPr>
        <w:t xml:space="preserve">(a) </w:t>
      </w:r>
      <w:r>
        <w:rPr>
          <w:rFonts w:ascii="Cambria" w:hAnsi="Cambria" w:eastAsia="Microsoft YaHei" w:cs="Cambria"/>
          <w:color w:val="1A1A1A"/>
          <w:sz w:val="22"/>
          <w:szCs w:val="22"/>
        </w:rPr>
        <w:t>The Islamic Republic of Iran;</w:t>
      </w:r>
    </w:p>
    <w:p>
      <w:pPr>
        <w:pStyle w:val="Normal"/>
        <w:ind w:left="720" w:hanging="360"/>
      </w:pPr>
      <w:r>
        <w:rPr>
          <w:b/>
          <w:rFonts w:ascii="Cambria" w:hAnsi="Cambria" w:eastAsia="Microsoft YaHei" w:cs="Cambria"/>
          <w:color w:val="1A1A1A"/>
          <w:sz w:val="22"/>
          <w:szCs w:val="22"/>
        </w:rPr>
        <w:t xml:space="preserve">(b) </w:t>
      </w:r>
      <w:r>
        <w:rPr>
          <w:rFonts w:ascii="Cambria" w:hAnsi="Cambria" w:eastAsia="Microsoft YaHei" w:cs="Cambria"/>
          <w:color w:val="1A1A1A"/>
          <w:sz w:val="22"/>
          <w:szCs w:val="22"/>
        </w:rPr>
        <w:t>The United States of America;</w:t>
      </w:r>
    </w:p>
    <w:p>
      <w:pPr>
        <w:pStyle w:val="Normal"/>
        <w:ind w:left="720" w:hanging="360"/>
      </w:pPr>
      <w:r>
        <w:rPr>
          <w:b/>
          <w:rFonts w:ascii="Cambria" w:hAnsi="Cambria" w:eastAsia="Microsoft YaHei" w:cs="Cambria"/>
          <w:color w:val="1A1A1A"/>
          <w:sz w:val="22"/>
          <w:szCs w:val="22"/>
        </w:rPr>
        <w:t xml:space="preserve">(c) </w:t>
      </w:r>
      <w:r>
        <w:rPr>
          <w:rFonts w:ascii="Cambria" w:hAnsi="Cambria" w:eastAsia="Microsoft YaHei" w:cs="Cambria"/>
          <w:color w:val="1A1A1A"/>
          <w:sz w:val="22"/>
          <w:szCs w:val="22"/>
        </w:rPr>
        <w:t>The European Union;</w:t>
      </w:r>
    </w:p>
    <w:p>
      <w:pPr>
        <w:pStyle w:val="Normal"/>
        <w:ind w:left="720" w:hanging="360"/>
      </w:pPr>
      <w:r>
        <w:rPr>
          <w:b/>
          <w:rFonts w:ascii="Cambria" w:hAnsi="Cambria" w:eastAsia="Microsoft YaHei" w:cs="Cambria"/>
          <w:color w:val="1A1A1A"/>
          <w:sz w:val="22"/>
          <w:szCs w:val="22"/>
        </w:rPr>
        <w:t xml:space="preserve">(d) </w:t>
      </w:r>
      <w:r>
        <w:rPr>
          <w:rFonts w:ascii="Cambria" w:hAnsi="Cambria" w:eastAsia="Microsoft YaHei" w:cs="Cambria"/>
          <w:color w:val="1A1A1A"/>
          <w:sz w:val="22"/>
          <w:szCs w:val="22"/>
        </w:rPr>
        <w:t>The Russian Federation;</w:t>
      </w:r>
    </w:p>
    <w:p>
      <w:pPr>
        <w:pStyle w:val="Normal"/>
        <w:ind w:left="720" w:hanging="360"/>
      </w:pPr>
      <w:r>
        <w:rPr>
          <w:b/>
          <w:rFonts w:ascii="Cambria" w:hAnsi="Cambria" w:eastAsia="Microsoft YaHei" w:cs="Cambria"/>
          <w:color w:val="1A1A1A"/>
          <w:sz w:val="22"/>
          <w:szCs w:val="22"/>
        </w:rPr>
        <w:t xml:space="preserve">(e) </w:t>
      </w:r>
      <w:r>
        <w:rPr>
          <w:rFonts w:ascii="Cambria" w:hAnsi="Cambria" w:eastAsia="Microsoft YaHei" w:cs="Cambria"/>
          <w:color w:val="1A1A1A"/>
          <w:sz w:val="22"/>
          <w:szCs w:val="22"/>
        </w:rPr>
        <w:t>The United Arab Emirates;</w:t>
      </w:r>
    </w:p>
    <w:p>
      <w:pPr>
        <w:pStyle w:val="Normal"/>
        <w:ind w:left="720" w:hanging="360"/>
      </w:pPr>
      <w:r>
        <w:rPr>
          <w:b/>
          <w:rFonts w:ascii="Cambria" w:hAnsi="Cambria" w:eastAsia="Microsoft YaHei" w:cs="Cambria"/>
          <w:color w:val="1A1A1A"/>
          <w:sz w:val="22"/>
          <w:szCs w:val="22"/>
        </w:rPr>
        <w:t xml:space="preserve">(f) </w:t>
      </w:r>
      <w:r>
        <w:rPr>
          <w:rFonts w:ascii="Cambria" w:hAnsi="Cambria" w:eastAsia="Microsoft YaHei" w:cs="Cambria"/>
          <w:color w:val="1A1A1A"/>
          <w:sz w:val="22"/>
          <w:szCs w:val="22"/>
        </w:rPr>
        <w:t>The Sultanate of Oman.</w:t>
      </w:r>
    </w:p>
    <w:p>
      <w:pPr>
        <w:pStyle w:val="Heading2"/>
      </w:pPr>
      <w:r>
        <w:rPr>
          <w:rFonts w:ascii="Cambria" w:hAnsi="Cambria" w:eastAsia="Microsoft YaHei" w:cs="Cambria"/>
          <w:b/>
          <w:color w:val="1A1A1A"/>
          <w:sz w:val="28"/>
          <w:szCs w:val="28"/>
        </w:rPr>
        <w:t>3.2 Accession</w:t>
      </w:r>
    </w:p>
    <w:p>
      <w:pPr>
        <w:pStyle w:val="Normal"/>
      </w:pPr>
      <w:r>
        <w:rPr>
          <w:rFonts w:ascii="Cambria" w:hAnsi="Cambria" w:eastAsia="Microsoft YaHei" w:cs="Cambria"/>
          <w:color w:val="1A1A1A"/>
          <w:sz w:val="22"/>
          <w:szCs w:val="22"/>
        </w:rPr>
        <w:t>Any state accedes to MENOC by:</w:t>
      </w:r>
    </w:p>
    <w:p>
      <w:pPr>
        <w:pStyle w:val="Normal"/>
        <w:ind w:left="720" w:hanging="360"/>
      </w:pPr>
      <w:r>
        <w:rPr>
          <w:b/>
          <w:rFonts w:ascii="Cambria" w:hAnsi="Cambria" w:eastAsia="Microsoft YaHei" w:cs="Cambria"/>
          <w:color w:val="1A1A1A"/>
          <w:sz w:val="22"/>
          <w:szCs w:val="22"/>
        </w:rPr>
        <w:t xml:space="preserve">(a) </w:t>
      </w:r>
      <w:r>
        <w:rPr>
          <w:rFonts w:ascii="Cambria" w:hAnsi="Cambria" w:eastAsia="Microsoft YaHei" w:cs="Cambria"/>
          <w:color w:val="1A1A1A"/>
          <w:sz w:val="22"/>
          <w:szCs w:val="22"/>
        </w:rPr>
        <w:t>Submitting an instrument of accession to the depositary;</w:t>
      </w:r>
    </w:p>
    <w:p>
      <w:pPr>
        <w:pStyle w:val="Normal"/>
        <w:ind w:left="720" w:hanging="360"/>
      </w:pPr>
      <w:r>
        <w:rPr>
          <w:b/>
          <w:rFonts w:ascii="Cambria" w:hAnsi="Cambria" w:eastAsia="Microsoft YaHei" w:cs="Cambria"/>
          <w:color w:val="1A1A1A"/>
          <w:sz w:val="22"/>
          <w:szCs w:val="22"/>
        </w:rPr>
        <w:t xml:space="preserve">(b) </w:t>
      </w:r>
      <w:r>
        <w:rPr>
          <w:rFonts w:ascii="Cambria" w:hAnsi="Cambria" w:eastAsia="Microsoft YaHei" w:cs="Cambria"/>
          <w:color w:val="1A1A1A"/>
          <w:sz w:val="22"/>
          <w:szCs w:val="22"/>
        </w:rPr>
        <w:t>Accepting the terms of this Charter in their entirety;</w:t>
      </w:r>
    </w:p>
    <w:p>
      <w:pPr>
        <w:pStyle w:val="Normal"/>
        <w:ind w:left="720" w:hanging="360"/>
      </w:pPr>
      <w:r>
        <w:rPr>
          <w:b/>
          <w:rFonts w:ascii="Cambria" w:hAnsi="Cambria" w:eastAsia="Microsoft YaHei" w:cs="Cambria"/>
          <w:color w:val="1A1A1A"/>
          <w:sz w:val="22"/>
          <w:szCs w:val="22"/>
        </w:rPr>
        <w:t xml:space="preserve">(c) </w:t>
      </w:r>
      <w:r>
        <w:rPr>
          <w:rFonts w:ascii="Cambria" w:hAnsi="Cambria" w:eastAsia="Microsoft YaHei" w:cs="Cambria"/>
          <w:color w:val="1A1A1A"/>
          <w:sz w:val="22"/>
          <w:szCs w:val="22"/>
        </w:rPr>
        <w:t>Agreeing to contribute to the consortium's objectives as determined by the Joint Management Board.</w:t>
      </w:r>
    </w:p>
    <w:p>
      <w:pPr>
        <w:pStyle w:val="Normal"/>
      </w:pPr>
      <w:r>
        <w:rPr>
          <w:rFonts w:ascii="Cambria" w:hAnsi="Cambria" w:eastAsia="Microsoft YaHei" w:cs="Cambria"/>
          <w:color w:val="1A1A1A"/>
          <w:sz w:val="22"/>
          <w:szCs w:val="22"/>
        </w:rPr>
        <w:t>The Joint Management Board approves or rejects each application for accession by consensus of all voting members.</w:t>
      </w:r>
    </w:p>
    <w:p>
      <w:pPr>
        <w:pStyle w:val="Heading2"/>
      </w:pPr>
      <w:r>
        <w:rPr>
          <w:rFonts w:ascii="Cambria" w:hAnsi="Cambria" w:eastAsia="Microsoft YaHei" w:cs="Cambria"/>
          <w:b/>
          <w:color w:val="1A1A1A"/>
          <w:sz w:val="28"/>
          <w:szCs w:val="28"/>
        </w:rPr>
        <w:t>3.3 Withdrawal</w:t>
      </w:r>
    </w:p>
    <w:p>
      <w:pPr>
        <w:pStyle w:val="Normal"/>
      </w:pPr>
      <w:r>
        <w:rPr>
          <w:rFonts w:ascii="Cambria" w:hAnsi="Cambria" w:eastAsia="Microsoft YaHei" w:cs="Cambria"/>
          <w:color w:val="1A1A1A"/>
          <w:sz w:val="22"/>
          <w:szCs w:val="22"/>
        </w:rPr>
        <w:t>Any member withdraws from MENOC by providing 180 days' written notice to the depositary. Withdrawal is subject to the following conditions:</w:t>
      </w:r>
    </w:p>
    <w:p>
      <w:pPr>
        <w:pStyle w:val="Normal"/>
        <w:ind w:left="720" w:hanging="360"/>
      </w:pPr>
      <w:r>
        <w:rPr>
          <w:b/>
          <w:rFonts w:ascii="Cambria" w:hAnsi="Cambria" w:eastAsia="Microsoft YaHei" w:cs="Cambria"/>
          <w:color w:val="1A1A1A"/>
          <w:sz w:val="22"/>
          <w:szCs w:val="22"/>
        </w:rPr>
        <w:t xml:space="preserve">(i) </w:t>
      </w:r>
      <w:r>
        <w:rPr>
          <w:rFonts w:ascii="Cambria" w:hAnsi="Cambria" w:eastAsia="Microsoft YaHei" w:cs="Cambria"/>
          <w:color w:val="1A1A1A"/>
          <w:sz w:val="22"/>
          <w:szCs w:val="22"/>
        </w:rPr>
        <w:t>Accrued Obligations: Withdrawal does not affect obligations accrued prior to the effective date of withdrawal, including financial contributions and safeguards obligations.</w:t>
      </w:r>
    </w:p>
    <w:p>
      <w:pPr>
        <w:pStyle w:val="Normal"/>
        <w:ind w:left="720" w:hanging="360"/>
      </w:pPr>
      <w:r>
        <w:rPr>
          <w:b/>
          <w:rFonts w:ascii="Cambria" w:hAnsi="Cambria" w:eastAsia="Microsoft YaHei" w:cs="Cambria"/>
          <w:color w:val="1A1A1A"/>
          <w:sz w:val="22"/>
          <w:szCs w:val="22"/>
        </w:rPr>
        <w:t xml:space="preserve">(ii) </w:t>
      </w:r>
      <w:r>
        <w:rPr>
          <w:rFonts w:ascii="Cambria" w:hAnsi="Cambria" w:eastAsia="Microsoft YaHei" w:cs="Cambria"/>
          <w:color w:val="1A1A1A"/>
          <w:sz w:val="22"/>
          <w:szCs w:val="22"/>
        </w:rPr>
        <w:t>Final Contribution: The withdrawing member pays a final contribution covering its share of the MENOC budget through the effective date of withdrawal.</w:t>
      </w:r>
    </w:p>
    <w:p>
      <w:pPr>
        <w:pStyle w:val="Normal"/>
        <w:ind w:left="720" w:hanging="360"/>
      </w:pPr>
      <w:r>
        <w:rPr>
          <w:b/>
          <w:rFonts w:ascii="Cambria" w:hAnsi="Cambria" w:eastAsia="Microsoft YaHei" w:cs="Cambria"/>
          <w:color w:val="1A1A1A"/>
          <w:sz w:val="22"/>
          <w:szCs w:val="22"/>
        </w:rPr>
        <w:t xml:space="preserve">(iii) </w:t>
      </w:r>
      <w:r>
        <w:rPr>
          <w:rFonts w:ascii="Cambria" w:hAnsi="Cambria" w:eastAsia="Microsoft YaHei" w:cs="Cambria"/>
          <w:color w:val="1A1A1A"/>
          <w:sz w:val="22"/>
          <w:szCs w:val="22"/>
        </w:rPr>
        <w:t>Safeguards Continuity: Safeguards for facilities previously under MENOC oversight continue in accordance with Article 7 and Iran's NPT Safeguards Agreement.</w:t>
      </w:r>
    </w:p>
    <w:p>
      <w:pPr>
        <w:pStyle w:val="Normal"/>
        <w:ind w:left="720" w:hanging="360"/>
      </w:pPr>
      <w:r>
        <w:rPr>
          <w:b/>
          <w:rFonts w:ascii="Cambria" w:hAnsi="Cambria" w:eastAsia="Microsoft YaHei" w:cs="Cambria"/>
          <w:color w:val="1A1A1A"/>
          <w:sz w:val="22"/>
          <w:szCs w:val="22"/>
        </w:rPr>
        <w:t xml:space="preserve">(iv) </w:t>
      </w:r>
      <w:r>
        <w:rPr>
          <w:rFonts w:ascii="Cambria" w:hAnsi="Cambria" w:eastAsia="Microsoft YaHei" w:cs="Cambria"/>
          <w:color w:val="1A1A1A"/>
          <w:sz w:val="22"/>
          <w:szCs w:val="22"/>
        </w:rPr>
        <w:t>Transition Period: The withdrawing member cooperates with MENOC during a 180-day transition period to ensure continuity of operations and verification.</w:t>
      </w:r>
    </w:p>
    <w:p>
      <w:pPr>
        <w:pStyle w:val="Normal"/>
        <w:ind w:left="720" w:hanging="360"/>
      </w:pPr>
      <w:r>
        <w:rPr>
          <w:b/>
          <w:rFonts w:ascii="Cambria" w:hAnsi="Cambria" w:eastAsia="Microsoft YaHei" w:cs="Cambria"/>
          <w:color w:val="1A1A1A"/>
          <w:sz w:val="22"/>
          <w:szCs w:val="22"/>
        </w:rPr>
        <w:t xml:space="preserve">(v) </w:t>
      </w:r>
      <w:r>
        <w:rPr>
          <w:rFonts w:ascii="Cambria" w:hAnsi="Cambria" w:eastAsia="Microsoft YaHei" w:cs="Cambria"/>
          <w:color w:val="1A1A1A"/>
          <w:sz w:val="22"/>
          <w:szCs w:val="22"/>
        </w:rPr>
        <w:t>Consequences of Unilateral Withdrawal: If a member withdraws without complying with the conditions of this Article, the framework authorizes the Joint Commission to take one or more of the following actions: (a) suspension of the member's voting rights for a period the Commission determines; (b) reallocation of the member's contribution to remaining members; or (c) referral of the matter to the Guarantor Matrix for arbitration.</w:t>
      </w:r>
    </w:p>
    <w:p>
      <w:pPr>
        <w:pStyle w:val="Heading1"/>
      </w:pPr>
      <w:bookmarkStart w:name="_TocArt4" w:id="5"/>
      <w:r>
        <w:rPr>
          <w:rFonts w:ascii="Cambria" w:hAnsi="Cambria" w:eastAsia="Microsoft YaHei" w:cs="Cambria"/>
          <w:b/>
          <w:color w:val="1A2744"/>
          <w:sz w:val="40"/>
          <w:szCs w:val="40"/>
        </w:rPr>
        <w:t>Article 4: Ownership and Control</w:t>
      </w:r>
      <w:bookmarkEnd w:id="5"/>
    </w:p>
    <w:p>
      <w:pPr>
        <w:pStyle w:val="Heading2"/>
      </w:pPr>
      <w:r>
        <w:rPr>
          <w:rFonts w:ascii="Cambria" w:hAnsi="Cambria" w:eastAsia="Microsoft YaHei" w:cs="Cambria"/>
          <w:b/>
          <w:color w:val="1A1A1A"/>
          <w:sz w:val="28"/>
          <w:szCs w:val="28"/>
        </w:rPr>
        <w:t>4.1 Ownership</w:t>
      </w:r>
    </w:p>
    <w:p>
      <w:pPr>
        <w:pStyle w:val="Normal"/>
      </w:pPr>
      <w:r>
        <w:rPr>
          <w:rFonts w:ascii="Cambria" w:hAnsi="Cambria" w:eastAsia="Microsoft YaHei" w:cs="Cambria"/>
          <w:color w:val="1A1A1A"/>
          <w:sz w:val="22"/>
          <w:szCs w:val="22"/>
        </w:rPr>
        <w:t>All facilities, equipment, and nuclear material covered by this Charter remain the exclusive sovereign property of the Islamic Republic of Iran. This Charter creates no transfer of ownership, present or future, explicit or implicit.</w:t>
      </w:r>
    </w:p>
    <w:p>
      <w:pPr>
        <w:pStyle w:val="Heading2"/>
      </w:pPr>
      <w:r>
        <w:rPr>
          <w:rFonts w:ascii="Cambria" w:hAnsi="Cambria" w:eastAsia="Microsoft YaHei" w:cs="Cambria"/>
          <w:b/>
          <w:color w:val="1A1A1A"/>
          <w:sz w:val="28"/>
          <w:szCs w:val="28"/>
        </w:rPr>
        <w:t>4.2 Operational Control</w:t>
      </w:r>
    </w:p>
    <w:p>
      <w:pPr>
        <w:pStyle w:val="Normal"/>
      </w:pPr>
      <w:r>
        <w:rPr>
          <w:rFonts w:ascii="Cambria" w:hAnsi="Cambria" w:eastAsia="Microsoft YaHei" w:cs="Cambria"/>
          <w:color w:val="1A1A1A"/>
          <w:sz w:val="22"/>
          <w:szCs w:val="22"/>
        </w:rPr>
        <w:t>Iran exercises exclusive operational control over the covered facilities. Iran employs and manages all technical staff. Iran retains exclusive authority over day-to-day operational decisions within the parameters established in this Charter.</w:t>
      </w:r>
    </w:p>
    <w:p>
      <w:pPr>
        <w:pStyle w:val="Heading2"/>
      </w:pPr>
      <w:r>
        <w:rPr>
          <w:rFonts w:ascii="Cambria" w:hAnsi="Cambria" w:eastAsia="Microsoft YaHei" w:cs="Cambria"/>
          <w:b/>
          <w:color w:val="1A1A1A"/>
          <w:sz w:val="28"/>
          <w:szCs w:val="28"/>
        </w:rPr>
        <w:t>4.3 Custody of Nuclear Material</w:t>
      </w:r>
    </w:p>
    <w:p>
      <w:pPr>
        <w:pStyle w:val="Normal"/>
      </w:pPr>
      <w:r>
        <w:rPr>
          <w:rFonts w:ascii="Cambria" w:hAnsi="Cambria" w:eastAsia="Microsoft YaHei" w:cs="Cambria"/>
          <w:color w:val="1A1A1A"/>
          <w:sz w:val="22"/>
          <w:szCs w:val="22"/>
        </w:rPr>
        <w:t>Iran retains exclusive custody of all uranium feedstock, enriched uranium, and nuclear material at the covered facilities. Custody means physical possession and control. No party removes nuclear material from Iran without Iran's explicit written consent. Iran's ownership of nuclear material exists independently of operational control or inspection access.</w:t>
      </w:r>
    </w:p>
    <w:p>
      <w:pPr>
        <w:pStyle w:val="Heading2"/>
      </w:pPr>
      <w:r>
        <w:rPr>
          <w:rFonts w:ascii="Cambria" w:hAnsi="Cambria" w:eastAsia="Microsoft YaHei" w:cs="Cambria"/>
          <w:b/>
          <w:color w:val="1A1A1A"/>
          <w:sz w:val="28"/>
          <w:szCs w:val="28"/>
        </w:rPr>
        <w:t>4.4 No Precedent</w:t>
      </w:r>
    </w:p>
    <w:p>
      <w:pPr>
        <w:pStyle w:val="Normal"/>
      </w:pPr>
      <w:r>
        <w:rPr>
          <w:rFonts w:ascii="Cambria" w:hAnsi="Cambria" w:eastAsia="Microsoft YaHei" w:cs="Cambria"/>
          <w:color w:val="1A1A1A"/>
          <w:sz w:val="22"/>
          <w:szCs w:val="22"/>
        </w:rPr>
        <w:t>This Charter creates no precedent for any other nuclear facilities or arrangements. The framework architecture applies exclusively to the facilities identified in Article 6.1. No party cites this Charter as a model, template, or basis for any other nuclear cooperation arrangement.</w:t>
      </w:r>
    </w:p>
    <w:p>
      <w:pPr>
        <w:pStyle w:val="Heading2"/>
      </w:pPr>
      <w:r>
        <w:rPr>
          <w:rFonts w:ascii="Cambria" w:hAnsi="Cambria" w:eastAsia="Microsoft YaHei" w:cs="Cambria"/>
          <w:b/>
          <w:color w:val="1A1A1A"/>
          <w:sz w:val="28"/>
          <w:szCs w:val="28"/>
        </w:rPr>
        <w:t>4.5 Stockpile Definition</w:t>
      </w:r>
    </w:p>
    <w:p>
      <w:pPr>
        <w:pStyle w:val="Normal"/>
      </w:pPr>
      <w:r>
        <w:rPr>
          <w:rFonts w:ascii="Cambria" w:hAnsi="Cambria" w:eastAsia="Microsoft YaHei" w:cs="Cambria"/>
          <w:color w:val="1A1A1A"/>
          <w:sz w:val="22"/>
          <w:szCs w:val="22"/>
        </w:rPr>
        <w:t>"Stockpile" means all uranium hexafluoride (UF6) and all other forms of uranium enriched above the Civilian Enrichment Level (CEL) that exist at the covered facilities on the Effective Date of this Charter. The Stockpile includes all uranium enriched to 20% U-235, 60% U-235, and all other enrichment levels above 3.67% U-235. The IAEA verifies the quantity, enrichment level, and location of all Stockpile material within 30 days of the Effective Date.</w:t>
      </w:r>
    </w:p>
    <w:p>
      <w:pPr>
        <w:pStyle w:val="Heading1"/>
      </w:pPr>
      <w:bookmarkStart w:name="_TocArt5" w:id="6"/>
      <w:r>
        <w:rPr>
          <w:rFonts w:ascii="Cambria" w:hAnsi="Cambria" w:eastAsia="Microsoft YaHei" w:cs="Cambria"/>
          <w:b/>
          <w:color w:val="1A2744"/>
          <w:sz w:val="40"/>
          <w:szCs w:val="40"/>
        </w:rPr>
        <w:t>Article 5: Joint Management Board</w:t>
      </w:r>
      <w:bookmarkEnd w:id="6"/>
    </w:p>
    <w:p>
      <w:pPr>
        <w:pStyle w:val="Heading2"/>
      </w:pPr>
      <w:r>
        <w:rPr>
          <w:rFonts w:ascii="Cambria" w:hAnsi="Cambria" w:eastAsia="Microsoft YaHei" w:cs="Cambria"/>
          <w:b/>
          <w:color w:val="1A1A1A"/>
          <w:sz w:val="28"/>
          <w:szCs w:val="28"/>
        </w:rPr>
        <w:t>5.1 Composition</w:t>
      </w:r>
    </w:p>
    <w:p>
      <w:pPr>
        <w:pStyle w:val="Normal"/>
      </w:pPr>
      <w:r>
        <w:rPr>
          <w:rFonts w:ascii="Cambria" w:hAnsi="Cambria" w:eastAsia="Microsoft YaHei" w:cs="Cambria"/>
          <w:color w:val="1A1A1A"/>
          <w:sz w:val="22"/>
          <w:szCs w:val="22"/>
        </w:rPr>
        <w:t>The Joint Management Board comprises the following representatives:</w:t>
      </w:r>
    </w:p>
    <w:tbl>
      <w:tblPr>
        <w:tblW w:w="5000" w:type="pct"/>
        <w:tblBorders>
          <w:top w:val="single" w:color="1a2744" w:sz="12"/>
          <w:left w:val="nil"/>
          <w:bottom w:val="single" w:color="1a2744" w:sz="12"/>
          <w:right w:val="nil"/>
          <w:insideH w:val="single" w:color="c8c3b5" w:sz="4"/>
          <w:insideV w:val="nil"/>
        </w:tblBorders>
      </w:tblPr>
      <w:tblGrid>
        <w:gridCol w:w="2200"/>
        <w:gridCol w:w="2200"/>
        <w:gridCol w:w="2800"/>
      </w:tblGrid>
      <w:tr>
        <w:trPr>
          <w:tblHeader w:val="1"/>
        </w:trPr>
        <w:tc>
          <w:tcPr>
            <w:tcW w:w="2200" w:type="dxa"/>
            <w:shd w:val="clear" w:fill="F0EEE8" w:color="auto"/>
          </w:tcPr>
          <w:p>
            <w:pPr>
              <w:pStyle w:val="Normal"/>
              <w:spacing w:before="40" w:after="40"/>
              <w:jc w:val="left"/>
            </w:pPr>
            <w:r>
              <w:rPr>
                <w:b/>
                <w:color w:val="1A1A1A"/>
                <w:sz w:val="20"/>
                <w:rFonts w:ascii="Cambria" w:hAnsi="Cambria" w:eastAsia="Microsoft YaHei" w:cs="Cambria"/>
                <w:szCs w:val="20"/>
              </w:rPr>
              <w:t>Member</w:t>
            </w:r>
          </w:p>
        </w:tc>
        <w:tc>
          <w:tcPr>
            <w:tcW w:w="2200" w:type="dxa"/>
            <w:shd w:val="clear" w:fill="F0EEE8" w:color="auto"/>
          </w:tcPr>
          <w:p>
            <w:pPr>
              <w:pStyle w:val="Normal"/>
              <w:spacing w:before="40" w:after="40"/>
              <w:jc w:val="left"/>
            </w:pPr>
            <w:r>
              <w:rPr>
                <w:b/>
                <w:color w:val="1A1A1A"/>
                <w:sz w:val="20"/>
                <w:rFonts w:ascii="Cambria" w:hAnsi="Cambria" w:eastAsia="Microsoft YaHei" w:cs="Cambria"/>
                <w:szCs w:val="20"/>
              </w:rPr>
              <w:t>Representatives</w:t>
            </w:r>
          </w:p>
        </w:tc>
        <w:tc>
          <w:tcPr>
            <w:tcW w:w="2800" w:type="dxa"/>
            <w:shd w:val="clear" w:fill="F0EEE8" w:color="auto"/>
          </w:tcPr>
          <w:p>
            <w:pPr>
              <w:pStyle w:val="Normal"/>
              <w:spacing w:before="40" w:after="40"/>
              <w:jc w:val="left"/>
            </w:pPr>
            <w:r>
              <w:rPr>
                <w:b/>
                <w:color w:val="1A1A1A"/>
                <w:sz w:val="20"/>
                <w:rFonts w:ascii="Cambria" w:hAnsi="Cambria" w:eastAsia="Microsoft YaHei" w:cs="Cambria"/>
                <w:szCs w:val="20"/>
              </w:rPr>
              <w:t>Role</w:t>
            </w:r>
          </w:p>
        </w:tc>
      </w:tr>
      <w:tr>
        <w:tc>
          <w:tcPr>
            <w:tcW w:w="2200" w:type="dxa"/>
          </w:tcPr>
          <w:p>
            <w:pPr>
              <w:pStyle w:val="Normal"/>
              <w:spacing w:before="40" w:after="40"/>
              <w:jc w:val="left"/>
            </w:pPr>
            <w:r>
              <w:rPr>
                <w:color w:val="1A1A1A"/>
                <w:sz w:val="20"/>
                <w:rFonts w:ascii="Cambria" w:hAnsi="Cambria" w:eastAsia="Microsoft YaHei" w:cs="Cambria"/>
                <w:szCs w:val="20"/>
              </w:rPr>
              <w:t>Iran</w:t>
            </w:r>
          </w:p>
        </w:tc>
        <w:tc>
          <w:tcPr>
            <w:tcW w:w="2200" w:type="dxa"/>
          </w:tcPr>
          <w:p>
            <w:pPr>
              <w:pStyle w:val="Normal"/>
              <w:spacing w:before="40" w:after="40"/>
              <w:jc w:val="left"/>
            </w:pPr>
            <w:r>
              <w:rPr>
                <w:color w:val="1A1A1A"/>
                <w:sz w:val="20"/>
                <w:rFonts w:ascii="Cambria" w:hAnsi="Cambria" w:eastAsia="Microsoft YaHei" w:cs="Cambria"/>
                <w:szCs w:val="20"/>
              </w:rPr>
              <w:t>3</w:t>
            </w:r>
          </w:p>
        </w:tc>
        <w:tc>
          <w:tcPr>
            <w:tcW w:w="2800" w:type="dxa"/>
          </w:tcPr>
          <w:p>
            <w:pPr>
              <w:pStyle w:val="Normal"/>
              <w:spacing w:before="40" w:after="40"/>
              <w:jc w:val="left"/>
            </w:pPr>
            <w:r>
              <w:rPr>
                <w:color w:val="1A1A1A"/>
                <w:sz w:val="20"/>
                <w:rFonts w:ascii="Cambria" w:hAnsi="Cambria" w:eastAsia="Microsoft YaHei" w:cs="Cambria"/>
                <w:szCs w:val="20"/>
              </w:rPr>
              <w:t>Operating partner</w:t>
            </w:r>
          </w:p>
        </w:tc>
      </w:tr>
      <w:tr>
        <w:tc>
          <w:tcPr>
            <w:tcW w:w="2200" w:type="dxa"/>
          </w:tcPr>
          <w:p>
            <w:pPr>
              <w:pStyle w:val="Normal"/>
              <w:spacing w:before="40" w:after="40"/>
              <w:jc w:val="left"/>
            </w:pPr>
            <w:r>
              <w:rPr>
                <w:color w:val="1A1A1A"/>
                <w:sz w:val="20"/>
                <w:rFonts w:ascii="Cambria" w:hAnsi="Cambria" w:eastAsia="Microsoft YaHei" w:cs="Cambria"/>
                <w:szCs w:val="20"/>
              </w:rPr>
              <w:t>United States</w:t>
            </w:r>
          </w:p>
        </w:tc>
        <w:tc>
          <w:tcPr>
            <w:tcW w:w="2200" w:type="dxa"/>
          </w:tcPr>
          <w:p>
            <w:pPr>
              <w:pStyle w:val="Normal"/>
              <w:spacing w:before="40" w:after="40"/>
              <w:jc w:val="left"/>
            </w:pPr>
            <w:r>
              <w:rPr>
                <w:color w:val="1A1A1A"/>
                <w:sz w:val="20"/>
                <w:rFonts w:ascii="Cambria" w:hAnsi="Cambria" w:eastAsia="Microsoft YaHei" w:cs="Cambria"/>
                <w:szCs w:val="20"/>
              </w:rPr>
              <w:t>1</w:t>
            </w:r>
          </w:p>
        </w:tc>
        <w:tc>
          <w:tcPr>
            <w:tcW w:w="2800" w:type="dxa"/>
          </w:tcPr>
          <w:p>
            <w:pPr>
              <w:pStyle w:val="Normal"/>
              <w:spacing w:before="40" w:after="40"/>
              <w:jc w:val="left"/>
            </w:pPr>
            <w:r>
              <w:rPr>
                <w:color w:val="1A1A1A"/>
                <w:sz w:val="20"/>
                <w:rFonts w:ascii="Cambria" w:hAnsi="Cambria" w:eastAsia="Microsoft YaHei" w:cs="Cambria"/>
                <w:szCs w:val="20"/>
              </w:rPr>
              <w:t>Oversight partner</w:t>
            </w:r>
          </w:p>
        </w:tc>
      </w:tr>
      <w:tr>
        <w:tc>
          <w:tcPr>
            <w:tcW w:w="2200" w:type="dxa"/>
          </w:tcPr>
          <w:p>
            <w:pPr>
              <w:pStyle w:val="Normal"/>
              <w:spacing w:before="40" w:after="40"/>
              <w:jc w:val="left"/>
            </w:pPr>
            <w:r>
              <w:rPr>
                <w:color w:val="1A1A1A"/>
                <w:sz w:val="20"/>
                <w:rFonts w:ascii="Cambria" w:hAnsi="Cambria" w:eastAsia="Microsoft YaHei" w:cs="Cambria"/>
                <w:szCs w:val="20"/>
              </w:rPr>
              <w:t>European Union</w:t>
            </w:r>
          </w:p>
        </w:tc>
        <w:tc>
          <w:tcPr>
            <w:tcW w:w="2200" w:type="dxa"/>
          </w:tcPr>
          <w:p>
            <w:pPr>
              <w:pStyle w:val="Normal"/>
              <w:spacing w:before="40" w:after="40"/>
              <w:jc w:val="left"/>
            </w:pPr>
            <w:r>
              <w:rPr>
                <w:color w:val="1A1A1A"/>
                <w:sz w:val="20"/>
                <w:rFonts w:ascii="Cambria" w:hAnsi="Cambria" w:eastAsia="Microsoft YaHei" w:cs="Cambria"/>
                <w:szCs w:val="20"/>
              </w:rPr>
              <w:t>1</w:t>
            </w:r>
          </w:p>
        </w:tc>
        <w:tc>
          <w:tcPr>
            <w:tcW w:w="2800" w:type="dxa"/>
          </w:tcPr>
          <w:p>
            <w:pPr>
              <w:pStyle w:val="Normal"/>
              <w:spacing w:before="40" w:after="40"/>
              <w:jc w:val="left"/>
            </w:pPr>
            <w:r>
              <w:rPr>
                <w:color w:val="1A1A1A"/>
                <w:sz w:val="20"/>
                <w:rFonts w:ascii="Cambria" w:hAnsi="Cambria" w:eastAsia="Microsoft YaHei" w:cs="Cambria"/>
                <w:szCs w:val="20"/>
              </w:rPr>
              <w:t>Technical partner</w:t>
            </w:r>
          </w:p>
        </w:tc>
      </w:tr>
      <w:tr>
        <w:tc>
          <w:tcPr>
            <w:tcW w:w="2200" w:type="dxa"/>
          </w:tcPr>
          <w:p>
            <w:pPr>
              <w:pStyle w:val="Normal"/>
              <w:spacing w:before="40" w:after="40"/>
              <w:jc w:val="left"/>
            </w:pPr>
            <w:r>
              <w:rPr>
                <w:color w:val="1A1A1A"/>
                <w:sz w:val="20"/>
                <w:rFonts w:ascii="Cambria" w:hAnsi="Cambria" w:eastAsia="Microsoft YaHei" w:cs="Cambria"/>
                <w:szCs w:val="20"/>
              </w:rPr>
              <w:t>Russian Federation</w:t>
            </w:r>
          </w:p>
        </w:tc>
        <w:tc>
          <w:tcPr>
            <w:tcW w:w="2200" w:type="dxa"/>
          </w:tcPr>
          <w:p>
            <w:pPr>
              <w:pStyle w:val="Normal"/>
              <w:spacing w:before="40" w:after="40"/>
              <w:jc w:val="left"/>
            </w:pPr>
            <w:r>
              <w:rPr>
                <w:color w:val="1A1A1A"/>
                <w:sz w:val="20"/>
                <w:rFonts w:ascii="Cambria" w:hAnsi="Cambria" w:eastAsia="Microsoft YaHei" w:cs="Cambria"/>
                <w:szCs w:val="20"/>
              </w:rPr>
              <w:t>1</w:t>
            </w:r>
          </w:p>
        </w:tc>
        <w:tc>
          <w:tcPr>
            <w:tcW w:w="2800" w:type="dxa"/>
          </w:tcPr>
          <w:p>
            <w:pPr>
              <w:pStyle w:val="Normal"/>
              <w:spacing w:before="40" w:after="40"/>
              <w:jc w:val="left"/>
            </w:pPr>
            <w:r>
              <w:rPr>
                <w:color w:val="1A1A1A"/>
                <w:sz w:val="20"/>
                <w:rFonts w:ascii="Cambria" w:hAnsi="Cambria" w:eastAsia="Microsoft YaHei" w:cs="Cambria"/>
                <w:szCs w:val="20"/>
              </w:rPr>
              <w:t>Technical partner</w:t>
            </w:r>
          </w:p>
        </w:tc>
      </w:tr>
      <w:tr>
        <w:tc>
          <w:tcPr>
            <w:tcW w:w="2200" w:type="dxa"/>
          </w:tcPr>
          <w:p>
            <w:pPr>
              <w:pStyle w:val="Normal"/>
              <w:spacing w:before="40" w:after="40"/>
              <w:jc w:val="left"/>
            </w:pPr>
            <w:r>
              <w:rPr>
                <w:color w:val="1A1A1A"/>
                <w:sz w:val="20"/>
                <w:rFonts w:ascii="Cambria" w:hAnsi="Cambria" w:eastAsia="Microsoft YaHei" w:cs="Cambria"/>
                <w:szCs w:val="20"/>
              </w:rPr>
              <w:t>IAEA</w:t>
            </w:r>
          </w:p>
        </w:tc>
        <w:tc>
          <w:tcPr>
            <w:tcW w:w="2200" w:type="dxa"/>
          </w:tcPr>
          <w:p>
            <w:pPr>
              <w:pStyle w:val="Normal"/>
              <w:spacing w:before="40" w:after="40"/>
              <w:jc w:val="left"/>
            </w:pPr>
            <w:r>
              <w:rPr>
                <w:color w:val="1A1A1A"/>
                <w:sz w:val="20"/>
                <w:rFonts w:ascii="Cambria" w:hAnsi="Cambria" w:eastAsia="Microsoft YaHei" w:cs="Cambria"/>
                <w:szCs w:val="20"/>
              </w:rPr>
              <w:t>1</w:t>
            </w:r>
          </w:p>
        </w:tc>
        <w:tc>
          <w:tcPr>
            <w:tcW w:w="2800" w:type="dxa"/>
          </w:tcPr>
          <w:p>
            <w:pPr>
              <w:pStyle w:val="Normal"/>
              <w:spacing w:before="40" w:after="40"/>
              <w:jc w:val="left"/>
            </w:pPr>
            <w:r>
              <w:rPr>
                <w:color w:val="1A1A1A"/>
                <w:sz w:val="20"/>
                <w:rFonts w:ascii="Cambria" w:hAnsi="Cambria" w:eastAsia="Microsoft YaHei" w:cs="Cambria"/>
                <w:szCs w:val="20"/>
              </w:rPr>
              <w:t>Non-voting technical advisor</w:t>
            </w:r>
          </w:p>
        </w:tc>
      </w:tr>
      <w:tr>
        <w:tc>
          <w:tcPr>
            <w:tcW w:w="2200" w:type="dxa"/>
          </w:tcPr>
          <w:p>
            <w:pPr>
              <w:pStyle w:val="Normal"/>
              <w:spacing w:before="40" w:after="40"/>
              <w:jc w:val="left"/>
            </w:pPr>
            <w:r>
              <w:rPr>
                <w:color w:val="1A1A1A"/>
                <w:sz w:val="20"/>
                <w:rFonts w:ascii="Cambria" w:hAnsi="Cambria" w:eastAsia="Microsoft YaHei" w:cs="Cambria"/>
                <w:szCs w:val="20"/>
              </w:rPr>
              <w:t>Oman</w:t>
            </w:r>
          </w:p>
        </w:tc>
        <w:tc>
          <w:tcPr>
            <w:tcW w:w="2200" w:type="dxa"/>
          </w:tcPr>
          <w:p>
            <w:pPr>
              <w:pStyle w:val="Normal"/>
              <w:spacing w:before="40" w:after="40"/>
              <w:jc w:val="left"/>
            </w:pPr>
            <w:r>
              <w:rPr>
                <w:color w:val="1A1A1A"/>
                <w:sz w:val="20"/>
                <w:rFonts w:ascii="Cambria" w:hAnsi="Cambria" w:eastAsia="Microsoft YaHei" w:cs="Cambria"/>
                <w:szCs w:val="20"/>
              </w:rPr>
              <w:t>1</w:t>
            </w:r>
          </w:p>
        </w:tc>
        <w:tc>
          <w:tcPr>
            <w:tcW w:w="2800" w:type="dxa"/>
          </w:tcPr>
          <w:p>
            <w:pPr>
              <w:pStyle w:val="Normal"/>
              <w:spacing w:before="40" w:after="40"/>
              <w:jc w:val="left"/>
            </w:pPr>
            <w:r>
              <w:rPr>
                <w:color w:val="1A1A1A"/>
                <w:sz w:val="20"/>
                <w:rFonts w:ascii="Cambria" w:hAnsi="Cambria" w:eastAsia="Microsoft YaHei" w:cs="Cambria"/>
                <w:szCs w:val="20"/>
              </w:rPr>
              <w:t>Non-voting chair</w:t>
            </w:r>
          </w:p>
        </w:tc>
      </w:tr>
    </w:tbl>
    <w:p>
      <w:pPr>
        <w:pStyle w:val="Normal"/>
      </w:pPr>
      <w:r>
        <w:rPr>
          <w:rFonts w:ascii="Cambria" w:hAnsi="Cambria" w:eastAsia="Microsoft YaHei" w:cs="Cambria"/>
          <w:color w:val="1A1A1A"/>
          <w:sz w:val="22"/>
          <w:szCs w:val="22"/>
        </w:rPr>
        <w:t>Voting members hold six votes in total. Iran holds three votes. The United States, the European Union, and the Russian Federation each hold one vote. The IAEA representative and the Chair do not vote on substantive matters.</w:t>
      </w:r>
    </w:p>
    <w:p>
      <w:pPr>
        <w:pStyle w:val="Heading2"/>
      </w:pPr>
      <w:r>
        <w:rPr>
          <w:rFonts w:ascii="Cambria" w:hAnsi="Cambria" w:eastAsia="Microsoft YaHei" w:cs="Cambria"/>
          <w:b/>
          <w:color w:val="1A1A1A"/>
          <w:sz w:val="28"/>
          <w:szCs w:val="28"/>
        </w:rPr>
        <w:t>5.2 Functions</w:t>
      </w:r>
    </w:p>
    <w:p>
      <w:pPr>
        <w:pStyle w:val="Normal"/>
      </w:pPr>
      <w:r>
        <w:rPr>
          <w:rFonts w:ascii="Cambria" w:hAnsi="Cambria" w:eastAsia="Microsoft YaHei" w:cs="Cambria"/>
          <w:color w:val="1A1A1A"/>
          <w:sz w:val="22"/>
          <w:szCs w:val="22"/>
        </w:rPr>
        <w:t>The Joint Management Board exercises the following functions:</w:t>
      </w:r>
    </w:p>
    <w:p>
      <w:pPr>
        <w:pStyle w:val="Normal"/>
        <w:ind w:left="720" w:hanging="360"/>
      </w:pPr>
      <w:r>
        <w:rPr>
          <w:b/>
          <w:rFonts w:ascii="Cambria" w:hAnsi="Cambria" w:eastAsia="Microsoft YaHei" w:cs="Cambria"/>
          <w:color w:val="1A1A1A"/>
          <w:sz w:val="22"/>
          <w:szCs w:val="22"/>
        </w:rPr>
        <w:t xml:space="preserve">(a) </w:t>
      </w:r>
      <w:r>
        <w:rPr>
          <w:rFonts w:ascii="Cambria" w:hAnsi="Cambria" w:eastAsia="Microsoft YaHei" w:cs="Cambria"/>
          <w:color w:val="1A1A1A"/>
          <w:sz w:val="22"/>
          <w:szCs w:val="22"/>
        </w:rPr>
        <w:t>The Board oversees all operational activities at the covered facilities.</w:t>
      </w:r>
    </w:p>
    <w:p>
      <w:pPr>
        <w:pStyle w:val="Normal"/>
        <w:ind w:left="720" w:hanging="360"/>
      </w:pPr>
      <w:r>
        <w:rPr>
          <w:b/>
          <w:rFonts w:ascii="Cambria" w:hAnsi="Cambria" w:eastAsia="Microsoft YaHei" w:cs="Cambria"/>
          <w:color w:val="1A1A1A"/>
          <w:sz w:val="22"/>
          <w:szCs w:val="22"/>
        </w:rPr>
        <w:t xml:space="preserve">(b) </w:t>
      </w:r>
      <w:r>
        <w:rPr>
          <w:rFonts w:ascii="Cambria" w:hAnsi="Cambria" w:eastAsia="Microsoft YaHei" w:cs="Cambria"/>
          <w:color w:val="1A1A1A"/>
          <w:sz w:val="22"/>
          <w:szCs w:val="22"/>
        </w:rPr>
        <w:t>The Board reviews IAEA verification reports and addresses any findings contained therein.</w:t>
      </w:r>
    </w:p>
    <w:p>
      <w:pPr>
        <w:pStyle w:val="Normal"/>
        <w:ind w:left="720" w:hanging="360"/>
      </w:pPr>
      <w:r>
        <w:rPr>
          <w:b/>
          <w:rFonts w:ascii="Cambria" w:hAnsi="Cambria" w:eastAsia="Microsoft YaHei" w:cs="Cambria"/>
          <w:color w:val="1A1A1A"/>
          <w:sz w:val="22"/>
          <w:szCs w:val="22"/>
        </w:rPr>
        <w:t xml:space="preserve">(c) </w:t>
      </w:r>
      <w:r>
        <w:rPr>
          <w:rFonts w:ascii="Cambria" w:hAnsi="Cambria" w:eastAsia="Microsoft YaHei" w:cs="Cambria"/>
          <w:color w:val="1A1A1A"/>
          <w:sz w:val="22"/>
          <w:szCs w:val="22"/>
        </w:rPr>
        <w:t>The Board approves all modifications to the physical configuration of covered facilities.</w:t>
      </w:r>
    </w:p>
    <w:p>
      <w:pPr>
        <w:pStyle w:val="Normal"/>
        <w:ind w:left="720" w:hanging="360"/>
      </w:pPr>
      <w:r>
        <w:rPr>
          <w:b/>
          <w:rFonts w:ascii="Cambria" w:hAnsi="Cambria" w:eastAsia="Microsoft YaHei" w:cs="Cambria"/>
          <w:color w:val="1A1A1A"/>
          <w:sz w:val="22"/>
          <w:szCs w:val="22"/>
        </w:rPr>
        <w:t xml:space="preserve">(d) </w:t>
      </w:r>
      <w:r>
        <w:rPr>
          <w:rFonts w:ascii="Cambria" w:hAnsi="Cambria" w:eastAsia="Microsoft YaHei" w:cs="Cambria"/>
          <w:color w:val="1A1A1A"/>
          <w:sz w:val="22"/>
          <w:szCs w:val="22"/>
        </w:rPr>
        <w:t>The Board authorizes any changes to enrichment parameters within the limits defined in Article 6.</w:t>
      </w:r>
    </w:p>
    <w:p>
      <w:pPr>
        <w:pStyle w:val="Normal"/>
        <w:ind w:left="720" w:hanging="360"/>
      </w:pPr>
      <w:r>
        <w:rPr>
          <w:b/>
          <w:rFonts w:ascii="Cambria" w:hAnsi="Cambria" w:eastAsia="Microsoft YaHei" w:cs="Cambria"/>
          <w:color w:val="1A1A1A"/>
          <w:sz w:val="22"/>
          <w:szCs w:val="22"/>
        </w:rPr>
        <w:t xml:space="preserve">(e) </w:t>
      </w:r>
      <w:r>
        <w:rPr>
          <w:rFonts w:ascii="Cambria" w:hAnsi="Cambria" w:eastAsia="Microsoft YaHei" w:cs="Cambria"/>
          <w:color w:val="1A1A1A"/>
          <w:sz w:val="22"/>
          <w:szCs w:val="22"/>
        </w:rPr>
        <w:t>The Board mediates operational disputes among members.</w:t>
      </w:r>
    </w:p>
    <w:p>
      <w:pPr>
        <w:pStyle w:val="Normal"/>
        <w:ind w:left="720" w:hanging="360"/>
      </w:pPr>
      <w:r>
        <w:rPr>
          <w:b/>
          <w:rFonts w:ascii="Cambria" w:hAnsi="Cambria" w:eastAsia="Microsoft YaHei" w:cs="Cambria"/>
          <w:color w:val="1A1A1A"/>
          <w:sz w:val="22"/>
          <w:szCs w:val="22"/>
        </w:rPr>
        <w:t xml:space="preserve">(f) </w:t>
      </w:r>
      <w:r>
        <w:rPr>
          <w:rFonts w:ascii="Cambria" w:hAnsi="Cambria" w:eastAsia="Microsoft YaHei" w:cs="Cambria"/>
          <w:color w:val="1A1A1A"/>
          <w:sz w:val="22"/>
          <w:szCs w:val="22"/>
        </w:rPr>
        <w:t>The Board approves the annual budget in accordance with Article 11.</w:t>
      </w:r>
    </w:p>
    <w:p>
      <w:pPr>
        <w:pStyle w:val="Heading2"/>
      </w:pPr>
      <w:r>
        <w:rPr>
          <w:rFonts w:ascii="Cambria" w:hAnsi="Cambria" w:eastAsia="Microsoft YaHei" w:cs="Cambria"/>
          <w:b/>
          <w:color w:val="1A1A1A"/>
          <w:sz w:val="28"/>
          <w:szCs w:val="28"/>
        </w:rPr>
        <w:t>5.3 Decision-Making</w:t>
      </w:r>
    </w:p>
    <w:p>
      <w:pPr>
        <w:pStyle w:val="Normal"/>
      </w:pPr>
      <w:r>
        <w:rPr>
          <w:rFonts w:ascii="Cambria" w:hAnsi="Cambria" w:eastAsia="Microsoft YaHei" w:cs="Cambria"/>
          <w:color w:val="1A1A1A"/>
          <w:sz w:val="22"/>
          <w:szCs w:val="22"/>
        </w:rPr>
        <w:t>The Joint Management Board applies the following voting rules. All decisions require consensus of voting members. If consensus fails after 72 hours of consultation, the Chair calls a vote. Routine matters pass by simple majority. Enrichment-related matters and material disposition pass only by consensus.</w:t>
      </w:r>
    </w:p>
    <w:p>
      <w:pPr>
        <w:pStyle w:val="Normal"/>
        <w:ind w:left="720" w:hanging="360"/>
      </w:pPr>
      <w:r>
        <w:rPr>
          <w:b/>
          <w:rFonts w:ascii="Cambria" w:hAnsi="Cambria" w:eastAsia="Microsoft YaHei" w:cs="Cambria"/>
          <w:color w:val="1A1A1A"/>
          <w:sz w:val="22"/>
          <w:szCs w:val="22"/>
        </w:rPr>
        <w:t xml:space="preserve">(d) </w:t>
      </w:r>
      <w:r>
        <w:rPr>
          <w:rFonts w:ascii="Cambria" w:hAnsi="Cambria" w:eastAsia="Microsoft YaHei" w:cs="Cambria"/>
          <w:color w:val="1A1A1A"/>
          <w:sz w:val="22"/>
          <w:szCs w:val="22"/>
        </w:rPr>
        <w:t>Procedural matters: The Chair exercises discretion, subject to review by the full Board.</w:t>
      </w:r>
    </w:p>
    <w:p>
      <w:pPr>
        <w:pStyle w:val="Heading2"/>
      </w:pPr>
      <w:r>
        <w:rPr>
          <w:rFonts w:ascii="Cambria" w:hAnsi="Cambria" w:eastAsia="Microsoft YaHei" w:cs="Cambria"/>
          <w:b/>
          <w:color w:val="1A1A1A"/>
          <w:sz w:val="28"/>
          <w:szCs w:val="28"/>
        </w:rPr>
        <w:t>5.4 Chair</w:t>
      </w:r>
    </w:p>
    <w:p>
      <w:pPr>
        <w:pStyle w:val="Normal"/>
      </w:pPr>
      <w:r>
        <w:rPr>
          <w:rFonts w:ascii="Cambria" w:hAnsi="Cambria" w:eastAsia="Microsoft YaHei" w:cs="Cambria"/>
          <w:color w:val="1A1A1A"/>
          <w:sz w:val="22"/>
          <w:szCs w:val="22"/>
        </w:rPr>
        <w:t>Oman serves as the permanent non-voting Chair of the Joint Management Board. The Chair convenes meetings, sets the agenda, ensures due process, and facilitates consensus. The Chair does not vote on substantive matters but breaks ties on procedural matters.</w:t>
      </w:r>
    </w:p>
    <w:p>
      <w:pPr>
        <w:pStyle w:val="Heading2"/>
      </w:pPr>
      <w:r>
        <w:rPr>
          <w:rFonts w:ascii="Cambria" w:hAnsi="Cambria" w:eastAsia="Microsoft YaHei" w:cs="Cambria"/>
          <w:b/>
          <w:color w:val="1A1A1A"/>
          <w:sz w:val="28"/>
          <w:szCs w:val="28"/>
        </w:rPr>
        <w:t>5.5 Meetings</w:t>
      </w:r>
    </w:p>
    <w:p>
      <w:pPr>
        <w:pStyle w:val="Normal"/>
      </w:pPr>
      <w:r>
        <w:rPr>
          <w:rFonts w:ascii="Cambria" w:hAnsi="Cambria" w:eastAsia="Microsoft YaHei" w:cs="Cambria"/>
          <w:color w:val="1A1A1A"/>
          <w:sz w:val="22"/>
          <w:szCs w:val="22"/>
        </w:rPr>
        <w:t>The Joint Management Board convenes ordinary sessions quarterly. The Chair convenes emergency sessions within 48 hours upon written request of any voting member. Technical working groups meet monthly or as the Board determines.</w:t>
      </w:r>
    </w:p>
    <w:p>
      <w:pPr>
        <w:pStyle w:val="Heading1"/>
      </w:pPr>
      <w:bookmarkStart w:name="_TocArt6" w:id="7"/>
      <w:r>
        <w:rPr>
          <w:rFonts w:ascii="Cambria" w:hAnsi="Cambria" w:eastAsia="Microsoft YaHei" w:cs="Cambria"/>
          <w:b/>
          <w:color w:val="1A2744"/>
          <w:sz w:val="40"/>
          <w:szCs w:val="40"/>
        </w:rPr>
        <w:t>Article 6: Operations</w:t>
      </w:r>
      <w:bookmarkEnd w:id="7"/>
    </w:p>
    <w:p>
      <w:pPr>
        <w:pStyle w:val="Heading2"/>
      </w:pPr>
      <w:r>
        <w:rPr>
          <w:rFonts w:ascii="Cambria" w:hAnsi="Cambria" w:eastAsia="Microsoft YaHei" w:cs="Cambria"/>
          <w:b/>
          <w:color w:val="1A1A1A"/>
          <w:sz w:val="28"/>
          <w:szCs w:val="28"/>
        </w:rPr>
        <w:t>6.1 Covered Facilities</w:t>
      </w:r>
    </w:p>
    <w:p>
      <w:pPr>
        <w:pStyle w:val="Normal"/>
      </w:pPr>
      <w:r>
        <w:rPr>
          <w:rFonts w:ascii="Cambria" w:hAnsi="Cambria" w:eastAsia="Microsoft YaHei" w:cs="Cambria"/>
          <w:color w:val="1A1A1A"/>
          <w:sz w:val="22"/>
          <w:szCs w:val="22"/>
        </w:rPr>
        <w:t>This Charter covers the following facilities:</w:t>
      </w:r>
    </w:p>
    <w:p>
      <w:pPr>
        <w:pStyle w:val="Normal"/>
        <w:ind w:left="720" w:hanging="360"/>
      </w:pPr>
      <w:r>
        <w:rPr>
          <w:b/>
          <w:rFonts w:ascii="Cambria" w:hAnsi="Cambria" w:eastAsia="Microsoft YaHei" w:cs="Cambria"/>
          <w:color w:val="1A1A1A"/>
          <w:sz w:val="22"/>
          <w:szCs w:val="22"/>
        </w:rPr>
        <w:t xml:space="preserve">(a) </w:t>
      </w:r>
      <w:r>
        <w:rPr>
          <w:rFonts w:ascii="Cambria" w:hAnsi="Cambria" w:eastAsia="Microsoft YaHei" w:cs="Cambria"/>
          <w:color w:val="1A1A1A"/>
          <w:sz w:val="22"/>
          <w:szCs w:val="22"/>
        </w:rPr>
        <w:t>The Fordow Fuel Enrichment Plant (FFEP);</w:t>
      </w:r>
    </w:p>
    <w:p>
      <w:pPr>
        <w:pStyle w:val="Normal"/>
        <w:ind w:left="720" w:hanging="360"/>
      </w:pPr>
      <w:r>
        <w:rPr>
          <w:b/>
          <w:rFonts w:ascii="Cambria" w:hAnsi="Cambria" w:eastAsia="Microsoft YaHei" w:cs="Cambria"/>
          <w:color w:val="1A1A1A"/>
          <w:sz w:val="22"/>
          <w:szCs w:val="22"/>
        </w:rPr>
        <w:t xml:space="preserve">(b) </w:t>
      </w:r>
      <w:r>
        <w:rPr>
          <w:rFonts w:ascii="Cambria" w:hAnsi="Cambria" w:eastAsia="Microsoft YaHei" w:cs="Cambria"/>
          <w:color w:val="1A1A1A"/>
          <w:sz w:val="22"/>
          <w:szCs w:val="22"/>
        </w:rPr>
        <w:t>The Natanz Enrichment Complex, comprising the Fuel Enrichment Plant (FEP) and the Pilot Fuel Enrichment Plant (PFEP);</w:t>
      </w:r>
    </w:p>
    <w:p>
      <w:pPr>
        <w:pStyle w:val="Normal"/>
        <w:ind w:left="720" w:hanging="360"/>
      </w:pPr>
      <w:r>
        <w:rPr>
          <w:b/>
          <w:rFonts w:ascii="Cambria" w:hAnsi="Cambria" w:eastAsia="Microsoft YaHei" w:cs="Cambria"/>
          <w:color w:val="1A1A1A"/>
          <w:sz w:val="22"/>
          <w:szCs w:val="22"/>
        </w:rPr>
        <w:t xml:space="preserve">(c) </w:t>
      </w:r>
      <w:r>
        <w:rPr>
          <w:rFonts w:ascii="Cambria" w:hAnsi="Cambria" w:eastAsia="Microsoft YaHei" w:cs="Cambria"/>
          <w:color w:val="1A1A1A"/>
          <w:sz w:val="22"/>
          <w:szCs w:val="22"/>
        </w:rPr>
        <w:t>The Isfahan Nuclear Technology Center, comprising conversion and fuel fabrication facilities.</w:t>
      </w:r>
    </w:p>
    <w:p>
      <w:pPr>
        <w:pStyle w:val="Heading2"/>
      </w:pPr>
      <w:r>
        <w:rPr>
          <w:rFonts w:ascii="Cambria" w:hAnsi="Cambria" w:eastAsia="Microsoft YaHei" w:cs="Cambria"/>
          <w:b/>
          <w:color w:val="1A1A1A"/>
          <w:sz w:val="28"/>
          <w:szCs w:val="28"/>
        </w:rPr>
        <w:t>6.2 Enrichment Parameters</w:t>
      </w:r>
    </w:p>
    <w:p>
      <w:pPr>
        <w:pStyle w:val="Normal"/>
      </w:pPr>
      <w:r>
        <w:rPr>
          <w:rFonts w:ascii="Cambria" w:hAnsi="Cambria" w:eastAsia="Microsoft YaHei" w:cs="Cambria"/>
          <w:color w:val="1A1A1A"/>
          <w:sz w:val="22"/>
          <w:szCs w:val="22"/>
        </w:rPr>
        <w:t>The maximum enrichment level at all covered facilities is the Civilian Enrichment Level (CEL) of 3.67% U-235. The framework architecture excludes enrichment above this level. Continuous IAEA monitoring verifies all enrichment activities. Any attempt to exceed this limit triggers the procedures in Article 13.3.</w:t>
      </w:r>
    </w:p>
    <w:p>
      <w:pPr>
        <w:pStyle w:val="Heading2"/>
      </w:pPr>
      <w:r>
        <w:rPr>
          <w:rFonts w:ascii="Cambria" w:hAnsi="Cambria" w:eastAsia="Microsoft YaHei" w:cs="Cambria"/>
          <w:b/>
          <w:color w:val="1A1A1A"/>
          <w:sz w:val="28"/>
          <w:szCs w:val="28"/>
        </w:rPr>
        <w:t>6.3 Material Accountancy</w:t>
      </w:r>
    </w:p>
    <w:p>
      <w:pPr>
        <w:pStyle w:val="Normal"/>
      </w:pPr>
      <w:r>
        <w:rPr>
          <w:rFonts w:ascii="Cambria" w:hAnsi="Cambria" w:eastAsia="Microsoft YaHei" w:cs="Cambria"/>
          <w:color w:val="1A1A1A"/>
          <w:sz w:val="22"/>
          <w:szCs w:val="22"/>
        </w:rPr>
        <w:t>Iran maintains comprehensive material accountancy records for all nuclear material at the covered facilities. IAEA verifies all accountancy records. The Joint Management Board reviews material accountancy reports quarterly.</w:t>
      </w:r>
    </w:p>
    <w:p>
      <w:pPr>
        <w:pStyle w:val="Heading2"/>
      </w:pPr>
      <w:r>
        <w:rPr>
          <w:rFonts w:ascii="Cambria" w:hAnsi="Cambria" w:eastAsia="Microsoft YaHei" w:cs="Cambria"/>
          <w:b/>
          <w:color w:val="1A1A1A"/>
          <w:sz w:val="28"/>
          <w:szCs w:val="28"/>
        </w:rPr>
        <w:t>6.4 Facility Modifications</w:t>
      </w:r>
    </w:p>
    <w:p>
      <w:pPr>
        <w:pStyle w:val="Normal"/>
      </w:pPr>
      <w:r>
        <w:rPr>
          <w:rFonts w:ascii="Cambria" w:hAnsi="Cambria" w:eastAsia="Microsoft YaHei" w:cs="Cambria"/>
          <w:color w:val="1A1A1A"/>
          <w:sz w:val="22"/>
          <w:szCs w:val="22"/>
        </w:rPr>
        <w:t>Any modification to the physical configuration of covered facilities requires prior approval by the Joint Management Board. All modifications remain subject to IAEA verification before activation. Iran submits modification proposals to the Board with full technical specifications and a timeline for implementation.</w:t>
      </w:r>
    </w:p>
    <w:p>
      <w:pPr>
        <w:pStyle w:val="Heading1"/>
      </w:pPr>
      <w:bookmarkStart w:name="_TocArt7" w:id="8"/>
      <w:r>
        <w:rPr>
          <w:rFonts w:ascii="Cambria" w:hAnsi="Cambria" w:eastAsia="Microsoft YaHei" w:cs="Cambria"/>
          <w:b/>
          <w:color w:val="1A2744"/>
          <w:sz w:val="40"/>
          <w:szCs w:val="40"/>
        </w:rPr>
        <w:t>Article 7: IAEA Relations</w:t>
      </w:r>
      <w:bookmarkEnd w:id="8"/>
    </w:p>
    <w:p>
      <w:pPr>
        <w:pStyle w:val="Heading2"/>
      </w:pPr>
      <w:r>
        <w:rPr>
          <w:rFonts w:ascii="Cambria" w:hAnsi="Cambria" w:eastAsia="Microsoft YaHei" w:cs="Cambria"/>
          <w:b/>
          <w:color w:val="1A1A1A"/>
          <w:sz w:val="28"/>
          <w:szCs w:val="28"/>
        </w:rPr>
        <w:t>7.1 IAEA Inspection Regime</w:t>
      </w:r>
    </w:p>
    <w:p>
      <w:pPr>
        <w:pStyle w:val="Normal"/>
      </w:pPr>
      <w:r>
        <w:rPr>
          <w:rFonts w:ascii="Cambria" w:hAnsi="Cambria" w:eastAsia="Microsoft YaHei" w:cs="Cambria"/>
          <w:color w:val="1A1A1A"/>
          <w:sz w:val="22"/>
          <w:szCs w:val="22"/>
        </w:rPr>
        <w:t>IAEA inspectors operate a permanent inspection office at each covered facility. Rotating inspector teams maintain 24-hour monitoring capability through continuous technical surveillance systems. Iran provides inspector access in accordance with the applicable Verification Annex and agreed managed-access procedures. The Verification Annex defines the specific areas, equipment, persons, and records subject to inspection, together with the managed-access protocols that protect legitimately sensitive information unrelated to verification objectives.</w:t>
      </w:r>
    </w:p>
    <w:p>
      <w:pPr>
        <w:pStyle w:val="Heading2"/>
      </w:pPr>
      <w:r>
        <w:rPr>
          <w:rFonts w:ascii="Cambria" w:hAnsi="Cambria" w:eastAsia="Microsoft YaHei" w:cs="Cambria"/>
          <w:b/>
          <w:color w:val="1A1A1A"/>
          <w:sz w:val="28"/>
          <w:szCs w:val="28"/>
        </w:rPr>
        <w:t>7.2 Verification Reports</w:t>
      </w:r>
    </w:p>
    <w:p>
      <w:pPr>
        <w:pStyle w:val="Normal"/>
      </w:pPr>
      <w:r>
        <w:rPr>
          <w:rFonts w:ascii="Cambria" w:hAnsi="Cambria" w:eastAsia="Microsoft YaHei" w:cs="Cambria"/>
          <w:color w:val="1A1A1A"/>
          <w:sz w:val="22"/>
          <w:szCs w:val="22"/>
        </w:rPr>
        <w:t>IAEA reports directly to the Director General of the IAEA. IAEA technical findings are not subject to review, modification, or approval by MENOC or any political body. MENOC receives the Baseline Verification Certificate and summary reports for coordination purposes only. The Joint Management Board distributes these summaries to all members of the Joint Commission.</w:t>
      </w:r>
    </w:p>
    <w:p>
      <w:pPr>
        <w:pStyle w:val="Heading2"/>
      </w:pPr>
      <w:r>
        <w:rPr>
          <w:rFonts w:ascii="Cambria" w:hAnsi="Cambria" w:eastAsia="Microsoft YaHei" w:cs="Cambria"/>
          <w:b/>
          <w:color w:val="1A1A1A"/>
          <w:sz w:val="28"/>
          <w:szCs w:val="28"/>
        </w:rPr>
        <w:t>7.3 Funding</w:t>
      </w:r>
    </w:p>
    <w:p>
      <w:pPr>
        <w:pStyle w:val="Normal"/>
      </w:pPr>
      <w:r>
        <w:rPr>
          <w:rFonts w:ascii="Cambria" w:hAnsi="Cambria" w:eastAsia="Microsoft YaHei" w:cs="Cambria"/>
          <w:color w:val="1A1A1A"/>
          <w:sz w:val="22"/>
          <w:szCs w:val="22"/>
        </w:rPr>
        <w:t>MENOC funds all IAEA verification activities at covered facilities through the consortium's annual budget. The Joint Management Board includes IAEA verification costs in each budget cycle. IAEA submits its cost estimates for verification activities annually for Board approval.</w:t>
      </w:r>
    </w:p>
    <w:p>
      <w:pPr>
        <w:pStyle w:val="Heading2"/>
      </w:pPr>
      <w:r>
        <w:rPr>
          <w:rFonts w:ascii="Cambria" w:hAnsi="Cambria" w:eastAsia="Microsoft YaHei" w:cs="Cambria"/>
          <w:b/>
          <w:color w:val="1A1A1A"/>
          <w:sz w:val="28"/>
          <w:szCs w:val="28"/>
        </w:rPr>
        <w:t>7.4 Relationship to Safeguards Agreement</w:t>
      </w:r>
    </w:p>
    <w:p>
      <w:pPr>
        <w:pStyle w:val="Normal"/>
      </w:pPr>
      <w:r>
        <w:rPr>
          <w:rFonts w:ascii="Cambria" w:hAnsi="Cambria" w:eastAsia="Microsoft YaHei" w:cs="Cambria"/>
          <w:color w:val="1A1A1A"/>
          <w:sz w:val="22"/>
          <w:szCs w:val="22"/>
        </w:rPr>
        <w:t>Nothing in this Charter amends, supersedes, or otherwise alters Iran's NPT Safeguards Agreement. This Charter operates as a supplementary arrangement that reinforces existing safeguards obligations. IAEA safeguards remain the sole and primary verification mechanism. MENOC facilitates IAEA verification activities but exercises no independent verification authority. MENOC does not override, reinterpret, or substitute its judgment for IAEA technical findings. The IAEA Director General holds exclusive authority to determine the technical adequacy of verification activities and the compliance significance of inspection results.</w:t>
      </w:r>
    </w:p>
    <w:p>
      <w:pPr>
        <w:pStyle w:val="Heading1"/>
      </w:pPr>
      <w:bookmarkStart w:name="_TocArt8" w:id="9"/>
      <w:r>
        <w:rPr>
          <w:rFonts w:ascii="Cambria" w:hAnsi="Cambria" w:eastAsia="Microsoft YaHei" w:cs="Cambria"/>
          <w:b/>
          <w:color w:val="1A2744"/>
          <w:sz w:val="40"/>
          <w:szCs w:val="40"/>
        </w:rPr>
        <w:t>Article 8: Joint Commission</w:t>
      </w:r>
      <w:bookmarkEnd w:id="9"/>
    </w:p>
    <w:p>
      <w:pPr>
        <w:pStyle w:val="Heading2"/>
      </w:pPr>
      <w:r>
        <w:rPr>
          <w:rFonts w:ascii="Cambria" w:hAnsi="Cambria" w:eastAsia="Microsoft YaHei" w:cs="Cambria"/>
          <w:b/>
          <w:color w:val="1A1A1A"/>
          <w:sz w:val="28"/>
          <w:szCs w:val="28"/>
        </w:rPr>
        <w:t>8.1 Establishment</w:t>
      </w:r>
    </w:p>
    <w:p>
      <w:pPr>
        <w:pStyle w:val="Normal"/>
      </w:pPr>
      <w:r>
        <w:rPr>
          <w:rFonts w:ascii="Cambria" w:hAnsi="Cambria" w:eastAsia="Microsoft YaHei" w:cs="Cambria"/>
          <w:color w:val="1A1A1A"/>
          <w:sz w:val="22"/>
          <w:szCs w:val="22"/>
        </w:rPr>
        <w:t>The Joint Commission serves as the political oversight body of MENOC.</w:t>
      </w:r>
    </w:p>
    <w:p>
      <w:pPr>
        <w:pStyle w:val="Heading2"/>
      </w:pPr>
      <w:r>
        <w:rPr>
          <w:rFonts w:ascii="Cambria" w:hAnsi="Cambria" w:eastAsia="Microsoft YaHei" w:cs="Cambria"/>
          <w:b/>
          <w:color w:val="1A1A1A"/>
          <w:sz w:val="28"/>
          <w:szCs w:val="28"/>
        </w:rPr>
        <w:t>8.2 Composition</w:t>
      </w:r>
    </w:p>
    <w:p>
      <w:pPr>
        <w:pStyle w:val="Normal"/>
      </w:pPr>
      <w:r>
        <w:rPr>
          <w:rFonts w:ascii="Cambria" w:hAnsi="Cambria" w:eastAsia="Microsoft YaHei" w:cs="Cambria"/>
          <w:color w:val="1A1A1A"/>
          <w:sz w:val="22"/>
          <w:szCs w:val="22"/>
        </w:rPr>
        <w:t>The Joint Commission comprises representatives of:</w:t>
      </w:r>
    </w:p>
    <w:p>
      <w:pPr>
        <w:pStyle w:val="Normal"/>
        <w:ind w:left="720" w:hanging="360"/>
      </w:pPr>
      <w:r>
        <w:rPr>
          <w:b/>
          <w:rFonts w:ascii="Cambria" w:hAnsi="Cambria" w:eastAsia="Microsoft YaHei" w:cs="Cambria"/>
          <w:color w:val="1A1A1A"/>
          <w:sz w:val="22"/>
          <w:szCs w:val="22"/>
        </w:rPr>
        <w:t xml:space="preserve">(a) </w:t>
      </w:r>
      <w:r>
        <w:rPr>
          <w:rFonts w:ascii="Cambria" w:hAnsi="Cambria" w:eastAsia="Microsoft YaHei" w:cs="Cambria"/>
          <w:color w:val="1A1A1A"/>
          <w:sz w:val="22"/>
          <w:szCs w:val="22"/>
        </w:rPr>
        <w:t>The Islamic Republic of Iran;</w:t>
      </w:r>
    </w:p>
    <w:p>
      <w:pPr>
        <w:pStyle w:val="Normal"/>
        <w:ind w:left="720" w:hanging="360"/>
      </w:pPr>
      <w:r>
        <w:rPr>
          <w:b/>
          <w:rFonts w:ascii="Cambria" w:hAnsi="Cambria" w:eastAsia="Microsoft YaHei" w:cs="Cambria"/>
          <w:color w:val="1A1A1A"/>
          <w:sz w:val="22"/>
          <w:szCs w:val="22"/>
        </w:rPr>
        <w:t xml:space="preserve">(b) </w:t>
      </w:r>
      <w:r>
        <w:rPr>
          <w:rFonts w:ascii="Cambria" w:hAnsi="Cambria" w:eastAsia="Microsoft YaHei" w:cs="Cambria"/>
          <w:color w:val="1A1A1A"/>
          <w:sz w:val="22"/>
          <w:szCs w:val="22"/>
        </w:rPr>
        <w:t>The United States of America;</w:t>
      </w:r>
    </w:p>
    <w:p>
      <w:pPr>
        <w:pStyle w:val="Normal"/>
        <w:ind w:left="720" w:hanging="360"/>
      </w:pPr>
      <w:r>
        <w:rPr>
          <w:b/>
          <w:rFonts w:ascii="Cambria" w:hAnsi="Cambria" w:eastAsia="Microsoft YaHei" w:cs="Cambria"/>
          <w:color w:val="1A1A1A"/>
          <w:sz w:val="22"/>
          <w:szCs w:val="22"/>
        </w:rPr>
        <w:t xml:space="preserve">(c) </w:t>
      </w:r>
      <w:r>
        <w:rPr>
          <w:rFonts w:ascii="Cambria" w:hAnsi="Cambria" w:eastAsia="Microsoft YaHei" w:cs="Cambria"/>
          <w:color w:val="1A1A1A"/>
          <w:sz w:val="22"/>
          <w:szCs w:val="22"/>
        </w:rPr>
        <w:t>The European Union;</w:t>
      </w:r>
    </w:p>
    <w:p>
      <w:pPr>
        <w:pStyle w:val="Normal"/>
        <w:ind w:left="720" w:hanging="360"/>
      </w:pPr>
      <w:r>
        <w:rPr>
          <w:b/>
          <w:rFonts w:ascii="Cambria" w:hAnsi="Cambria" w:eastAsia="Microsoft YaHei" w:cs="Cambria"/>
          <w:color w:val="1A1A1A"/>
          <w:sz w:val="22"/>
          <w:szCs w:val="22"/>
        </w:rPr>
        <w:t xml:space="preserve">(d) </w:t>
      </w:r>
      <w:r>
        <w:rPr>
          <w:rFonts w:ascii="Cambria" w:hAnsi="Cambria" w:eastAsia="Microsoft YaHei" w:cs="Cambria"/>
          <w:color w:val="1A1A1A"/>
          <w:sz w:val="22"/>
          <w:szCs w:val="22"/>
        </w:rPr>
        <w:t>The Russian Federation;</w:t>
      </w:r>
    </w:p>
    <w:p>
      <w:pPr>
        <w:pStyle w:val="Normal"/>
        <w:ind w:left="720" w:hanging="360"/>
      </w:pPr>
      <w:r>
        <w:rPr>
          <w:b/>
          <w:rFonts w:ascii="Cambria" w:hAnsi="Cambria" w:eastAsia="Microsoft YaHei" w:cs="Cambria"/>
          <w:color w:val="1A1A1A"/>
          <w:sz w:val="22"/>
          <w:szCs w:val="22"/>
        </w:rPr>
        <w:t xml:space="preserve">(e) </w:t>
      </w:r>
      <w:r>
        <w:rPr>
          <w:rFonts w:ascii="Cambria" w:hAnsi="Cambria" w:eastAsia="Microsoft YaHei" w:cs="Cambria"/>
          <w:color w:val="1A1A1A"/>
          <w:sz w:val="22"/>
          <w:szCs w:val="22"/>
        </w:rPr>
        <w:t>The People's Republic of China;</w:t>
      </w:r>
    </w:p>
    <w:p>
      <w:pPr>
        <w:pStyle w:val="Normal"/>
        <w:ind w:left="720" w:hanging="360"/>
      </w:pPr>
      <w:r>
        <w:rPr>
          <w:b/>
          <w:rFonts w:ascii="Cambria" w:hAnsi="Cambria" w:eastAsia="Microsoft YaHei" w:cs="Cambria"/>
          <w:color w:val="1A1A1A"/>
          <w:sz w:val="22"/>
          <w:szCs w:val="22"/>
        </w:rPr>
        <w:t xml:space="preserve">(f) </w:t>
      </w:r>
      <w:r>
        <w:rPr>
          <w:rFonts w:ascii="Cambria" w:hAnsi="Cambria" w:eastAsia="Microsoft YaHei" w:cs="Cambria"/>
          <w:color w:val="1A1A1A"/>
          <w:sz w:val="22"/>
          <w:szCs w:val="22"/>
        </w:rPr>
        <w:t>The Sultanate of Oman;</w:t>
      </w:r>
    </w:p>
    <w:p>
      <w:pPr>
        <w:pStyle w:val="Normal"/>
        <w:ind w:left="720" w:hanging="360"/>
      </w:pPr>
      <w:r>
        <w:rPr>
          <w:b/>
          <w:rFonts w:ascii="Cambria" w:hAnsi="Cambria" w:eastAsia="Microsoft YaHei" w:cs="Cambria"/>
          <w:color w:val="1A1A1A"/>
          <w:sz w:val="22"/>
          <w:szCs w:val="22"/>
        </w:rPr>
        <w:t xml:space="preserve">(g) </w:t>
      </w:r>
      <w:r>
        <w:rPr>
          <w:rFonts w:ascii="Cambria" w:hAnsi="Cambria" w:eastAsia="Microsoft YaHei" w:cs="Cambria"/>
          <w:color w:val="1A1A1A"/>
          <w:sz w:val="22"/>
          <w:szCs w:val="22"/>
        </w:rPr>
        <w:t>The United Arab Emirates.</w:t>
      </w:r>
    </w:p>
    <w:p>
      <w:pPr>
        <w:pStyle w:val="Heading2"/>
      </w:pPr>
      <w:r>
        <w:rPr>
          <w:rFonts w:ascii="Cambria" w:hAnsi="Cambria" w:eastAsia="Microsoft YaHei" w:cs="Cambria"/>
          <w:b/>
          <w:color w:val="1A1A1A"/>
          <w:sz w:val="28"/>
          <w:szCs w:val="28"/>
        </w:rPr>
        <w:t>8.3 Functions</w:t>
      </w:r>
    </w:p>
    <w:p>
      <w:pPr>
        <w:pStyle w:val="Normal"/>
      </w:pPr>
      <w:r>
        <w:rPr>
          <w:rFonts w:ascii="Cambria" w:hAnsi="Cambria" w:eastAsia="Microsoft YaHei" w:cs="Cambria"/>
          <w:color w:val="1A1A1A"/>
          <w:sz w:val="22"/>
          <w:szCs w:val="22"/>
        </w:rPr>
        <w:t>The Joint Commission exercises the following functions:</w:t>
      </w:r>
    </w:p>
    <w:p>
      <w:pPr>
        <w:pStyle w:val="Normal"/>
        <w:ind w:left="720" w:hanging="360"/>
      </w:pPr>
      <w:r>
        <w:rPr>
          <w:b/>
          <w:rFonts w:ascii="Cambria" w:hAnsi="Cambria" w:eastAsia="Microsoft YaHei" w:cs="Cambria"/>
          <w:color w:val="1A1A1A"/>
          <w:sz w:val="22"/>
          <w:szCs w:val="22"/>
        </w:rPr>
        <w:t xml:space="preserve">(a) </w:t>
      </w:r>
      <w:r>
        <w:rPr>
          <w:rFonts w:ascii="Cambria" w:hAnsi="Cambria" w:eastAsia="Microsoft YaHei" w:cs="Cambria"/>
          <w:color w:val="1A1A1A"/>
          <w:sz w:val="22"/>
          <w:szCs w:val="22"/>
        </w:rPr>
        <w:t>The Commission reviews IAEA findings and assesses their political implications.</w:t>
      </w:r>
    </w:p>
    <w:p>
      <w:pPr>
        <w:pStyle w:val="Normal"/>
        <w:ind w:left="720" w:hanging="360"/>
      </w:pPr>
      <w:r>
        <w:rPr>
          <w:b/>
          <w:rFonts w:ascii="Cambria" w:hAnsi="Cambria" w:eastAsia="Microsoft YaHei" w:cs="Cambria"/>
          <w:color w:val="1A1A1A"/>
          <w:sz w:val="22"/>
          <w:szCs w:val="22"/>
        </w:rPr>
        <w:t xml:space="preserve">(b) </w:t>
      </w:r>
      <w:r>
        <w:rPr>
          <w:rFonts w:ascii="Cambria" w:hAnsi="Cambria" w:eastAsia="Microsoft YaHei" w:cs="Cambria"/>
          <w:color w:val="1A1A1A"/>
          <w:sz w:val="22"/>
          <w:szCs w:val="22"/>
        </w:rPr>
        <w:t>The Commission coordinates the sequencing of sanctions relief.</w:t>
      </w:r>
    </w:p>
    <w:p>
      <w:pPr>
        <w:pStyle w:val="Normal"/>
        <w:ind w:left="720" w:hanging="360"/>
      </w:pPr>
      <w:r>
        <w:rPr>
          <w:b/>
          <w:rFonts w:ascii="Cambria" w:hAnsi="Cambria" w:eastAsia="Microsoft YaHei" w:cs="Cambria"/>
          <w:color w:val="1A1A1A"/>
          <w:sz w:val="22"/>
          <w:szCs w:val="22"/>
        </w:rPr>
        <w:t xml:space="preserve">(c) </w:t>
      </w:r>
      <w:r>
        <w:rPr>
          <w:rFonts w:ascii="Cambria" w:hAnsi="Cambria" w:eastAsia="Microsoft YaHei" w:cs="Cambria"/>
          <w:color w:val="1A1A1A"/>
          <w:sz w:val="22"/>
          <w:szCs w:val="22"/>
        </w:rPr>
        <w:t>The Commission resolves disputes not resolved by the Joint Management Board.</w:t>
      </w:r>
    </w:p>
    <w:p>
      <w:pPr>
        <w:pStyle w:val="Normal"/>
        <w:ind w:left="720" w:hanging="360"/>
      </w:pPr>
      <w:r>
        <w:rPr>
          <w:b/>
          <w:rFonts w:ascii="Cambria" w:hAnsi="Cambria" w:eastAsia="Microsoft YaHei" w:cs="Cambria"/>
          <w:color w:val="1A1A1A"/>
          <w:sz w:val="22"/>
          <w:szCs w:val="22"/>
        </w:rPr>
        <w:t xml:space="preserve">(d) </w:t>
      </w:r>
      <w:r>
        <w:rPr>
          <w:rFonts w:ascii="Cambria" w:hAnsi="Cambria" w:eastAsia="Microsoft YaHei" w:cs="Cambria"/>
          <w:color w:val="1A1A1A"/>
          <w:sz w:val="22"/>
          <w:szCs w:val="22"/>
        </w:rPr>
        <w:t>The Commission authorizes emergency measures under Article 10.</w:t>
      </w:r>
    </w:p>
    <w:p>
      <w:pPr>
        <w:pStyle w:val="Normal"/>
        <w:ind w:left="720" w:hanging="360"/>
      </w:pPr>
      <w:r>
        <w:rPr>
          <w:b/>
          <w:rFonts w:ascii="Cambria" w:hAnsi="Cambria" w:eastAsia="Microsoft YaHei" w:cs="Cambria"/>
          <w:color w:val="1A1A1A"/>
          <w:sz w:val="22"/>
          <w:szCs w:val="22"/>
        </w:rPr>
        <w:t xml:space="preserve">(e) </w:t>
      </w:r>
      <w:r>
        <w:rPr>
          <w:rFonts w:ascii="Cambria" w:hAnsi="Cambria" w:eastAsia="Microsoft YaHei" w:cs="Cambria"/>
          <w:color w:val="1A1A1A"/>
          <w:sz w:val="22"/>
          <w:szCs w:val="22"/>
        </w:rPr>
        <w:t>The Commission mediates disagreements between members.</w:t>
      </w:r>
    </w:p>
    <w:p>
      <w:pPr>
        <w:pStyle w:val="Normal"/>
        <w:ind w:left="720" w:hanging="360"/>
      </w:pPr>
      <w:r>
        <w:rPr>
          <w:b/>
          <w:rFonts w:ascii="Cambria" w:hAnsi="Cambria" w:eastAsia="Microsoft YaHei" w:cs="Cambria"/>
          <w:color w:val="1A1A1A"/>
          <w:sz w:val="22"/>
          <w:szCs w:val="22"/>
        </w:rPr>
        <w:t xml:space="preserve">(f) </w:t>
      </w:r>
      <w:r>
        <w:rPr>
          <w:rFonts w:ascii="Cambria" w:hAnsi="Cambria" w:eastAsia="Microsoft YaHei" w:cs="Cambria"/>
          <w:color w:val="1A1A1A"/>
          <w:sz w:val="22"/>
          <w:szCs w:val="22"/>
        </w:rPr>
        <w:t>The Commission reviews and approves the annual budget recommendation.</w:t>
      </w:r>
    </w:p>
    <w:p>
      <w:pPr>
        <w:pStyle w:val="Heading2"/>
      </w:pPr>
      <w:r>
        <w:rPr>
          <w:rFonts w:ascii="Cambria" w:hAnsi="Cambria" w:eastAsia="Microsoft YaHei" w:cs="Cambria"/>
          <w:b/>
          <w:color w:val="1A1A1A"/>
          <w:sz w:val="28"/>
          <w:szCs w:val="28"/>
        </w:rPr>
        <w:t>8.4 Relationship to the Joint Management Board</w:t>
      </w:r>
    </w:p>
    <w:p>
      <w:pPr>
        <w:pStyle w:val="Normal"/>
      </w:pPr>
      <w:r>
        <w:rPr>
          <w:rFonts w:ascii="Cambria" w:hAnsi="Cambria" w:eastAsia="Microsoft YaHei" w:cs="Cambria"/>
          <w:color w:val="1A1A1A"/>
          <w:sz w:val="22"/>
          <w:szCs w:val="22"/>
        </w:rPr>
        <w:t>The Joint Management Board handles operational matters. The Joint Commission handles political and strategic matters. The Joint Commission does not alter, override, or reinterpret IAEA technical findings. The Joint Management Board implements decisions of the Joint Commission that fall within the operational scope of the Board.</w:t>
      </w:r>
    </w:p>
    <w:p>
      <w:pPr>
        <w:pStyle w:val="Heading2"/>
      </w:pPr>
      <w:r>
        <w:rPr>
          <w:rFonts w:ascii="Cambria" w:hAnsi="Cambria" w:eastAsia="Microsoft YaHei" w:cs="Cambria"/>
          <w:b/>
          <w:color w:val="1A1A1A"/>
          <w:sz w:val="28"/>
          <w:szCs w:val="28"/>
        </w:rPr>
        <w:t>8.5 Voting</w:t>
      </w:r>
    </w:p>
    <w:p>
      <w:pPr>
        <w:pStyle w:val="Normal"/>
      </w:pPr>
      <w:r>
        <w:rPr>
          <w:rFonts w:ascii="Cambria" w:hAnsi="Cambria" w:eastAsia="Microsoft YaHei" w:cs="Cambria"/>
          <w:color w:val="1A1A1A"/>
          <w:sz w:val="22"/>
          <w:szCs w:val="22"/>
        </w:rPr>
        <w:t>The Joint Commission applies the following voting rules:</w:t>
      </w:r>
    </w:p>
    <w:p>
      <w:pPr>
        <w:pStyle w:val="Normal"/>
        <w:ind w:left="720" w:hanging="360"/>
      </w:pPr>
      <w:r>
        <w:rPr>
          <w:b/>
          <w:rFonts w:ascii="Cambria" w:hAnsi="Cambria" w:eastAsia="Microsoft YaHei" w:cs="Cambria"/>
          <w:color w:val="1A1A1A"/>
          <w:sz w:val="22"/>
          <w:szCs w:val="22"/>
        </w:rPr>
        <w:t xml:space="preserve">(a) </w:t>
      </w:r>
      <w:r>
        <w:rPr>
          <w:rFonts w:ascii="Cambria" w:hAnsi="Cambria" w:eastAsia="Microsoft YaHei" w:cs="Cambria"/>
          <w:color w:val="1A1A1A"/>
          <w:sz w:val="22"/>
          <w:szCs w:val="22"/>
        </w:rPr>
        <w:t>Routine matters: A simple majority of members present and voting decides the matter.</w:t>
      </w:r>
    </w:p>
    <w:p>
      <w:pPr>
        <w:pStyle w:val="Normal"/>
        <w:ind w:left="720" w:hanging="360"/>
      </w:pPr>
      <w:r>
        <w:rPr>
          <w:b/>
          <w:rFonts w:ascii="Cambria" w:hAnsi="Cambria" w:eastAsia="Microsoft YaHei" w:cs="Cambria"/>
          <w:color w:val="1A1A1A"/>
          <w:sz w:val="22"/>
          <w:szCs w:val="22"/>
        </w:rPr>
        <w:t xml:space="preserve">(b) </w:t>
      </w:r>
      <w:r>
        <w:rPr>
          <w:rFonts w:ascii="Cambria" w:hAnsi="Cambria" w:eastAsia="Microsoft YaHei" w:cs="Cambria"/>
          <w:color w:val="1A1A1A"/>
          <w:sz w:val="22"/>
          <w:szCs w:val="22"/>
        </w:rPr>
        <w:t>Technical interpretation matters: Consensus minus the parties in dispute decides the matter.</w:t>
      </w:r>
    </w:p>
    <w:p>
      <w:pPr>
        <w:pStyle w:val="Normal"/>
        <w:ind w:left="720" w:hanging="360"/>
      </w:pPr>
      <w:r>
        <w:rPr>
          <w:b/>
          <w:rFonts w:ascii="Cambria" w:hAnsi="Cambria" w:eastAsia="Microsoft YaHei" w:cs="Cambria"/>
          <w:color w:val="1A1A1A"/>
          <w:sz w:val="22"/>
          <w:szCs w:val="22"/>
        </w:rPr>
        <w:t xml:space="preserve">(c) </w:t>
      </w:r>
      <w:r>
        <w:rPr>
          <w:rFonts w:ascii="Cambria" w:hAnsi="Cambria" w:eastAsia="Microsoft YaHei" w:cs="Cambria"/>
          <w:color w:val="1A1A1A"/>
          <w:sz w:val="22"/>
          <w:szCs w:val="22"/>
        </w:rPr>
        <w:t>Sanctions recommendations: Consensus of all members decides the matter.</w:t>
      </w:r>
    </w:p>
    <w:p>
      <w:pPr>
        <w:pStyle w:val="Normal"/>
        <w:ind w:left="720" w:hanging="360"/>
      </w:pPr>
      <w:r>
        <w:rPr>
          <w:b/>
          <w:rFonts w:ascii="Cambria" w:hAnsi="Cambria" w:eastAsia="Microsoft YaHei" w:cs="Cambria"/>
          <w:color w:val="1A1A1A"/>
          <w:sz w:val="22"/>
          <w:szCs w:val="22"/>
        </w:rPr>
        <w:t xml:space="preserve">(d) </w:t>
      </w:r>
      <w:r>
        <w:rPr>
          <w:rFonts w:ascii="Cambria" w:hAnsi="Cambria" w:eastAsia="Microsoft YaHei" w:cs="Cambria"/>
          <w:color w:val="1A1A1A"/>
          <w:sz w:val="22"/>
          <w:szCs w:val="22"/>
        </w:rPr>
        <w:t>Emergency measures: A supermajority of five of seven members decides the matter.</w:t>
      </w:r>
    </w:p>
    <w:p>
      <w:pPr>
        <w:pStyle w:val="Heading1"/>
      </w:pPr>
      <w:bookmarkStart w:name="_TocArt9" w:id="10"/>
      <w:r>
        <w:rPr>
          <w:rFonts w:ascii="Cambria" w:hAnsi="Cambria" w:eastAsia="Microsoft YaHei" w:cs="Cambria"/>
          <w:b/>
          <w:color w:val="1A2744"/>
          <w:sz w:val="40"/>
          <w:szCs w:val="40"/>
        </w:rPr>
        <w:t>Article 9: Verification Standards</w:t>
      </w:r>
      <w:bookmarkEnd w:id="10"/>
    </w:p>
    <w:p>
      <w:pPr>
        <w:pStyle w:val="Heading2"/>
      </w:pPr>
      <w:r>
        <w:rPr>
          <w:rFonts w:ascii="Cambria" w:hAnsi="Cambria" w:eastAsia="Microsoft YaHei" w:cs="Cambria"/>
          <w:b/>
          <w:color w:val="1A1A1A"/>
          <w:sz w:val="28"/>
          <w:szCs w:val="28"/>
        </w:rPr>
        <w:t>9.1 IAEA-Led Verification</w:t>
      </w:r>
    </w:p>
    <w:p>
      <w:pPr>
        <w:pStyle w:val="Normal"/>
      </w:pPr>
      <w:r>
        <w:rPr>
          <w:rFonts w:ascii="Cambria" w:hAnsi="Cambria" w:eastAsia="Microsoft YaHei" w:cs="Cambria"/>
          <w:color w:val="1A1A1A"/>
          <w:sz w:val="22"/>
          <w:szCs w:val="22"/>
        </w:rPr>
        <w:t>The IAEA serves as the sole verification authority under this Charter. Partner state observers accompany IAEA inspection teams only under IAEA authority and IAEA procedural control. No member state conducts independent verification activities at the covered facilities.</w:t>
      </w:r>
    </w:p>
    <w:p>
      <w:pPr>
        <w:pStyle w:val="Heading2"/>
      </w:pPr>
      <w:r>
        <w:rPr>
          <w:rFonts w:ascii="Cambria" w:hAnsi="Cambria" w:eastAsia="Microsoft YaHei" w:cs="Cambria"/>
          <w:b/>
          <w:color w:val="1A1A1A"/>
          <w:sz w:val="28"/>
          <w:szCs w:val="28"/>
        </w:rPr>
        <w:t>9.2 Transparency Standard</w:t>
      </w:r>
    </w:p>
    <w:p>
      <w:pPr>
        <w:pStyle w:val="Normal"/>
      </w:pPr>
      <w:r>
        <w:rPr>
          <w:rFonts w:ascii="Cambria" w:hAnsi="Cambria" w:eastAsia="Microsoft YaHei" w:cs="Cambria"/>
          <w:color w:val="1A1A1A"/>
          <w:sz w:val="22"/>
          <w:szCs w:val="22"/>
        </w:rPr>
        <w:t>All covered facilities maintain real-time monitoring equipment. Continuous data feeds transmit to IAEA headquarters. The Activity Record remains immutable and auditable. No member alters, deletes, or interferes with monitoring data. The Joint Management Board receives the Baseline Verification Certificate and summary reports.</w:t>
      </w:r>
    </w:p>
    <w:p>
      <w:pPr>
        <w:pStyle w:val="Heading2"/>
      </w:pPr>
      <w:r>
        <w:rPr>
          <w:rFonts w:ascii="Cambria" w:hAnsi="Cambria" w:eastAsia="Microsoft YaHei" w:cs="Cambria"/>
          <w:b/>
          <w:color w:val="1A1A1A"/>
          <w:sz w:val="28"/>
          <w:szCs w:val="28"/>
        </w:rPr>
        <w:t>9.3 Safety Hold</w:t>
      </w:r>
    </w:p>
    <w:p>
      <w:pPr>
        <w:pStyle w:val="Normal"/>
      </w:pPr>
      <w:r>
        <w:rPr>
          <w:rFonts w:ascii="Cambria" w:hAnsi="Cambria" w:eastAsia="Microsoft YaHei" w:cs="Cambria"/>
          <w:color w:val="1A1A1A"/>
          <w:sz w:val="22"/>
          <w:szCs w:val="22"/>
        </w:rPr>
        <w:t>The Safety Hold mechanism under the Damaged Sites Protocol applies to all covered facilities. Iran invokes a Safety Hold on legitimate safety grounds. No penalty attaches to a properly invoked Safety Hold. Iran notifies the Joint Management Board and IAEA within 24 hours of invoking a Safety Hold and provides the technical basis for the invocation.</w:t>
      </w:r>
    </w:p>
    <w:p>
      <w:pPr>
        <w:pStyle w:val="Heading2"/>
      </w:pPr>
      <w:r>
        <w:rPr>
          <w:rFonts w:ascii="Cambria" w:hAnsi="Cambria" w:eastAsia="Microsoft YaHei" w:cs="Cambria"/>
          <w:b/>
          <w:color w:val="1A1A1A"/>
          <w:sz w:val="28"/>
          <w:szCs w:val="28"/>
        </w:rPr>
        <w:t>9.4 Data Sovereignty</w:t>
      </w:r>
    </w:p>
    <w:p>
      <w:pPr>
        <w:pStyle w:val="Normal"/>
      </w:pPr>
      <w:r>
        <w:rPr>
          <w:rFonts w:ascii="Cambria" w:hAnsi="Cambria" w:eastAsia="Microsoft YaHei" w:cs="Cambria"/>
          <w:color w:val="1A1A1A"/>
          <w:sz w:val="22"/>
          <w:szCs w:val="22"/>
        </w:rPr>
        <w:t>All raw verification data constitutes IAEA property. Members receive only the Baseline Verification Certificate and summary reports approved by the IAEA Director General. No raw telemetry goes directly to any member state.</w:t>
      </w:r>
    </w:p>
    <w:p>
      <w:pPr>
        <w:pStyle w:val="Heading1"/>
      </w:pPr>
      <w:bookmarkStart w:name="_TocArt10" w:id="11"/>
      <w:r>
        <w:rPr>
          <w:rFonts w:ascii="Cambria" w:hAnsi="Cambria" w:eastAsia="Microsoft YaHei" w:cs="Cambria"/>
          <w:b/>
          <w:color w:val="1A2744"/>
          <w:sz w:val="40"/>
          <w:szCs w:val="40"/>
        </w:rPr>
        <w:t>Article 10: Dispute Resolution</w:t>
      </w:r>
      <w:bookmarkEnd w:id="11"/>
    </w:p>
    <w:p>
      <w:pPr>
        <w:pStyle w:val="Heading2"/>
      </w:pPr>
      <w:r>
        <w:rPr>
          <w:rFonts w:ascii="Cambria" w:hAnsi="Cambria" w:eastAsia="Microsoft YaHei" w:cs="Cambria"/>
          <w:b/>
          <w:color w:val="1A1A1A"/>
          <w:sz w:val="28"/>
          <w:szCs w:val="28"/>
        </w:rPr>
        <w:t>10.1 Tiered Process</w:t>
      </w:r>
    </w:p>
    <w:p>
      <w:pPr>
        <w:pStyle w:val="Normal"/>
      </w:pPr>
      <w:r>
        <w:rPr>
          <w:rFonts w:ascii="Cambria" w:hAnsi="Cambria" w:eastAsia="Microsoft YaHei" w:cs="Cambria"/>
          <w:color w:val="1A1A1A"/>
          <w:sz w:val="22"/>
          <w:szCs w:val="22"/>
        </w:rPr>
        <w:t>Disputes proceed through the following tiers:</w:t>
      </w:r>
    </w:p>
    <w:p>
      <w:pPr>
        <w:pStyle w:val="Normal"/>
      </w:pPr>
      <w:r>
        <w:rPr>
          <w:rFonts w:ascii="Cambria" w:hAnsi="Cambria" w:eastAsia="Microsoft YaHei" w:cs="Cambria"/>
          <w:color w:val="1A1A1A"/>
          <w:sz w:val="22"/>
          <w:szCs w:val="22"/>
        </w:rPr>
        <w:t>The following binding timelines apply to the dispute resolution process:</w:t>
      </w:r>
    </w:p>
    <w:p>
      <w:pPr>
        <w:pStyle w:val="Normal"/>
        <w:ind w:left="720" w:hanging="360"/>
      </w:pPr>
      <w:r>
        <w:rPr>
          <w:b/>
          <w:rFonts w:ascii="Cambria" w:hAnsi="Cambria" w:eastAsia="Microsoft YaHei" w:cs="Cambria"/>
          <w:color w:val="1A1A1A"/>
          <w:sz w:val="22"/>
          <w:szCs w:val="22"/>
        </w:rPr>
        <w:t xml:space="preserve">(i) Tier 1 - Joint Management Board: </w:t>
      </w:r>
      <w:r>
        <w:rPr>
          <w:rFonts w:ascii="Cambria" w:hAnsi="Cambria" w:eastAsia="Microsoft YaHei" w:cs="Cambria"/>
          <w:color w:val="1A1A1A"/>
          <w:sz w:val="22"/>
          <w:szCs w:val="22"/>
        </w:rPr>
        <w:t>The Board convenes within 14 days of receiving notice of a dispute and attempts resolution through facilitated dialogue. The Board issues a written decision or joint statement within 30 days of convening. Failure to achieve resolution within this period triggers automatic escalation of the dispute to Tier 2.</w:t>
      </w:r>
    </w:p>
    <w:p>
      <w:pPr>
        <w:pStyle w:val="Normal"/>
        <w:ind w:left="720" w:hanging="360"/>
      </w:pPr>
      <w:r>
        <w:rPr>
          <w:b/>
          <w:rFonts w:ascii="Cambria" w:hAnsi="Cambria" w:eastAsia="Microsoft YaHei" w:cs="Cambria"/>
          <w:color w:val="1A1A1A"/>
          <w:sz w:val="22"/>
          <w:szCs w:val="22"/>
        </w:rPr>
        <w:t xml:space="preserve">(ii) Tier 2 - Joint Commission: </w:t>
      </w:r>
      <w:r>
        <w:rPr>
          <w:rFonts w:ascii="Cambria" w:hAnsi="Cambria" w:eastAsia="Microsoft YaHei" w:cs="Cambria"/>
          <w:color w:val="1A1A1A"/>
          <w:sz w:val="22"/>
          <w:szCs w:val="22"/>
        </w:rPr>
        <w:t>The Joint Commission convenes within 21 days of escalation. The Commission issues a written decision or recommendation within 45 days of convening. Failure to achieve resolution within this period triggers automatic escalation of the dispute to Tier 3.</w:t>
      </w:r>
    </w:p>
    <w:p>
      <w:pPr>
        <w:pStyle w:val="Normal"/>
        <w:ind w:left="720" w:hanging="360"/>
      </w:pPr>
      <w:r>
        <w:rPr>
          <w:b/>
          <w:rFonts w:ascii="Cambria" w:hAnsi="Cambria" w:eastAsia="Microsoft YaHei" w:cs="Cambria"/>
          <w:color w:val="1A1A1A"/>
          <w:sz w:val="22"/>
          <w:szCs w:val="22"/>
        </w:rPr>
        <w:t xml:space="preserve">(iii) Tier 3 - Arbitration: </w:t>
      </w:r>
      <w:r>
        <w:rPr>
          <w:rFonts w:ascii="Cambria" w:hAnsi="Cambria" w:eastAsia="Microsoft YaHei" w:cs="Cambria"/>
          <w:color w:val="1A1A1A"/>
          <w:sz w:val="22"/>
          <w:szCs w:val="22"/>
        </w:rPr>
        <w:t>The disputing parties constitute the arbitration panel within 21 days of escalation. The panel renders a binding decision within 90 days of constitution. The panel's decision is final and binding on all Parties.</w:t>
      </w:r>
    </w:p>
    <w:p>
      <w:pPr>
        <w:pStyle w:val="Normal"/>
        <w:ind w:left="720" w:hanging="360"/>
      </w:pPr>
      <w:r>
        <w:rPr>
          <w:b/>
          <w:rFonts w:ascii="Cambria" w:hAnsi="Cambria" w:eastAsia="Microsoft YaHei" w:cs="Cambria"/>
          <w:color w:val="1A1A1A"/>
          <w:sz w:val="22"/>
          <w:szCs w:val="22"/>
        </w:rPr>
        <w:t xml:space="preserve">(iv) Consequences of Delay: </w:t>
      </w:r>
      <w:r>
        <w:rPr>
          <w:rFonts w:ascii="Cambria" w:hAnsi="Cambria" w:eastAsia="Microsoft YaHei" w:cs="Cambria"/>
          <w:color w:val="1A1A1A"/>
          <w:sz w:val="22"/>
          <w:szCs w:val="22"/>
        </w:rPr>
        <w:t>Failure by a Party or body to meet these timelines automatically escalates the dispute to the next tier. The delayed body provides a written explanation to the next tier, which considers the delay in its decision-making.</w:t>
      </w:r>
    </w:p>
    <w:p>
      <w:pPr>
        <w:pStyle w:val="Normal"/>
        <w:ind w:left="720" w:hanging="360"/>
      </w:pPr>
      <w:r>
        <w:rPr>
          <w:b/>
          <w:rFonts w:ascii="Cambria" w:hAnsi="Cambria" w:eastAsia="Microsoft YaHei" w:cs="Cambria"/>
          <w:color w:val="1A1A1A"/>
          <w:sz w:val="22"/>
          <w:szCs w:val="22"/>
        </w:rPr>
        <w:t xml:space="preserve">(v) Emergency Disputes: </w:t>
      </w:r>
      <w:r>
        <w:rPr>
          <w:rFonts w:ascii="Cambria" w:hAnsi="Cambria" w:eastAsia="Microsoft YaHei" w:cs="Cambria"/>
          <w:color w:val="1A1A1A"/>
          <w:sz w:val="22"/>
          <w:szCs w:val="22"/>
        </w:rPr>
        <w:t>Article 10.3 specifies the compressed timelines for emergency disputes.</w:t>
      </w:r>
    </w:p>
    <w:p>
      <w:pPr>
        <w:pStyle w:val="Normal"/>
        <w:ind w:left="720" w:hanging="360"/>
      </w:pPr>
      <w:r>
        <w:rPr>
          <w:b/>
          <w:rFonts w:ascii="Cambria" w:hAnsi="Cambria" w:eastAsia="Microsoft YaHei" w:cs="Cambria"/>
          <w:color w:val="1A1A1A"/>
          <w:sz w:val="22"/>
          <w:szCs w:val="22"/>
        </w:rPr>
        <w:t xml:space="preserve">(vi) Good-Faith: </w:t>
      </w:r>
      <w:r>
        <w:rPr>
          <w:rFonts w:ascii="Cambria" w:hAnsi="Cambria" w:eastAsia="Microsoft YaHei" w:cs="Cambria"/>
          <w:color w:val="1A1A1A"/>
          <w:sz w:val="22"/>
          <w:szCs w:val="22"/>
        </w:rPr>
        <w:t>All Parties participate in the dispute resolution process in good faith. The framework architecture prohibits use of the process for delay or obstruction.</w:t>
      </w:r>
    </w:p>
    <w:p>
      <w:pPr>
        <w:pStyle w:val="Heading2"/>
      </w:pPr>
      <w:r>
        <w:rPr>
          <w:rFonts w:ascii="Cambria" w:hAnsi="Cambria" w:eastAsia="Microsoft YaHei" w:cs="Cambria"/>
          <w:b/>
          <w:color w:val="1A1A1A"/>
          <w:sz w:val="28"/>
          <w:szCs w:val="28"/>
        </w:rPr>
        <w:t>10.2 Arbitration</w:t>
      </w:r>
    </w:p>
    <w:p>
      <w:pPr>
        <w:pStyle w:val="Normal"/>
      </w:pPr>
      <w:r>
        <w:rPr>
          <w:rFonts w:ascii="Cambria" w:hAnsi="Cambria" w:eastAsia="Microsoft YaHei" w:cs="Cambria"/>
          <w:color w:val="1A1A1A"/>
          <w:sz w:val="22"/>
          <w:szCs w:val="22"/>
        </w:rPr>
        <w:t>The disputing parties mutually agree on three neutral experts to constitute the arbitration panel. If the parties fail to agree on panel composition within 14 days, the Chair appoints the three arbitrators from a roster maintained by MENOC. The arbitration panel renders its decision within 90 days of constitution. The arbitration panel's decisions are binding on all parties. Parties appeal to the Joint Commission only on procedural grounds.</w:t>
      </w:r>
    </w:p>
    <w:p>
      <w:pPr>
        <w:pStyle w:val="Heading2"/>
      </w:pPr>
      <w:r>
        <w:rPr>
          <w:rFonts w:ascii="Cambria" w:hAnsi="Cambria" w:eastAsia="Microsoft YaHei" w:cs="Cambria"/>
          <w:b/>
          <w:color w:val="1A1A1A"/>
          <w:sz w:val="28"/>
          <w:szCs w:val="28"/>
        </w:rPr>
        <w:t>10.3 Emergency Disputes</w:t>
      </w:r>
    </w:p>
    <w:p>
      <w:pPr>
        <w:pStyle w:val="Normal"/>
      </w:pPr>
      <w:r>
        <w:rPr>
          <w:rFonts w:ascii="Cambria" w:hAnsi="Cambria" w:eastAsia="Microsoft YaHei" w:cs="Cambria"/>
          <w:color w:val="1A1A1A"/>
          <w:sz w:val="22"/>
          <w:szCs w:val="22"/>
        </w:rPr>
        <w:t>A dispute that threatens the integrity of the consortium or the safety of operations escalates directly to the Joint Commission, bypassing Tiers 1 and 2. The Joint Commission convenes within 48 hours of receiving notice of an emergency dispute. The Commission's emergency decision prevails pending full resolution of the dispute.</w:t>
      </w:r>
    </w:p>
    <w:p>
      <w:pPr>
        <w:pStyle w:val="Heading1"/>
      </w:pPr>
      <w:bookmarkStart w:name="_TocArt11" w:id="12"/>
      <w:r>
        <w:rPr>
          <w:rFonts w:ascii="Cambria" w:hAnsi="Cambria" w:eastAsia="Microsoft YaHei" w:cs="Cambria"/>
          <w:b/>
          <w:color w:val="1A2744"/>
          <w:sz w:val="40"/>
          <w:szCs w:val="40"/>
        </w:rPr>
        <w:t>Article 11: Budget</w:t>
      </w:r>
      <w:bookmarkEnd w:id="12"/>
    </w:p>
    <w:p>
      <w:pPr>
        <w:pStyle w:val="Heading2"/>
      </w:pPr>
      <w:r>
        <w:rPr>
          <w:rFonts w:ascii="Cambria" w:hAnsi="Cambria" w:eastAsia="Microsoft YaHei" w:cs="Cambria"/>
          <w:b/>
          <w:color w:val="1A1A1A"/>
          <w:sz w:val="28"/>
          <w:szCs w:val="28"/>
        </w:rPr>
        <w:t>11.1 Budget</w:t>
      </w:r>
    </w:p>
    <w:p>
      <w:pPr>
        <w:pStyle w:val="Normal"/>
      </w:pPr>
      <w:r>
        <w:rPr>
          <w:rFonts w:ascii="Cambria" w:hAnsi="Cambria" w:eastAsia="Microsoft YaHei" w:cs="Cambria"/>
          <w:color w:val="1A1A1A"/>
          <w:sz w:val="22"/>
          <w:szCs w:val="22"/>
        </w:rPr>
        <w:t>The Joint Management Board approves an annual budget covering operational costs, IAEA verification costs, and administrative costs. The budget cycle follows the calendar year. The Director General prepares draft budget estimates and submits these estimates to the Board no later than 1 October of each year.</w:t>
      </w:r>
    </w:p>
    <w:p>
      <w:pPr>
        <w:pStyle w:val="Heading2"/>
      </w:pPr>
      <w:r>
        <w:rPr>
          <w:rFonts w:ascii="Cambria" w:hAnsi="Cambria" w:eastAsia="Microsoft YaHei" w:cs="Cambria"/>
          <w:b/>
          <w:color w:val="1A1A1A"/>
          <w:sz w:val="28"/>
          <w:szCs w:val="28"/>
        </w:rPr>
        <w:t>11.2 Contributions</w:t>
      </w:r>
    </w:p>
    <w:p>
      <w:pPr>
        <w:pStyle w:val="Normal"/>
      </w:pPr>
      <w:r>
        <w:rPr>
          <w:rFonts w:ascii="Cambria" w:hAnsi="Cambria" w:eastAsia="Microsoft YaHei" w:cs="Cambria"/>
          <w:color w:val="1A1A1A"/>
          <w:sz w:val="22"/>
          <w:szCs w:val="22"/>
        </w:rPr>
        <w:t>The members contribute to the MENOC budget as follows:</w:t>
      </w:r>
    </w:p>
    <w:p>
      <w:pPr>
        <w:pStyle w:val="Normal"/>
        <w:ind w:left="720" w:hanging="360"/>
      </w:pPr>
      <w:r>
        <w:rPr>
          <w:b/>
          <w:rFonts w:ascii="Cambria" w:hAnsi="Cambria" w:eastAsia="Microsoft YaHei" w:cs="Cambria"/>
          <w:color w:val="1A1A1A"/>
          <w:sz w:val="22"/>
          <w:szCs w:val="22"/>
        </w:rPr>
        <w:t xml:space="preserve">(a) </w:t>
      </w:r>
      <w:r>
        <w:rPr>
          <w:rFonts w:ascii="Cambria" w:hAnsi="Cambria" w:eastAsia="Microsoft YaHei" w:cs="Cambria"/>
          <w:color w:val="1A1A1A"/>
          <w:sz w:val="22"/>
          <w:szCs w:val="22"/>
        </w:rPr>
        <w:t>Iran contributes 60% of the annual budget.</w:t>
      </w:r>
    </w:p>
    <w:p>
      <w:pPr>
        <w:pStyle w:val="Normal"/>
        <w:ind w:left="720" w:hanging="360"/>
      </w:pPr>
      <w:r>
        <w:rPr>
          <w:b/>
          <w:rFonts w:ascii="Cambria" w:hAnsi="Cambria" w:eastAsia="Microsoft YaHei" w:cs="Cambria"/>
          <w:color w:val="1A1A1A"/>
          <w:sz w:val="22"/>
          <w:szCs w:val="22"/>
        </w:rPr>
        <w:t xml:space="preserve">(b) </w:t>
      </w:r>
      <w:r>
        <w:rPr>
          <w:rFonts w:ascii="Cambria" w:hAnsi="Cambria" w:eastAsia="Microsoft YaHei" w:cs="Cambria"/>
          <w:color w:val="1A1A1A"/>
          <w:sz w:val="22"/>
          <w:szCs w:val="22"/>
        </w:rPr>
        <w:t>Partner states contribute 40% of the annual budget collectively: the United States contributes 10%, the European Union contributes 10%, the Russian Federation contributes 10%, and the United Arab Emirates contributes 10%.</w:t>
      </w:r>
    </w:p>
    <w:p>
      <w:pPr>
        <w:pStyle w:val="Normal"/>
        <w:ind w:left="720" w:hanging="360"/>
      </w:pPr>
      <w:r>
        <w:rPr>
          <w:b/>
          <w:rFonts w:ascii="Cambria" w:hAnsi="Cambria" w:eastAsia="Microsoft YaHei" w:cs="Cambria"/>
          <w:color w:val="1A1A1A"/>
          <w:sz w:val="22"/>
          <w:szCs w:val="22"/>
        </w:rPr>
        <w:t xml:space="preserve">(c) </w:t>
      </w:r>
      <w:r>
        <w:rPr>
          <w:rFonts w:ascii="Cambria" w:hAnsi="Cambria" w:eastAsia="Microsoft YaHei" w:cs="Cambria"/>
          <w:color w:val="1A1A1A"/>
          <w:sz w:val="22"/>
          <w:szCs w:val="22"/>
        </w:rPr>
        <w:t>Oman contributes in-kind, including office space, facilitation services, and logistical support for MENOC headquarters.</w:t>
      </w:r>
    </w:p>
    <w:p>
      <w:pPr>
        <w:pStyle w:val="Heading2"/>
      </w:pPr>
      <w:r>
        <w:rPr>
          <w:rFonts w:ascii="Cambria" w:hAnsi="Cambria" w:eastAsia="Microsoft YaHei" w:cs="Cambria"/>
          <w:b/>
          <w:color w:val="1A1A1A"/>
          <w:sz w:val="28"/>
          <w:szCs w:val="28"/>
        </w:rPr>
        <w:t>11.3 Auditing</w:t>
      </w:r>
    </w:p>
    <w:p>
      <w:pPr>
        <w:pStyle w:val="Normal"/>
      </w:pPr>
      <w:r>
        <w:rPr>
          <w:rFonts w:ascii="Cambria" w:hAnsi="Cambria" w:eastAsia="Microsoft YaHei" w:cs="Cambria"/>
          <w:color w:val="1A1A1A"/>
          <w:sz w:val="22"/>
          <w:szCs w:val="22"/>
        </w:rPr>
        <w:t>An independent accounting firm from among the Big Four firms audits the MENOC budget annually. The auditor publishes its report to the Joint Commission within 90 days of the close of each budget year. The Board implements the auditor's recommendations within the subsequent budget cycle.</w:t>
      </w:r>
    </w:p>
    <w:p>
      <w:pPr>
        <w:pStyle w:val="Heading2"/>
      </w:pPr>
      <w:r>
        <w:rPr>
          <w:rFonts w:ascii="Cambria" w:hAnsi="Cambria" w:eastAsia="Microsoft YaHei" w:cs="Cambria"/>
          <w:b/>
          <w:color w:val="1A1A1A"/>
          <w:sz w:val="28"/>
          <w:szCs w:val="28"/>
        </w:rPr>
        <w:t>11.4 Budget Transparency and Accountability</w:t>
      </w:r>
    </w:p>
    <w:p>
      <w:pPr>
        <w:pStyle w:val="Normal"/>
        <w:ind w:left="720" w:hanging="360"/>
      </w:pPr>
      <w:r>
        <w:rPr>
          <w:b/>
          <w:rFonts w:ascii="Cambria" w:hAnsi="Cambria" w:eastAsia="Microsoft YaHei" w:cs="Cambria"/>
          <w:color w:val="1A1A1A"/>
          <w:sz w:val="22"/>
          <w:szCs w:val="22"/>
        </w:rPr>
        <w:t xml:space="preserve">(i) Public Disclosure: </w:t>
      </w:r>
      <w:r>
        <w:rPr>
          <w:rFonts w:ascii="Cambria" w:hAnsi="Cambria" w:eastAsia="Microsoft YaHei" w:cs="Cambria"/>
          <w:color w:val="1A1A1A"/>
          <w:sz w:val="22"/>
          <w:szCs w:val="22"/>
        </w:rPr>
        <w:t>MENOC publishes an annual budget summary, including total revenues, expenditures, and major program costs, within 90 days of the close of each budget year. The summary excludes classified or commercially sensitive information.</w:t>
      </w:r>
    </w:p>
    <w:p>
      <w:pPr>
        <w:pStyle w:val="Normal"/>
        <w:ind w:left="720" w:hanging="360"/>
      </w:pPr>
      <w:r>
        <w:rPr>
          <w:b/>
          <w:rFonts w:ascii="Cambria" w:hAnsi="Cambria" w:eastAsia="Microsoft YaHei" w:cs="Cambria"/>
          <w:color w:val="1A1A1A"/>
          <w:sz w:val="22"/>
          <w:szCs w:val="22"/>
        </w:rPr>
        <w:t xml:space="preserve">(ii) IAEA Cost Transparency: </w:t>
      </w:r>
      <w:r>
        <w:rPr>
          <w:rFonts w:ascii="Cambria" w:hAnsi="Cambria" w:eastAsia="Microsoft YaHei" w:cs="Cambria"/>
          <w:color w:val="1A1A1A"/>
          <w:sz w:val="22"/>
          <w:szCs w:val="22"/>
        </w:rPr>
        <w:t>MENOC publishes a separate schedule showing all IAEA verification costs, including personnel, equipment, travel, and administrative expenses.</w:t>
      </w:r>
    </w:p>
    <w:p>
      <w:pPr>
        <w:pStyle w:val="Normal"/>
        <w:ind w:left="720" w:hanging="360"/>
      </w:pPr>
      <w:r>
        <w:rPr>
          <w:b/>
          <w:rFonts w:ascii="Cambria" w:hAnsi="Cambria" w:eastAsia="Microsoft YaHei" w:cs="Cambria"/>
          <w:color w:val="1A1A1A"/>
          <w:sz w:val="22"/>
          <w:szCs w:val="22"/>
        </w:rPr>
        <w:t xml:space="preserve">(iii) Member Contribution Reports: </w:t>
      </w:r>
      <w:r>
        <w:rPr>
          <w:rFonts w:ascii="Cambria" w:hAnsi="Cambria" w:eastAsia="Microsoft YaHei" w:cs="Cambria"/>
          <w:color w:val="1A1A1A"/>
          <w:sz w:val="22"/>
          <w:szCs w:val="22"/>
        </w:rPr>
        <w:t>Each member provides an annual report on its contributions to MENOC, including: total contribution; specific purpose of contributions; any in-kind contributions; and any planned increases or decreases in future contributions.</w:t>
      </w:r>
    </w:p>
    <w:p>
      <w:pPr>
        <w:pStyle w:val="Normal"/>
        <w:ind w:left="720" w:hanging="360"/>
      </w:pPr>
      <w:r>
        <w:rPr>
          <w:b/>
          <w:rFonts w:ascii="Cambria" w:hAnsi="Cambria" w:eastAsia="Microsoft YaHei" w:cs="Cambria"/>
          <w:color w:val="1A1A1A"/>
          <w:sz w:val="22"/>
          <w:szCs w:val="22"/>
        </w:rPr>
        <w:t xml:space="preserve">(iv) Audit Findings: </w:t>
      </w:r>
      <w:r>
        <w:rPr>
          <w:rFonts w:ascii="Cambria" w:hAnsi="Cambria" w:eastAsia="Microsoft YaHei" w:cs="Cambria"/>
          <w:color w:val="1A1A1A"/>
          <w:sz w:val="22"/>
          <w:szCs w:val="22"/>
        </w:rPr>
        <w:t>MENOC provides the annual audit report to all members and the Joint Commission within 120 days of the close of each budget year. The report includes: a statement of financial position; a statement of revenues and expenditures; a statement of cash flows; and any findings of material weakness or non-compliance.</w:t>
      </w:r>
    </w:p>
    <w:p>
      <w:pPr>
        <w:pStyle w:val="Normal"/>
        <w:ind w:left="720" w:hanging="360"/>
      </w:pPr>
      <w:r>
        <w:rPr>
          <w:b/>
          <w:rFonts w:ascii="Cambria" w:hAnsi="Cambria" w:eastAsia="Microsoft YaHei" w:cs="Cambria"/>
          <w:color w:val="1A1A1A"/>
          <w:sz w:val="22"/>
          <w:szCs w:val="22"/>
        </w:rPr>
        <w:t xml:space="preserve">(v) Remediation: </w:t>
      </w:r>
      <w:r>
        <w:rPr>
          <w:rFonts w:ascii="Cambria" w:hAnsi="Cambria" w:eastAsia="Microsoft YaHei" w:cs="Cambria"/>
          <w:color w:val="1A1A1A"/>
          <w:sz w:val="22"/>
          <w:szCs w:val="22"/>
        </w:rPr>
        <w:t>The Joint Management Board implements the auditor's recommendations within the subsequent budget cycle. If the Board fails to implement significant recommendations, the matter goes to the Joint Commission.</w:t>
      </w:r>
    </w:p>
    <w:p>
      <w:pPr>
        <w:pStyle w:val="Heading1"/>
      </w:pPr>
      <w:bookmarkStart w:name="_TocArt12" w:id="13"/>
      <w:r>
        <w:rPr>
          <w:rFonts w:ascii="Cambria" w:hAnsi="Cambria" w:eastAsia="Microsoft YaHei" w:cs="Cambria"/>
          <w:b/>
          <w:color w:val="1A2744"/>
          <w:sz w:val="40"/>
          <w:szCs w:val="40"/>
        </w:rPr>
        <w:t>Article 12: Amendment</w:t>
      </w:r>
      <w:bookmarkEnd w:id="13"/>
    </w:p>
    <w:p>
      <w:pPr>
        <w:pStyle w:val="Heading2"/>
      </w:pPr>
      <w:r>
        <w:rPr>
          <w:rFonts w:ascii="Cambria" w:hAnsi="Cambria" w:eastAsia="Microsoft YaHei" w:cs="Cambria"/>
          <w:b/>
          <w:color w:val="1A1A1A"/>
          <w:sz w:val="28"/>
          <w:szCs w:val="28"/>
        </w:rPr>
        <w:t>12.1 Amendment Procedure</w:t>
      </w:r>
    </w:p>
    <w:p>
      <w:pPr>
        <w:pStyle w:val="Normal"/>
      </w:pPr>
      <w:r>
        <w:rPr>
          <w:rFonts w:ascii="Cambria" w:hAnsi="Cambria" w:eastAsia="Microsoft YaHei" w:cs="Cambria"/>
          <w:color w:val="1A1A1A"/>
          <w:sz w:val="22"/>
          <w:szCs w:val="22"/>
        </w:rPr>
        <w:t>Any member proposes an amendment to this Charter by submitting the proposed amendment in writing to the Chair. The Chair distributes the proposal to all voting members within 7 days. Voting members discuss the proposal for 30 days. The Joint Management Board votes on the amendment within 45 days of distribution. Amendment requires consensus of all voting members. The amendment enters into force 30 days after ratification by all founding members. The depositary notifies all members of the amendment's entry into force.</w:t>
      </w:r>
    </w:p>
    <w:p>
      <w:pPr>
        <w:pStyle w:val="Heading2"/>
      </w:pPr>
      <w:r>
        <w:rPr>
          <w:rFonts w:ascii="Cambria" w:hAnsi="Cambria" w:eastAsia="Microsoft YaHei" w:cs="Cambria"/>
          <w:b/>
          <w:color w:val="1A1A1A"/>
          <w:sz w:val="28"/>
          <w:szCs w:val="28"/>
        </w:rPr>
        <w:t>12.2 No Precedent Effect</w:t>
      </w:r>
    </w:p>
    <w:p>
      <w:pPr>
        <w:pStyle w:val="Normal"/>
      </w:pPr>
      <w:r>
        <w:rPr>
          <w:rFonts w:ascii="Cambria" w:hAnsi="Cambria" w:eastAsia="Microsoft YaHei" w:cs="Cambria"/>
          <w:color w:val="1A1A1A"/>
          <w:sz w:val="22"/>
          <w:szCs w:val="22"/>
        </w:rPr>
        <w:t>Amendments do not establish precedent for any other nuclear facilities or arrangements. The framework architecture preserves the specificity of each provision.</w:t>
      </w:r>
    </w:p>
    <w:p>
      <w:pPr>
        <w:pStyle w:val="Heading1"/>
      </w:pPr>
      <w:bookmarkStart w:name="_TocArt13" w:id="14"/>
      <w:r>
        <w:rPr>
          <w:rFonts w:ascii="Cambria" w:hAnsi="Cambria" w:eastAsia="Microsoft YaHei" w:cs="Cambria"/>
          <w:b/>
          <w:color w:val="1A2744"/>
          <w:sz w:val="40"/>
          <w:szCs w:val="40"/>
        </w:rPr>
        <w:t>Article 13: Duration and Termination</w:t>
      </w:r>
      <w:bookmarkEnd w:id="14"/>
    </w:p>
    <w:p>
      <w:pPr>
        <w:pStyle w:val="Heading2"/>
      </w:pPr>
      <w:r>
        <w:rPr>
          <w:rFonts w:ascii="Cambria" w:hAnsi="Cambria" w:eastAsia="Microsoft YaHei" w:cs="Cambria"/>
          <w:b/>
          <w:color w:val="1A1A1A"/>
          <w:sz w:val="28"/>
          <w:szCs w:val="28"/>
        </w:rPr>
        <w:t>13.1 Duration</w:t>
      </w:r>
    </w:p>
    <w:p>
      <w:pPr>
        <w:pStyle w:val="Normal"/>
      </w:pPr>
      <w:r>
        <w:rPr>
          <w:rFonts w:ascii="Cambria" w:hAnsi="Cambria" w:eastAsia="Microsoft YaHei" w:cs="Cambria"/>
          <w:color w:val="1A1A1A"/>
          <w:sz w:val="22"/>
          <w:szCs w:val="22"/>
        </w:rPr>
        <w:t>This Charter remains in effect for 25 years from the date of entry into force. Renewal for additional terms requires consensus of all members.</w:t>
      </w:r>
    </w:p>
    <w:p>
      <w:pPr>
        <w:pStyle w:val="Heading2"/>
      </w:pPr>
      <w:r>
        <w:rPr>
          <w:rFonts w:ascii="Cambria" w:hAnsi="Cambria" w:eastAsia="Microsoft YaHei" w:cs="Cambria"/>
          <w:b/>
          <w:color w:val="1A1A1A"/>
          <w:sz w:val="28"/>
          <w:szCs w:val="28"/>
        </w:rPr>
        <w:t>13.2 Termination</w:t>
      </w:r>
    </w:p>
    <w:p>
      <w:pPr>
        <w:pStyle w:val="Normal"/>
      </w:pPr>
      <w:r>
        <w:rPr>
          <w:rFonts w:ascii="Cambria" w:hAnsi="Cambria" w:eastAsia="Microsoft YaHei" w:cs="Cambria"/>
          <w:color w:val="1A1A1A"/>
          <w:sz w:val="22"/>
          <w:szCs w:val="22"/>
        </w:rPr>
        <w:t>This Charter terminates upon unanimous consent of all members. This Charter also terminates upon the withdrawal of all members except one. Termination does not affect safeguards obligations. All safeguards obligations continue in accordance with Iran's NPT Safeguards Agreement and any supplementary arrangements in force at the time of termination.</w:t>
      </w:r>
    </w:p>
    <w:p>
      <w:pPr>
        <w:pStyle w:val="Heading2"/>
      </w:pPr>
      <w:r>
        <w:rPr>
          <w:rFonts w:ascii="Cambria" w:hAnsi="Cambria" w:eastAsia="Microsoft YaHei" w:cs="Cambria"/>
          <w:b/>
          <w:color w:val="1A1A1A"/>
          <w:sz w:val="28"/>
          <w:szCs w:val="28"/>
        </w:rPr>
        <w:t>13.3 The Staged Deterrent Architecture</w:t>
      </w:r>
    </w:p>
    <w:p>
      <w:pPr>
        <w:pStyle w:val="Heading3"/>
      </w:pPr>
      <w:r>
        <w:rPr>
          <w:rFonts w:ascii="Cambria" w:hAnsi="Cambria" w:eastAsia="Microsoft YaHei" w:cs="Cambria"/>
          <w:b/>
          <w:color w:val="1A1A1A"/>
          <w:sz w:val="24"/>
          <w:szCs w:val="24"/>
        </w:rPr>
        <w:t>13.3(a) Baseline Response: Tiered Step-Back</w:t>
      </w:r>
    </w:p>
    <w:p>
      <w:pPr>
        <w:pStyle w:val="Normal"/>
      </w:pPr>
      <w:r>
        <w:rPr>
          <w:rFonts w:ascii="Cambria" w:hAnsi="Cambria" w:eastAsia="Microsoft YaHei" w:cs="Cambria"/>
          <w:color w:val="1A1A1A"/>
          <w:sz w:val="22"/>
          <w:szCs w:val="22"/>
        </w:rPr>
        <w:t>Upon any verified breach of this Charter, the Tiered Step-Back system activates automatically as the default response.</w:t>
      </w:r>
    </w:p>
    <w:p>
      <w:pPr>
        <w:pStyle w:val="Normal"/>
        <w:ind w:left="720" w:hanging="360"/>
      </w:pPr>
      <w:r>
        <w:rPr>
          <w:b/>
          <w:rFonts w:ascii="Cambria" w:hAnsi="Cambria" w:eastAsia="Microsoft YaHei" w:cs="Cambria"/>
          <w:color w:val="1A1A1A"/>
          <w:sz w:val="22"/>
          <w:szCs w:val="22"/>
        </w:rPr>
        <w:t xml:space="preserve">Tier 1: </w:t>
      </w:r>
      <w:r>
        <w:rPr>
          <w:rFonts w:ascii="Cambria" w:hAnsi="Cambria" w:eastAsia="Microsoft YaHei" w:cs="Cambria"/>
          <w:color w:val="1A1A1A"/>
          <w:sz w:val="22"/>
          <w:szCs w:val="22"/>
        </w:rPr>
        <w:t>A warning issues and a 14-day corrective period commences.</w:t>
      </w:r>
    </w:p>
    <w:p>
      <w:pPr>
        <w:pStyle w:val="Normal"/>
        <w:ind w:left="720" w:hanging="360"/>
      </w:pPr>
      <w:r>
        <w:rPr>
          <w:b/>
          <w:rFonts w:ascii="Cambria" w:hAnsi="Cambria" w:eastAsia="Microsoft YaHei" w:cs="Cambria"/>
          <w:color w:val="1A1A1A"/>
          <w:sz w:val="22"/>
          <w:szCs w:val="22"/>
        </w:rPr>
        <w:t xml:space="preserve">Tier 2: </w:t>
      </w:r>
      <w:r>
        <w:rPr>
          <w:rFonts w:ascii="Cambria" w:hAnsi="Cambria" w:eastAsia="Microsoft YaHei" w:cs="Cambria"/>
          <w:color w:val="1A1A1A"/>
          <w:sz w:val="22"/>
          <w:szCs w:val="22"/>
        </w:rPr>
        <w:t>A 25% reduction in consortium benefits activates and a 30-day corrective period commences.</w:t>
      </w:r>
    </w:p>
    <w:p>
      <w:pPr>
        <w:pStyle w:val="Normal"/>
        <w:ind w:left="720" w:hanging="360"/>
      </w:pPr>
      <w:r>
        <w:rPr>
          <w:b/>
          <w:rFonts w:ascii="Cambria" w:hAnsi="Cambria" w:eastAsia="Microsoft YaHei" w:cs="Cambria"/>
          <w:color w:val="1A1A1A"/>
          <w:sz w:val="22"/>
          <w:szCs w:val="22"/>
        </w:rPr>
        <w:t xml:space="preserve">Tier 3: </w:t>
      </w:r>
      <w:r>
        <w:rPr>
          <w:rFonts w:ascii="Cambria" w:hAnsi="Cambria" w:eastAsia="Microsoft YaHei" w:cs="Cambria"/>
          <w:color w:val="1A1A1A"/>
          <w:sz w:val="22"/>
          <w:szCs w:val="22"/>
        </w:rPr>
        <w:t>A 50% reduction in consortium benefits activates and a 60-day corrective period commences.</w:t>
      </w:r>
    </w:p>
    <w:p>
      <w:pPr>
        <w:pStyle w:val="Normal"/>
      </w:pPr>
      <w:r>
        <w:rPr>
          <w:rFonts w:ascii="Cambria" w:hAnsi="Cambria" w:eastAsia="Microsoft YaHei" w:cs="Cambria"/>
          <w:color w:val="1A1A1A"/>
          <w:sz w:val="22"/>
          <w:szCs w:val="22"/>
        </w:rPr>
        <w:t>No snapback or total benefit suspension occurs without the explicit procedures in subsection (b).</w:t>
      </w:r>
    </w:p>
    <w:p>
      <w:pPr>
        <w:pStyle w:val="Heading3"/>
      </w:pPr>
      <w:r>
        <w:rPr>
          <w:rFonts w:ascii="Cambria" w:hAnsi="Cambria" w:eastAsia="Microsoft YaHei" w:cs="Cambria"/>
          <w:b/>
          <w:color w:val="1A1A1A"/>
          <w:sz w:val="24"/>
          <w:szCs w:val="24"/>
        </w:rPr>
        <w:t>13.3(b) U.S. Right to Request Snapback Escalation</w:t>
      </w:r>
    </w:p>
    <w:p>
      <w:pPr>
        <w:pStyle w:val="Normal"/>
      </w:pPr>
      <w:r>
        <w:rPr>
          <w:rFonts w:ascii="Cambria" w:hAnsi="Cambria" w:eastAsia="Microsoft YaHei" w:cs="Cambria"/>
          <w:color w:val="1A1A1A"/>
          <w:sz w:val="22"/>
          <w:szCs w:val="22"/>
        </w:rPr>
        <w:t>Notwithstanding the default step-back system, the United States retains the right to propose an escalation to full or partial snapback if it determines that a Tier 3 violation constitutes an imminent and material threat to its national security.</w:t>
      </w:r>
    </w:p>
    <w:p>
      <w:pPr>
        <w:pStyle w:val="Normal"/>
      </w:pPr>
      <w:r>
        <w:rPr>
          <w:rFonts w:ascii="Cambria" w:hAnsi="Cambria" w:eastAsia="Microsoft YaHei" w:cs="Cambria"/>
          <w:color w:val="1A1A1A"/>
          <w:sz w:val="22"/>
          <w:szCs w:val="22"/>
        </w:rPr>
        <w:t>The United States files its request with the Joint Commission within 72 hours of verification of the violation.</w:t>
      </w:r>
    </w:p>
    <w:p>
      <w:pPr>
        <w:pStyle w:val="Normal"/>
      </w:pPr>
      <w:r>
        <w:rPr>
          <w:rFonts w:ascii="Cambria" w:hAnsi="Cambria" w:eastAsia="Microsoft YaHei" w:cs="Cambria"/>
          <w:color w:val="1A1A1A"/>
          <w:sz w:val="22"/>
          <w:szCs w:val="22"/>
        </w:rPr>
        <w:t>Snapback activates only if the Joint Commission, excluding the U.S. representative, approves the escalation by a two-thirds majority within 48 hours of the U.S. request. The U.S. representative presents the national security justification in an open session prior to the vote. The U.S. representative does not participate in the vote but submits a written justification for the record.</w:t>
      </w:r>
    </w:p>
    <w:p>
      <w:pPr>
        <w:pStyle w:val="Normal"/>
      </w:pPr>
      <w:r>
        <w:rPr>
          <w:rFonts w:ascii="Cambria" w:hAnsi="Cambria" w:eastAsia="Microsoft YaHei" w:cs="Cambria"/>
          <w:color w:val="1A1A1A"/>
          <w:sz w:val="22"/>
          <w:szCs w:val="22"/>
        </w:rPr>
        <w:t>If the Joint Commission rejects the snapback request, the framework provides the United States with the following options:</w:t>
      </w:r>
    </w:p>
    <w:p>
      <w:pPr>
        <w:pStyle w:val="Normal"/>
        <w:ind w:left="720" w:hanging="360"/>
      </w:pPr>
      <w:r>
        <w:rPr>
          <w:b/>
          <w:rFonts w:ascii="Cambria" w:hAnsi="Cambria" w:eastAsia="Microsoft YaHei" w:cs="Cambria"/>
          <w:color w:val="1A1A1A"/>
          <w:sz w:val="22"/>
          <w:szCs w:val="22"/>
        </w:rPr>
        <w:t xml:space="preserve">(i) Appeal: </w:t>
      </w:r>
      <w:r>
        <w:rPr>
          <w:rFonts w:ascii="Cambria" w:hAnsi="Cambria" w:eastAsia="Microsoft YaHei" w:cs="Cambria"/>
          <w:color w:val="1A1A1A"/>
          <w:sz w:val="22"/>
          <w:szCs w:val="22"/>
        </w:rPr>
        <w:t>The United States appeals the decision to the Guarantor Matrix within 14 days; or</w:t>
      </w:r>
    </w:p>
    <w:p>
      <w:pPr>
        <w:pStyle w:val="Normal"/>
        <w:ind w:left="720" w:hanging="360"/>
      </w:pPr>
      <w:r>
        <w:rPr>
          <w:b/>
          <w:rFonts w:ascii="Cambria" w:hAnsi="Cambria" w:eastAsia="Microsoft YaHei" w:cs="Cambria"/>
          <w:color w:val="1A1A1A"/>
          <w:sz w:val="22"/>
          <w:szCs w:val="22"/>
        </w:rPr>
        <w:t xml:space="preserve">(ii) Re-Request: </w:t>
      </w:r>
      <w:r>
        <w:rPr>
          <w:rFonts w:ascii="Cambria" w:hAnsi="Cambria" w:eastAsia="Microsoft YaHei" w:cs="Cambria"/>
          <w:color w:val="1A1A1A"/>
          <w:sz w:val="22"/>
          <w:szCs w:val="22"/>
        </w:rPr>
        <w:t>The United States submits a new snapback request with additional evidence, provided the request relies on new material facts not previously considered.</w:t>
      </w:r>
    </w:p>
    <w:p>
      <w:pPr>
        <w:pStyle w:val="Normal"/>
      </w:pPr>
      <w:r>
        <w:rPr>
          <w:rFonts w:ascii="Cambria" w:hAnsi="Cambria" w:eastAsia="Microsoft YaHei" w:cs="Cambria"/>
          <w:color w:val="1A1A1A"/>
          <w:sz w:val="22"/>
          <w:szCs w:val="22"/>
        </w:rPr>
        <w:t>If the Joint Commission approves the snapback request, the framework preserves Iran's earn-back pathway under subsection (d). The Joint Commission's snapback approval specifies:</w:t>
      </w:r>
    </w:p>
    <w:p>
      <w:pPr>
        <w:pStyle w:val="Normal"/>
        <w:ind w:left="720" w:hanging="360"/>
      </w:pPr>
      <w:r>
        <w:rPr>
          <w:b/>
          <w:rFonts w:ascii="Cambria" w:hAnsi="Cambria" w:eastAsia="Microsoft YaHei" w:cs="Cambria"/>
          <w:color w:val="1A1A1A"/>
          <w:sz w:val="22"/>
          <w:szCs w:val="22"/>
        </w:rPr>
        <w:t xml:space="preserve">(iii) </w:t>
      </w:r>
      <w:r>
        <w:rPr>
          <w:rFonts w:ascii="Cambria" w:hAnsi="Cambria" w:eastAsia="Microsoft YaHei" w:cs="Cambria"/>
          <w:color w:val="1A1A1A"/>
          <w:sz w:val="22"/>
          <w:szCs w:val="22"/>
        </w:rPr>
        <w:t>The specific sanctions or measures the framework reinstates;</w:t>
      </w:r>
    </w:p>
    <w:p>
      <w:pPr>
        <w:pStyle w:val="Normal"/>
        <w:ind w:left="720" w:hanging="360"/>
      </w:pPr>
      <w:r>
        <w:rPr>
          <w:b/>
          <w:rFonts w:ascii="Cambria" w:hAnsi="Cambria" w:eastAsia="Microsoft YaHei" w:cs="Cambria"/>
          <w:color w:val="1A1A1A"/>
          <w:sz w:val="22"/>
          <w:szCs w:val="22"/>
        </w:rPr>
        <w:t xml:space="preserve">(iv) </w:t>
      </w:r>
      <w:r>
        <w:rPr>
          <w:rFonts w:ascii="Cambria" w:hAnsi="Cambria" w:eastAsia="Microsoft YaHei" w:cs="Cambria"/>
          <w:color w:val="1A1A1A"/>
          <w:sz w:val="22"/>
          <w:szCs w:val="22"/>
        </w:rPr>
        <w:t>The duration of the snapback period; and</w:t>
      </w:r>
    </w:p>
    <w:p>
      <w:pPr>
        <w:pStyle w:val="Normal"/>
        <w:ind w:left="720" w:hanging="360"/>
      </w:pPr>
      <w:r>
        <w:rPr>
          <w:b/>
          <w:rFonts w:ascii="Cambria" w:hAnsi="Cambria" w:eastAsia="Microsoft YaHei" w:cs="Cambria"/>
          <w:color w:val="1A1A1A"/>
          <w:sz w:val="22"/>
          <w:szCs w:val="22"/>
        </w:rPr>
        <w:t xml:space="preserve">(v) </w:t>
      </w:r>
      <w:r>
        <w:rPr>
          <w:rFonts w:ascii="Cambria" w:hAnsi="Cambria" w:eastAsia="Microsoft YaHei" w:cs="Cambria"/>
          <w:color w:val="1A1A1A"/>
          <w:sz w:val="22"/>
          <w:szCs w:val="22"/>
        </w:rPr>
        <w:t>The conditions for Earn-Back.</w:t>
      </w:r>
    </w:p>
    <w:p>
      <w:pPr>
        <w:pStyle w:val="Heading3"/>
      </w:pPr>
      <w:r>
        <w:rPr>
          <w:rFonts w:ascii="Cambria" w:hAnsi="Cambria" w:eastAsia="Microsoft YaHei" w:cs="Cambria"/>
          <w:b/>
          <w:color w:val="1A1A1A"/>
          <w:sz w:val="24"/>
          <w:szCs w:val="24"/>
        </w:rPr>
        <w:t>13.3(c) Penalty Escrow for Unjustified Escalation</w:t>
      </w:r>
    </w:p>
    <w:p>
      <w:pPr>
        <w:pStyle w:val="Normal"/>
      </w:pPr>
      <w:r>
        <w:rPr>
          <w:rFonts w:ascii="Cambria" w:hAnsi="Cambria" w:eastAsia="Microsoft YaHei" w:cs="Cambria"/>
          <w:color w:val="1A1A1A"/>
          <w:sz w:val="22"/>
          <w:szCs w:val="22"/>
        </w:rPr>
        <w:t>A Penalty Escrow exists within the MENOC escrow facility, funded equally by Iran and the United States at Framework activation. The Escrow amount and disbursement procedures are determined under Annex ES.</w:t>
      </w:r>
    </w:p>
    <w:p>
      <w:pPr>
        <w:pStyle w:val="Normal"/>
      </w:pPr>
      <w:r>
        <w:rPr>
          <w:rFonts w:ascii="Cambria" w:hAnsi="Cambria" w:eastAsia="Microsoft YaHei" w:cs="Cambria"/>
          <w:color w:val="1A1A1A"/>
          <w:sz w:val="22"/>
          <w:szCs w:val="22"/>
        </w:rPr>
        <w:t>If the United States unilaterally imposes sanctions or military measures outside this Framework in a manner that materially duplicates or exceeds a Joint Commission-rejected snapback request, Iran requests an emergency Joint Commission arbitration.</w:t>
      </w:r>
    </w:p>
    <w:p>
      <w:pPr>
        <w:pStyle w:val="Normal"/>
      </w:pPr>
      <w:r>
        <w:rPr>
          <w:rFonts w:ascii="Cambria" w:hAnsi="Cambria" w:eastAsia="Microsoft YaHei" w:cs="Cambria"/>
          <w:color w:val="1A1A1A"/>
          <w:sz w:val="22"/>
          <w:szCs w:val="22"/>
        </w:rPr>
        <w:t>If the Joint Commission, excluding the U.S. representative, finds by majority vote that the U.S. action lacks justification by a new, material breach, the Penalty Escrow disburses to Iran within 14 days as liquidated damages for economic disruption, in accordance with Annex ES.</w:t>
      </w:r>
    </w:p>
    <w:p>
      <w:pPr>
        <w:pStyle w:val="Heading3"/>
      </w:pPr>
      <w:r>
        <w:rPr>
          <w:rFonts w:ascii="Cambria" w:hAnsi="Cambria" w:eastAsia="Microsoft YaHei" w:cs="Cambria"/>
          <w:b/>
          <w:color w:val="1A1A1A"/>
          <w:sz w:val="24"/>
          <w:szCs w:val="24"/>
        </w:rPr>
        <w:t>13.3(d) Earn-Back Rights</w:t>
      </w:r>
    </w:p>
    <w:p>
      <w:pPr>
        <w:pStyle w:val="Normal"/>
      </w:pPr>
      <w:r>
        <w:rPr>
          <w:rFonts w:ascii="Cambria" w:hAnsi="Cambria" w:eastAsia="Microsoft YaHei" w:cs="Cambria"/>
          <w:color w:val="1A1A1A"/>
          <w:sz w:val="22"/>
          <w:szCs w:val="22"/>
        </w:rPr>
        <w:t>Regardless of whether a Step-Back or a Joint Commission-Approved Snapback is in effect, Iran retains the full right to earn back all suspended benefits through verified compliance.</w:t>
      </w:r>
    </w:p>
    <w:p>
      <w:pPr>
        <w:pStyle w:val="Normal"/>
        <w:ind w:left="720" w:hanging="360"/>
      </w:pPr>
      <w:r>
        <w:rPr>
          <w:b/>
          <w:rFonts w:ascii="Cambria" w:hAnsi="Cambria" w:eastAsia="Microsoft YaHei" w:cs="Cambria"/>
          <w:color w:val="1A1A1A"/>
          <w:sz w:val="22"/>
          <w:szCs w:val="22"/>
        </w:rPr>
        <w:t xml:space="preserve">Earn-Back from Step-Back: </w:t>
      </w:r>
      <w:r>
        <w:rPr>
          <w:rFonts w:ascii="Cambria" w:hAnsi="Cambria" w:eastAsia="Microsoft YaHei" w:cs="Cambria"/>
          <w:color w:val="1A1A1A"/>
          <w:sz w:val="22"/>
          <w:szCs w:val="22"/>
        </w:rPr>
        <w:t>14 to 90 days of clean compliance restores benefits per the tier schedules in subsection (a).</w:t>
      </w:r>
    </w:p>
    <w:p>
      <w:pPr>
        <w:pStyle w:val="Normal"/>
        <w:ind w:left="720" w:hanging="360"/>
      </w:pPr>
      <w:r>
        <w:rPr>
          <w:b/>
          <w:rFonts w:ascii="Cambria" w:hAnsi="Cambria" w:eastAsia="Microsoft YaHei" w:cs="Cambria"/>
          <w:color w:val="1A1A1A"/>
          <w:sz w:val="22"/>
          <w:szCs w:val="22"/>
        </w:rPr>
        <w:t xml:space="preserve">Earn-Back from Snapback: </w:t>
      </w:r>
      <w:r>
        <w:rPr>
          <w:rFonts w:ascii="Cambria" w:hAnsi="Cambria" w:eastAsia="Microsoft YaHei" w:cs="Cambria"/>
          <w:color w:val="1A1A1A"/>
          <w:sz w:val="22"/>
          <w:szCs w:val="22"/>
        </w:rPr>
        <w:t>Full restoration of all benefits requires 180 days of sustained, IAEA-verified clean compliance and Joint Commission majority confirmation.</w:t>
      </w:r>
    </w:p>
    <w:p>
      <w:pPr>
        <w:pStyle w:val="Heading3"/>
      </w:pPr>
      <w:r>
        <w:rPr>
          <w:rFonts w:ascii="Cambria" w:hAnsi="Cambria" w:eastAsia="Microsoft YaHei" w:cs="Cambria"/>
          <w:b/>
          <w:color w:val="1A1A1A"/>
          <w:sz w:val="24"/>
          <w:szCs w:val="24"/>
        </w:rPr>
        <w:t>13.3(e) Cooling-Off Period</w:t>
      </w:r>
    </w:p>
    <w:p>
      <w:pPr>
        <w:pStyle w:val="Normal"/>
      </w:pPr>
      <w:r>
        <w:rPr>
          <w:rFonts w:ascii="Cambria" w:hAnsi="Cambria" w:eastAsia="Microsoft YaHei" w:cs="Cambria"/>
          <w:color w:val="1A1A1A"/>
          <w:sz w:val="22"/>
          <w:szCs w:val="22"/>
        </w:rPr>
        <w:t>A mandatory 72-hour Cooling-Off Period applies before any snapback request. During this period, the Chair convenes an emergency session of senior officials from all parties to review the raw verification data. No penalties accrue during this period.</w:t>
      </w:r>
    </w:p>
    <w:p>
      <w:pPr>
        <w:pStyle w:val="Heading3"/>
      </w:pPr>
      <w:r>
        <w:rPr>
          <w:rFonts w:ascii="Cambria" w:hAnsi="Cambria" w:eastAsia="Microsoft YaHei" w:cs="Cambria"/>
          <w:b/>
          <w:color w:val="1A1A1A"/>
          <w:sz w:val="24"/>
          <w:szCs w:val="24"/>
        </w:rPr>
        <w:t>13.3(f) Definition of Material Breach</w:t>
      </w:r>
    </w:p>
    <w:p>
      <w:pPr>
        <w:pStyle w:val="Normal"/>
      </w:pPr>
      <w:r>
        <w:rPr>
          <w:rFonts w:ascii="Cambria" w:hAnsi="Cambria" w:eastAsia="Microsoft YaHei" w:cs="Cambria"/>
          <w:color w:val="1A1A1A"/>
          <w:sz w:val="22"/>
          <w:szCs w:val="22"/>
        </w:rPr>
        <w:t>For purposes of this Charter, "Material Breach" means exclusively the following specific events. No act, omission, or circumstance other than those listed in (i) through (vii) constitutes a Material Breach:</w:t>
      </w:r>
    </w:p>
    <w:p>
      <w:pPr>
        <w:pStyle w:val="Normal"/>
        <w:ind w:left="720" w:hanging="360"/>
      </w:pPr>
      <w:r>
        <w:rPr>
          <w:b/>
          <w:rFonts w:ascii="Cambria" w:hAnsi="Cambria" w:eastAsia="Microsoft YaHei" w:cs="Cambria"/>
          <w:color w:val="1A1A1A"/>
          <w:sz w:val="22"/>
          <w:szCs w:val="22"/>
        </w:rPr>
        <w:t xml:space="preserve">(i) Enrichment Violation: </w:t>
      </w:r>
      <w:r>
        <w:rPr>
          <w:rFonts w:ascii="Cambria" w:hAnsi="Cambria" w:eastAsia="Microsoft YaHei" w:cs="Cambria"/>
          <w:color w:val="1A1A1A"/>
          <w:sz w:val="22"/>
          <w:szCs w:val="22"/>
        </w:rPr>
        <w:t>A Party enriches uranium above the Civilian Enrichment Level (CEL) of 3.67% U-235 at any covered facility;</w:t>
      </w:r>
    </w:p>
    <w:p>
      <w:pPr>
        <w:pStyle w:val="Normal"/>
        <w:ind w:left="720" w:hanging="360"/>
      </w:pPr>
      <w:r>
        <w:rPr>
          <w:b/>
          <w:rFonts w:ascii="Cambria" w:hAnsi="Cambria" w:eastAsia="Microsoft YaHei" w:cs="Cambria"/>
          <w:color w:val="1A1A1A"/>
          <w:sz w:val="22"/>
          <w:szCs w:val="22"/>
        </w:rPr>
        <w:t xml:space="preserve">(ii) Access Denial: </w:t>
      </w:r>
      <w:r>
        <w:rPr>
          <w:rFonts w:ascii="Cambria" w:hAnsi="Cambria" w:eastAsia="Microsoft YaHei" w:cs="Cambria"/>
          <w:color w:val="1A1A1A"/>
          <w:sz w:val="22"/>
          <w:szCs w:val="22"/>
        </w:rPr>
        <w:t>A Party refuses IAEA access to any covered facility or site where nuclear material is present or suspected;</w:t>
      </w:r>
    </w:p>
    <w:p>
      <w:pPr>
        <w:pStyle w:val="Normal"/>
        <w:ind w:left="720" w:hanging="360"/>
      </w:pPr>
      <w:r>
        <w:rPr>
          <w:b/>
          <w:rFonts w:ascii="Cambria" w:hAnsi="Cambria" w:eastAsia="Microsoft YaHei" w:cs="Cambria"/>
          <w:color w:val="1A1A1A"/>
          <w:sz w:val="22"/>
          <w:szCs w:val="22"/>
        </w:rPr>
        <w:t xml:space="preserve">(iii) Material Diversion: </w:t>
      </w:r>
      <w:r>
        <w:rPr>
          <w:rFonts w:ascii="Cambria" w:hAnsi="Cambria" w:eastAsia="Microsoft YaHei" w:cs="Cambria"/>
          <w:color w:val="1A1A1A"/>
          <w:sz w:val="22"/>
          <w:szCs w:val="22"/>
        </w:rPr>
        <w:t>A Party diverts nuclear material from peaceful uses or from IAEA safeguards;</w:t>
      </w:r>
    </w:p>
    <w:p>
      <w:pPr>
        <w:pStyle w:val="Normal"/>
        <w:ind w:left="720" w:hanging="360"/>
      </w:pPr>
      <w:r>
        <w:rPr>
          <w:b/>
          <w:rFonts w:ascii="Cambria" w:hAnsi="Cambria" w:eastAsia="Microsoft YaHei" w:cs="Cambria"/>
          <w:color w:val="1A1A1A"/>
          <w:sz w:val="22"/>
          <w:szCs w:val="22"/>
        </w:rPr>
        <w:t xml:space="preserve">(iv) False Declaration: </w:t>
      </w:r>
      <w:r>
        <w:rPr>
          <w:rFonts w:ascii="Cambria" w:hAnsi="Cambria" w:eastAsia="Microsoft YaHei" w:cs="Cambria"/>
          <w:color w:val="1A1A1A"/>
          <w:sz w:val="22"/>
          <w:szCs w:val="22"/>
        </w:rPr>
        <w:t>A Party provides false information to the IAEA regarding nuclear material, facilities, or activities;</w:t>
      </w:r>
    </w:p>
    <w:p>
      <w:pPr>
        <w:pStyle w:val="Normal"/>
        <w:ind w:left="720" w:hanging="360"/>
      </w:pPr>
      <w:r>
        <w:rPr>
          <w:b/>
          <w:rFonts w:ascii="Cambria" w:hAnsi="Cambria" w:eastAsia="Microsoft YaHei" w:cs="Cambria"/>
          <w:color w:val="1A1A1A"/>
          <w:sz w:val="22"/>
          <w:szCs w:val="22"/>
        </w:rPr>
        <w:t xml:space="preserve">(v) Monitoring Interference: </w:t>
      </w:r>
      <w:r>
        <w:rPr>
          <w:rFonts w:ascii="Cambria" w:hAnsi="Cambria" w:eastAsia="Microsoft YaHei" w:cs="Cambria"/>
          <w:color w:val="1A1A1A"/>
          <w:sz w:val="22"/>
          <w:szCs w:val="22"/>
        </w:rPr>
        <w:t>A Party tampers with, disables, or interferes with IAEA monitoring equipment;</w:t>
      </w:r>
    </w:p>
    <w:p>
      <w:pPr>
        <w:pStyle w:val="Normal"/>
        <w:ind w:left="720" w:hanging="360"/>
      </w:pPr>
      <w:r>
        <w:rPr>
          <w:b/>
          <w:rFonts w:ascii="Cambria" w:hAnsi="Cambria" w:eastAsia="Microsoft YaHei" w:cs="Cambria"/>
          <w:color w:val="1A1A1A"/>
          <w:sz w:val="22"/>
          <w:szCs w:val="22"/>
        </w:rPr>
        <w:t xml:space="preserve">(vi) U.S. Relief Failure: </w:t>
      </w:r>
      <w:r>
        <w:rPr>
          <w:rFonts w:ascii="Cambria" w:hAnsi="Cambria" w:eastAsia="Microsoft YaHei" w:cs="Cambria"/>
          <w:color w:val="1A1A1A"/>
          <w:sz w:val="22"/>
          <w:szCs w:val="22"/>
        </w:rPr>
        <w:t>The United States fails to implement sanctions relief within the timelines the framework specifies in Annex SRCA, where the failure is not attributable to congressional inaction;</w:t>
      </w:r>
    </w:p>
    <w:p>
      <w:pPr>
        <w:pStyle w:val="Normal"/>
        <w:ind w:left="720" w:hanging="360"/>
      </w:pPr>
      <w:r>
        <w:rPr>
          <w:b/>
          <w:rFonts w:ascii="Cambria" w:hAnsi="Cambria" w:eastAsia="Microsoft YaHei" w:cs="Cambria"/>
          <w:color w:val="1A1A1A"/>
          <w:sz w:val="22"/>
          <w:szCs w:val="22"/>
        </w:rPr>
        <w:t xml:space="preserve">(vii) Step-Back Violation: </w:t>
      </w:r>
      <w:r>
        <w:rPr>
          <w:rFonts w:ascii="Cambria" w:hAnsi="Cambria" w:eastAsia="Microsoft YaHei" w:cs="Cambria"/>
          <w:color w:val="1A1A1A"/>
          <w:sz w:val="22"/>
          <w:szCs w:val="22"/>
        </w:rPr>
        <w:t>A Party violates the terms of a Step-Back or Earn-Back agreement;</w:t>
      </w:r>
    </w:p>
    <w:p>
      <w:pPr>
        <w:pStyle w:val="Normal"/>
      </w:pPr>
      <w:r>
        <w:rPr>
          <w:rFonts w:ascii="Cambria" w:hAnsi="Cambria" w:eastAsia="Microsoft YaHei" w:cs="Cambria"/>
          <w:color w:val="1A1A1A"/>
          <w:sz w:val="22"/>
          <w:szCs w:val="22"/>
        </w:rPr>
        <w:t>The framework does not treat a breach as "material" if:</w:t>
      </w:r>
    </w:p>
    <w:p>
      <w:pPr>
        <w:pStyle w:val="Normal"/>
        <w:ind w:left="720" w:hanging="360"/>
      </w:pPr>
      <w:r>
        <w:rPr>
          <w:b/>
          <w:rFonts w:ascii="Cambria" w:hAnsi="Cambria" w:eastAsia="Microsoft YaHei" w:cs="Cambria"/>
          <w:color w:val="1A1A1A"/>
          <w:sz w:val="22"/>
          <w:szCs w:val="22"/>
        </w:rPr>
        <w:t xml:space="preserve">(viii) </w:t>
      </w:r>
      <w:r>
        <w:rPr>
          <w:rFonts w:ascii="Cambria" w:hAnsi="Cambria" w:eastAsia="Microsoft YaHei" w:cs="Cambria"/>
          <w:color w:val="1A1A1A"/>
          <w:sz w:val="22"/>
          <w:szCs w:val="22"/>
        </w:rPr>
        <w:t>Force majeure or factors beyond the Party's reasonable control cause the breach;</w:t>
      </w:r>
    </w:p>
    <w:p>
      <w:pPr>
        <w:pStyle w:val="Normal"/>
        <w:ind w:left="720" w:hanging="360"/>
      </w:pPr>
      <w:r>
        <w:rPr>
          <w:b/>
          <w:rFonts w:ascii="Cambria" w:hAnsi="Cambria" w:eastAsia="Microsoft YaHei" w:cs="Cambria"/>
          <w:color w:val="1A1A1A"/>
          <w:sz w:val="22"/>
          <w:szCs w:val="22"/>
        </w:rPr>
        <w:t xml:space="preserve">(ix) </w:t>
      </w:r>
      <w:r>
        <w:rPr>
          <w:rFonts w:ascii="Cambria" w:hAnsi="Cambria" w:eastAsia="Microsoft YaHei" w:cs="Cambria"/>
          <w:color w:val="1A1A1A"/>
          <w:sz w:val="22"/>
          <w:szCs w:val="22"/>
        </w:rPr>
        <w:t>The Party remedies the breach within a reasonable period of discovery;</w:t>
      </w:r>
    </w:p>
    <w:p>
      <w:pPr>
        <w:pStyle w:val="Normal"/>
        <w:ind w:left="720" w:hanging="360"/>
      </w:pPr>
      <w:r>
        <w:rPr>
          <w:b/>
          <w:rFonts w:ascii="Cambria" w:hAnsi="Cambria" w:eastAsia="Microsoft YaHei" w:cs="Cambria"/>
          <w:color w:val="1A1A1A"/>
          <w:sz w:val="22"/>
          <w:szCs w:val="22"/>
        </w:rPr>
        <w:t xml:space="preserve">(x) </w:t>
      </w:r>
      <w:r>
        <w:rPr>
          <w:rFonts w:ascii="Cambria" w:hAnsi="Cambria" w:eastAsia="Microsoft YaHei" w:cs="Cambria"/>
          <w:color w:val="1A1A1A"/>
          <w:sz w:val="22"/>
          <w:szCs w:val="22"/>
        </w:rPr>
        <w:t>The breach does not undermine the verification or safeguards objectives of this Charter; or</w:t>
      </w:r>
    </w:p>
    <w:p>
      <w:pPr>
        <w:pStyle w:val="Normal"/>
        <w:ind w:left="720" w:hanging="360"/>
      </w:pPr>
      <w:r>
        <w:rPr>
          <w:b/>
          <w:rFonts w:ascii="Cambria" w:hAnsi="Cambria" w:eastAsia="Microsoft YaHei" w:cs="Cambria"/>
          <w:color w:val="1A1A1A"/>
          <w:sz w:val="22"/>
          <w:szCs w:val="22"/>
        </w:rPr>
        <w:t xml:space="preserve">(xi) </w:t>
      </w:r>
      <w:r>
        <w:rPr>
          <w:rFonts w:ascii="Cambria" w:hAnsi="Cambria" w:eastAsia="Microsoft YaHei" w:cs="Cambria"/>
          <w:color w:val="1A1A1A"/>
          <w:sz w:val="22"/>
          <w:szCs w:val="22"/>
        </w:rPr>
        <w:t>The breach is de minimis or technical in nature.</w:t>
      </w:r>
    </w:p>
    <w:p>
      <w:pPr>
        <w:pStyle w:val="Normal"/>
      </w:pPr>
      <w:r>
        <w:rPr>
          <w:rFonts w:ascii="Cambria" w:hAnsi="Cambria" w:eastAsia="Microsoft YaHei" w:cs="Cambria"/>
          <w:color w:val="1A1A1A"/>
          <w:sz w:val="22"/>
          <w:szCs w:val="22"/>
        </w:rPr>
        <w:t>The Technical Advisory Panel reviews all breach allegations and issues a binding technical determination before any political body considers the matter. The Joint Commission considers the Panel's technical determination and decides whether a Material Breach has occurred within 14 days. The Party subject to the breach allegation appeals the determination through the dispute resolution procedures in Article 10.</w:t>
      </w:r>
    </w:p>
    <w:p>
      <w:pPr>
        <w:pStyle w:val="Heading1"/>
      </w:pPr>
      <w:bookmarkStart w:name="_TocArt14" w:id="15"/>
      <w:r>
        <w:rPr>
          <w:rFonts w:ascii="Cambria" w:hAnsi="Cambria" w:eastAsia="Microsoft YaHei" w:cs="Cambria"/>
          <w:b/>
          <w:color w:val="1A2744"/>
          <w:sz w:val="40"/>
          <w:szCs w:val="40"/>
        </w:rPr>
        <w:t>Article 14: Final Provisions</w:t>
      </w:r>
      <w:bookmarkEnd w:id="15"/>
    </w:p>
    <w:p>
      <w:pPr>
        <w:pStyle w:val="Heading2"/>
      </w:pPr>
      <w:r>
        <w:rPr>
          <w:rFonts w:ascii="Cambria" w:hAnsi="Cambria" w:eastAsia="Microsoft YaHei" w:cs="Cambria"/>
          <w:b/>
          <w:color w:val="1A1A1A"/>
          <w:sz w:val="28"/>
          <w:szCs w:val="28"/>
        </w:rPr>
        <w:t>14.1 Signature</w:t>
      </w:r>
    </w:p>
    <w:p>
      <w:pPr>
        <w:pStyle w:val="Normal"/>
      </w:pPr>
      <w:r>
        <w:rPr>
          <w:rFonts w:ascii="Cambria" w:hAnsi="Cambria" w:eastAsia="Microsoft YaHei" w:cs="Cambria"/>
          <w:color w:val="1A1A1A"/>
          <w:sz w:val="22"/>
          <w:szCs w:val="22"/>
        </w:rPr>
        <w:t>The Parties sign this Charter in Muscat, Sultanate of Oman. The English, Arabic, and Persian texts are equally authentic.</w:t>
      </w:r>
    </w:p>
    <w:p>
      <w:pPr>
        <w:pStyle w:val="Heading2"/>
      </w:pPr>
      <w:r>
        <w:rPr>
          <w:rFonts w:ascii="Cambria" w:hAnsi="Cambria" w:eastAsia="Microsoft YaHei" w:cs="Cambria"/>
          <w:b/>
          <w:color w:val="1A1A1A"/>
          <w:sz w:val="28"/>
          <w:szCs w:val="28"/>
        </w:rPr>
        <w:t>14.2 Registration</w:t>
      </w:r>
    </w:p>
    <w:p>
      <w:pPr>
        <w:pStyle w:val="Normal"/>
      </w:pPr>
      <w:r>
        <w:rPr>
          <w:rFonts w:ascii="Cambria" w:hAnsi="Cambria" w:eastAsia="Microsoft YaHei" w:cs="Cambria"/>
          <w:color w:val="1A1A1A"/>
          <w:sz w:val="22"/>
          <w:szCs w:val="22"/>
        </w:rPr>
        <w:t>The depositary registers this Charter with the United Nations Secretariat pursuant to Article 102 of the Charter of the United Nations.</w:t>
      </w:r>
    </w:p>
    <w:p>
      <w:pPr>
        <w:pStyle w:val="Heading2"/>
      </w:pPr>
      <w:r>
        <w:rPr>
          <w:rFonts w:ascii="Cambria" w:hAnsi="Cambria" w:eastAsia="Microsoft YaHei" w:cs="Cambria"/>
          <w:b/>
          <w:color w:val="1A1A1A"/>
          <w:sz w:val="28"/>
          <w:szCs w:val="28"/>
        </w:rPr>
        <w:t>14.3 Depository</w:t>
      </w:r>
    </w:p>
    <w:p>
      <w:pPr>
        <w:pStyle w:val="Normal"/>
      </w:pPr>
      <w:r>
        <w:rPr>
          <w:rFonts w:ascii="Cambria" w:hAnsi="Cambria" w:eastAsia="Microsoft YaHei" w:cs="Cambria"/>
          <w:color w:val="1A1A1A"/>
          <w:sz w:val="22"/>
          <w:szCs w:val="22"/>
        </w:rPr>
        <w:t>The Secretary-General of the United Nations serves as the depositary of this Charter.</w:t>
      </w:r>
    </w:p>
    <w:p>
      <w:pPr>
        <w:pStyle w:val="Heading1"/>
      </w:pPr>
      <w:r>
        <w:rPr>
          <w:rFonts w:ascii="Cambria" w:hAnsi="Cambria" w:eastAsia="Microsoft YaHei" w:cs="Cambria"/>
          <w:b/>
          <w:color w:val="1A2744"/>
          <w:sz w:val="40"/>
          <w:szCs w:val="40"/>
        </w:rPr>
        <w:t>Article 15: Force Majeure</w:t>
      </w:r>
    </w:p>
    <w:p>
      <w:pPr>
        <w:pStyle w:val="Heading2"/>
      </w:pPr>
      <w:r>
        <w:rPr>
          <w:rFonts w:ascii="Cambria" w:hAnsi="Cambria" w:eastAsia="Microsoft YaHei" w:cs="Cambria"/>
          <w:b/>
          <w:color w:val="1A1A1A"/>
          <w:sz w:val="28"/>
          <w:szCs w:val="28"/>
        </w:rPr>
        <w:t>15.1 Definition</w:t>
      </w:r>
    </w:p>
    <w:p>
      <w:pPr>
        <w:pStyle w:val="Normal"/>
      </w:pPr>
      <w:r>
        <w:rPr>
          <w:rFonts w:ascii="Cambria" w:hAnsi="Cambria" w:eastAsia="Microsoft YaHei" w:cs="Cambria"/>
          <w:color w:val="1A1A1A"/>
          <w:sz w:val="22"/>
          <w:szCs w:val="22"/>
        </w:rPr>
        <w:t>"Force Majeure" means an event beyond the reasonable control of a Party, including armed conflict, natural disaster, cyberattack, loss of power at a covered facility, pandemic, or act of terrorism. Economic hardship, changes in government, or domestic political pressure do not constitute Force Majeure.</w:t>
      </w:r>
    </w:p>
    <w:p>
      <w:pPr>
        <w:pStyle w:val="Heading2"/>
      </w:pPr>
      <w:r>
        <w:rPr>
          <w:rFonts w:ascii="Cambria" w:hAnsi="Cambria" w:eastAsia="Microsoft YaHei" w:cs="Cambria"/>
          <w:b/>
          <w:color w:val="1A1A1A"/>
          <w:sz w:val="28"/>
          <w:szCs w:val="28"/>
        </w:rPr>
        <w:t>15.2 Notification</w:t>
      </w:r>
    </w:p>
    <w:p>
      <w:pPr>
        <w:pStyle w:val="Normal"/>
      </w:pPr>
      <w:r>
        <w:rPr>
          <w:rFonts w:ascii="Cambria" w:hAnsi="Cambria" w:eastAsia="Microsoft YaHei" w:cs="Cambria"/>
          <w:color w:val="1A1A1A"/>
          <w:sz w:val="22"/>
          <w:szCs w:val="22"/>
        </w:rPr>
        <w:t>The affected Party notifies the Joint Management Board and IAEA within 72 hours of the Force Majeure event. The notice includes the nature of the event, its expected duration, and the specific obligations the Party cannot perform.</w:t>
      </w:r>
    </w:p>
    <w:p>
      <w:pPr>
        <w:pStyle w:val="Heading2"/>
      </w:pPr>
      <w:r>
        <w:rPr>
          <w:rFonts w:ascii="Cambria" w:hAnsi="Cambria" w:eastAsia="Microsoft YaHei" w:cs="Cambria"/>
          <w:b/>
          <w:color w:val="1A1A1A"/>
          <w:sz w:val="28"/>
          <w:szCs w:val="28"/>
        </w:rPr>
        <w:t>15.3 Effect</w:t>
      </w:r>
    </w:p>
    <w:p>
      <w:pPr>
        <w:pStyle w:val="Normal"/>
      </w:pPr>
      <w:r>
        <w:rPr>
          <w:rFonts w:ascii="Cambria" w:hAnsi="Cambria" w:eastAsia="Microsoft YaHei" w:cs="Cambria"/>
          <w:color w:val="1A1A1A"/>
          <w:sz w:val="22"/>
          <w:szCs w:val="22"/>
        </w:rPr>
        <w:t>Force Majeure suspends the affected Party's obligations for the duration of the event, up to a maximum of 90 days. The Joint Management Board reviews the suspension every 30 days. The Party resumes full compliance within 7 days of the event's conclusion. IAEA inspection activities suspend only to the extent that the Force Majeure event physically prevents inspection access.</w:t>
      </w:r>
    </w:p>
    <w:p>
      <w:pPr>
        <w:pStyle w:val="Heading1"/>
      </w:pPr>
      <w:r>
        <w:rPr>
          <w:rFonts w:ascii="Cambria" w:hAnsi="Cambria" w:eastAsia="Microsoft YaHei" w:cs="Cambria"/>
          <w:b/>
          <w:color w:val="1A2744"/>
          <w:sz w:val="40"/>
          <w:szCs w:val="40"/>
        </w:rPr>
        <w:t>Article 16: Confidentiality</w:t>
      </w:r>
    </w:p>
    <w:p>
      <w:pPr>
        <w:pStyle w:val="Heading2"/>
      </w:pPr>
      <w:r>
        <w:rPr>
          <w:rFonts w:ascii="Cambria" w:hAnsi="Cambria" w:eastAsia="Microsoft YaHei" w:cs="Cambria"/>
          <w:b/>
          <w:color w:val="1A1A1A"/>
          <w:sz w:val="28"/>
          <w:szCs w:val="28"/>
        </w:rPr>
        <w:t>16.1 Protected Information</w:t>
      </w:r>
    </w:p>
    <w:p>
      <w:pPr>
        <w:pStyle w:val="Normal"/>
      </w:pPr>
      <w:r>
        <w:rPr>
          <w:rFonts w:ascii="Cambria" w:hAnsi="Cambria" w:eastAsia="Microsoft YaHei" w:cs="Cambria"/>
          <w:color w:val="1A1A1A"/>
          <w:sz w:val="22"/>
          <w:szCs w:val="22"/>
        </w:rPr>
        <w:t>The following categories of information constitute Protected Information under this Charter: inspection data and reports; commercial proprietary information; facility design and layout details; security procedures and personnel information; and any information designated as confidential by the Party that provides it.</w:t>
      </w:r>
    </w:p>
    <w:p>
      <w:pPr>
        <w:pStyle w:val="Heading2"/>
      </w:pPr>
      <w:r>
        <w:rPr>
          <w:rFonts w:ascii="Cambria" w:hAnsi="Cambria" w:eastAsia="Microsoft YaHei" w:cs="Cambria"/>
          <w:b/>
          <w:color w:val="1A1A1A"/>
          <w:sz w:val="28"/>
          <w:szCs w:val="28"/>
        </w:rPr>
        <w:t>16.2 IAEA Data</w:t>
      </w:r>
    </w:p>
    <w:p>
      <w:pPr>
        <w:pStyle w:val="Normal"/>
      </w:pPr>
      <w:r>
        <w:rPr>
          <w:rFonts w:ascii="Cambria" w:hAnsi="Cambria" w:eastAsia="Microsoft YaHei" w:cs="Cambria"/>
          <w:color w:val="1A1A1A"/>
          <w:sz w:val="22"/>
          <w:szCs w:val="22"/>
        </w:rPr>
        <w:t>All raw verification data constitutes IAEA property. MENOC and its members receive only the Baseline Verification Certificate and summary reports the IAEA Director General approves for distribution. No member state accesses raw telemetry, inspector notes, or proprietary IAEA analytical methods.</w:t>
      </w:r>
    </w:p>
    <w:p>
      <w:pPr>
        <w:pStyle w:val="Heading2"/>
      </w:pPr>
      <w:r>
        <w:rPr>
          <w:rFonts w:ascii="Cambria" w:hAnsi="Cambria" w:eastAsia="Microsoft YaHei" w:cs="Cambria"/>
          <w:b/>
          <w:color w:val="1A1A1A"/>
          <w:sz w:val="28"/>
          <w:szCs w:val="28"/>
        </w:rPr>
        <w:t>16.3 Commercial Information</w:t>
      </w:r>
    </w:p>
    <w:p>
      <w:pPr>
        <w:pStyle w:val="Normal"/>
      </w:pPr>
      <w:r>
        <w:rPr>
          <w:rFonts w:ascii="Cambria" w:hAnsi="Cambria" w:eastAsia="Microsoft YaHei" w:cs="Cambria"/>
          <w:color w:val="1A1A1A"/>
          <w:sz w:val="22"/>
          <w:szCs w:val="22"/>
        </w:rPr>
        <w:t>MENOC and the IAEA protect commercial proprietary information relating to enrichment technology, supplier relationships, and operational economics. This information does not appear in public transparency reports. The Joint Management Board approves the specific categories of commercially sensitive information that remain confidential.</w:t>
      </w:r>
    </w:p>
    <w:p>
      <w:pPr>
        <w:pStyle w:val="Heading2"/>
      </w:pPr>
      <w:r>
        <w:rPr>
          <w:rFonts w:ascii="Cambria" w:hAnsi="Cambria" w:eastAsia="Microsoft YaHei" w:cs="Cambria"/>
          <w:b/>
          <w:color w:val="1A1A1A"/>
          <w:sz w:val="28"/>
          <w:szCs w:val="28"/>
        </w:rPr>
        <w:t>16.4 Security Information</w:t>
      </w:r>
    </w:p>
    <w:p>
      <w:pPr>
        <w:pStyle w:val="Normal"/>
      </w:pPr>
      <w:r>
        <w:rPr>
          <w:rFonts w:ascii="Cambria" w:hAnsi="Cambria" w:eastAsia="Microsoft YaHei" w:cs="Cambria"/>
          <w:color w:val="1A1A1A"/>
          <w:sz w:val="22"/>
          <w:szCs w:val="22"/>
        </w:rPr>
        <w:t>Facility security arrangements, guard force deployments, and physical protection systems information remain confidential. The IAEA receives security information only to the extent necessary for verification access. MENOC members receive no security information beyond what the Verification Annex specifies.</w:t>
      </w:r>
    </w:p>
    <w:p>
      <w:pPr>
        <w:pStyle w:val="Heading1"/>
      </w:pPr>
      <w:r>
        <w:rPr>
          <w:rFonts w:ascii="Cambria" w:hAnsi="Cambria" w:eastAsia="Microsoft YaHei" w:cs="Cambria"/>
          <w:b/>
          <w:color w:val="1A2744"/>
          <w:sz w:val="40"/>
          <w:szCs w:val="40"/>
        </w:rPr>
        <w:t>Article 17: Interpretation</w:t>
      </w:r>
    </w:p>
    <w:p>
      <w:pPr>
        <w:pStyle w:val="Normal"/>
      </w:pPr>
      <w:r>
        <w:rPr>
          <w:rFonts w:ascii="Cambria" w:hAnsi="Cambria" w:eastAsia="Microsoft YaHei" w:cs="Cambria"/>
          <w:color w:val="1A1A1A"/>
          <w:sz w:val="22"/>
          <w:szCs w:val="22"/>
        </w:rPr>
        <w:t>The Parties interpret this Charter in good faith in accordance with the ordinary meaning of its terms in their context and in light of its object and purpose. The following principles guide interpretation:</w:t>
      </w:r>
    </w:p>
    <w:p>
      <w:pPr>
        <w:pStyle w:val="Normal"/>
        <w:ind w:left="720" w:hanging="360"/>
      </w:pPr>
      <w:r>
        <w:rPr>
          <w:b/>
          <w:rFonts w:ascii="Cambria" w:hAnsi="Cambria" w:eastAsia="Microsoft YaHei" w:cs="Cambria"/>
          <w:color w:val="1A1A1A"/>
          <w:sz w:val="22"/>
          <w:szCs w:val="22"/>
        </w:rPr>
        <w:t xml:space="preserve">(a) </w:t>
      </w:r>
      <w:r>
        <w:rPr>
          <w:rFonts w:ascii="Cambria" w:hAnsi="Cambria" w:eastAsia="Microsoft YaHei" w:cs="Cambria"/>
          <w:color w:val="1A1A1A"/>
          <w:sz w:val="22"/>
          <w:szCs w:val="22"/>
        </w:rPr>
        <w:t>Interpretation preserves the inalienable right of all NPT States Parties to develop research, production, and use of nuclear energy for peaceful purposes.</w:t>
      </w:r>
    </w:p>
    <w:p>
      <w:pPr>
        <w:pStyle w:val="Normal"/>
        <w:ind w:left="720" w:hanging="360"/>
      </w:pPr>
      <w:r>
        <w:rPr>
          <w:b/>
          <w:rFonts w:ascii="Cambria" w:hAnsi="Cambria" w:eastAsia="Microsoft YaHei" w:cs="Cambria"/>
          <w:color w:val="1A1A1A"/>
          <w:sz w:val="22"/>
          <w:szCs w:val="22"/>
        </w:rPr>
        <w:t xml:space="preserve">(b) </w:t>
      </w:r>
      <w:r>
        <w:rPr>
          <w:rFonts w:ascii="Cambria" w:hAnsi="Cambria" w:eastAsia="Microsoft YaHei" w:cs="Cambria"/>
          <w:color w:val="1A1A1A"/>
          <w:sz w:val="22"/>
          <w:szCs w:val="22"/>
        </w:rPr>
        <w:t>Interpretation strengthens and reinforces the IAEA safeguards system. No interpretation undermines IAEA verification authority or independence.</w:t>
      </w:r>
    </w:p>
    <w:p>
      <w:pPr>
        <w:pStyle w:val="Normal"/>
        <w:ind w:left="720" w:hanging="360"/>
      </w:pPr>
      <w:r>
        <w:rPr>
          <w:b/>
          <w:rFonts w:ascii="Cambria" w:hAnsi="Cambria" w:eastAsia="Microsoft YaHei" w:cs="Cambria"/>
          <w:color w:val="1A1A1A"/>
          <w:sz w:val="22"/>
          <w:szCs w:val="22"/>
        </w:rPr>
        <w:t xml:space="preserve">(c) </w:t>
      </w:r>
      <w:r>
        <w:rPr>
          <w:rFonts w:ascii="Cambria" w:hAnsi="Cambria" w:eastAsia="Microsoft YaHei" w:cs="Cambria"/>
          <w:color w:val="1A1A1A"/>
          <w:sz w:val="22"/>
          <w:szCs w:val="22"/>
        </w:rPr>
        <w:t>Interpretation advances regional stability and exclusively peaceful nuclear cooperation.</w:t>
      </w:r>
    </w:p>
    <w:p>
      <w:pPr>
        <w:pStyle w:val="Normal"/>
        <w:ind w:left="720" w:hanging="360"/>
      </w:pPr>
      <w:r>
        <w:rPr>
          <w:b/>
          <w:rFonts w:ascii="Cambria" w:hAnsi="Cambria" w:eastAsia="Microsoft YaHei" w:cs="Cambria"/>
          <w:color w:val="1A1A1A"/>
          <w:sz w:val="22"/>
          <w:szCs w:val="22"/>
        </w:rPr>
        <w:t xml:space="preserve">(d) </w:t>
      </w:r>
      <w:r>
        <w:rPr>
          <w:rFonts w:ascii="Cambria" w:hAnsi="Cambria" w:eastAsia="Microsoft YaHei" w:cs="Cambria"/>
          <w:color w:val="1A1A1A"/>
          <w:sz w:val="22"/>
          <w:szCs w:val="22"/>
        </w:rPr>
        <w:t>No interpretation produces a result that is manifestly absurd or unreasonable.</w:t>
      </w:r>
    </w:p>
    <w:p>
      <w:pPr>
        <w:pStyle w:val="Normal"/>
        <w:ind w:left="720" w:hanging="360"/>
      </w:pPr>
      <w:r>
        <w:rPr>
          <w:b/>
          <w:rFonts w:ascii="Cambria" w:hAnsi="Cambria" w:eastAsia="Microsoft YaHei" w:cs="Cambria"/>
          <w:color w:val="1A1A1A"/>
          <w:sz w:val="22"/>
          <w:szCs w:val="22"/>
        </w:rPr>
        <w:t xml:space="preserve">(e) </w:t>
      </w:r>
      <w:r>
        <w:rPr>
          <w:rFonts w:ascii="Cambria" w:hAnsi="Cambria" w:eastAsia="Microsoft YaHei" w:cs="Cambria"/>
          <w:color w:val="1A1A1A"/>
          <w:sz w:val="22"/>
          <w:szCs w:val="22"/>
        </w:rPr>
        <w:t>The preamble and annexes form an integral part of this Charter and inform its interpretation.</w:t>
      </w:r>
    </w:p>
    <w:p>
      <w:pPr>
        <w:pStyle w:val="Normal"/>
        <w:ind w:left="720" w:hanging="360"/>
      </w:pPr>
      <w:r>
        <w:rPr>
          <w:b/>
          <w:rFonts w:ascii="Cambria" w:hAnsi="Cambria" w:eastAsia="Microsoft YaHei" w:cs="Cambria"/>
          <w:color w:val="1A1A1A"/>
          <w:sz w:val="22"/>
          <w:szCs w:val="22"/>
        </w:rPr>
        <w:t xml:space="preserve">(f) </w:t>
      </w:r>
      <w:r>
        <w:rPr>
          <w:rFonts w:ascii="Cambria" w:hAnsi="Cambria" w:eastAsia="Microsoft YaHei" w:cs="Cambria"/>
          <w:color w:val="1A1A1A"/>
          <w:sz w:val="22"/>
          <w:szCs w:val="22"/>
        </w:rPr>
        <w:t>Ambiguity in operative provisions does not expand the scope of restrictions or obligations beyond what the text expressly provides.</w:t>
      </w:r>
    </w:p>
    <w:p>
      <w:pPr>
        <w:pStyle w:val="Heading1"/>
      </w:pPr>
      <w:r>
        <w:rPr>
          <w:rFonts w:ascii="Cambria" w:hAnsi="Cambria" w:eastAsia="Microsoft YaHei" w:cs="Cambria"/>
          <w:b/>
          <w:color w:val="1A2744"/>
          <w:sz w:val="40"/>
          <w:szCs w:val="40"/>
        </w:rPr>
        <w:t>Article 18: Technical Advisory Panel</w:t>
      </w:r>
    </w:p>
    <w:p>
      <w:pPr>
        <w:pStyle w:val="Heading2"/>
      </w:pPr>
      <w:r>
        <w:rPr>
          <w:rFonts w:ascii="Cambria" w:hAnsi="Cambria" w:eastAsia="Microsoft YaHei" w:cs="Cambria"/>
          <w:b/>
          <w:color w:val="1A1A1A"/>
          <w:sz w:val="28"/>
          <w:szCs w:val="28"/>
        </w:rPr>
        <w:t>18.1 Establishment</w:t>
      </w:r>
    </w:p>
    <w:p>
      <w:pPr>
        <w:pStyle w:val="Normal"/>
      </w:pPr>
      <w:r>
        <w:rPr>
          <w:rFonts w:ascii="Cambria" w:hAnsi="Cambria" w:eastAsia="Microsoft YaHei" w:cs="Cambria"/>
          <w:color w:val="1A1A1A"/>
          <w:sz w:val="22"/>
          <w:szCs w:val="22"/>
        </w:rPr>
        <w:t>The Technical Advisory Panel operates as an independent technical body separate from all political bodies established under this Charter. The Panel comprises five experts in nuclear verification, material accountancy, and safeguards technology. Each founding member nominates one expert. The Joint Management Board appoints Panel members for three-year renewable terms.</w:t>
      </w:r>
    </w:p>
    <w:p>
      <w:pPr>
        <w:pStyle w:val="Heading2"/>
      </w:pPr>
      <w:r>
        <w:rPr>
          <w:rFonts w:ascii="Cambria" w:hAnsi="Cambria" w:eastAsia="Microsoft YaHei" w:cs="Cambria"/>
          <w:b/>
          <w:color w:val="1A1A1A"/>
          <w:sz w:val="28"/>
          <w:szCs w:val="28"/>
        </w:rPr>
        <w:t>18.2 Functions</w:t>
      </w:r>
    </w:p>
    <w:p>
      <w:pPr>
        <w:pStyle w:val="Normal"/>
      </w:pPr>
      <w:r>
        <w:rPr>
          <w:rFonts w:ascii="Cambria" w:hAnsi="Cambria" w:eastAsia="Microsoft YaHei" w:cs="Cambria"/>
          <w:color w:val="1A1A1A"/>
          <w:sz w:val="22"/>
          <w:szCs w:val="22"/>
        </w:rPr>
        <w:t>The Panel exercises the following functions:</w:t>
      </w:r>
    </w:p>
    <w:p>
      <w:pPr>
        <w:pStyle w:val="Normal"/>
        <w:ind w:left="720" w:hanging="360"/>
      </w:pPr>
      <w:r>
        <w:rPr>
          <w:b/>
          <w:rFonts w:ascii="Cambria" w:hAnsi="Cambria" w:eastAsia="Microsoft YaHei" w:cs="Cambria"/>
          <w:color w:val="1A1A1A"/>
          <w:sz w:val="22"/>
          <w:szCs w:val="22"/>
        </w:rPr>
        <w:t xml:space="preserve">(a) </w:t>
      </w:r>
      <w:r>
        <w:rPr>
          <w:rFonts w:ascii="Cambria" w:hAnsi="Cambria" w:eastAsia="Microsoft YaHei" w:cs="Cambria"/>
          <w:color w:val="1A1A1A"/>
          <w:sz w:val="22"/>
          <w:szCs w:val="22"/>
        </w:rPr>
        <w:t>The Panel reviews all technical questions relating to verification, enrichment measurement, and material accountancy before they escalate to political bodies.</w:t>
      </w:r>
    </w:p>
    <w:p>
      <w:pPr>
        <w:pStyle w:val="Normal"/>
        <w:ind w:left="720" w:hanging="360"/>
      </w:pPr>
      <w:r>
        <w:rPr>
          <w:b/>
          <w:rFonts w:ascii="Cambria" w:hAnsi="Cambria" w:eastAsia="Microsoft YaHei" w:cs="Cambria"/>
          <w:color w:val="1A1A1A"/>
          <w:sz w:val="22"/>
          <w:szCs w:val="22"/>
        </w:rPr>
        <w:t xml:space="preserve">(b) </w:t>
      </w:r>
      <w:r>
        <w:rPr>
          <w:rFonts w:ascii="Cambria" w:hAnsi="Cambria" w:eastAsia="Microsoft YaHei" w:cs="Cambria"/>
          <w:color w:val="1A1A1A"/>
          <w:sz w:val="22"/>
          <w:szCs w:val="22"/>
        </w:rPr>
        <w:t>The Panel issues binding technical determinations on breach allegations, measurement disputes, and compliance questions.</w:t>
      </w:r>
    </w:p>
    <w:p>
      <w:pPr>
        <w:pStyle w:val="Normal"/>
        <w:ind w:left="720" w:hanging="360"/>
      </w:pPr>
      <w:r>
        <w:rPr>
          <w:b/>
          <w:rFonts w:ascii="Cambria" w:hAnsi="Cambria" w:eastAsia="Microsoft YaHei" w:cs="Cambria"/>
          <w:color w:val="1A1A1A"/>
          <w:sz w:val="22"/>
          <w:szCs w:val="22"/>
        </w:rPr>
        <w:t xml:space="preserve">(c) </w:t>
      </w:r>
      <w:r>
        <w:rPr>
          <w:rFonts w:ascii="Cambria" w:hAnsi="Cambria" w:eastAsia="Microsoft YaHei" w:cs="Cambria"/>
          <w:color w:val="1A1A1A"/>
          <w:sz w:val="22"/>
          <w:szCs w:val="22"/>
        </w:rPr>
        <w:t>The Panel reviews proposed amendments to the Verification Annex and Technical Manuals and advises the Joint Management Board on their technical adequacy.</w:t>
      </w:r>
    </w:p>
    <w:p>
      <w:pPr>
        <w:pStyle w:val="Normal"/>
        <w:ind w:left="720" w:hanging="360"/>
      </w:pPr>
      <w:r>
        <w:rPr>
          <w:b/>
          <w:rFonts w:ascii="Cambria" w:hAnsi="Cambria" w:eastAsia="Microsoft YaHei" w:cs="Cambria"/>
          <w:color w:val="1A1A1A"/>
          <w:sz w:val="22"/>
          <w:szCs w:val="22"/>
        </w:rPr>
        <w:t xml:space="preserve">(d) </w:t>
      </w:r>
      <w:r>
        <w:rPr>
          <w:rFonts w:ascii="Cambria" w:hAnsi="Cambria" w:eastAsia="Microsoft YaHei" w:cs="Cambria"/>
          <w:color w:val="1A1A1A"/>
          <w:sz w:val="22"/>
          <w:szCs w:val="22"/>
        </w:rPr>
        <w:t>The Panel convenes at the request of any Party or on its own initiative when technical questions arise.</w:t>
      </w:r>
    </w:p>
    <w:p>
      <w:pPr>
        <w:pStyle w:val="Heading2"/>
      </w:pPr>
      <w:r>
        <w:rPr>
          <w:rFonts w:ascii="Cambria" w:hAnsi="Cambria" w:eastAsia="Microsoft YaHei" w:cs="Cambria"/>
          <w:b/>
          <w:color w:val="1A1A1A"/>
          <w:sz w:val="28"/>
          <w:szCs w:val="28"/>
        </w:rPr>
        <w:t>18.3 Independence</w:t>
      </w:r>
    </w:p>
    <w:p>
      <w:pPr>
        <w:pStyle w:val="Normal"/>
      </w:pPr>
      <w:r>
        <w:rPr>
          <w:rFonts w:ascii="Cambria" w:hAnsi="Cambria" w:eastAsia="Microsoft YaHei" w:cs="Cambria"/>
          <w:color w:val="1A1A1A"/>
          <w:sz w:val="22"/>
          <w:szCs w:val="22"/>
        </w:rPr>
        <w:t>The Panel operates independently of the Joint Management Board, the Joint Commission, and all member states. Panel members serve in their personal capacity. No member state instructs, influences, or removes a Panel member except for cause. Panel determinations prevail on all technical questions. Political bodies defer to Panel findings when deciding matters with technical dimensions.</w:t>
      </w:r>
    </w:p>
    <w:p>
      <w:pPr>
        <w:pStyle w:val="Heading1"/>
      </w:pPr>
      <w:r>
        <w:rPr>
          <w:rFonts w:ascii="Cambria" w:hAnsi="Cambria" w:eastAsia="Microsoft YaHei" w:cs="Cambria"/>
          <w:b/>
          <w:color w:val="1A2744"/>
          <w:sz w:val="40"/>
          <w:szCs w:val="40"/>
        </w:rPr>
        <w:t>Article 19: Annual Review Conference</w:t>
      </w:r>
    </w:p>
    <w:p>
      <w:pPr>
        <w:pStyle w:val="Normal"/>
      </w:pPr>
      <w:r>
        <w:rPr>
          <w:rFonts w:ascii="Cambria" w:hAnsi="Cambria" w:eastAsia="Microsoft YaHei" w:cs="Cambria"/>
          <w:color w:val="1A1A1A"/>
          <w:sz w:val="22"/>
          <w:szCs w:val="22"/>
        </w:rPr>
        <w:t>MENOC convenes an Annual Review Conference within the first quarter of each calendar year. All member states participate. The Conference reviews the preceding year's operations, evaluates IAEA verification results, considers technical updates to operational procedures, and adopts amendments to Technical Manuals and Operating Procedures. Amendments to Technical Manuals and Operating Procedures require consensus at the Annual Review Conference and do not constitute Charter amendments under Article 12.</w:t>
      </w:r>
    </w:p>
    <w:p>
      <w:pPr>
        <w:pStyle w:val="Heading1"/>
      </w:pPr>
      <w:r>
        <w:rPr>
          <w:rFonts w:ascii="Cambria" w:hAnsi="Cambria" w:eastAsia="Microsoft YaHei" w:cs="Cambria"/>
          <w:b/>
          <w:color w:val="1A2744"/>
          <w:sz w:val="40"/>
          <w:szCs w:val="40"/>
        </w:rPr>
        <w:t>Article 20: Normative Hierarchy</w:t>
      </w:r>
    </w:p>
    <w:p>
      <w:pPr>
        <w:pStyle w:val="Normal"/>
      </w:pPr>
      <w:r>
        <w:rPr>
          <w:rFonts w:ascii="Cambria" w:hAnsi="Cambria" w:eastAsia="Microsoft YaHei" w:cs="Cambria"/>
          <w:color w:val="1A1A1A"/>
          <w:sz w:val="22"/>
          <w:szCs w:val="22"/>
        </w:rPr>
        <w:t>In the event of conflict among the instruments governing MENOC operations, the following hierarchy prevails, with higher-ranking instruments superseding lower-ranking instruments to the extent of the conflict:</w:t>
      </w:r>
    </w:p>
    <w:p>
      <w:pPr>
        <w:pStyle w:val="Normal"/>
        <w:ind w:left="720" w:hanging="360"/>
      </w:pPr>
      <w:r>
        <w:rPr>
          <w:b/>
          <w:rFonts w:ascii="Cambria" w:hAnsi="Cambria" w:eastAsia="Microsoft YaHei" w:cs="Cambria"/>
          <w:color w:val="1A1A1A"/>
          <w:sz w:val="22"/>
          <w:szCs w:val="22"/>
        </w:rPr>
        <w:t xml:space="preserve">(1) </w:t>
      </w:r>
      <w:r>
        <w:rPr>
          <w:rFonts w:ascii="Cambria" w:hAnsi="Cambria" w:eastAsia="Microsoft YaHei" w:cs="Cambria"/>
          <w:color w:val="1A1A1A"/>
          <w:sz w:val="22"/>
          <w:szCs w:val="22"/>
        </w:rPr>
        <w:t>This Charter, including its Preamble;</w:t>
      </w:r>
    </w:p>
    <w:p>
      <w:pPr>
        <w:pStyle w:val="Normal"/>
        <w:ind w:left="720" w:hanging="360"/>
      </w:pPr>
      <w:r>
        <w:rPr>
          <w:b/>
          <w:rFonts w:ascii="Cambria" w:hAnsi="Cambria" w:eastAsia="Microsoft YaHei" w:cs="Cambria"/>
          <w:color w:val="1A1A1A"/>
          <w:sz w:val="22"/>
          <w:szCs w:val="22"/>
        </w:rPr>
        <w:t xml:space="preserve">(2) </w:t>
      </w:r>
      <w:r>
        <w:rPr>
          <w:rFonts w:ascii="Cambria" w:hAnsi="Cambria" w:eastAsia="Microsoft YaHei" w:cs="Cambria"/>
          <w:color w:val="1A1A1A"/>
          <w:sz w:val="22"/>
          <w:szCs w:val="22"/>
        </w:rPr>
        <w:t>The Host State Agreement;</w:t>
      </w:r>
    </w:p>
    <w:p>
      <w:pPr>
        <w:pStyle w:val="Normal"/>
        <w:ind w:left="720" w:hanging="360"/>
      </w:pPr>
      <w:r>
        <w:rPr>
          <w:b/>
          <w:rFonts w:ascii="Cambria" w:hAnsi="Cambria" w:eastAsia="Microsoft YaHei" w:cs="Cambria"/>
          <w:color w:val="1A1A1A"/>
          <w:sz w:val="22"/>
          <w:szCs w:val="22"/>
        </w:rPr>
        <w:t xml:space="preserve">(3) </w:t>
      </w:r>
      <w:r>
        <w:rPr>
          <w:rFonts w:ascii="Cambria" w:hAnsi="Cambria" w:eastAsia="Microsoft YaHei" w:cs="Cambria"/>
          <w:color w:val="1A1A1A"/>
          <w:sz w:val="22"/>
          <w:szCs w:val="22"/>
        </w:rPr>
        <w:t>Memoranda of Understanding between MENOC and member states;</w:t>
      </w:r>
    </w:p>
    <w:p>
      <w:pPr>
        <w:pStyle w:val="Normal"/>
        <w:ind w:left="720" w:hanging="360"/>
      </w:pPr>
      <w:r>
        <w:rPr>
          <w:b/>
          <w:rFonts w:ascii="Cambria" w:hAnsi="Cambria" w:eastAsia="Microsoft YaHei" w:cs="Cambria"/>
          <w:color w:val="1A1A1A"/>
          <w:sz w:val="22"/>
          <w:szCs w:val="22"/>
        </w:rPr>
        <w:t xml:space="preserve">(4) </w:t>
      </w:r>
      <w:r>
        <w:rPr>
          <w:rFonts w:ascii="Cambria" w:hAnsi="Cambria" w:eastAsia="Microsoft YaHei" w:cs="Cambria"/>
          <w:color w:val="1A1A1A"/>
          <w:sz w:val="22"/>
          <w:szCs w:val="22"/>
        </w:rPr>
        <w:t>Annexes to this Charter, including the Verification Annex;</w:t>
      </w:r>
    </w:p>
    <w:p>
      <w:pPr>
        <w:pStyle w:val="Normal"/>
        <w:ind w:left="720" w:hanging="360"/>
      </w:pPr>
      <w:r>
        <w:rPr>
          <w:b/>
          <w:rFonts w:ascii="Cambria" w:hAnsi="Cambria" w:eastAsia="Microsoft YaHei" w:cs="Cambria"/>
          <w:color w:val="1A1A1A"/>
          <w:sz w:val="22"/>
          <w:szCs w:val="22"/>
        </w:rPr>
        <w:t xml:space="preserve">(5) </w:t>
      </w:r>
      <w:r>
        <w:rPr>
          <w:rFonts w:ascii="Cambria" w:hAnsi="Cambria" w:eastAsia="Microsoft YaHei" w:cs="Cambria"/>
          <w:color w:val="1A1A1A"/>
          <w:sz w:val="22"/>
          <w:szCs w:val="22"/>
        </w:rPr>
        <w:t>Technical Manuals adopted by the Joint Management Board;</w:t>
      </w:r>
    </w:p>
    <w:p>
      <w:pPr>
        <w:pStyle w:val="Normal"/>
        <w:ind w:left="720" w:hanging="360"/>
      </w:pPr>
      <w:r>
        <w:rPr>
          <w:b/>
          <w:rFonts w:ascii="Cambria" w:hAnsi="Cambria" w:eastAsia="Microsoft YaHei" w:cs="Cambria"/>
          <w:color w:val="1A1A1A"/>
          <w:sz w:val="22"/>
          <w:szCs w:val="22"/>
        </w:rPr>
        <w:t xml:space="preserve">(6) </w:t>
      </w:r>
      <w:r>
        <w:rPr>
          <w:rFonts w:ascii="Cambria" w:hAnsi="Cambria" w:eastAsia="Microsoft YaHei" w:cs="Cambria"/>
          <w:color w:val="1A1A1A"/>
          <w:sz w:val="22"/>
          <w:szCs w:val="22"/>
        </w:rPr>
        <w:t>Operating Procedures approved by the Joint Management Board.</w:t>
      </w:r>
    </w:p>
    <w:p>
      <w:pPr>
        <w:pStyle w:val="Normal"/>
      </w:pPr>
      <w:r>
        <w:rPr>
          <w:rFonts w:ascii="Cambria" w:hAnsi="Cambria" w:eastAsia="Microsoft YaHei" w:cs="Cambria"/>
          <w:color w:val="1A1A1A"/>
          <w:sz w:val="22"/>
          <w:szCs w:val="22"/>
        </w:rPr>
        <w:t>The IAEA Statute, Iran's NPT Safeguards Agreement, and IAEA verification standards supersede all MENOC instruments on matters within IAEA competence.</w:t>
      </w:r>
    </w:p>
    <w:p>
      <w:pPr>
        <w:pStyle w:val="Heading1"/>
      </w:pPr>
      <w:bookmarkStart w:name="_TocSummary" w:id="16"/>
      <w:r>
        <w:rPr>
          <w:rFonts w:ascii="Cambria" w:hAnsi="Cambria" w:eastAsia="Microsoft YaHei" w:cs="Cambria"/>
          <w:b/>
          <w:color w:val="1A2744"/>
          <w:sz w:val="40"/>
          <w:szCs w:val="40"/>
        </w:rPr>
        <w:t>Structure Summary</w:t>
      </w:r>
      <w:bookmarkEnd w:id="16"/>
    </w:p>
    <w:p>
      <w:pPr>
        <w:pStyle w:val="Normal"/>
      </w:pPr>
      <w:r>
        <w:rPr>
          <w:rFonts w:ascii="Cambria" w:hAnsi="Cambria" w:eastAsia="Microsoft YaHei" w:cs="Cambria"/>
          <w:color w:val="1A1A1A"/>
          <w:sz w:val="22"/>
          <w:szCs w:val="22"/>
        </w:rPr>
        <w:t>The following table summarizes the organizational structure of the MENOC Charter:</w:t>
      </w:r>
    </w:p>
    <w:tbl>
      <w:tblPr>
        <w:tblW w:w="5000" w:type="pct"/>
        <w:tblBorders>
          <w:top w:val="single" w:color="1a2744" w:sz="12"/>
          <w:left w:val="nil"/>
          <w:bottom w:val="single" w:color="1a2744" w:sz="12"/>
          <w:right w:val="nil"/>
          <w:insideH w:val="single" w:color="c8c3b5" w:sz="4"/>
          <w:insideV w:val="nil"/>
        </w:tblBorders>
      </w:tblPr>
      <w:tblGrid>
        <w:gridCol w:w="1600"/>
        <w:gridCol w:w="5600"/>
      </w:tblGrid>
      <w:tr>
        <w:trPr>
          <w:tblHeader w:val="1"/>
        </w:trPr>
        <w:tc>
          <w:tcPr>
            <w:tcW w:w="1600" w:type="dxa"/>
            <w:shd w:val="clear" w:fill="F0EEE8" w:color="auto"/>
          </w:tcPr>
          <w:p>
            <w:pPr>
              <w:pStyle w:val="Normal"/>
              <w:spacing w:before="40" w:after="40"/>
              <w:jc w:val="left"/>
            </w:pPr>
            <w:r>
              <w:rPr>
                <w:b/>
                <w:color w:val="1A1A1A"/>
                <w:sz w:val="20"/>
                <w:rFonts w:ascii="Cambria" w:hAnsi="Cambria" w:eastAsia="Microsoft YaHei" w:cs="Cambria"/>
                <w:szCs w:val="20"/>
              </w:rPr>
              <w:t>Article</w:t>
            </w:r>
          </w:p>
        </w:tc>
        <w:tc>
          <w:tcPr>
            <w:tcW w:w="5600" w:type="dxa"/>
            <w:shd w:val="clear" w:fill="F0EEE8" w:color="auto"/>
          </w:tcPr>
          <w:p>
            <w:pPr>
              <w:pStyle w:val="Normal"/>
              <w:spacing w:before="40" w:after="40"/>
              <w:jc w:val="left"/>
            </w:pPr>
            <w:r>
              <w:rPr>
                <w:b/>
                <w:color w:val="1A1A1A"/>
                <w:sz w:val="20"/>
                <w:rFonts w:ascii="Cambria" w:hAnsi="Cambria" w:eastAsia="Microsoft YaHei" w:cs="Cambria"/>
                <w:szCs w:val="20"/>
              </w:rPr>
              <w:t>Content</w:t>
            </w:r>
          </w:p>
        </w:tc>
      </w:tr>
      <w:tr>
        <w:tc>
          <w:tcPr>
            <w:tcW w:w="1600" w:type="dxa"/>
          </w:tcPr>
          <w:p>
            <w:pPr>
              <w:pStyle w:val="Normal"/>
              <w:spacing w:before="40" w:after="40"/>
              <w:jc w:val="left"/>
            </w:pPr>
            <w:r>
              <w:rPr>
                <w:color w:val="1A1A1A"/>
                <w:sz w:val="20"/>
                <w:rFonts w:ascii="Cambria" w:hAnsi="Cambria" w:eastAsia="Microsoft YaHei" w:cs="Cambria"/>
                <w:szCs w:val="20"/>
              </w:rPr>
              <w:t>1</w:t>
            </w:r>
          </w:p>
        </w:tc>
        <w:tc>
          <w:tcPr>
            <w:tcW w:w="5600" w:type="dxa"/>
          </w:tcPr>
          <w:p>
            <w:pPr>
              <w:pStyle w:val="Normal"/>
              <w:spacing w:before="40" w:after="40"/>
              <w:jc w:val="left"/>
            </w:pPr>
            <w:r>
              <w:rPr>
                <w:color w:val="1A1A1A"/>
                <w:sz w:val="20"/>
                <w:rFonts w:ascii="Cambria" w:hAnsi="Cambria" w:eastAsia="Microsoft YaHei" w:cs="Cambria"/>
                <w:szCs w:val="20"/>
              </w:rPr>
              <w:t>Establishment and legal status</w:t>
            </w:r>
          </w:p>
        </w:tc>
      </w:tr>
      <w:tr>
        <w:tc>
          <w:tcPr>
            <w:tcW w:w="1600" w:type="dxa"/>
          </w:tcPr>
          <w:p>
            <w:pPr>
              <w:pStyle w:val="Normal"/>
              <w:spacing w:before="40" w:after="40"/>
              <w:jc w:val="left"/>
            </w:pPr>
            <w:r>
              <w:rPr>
                <w:color w:val="1A1A1A"/>
                <w:sz w:val="20"/>
                <w:rFonts w:ascii="Cambria" w:hAnsi="Cambria" w:eastAsia="Microsoft YaHei" w:cs="Cambria"/>
                <w:szCs w:val="20"/>
              </w:rPr>
              <w:t>2</w:t>
            </w:r>
          </w:p>
        </w:tc>
        <w:tc>
          <w:tcPr>
            <w:tcW w:w="5600" w:type="dxa"/>
          </w:tcPr>
          <w:p>
            <w:pPr>
              <w:pStyle w:val="Normal"/>
              <w:spacing w:before="40" w:after="40"/>
              <w:jc w:val="left"/>
            </w:pPr>
            <w:r>
              <w:rPr>
                <w:color w:val="1A1A1A"/>
                <w:sz w:val="20"/>
                <w:rFonts w:ascii="Cambria" w:hAnsi="Cambria" w:eastAsia="Microsoft YaHei" w:cs="Cambria"/>
                <w:szCs w:val="20"/>
              </w:rPr>
              <w:t>Objectives and functions</w:t>
            </w:r>
          </w:p>
        </w:tc>
      </w:tr>
      <w:tr>
        <w:tc>
          <w:tcPr>
            <w:tcW w:w="1600" w:type="dxa"/>
          </w:tcPr>
          <w:p>
            <w:pPr>
              <w:pStyle w:val="Normal"/>
              <w:spacing w:before="40" w:after="40"/>
              <w:jc w:val="left"/>
            </w:pPr>
            <w:r>
              <w:rPr>
                <w:color w:val="1A1A1A"/>
                <w:sz w:val="20"/>
                <w:rFonts w:ascii="Cambria" w:hAnsi="Cambria" w:eastAsia="Microsoft YaHei" w:cs="Cambria"/>
                <w:szCs w:val="20"/>
              </w:rPr>
              <w:t>3</w:t>
            </w:r>
          </w:p>
        </w:tc>
        <w:tc>
          <w:tcPr>
            <w:tcW w:w="5600" w:type="dxa"/>
          </w:tcPr>
          <w:p>
            <w:pPr>
              <w:pStyle w:val="Normal"/>
              <w:spacing w:before="40" w:after="40"/>
              <w:jc w:val="left"/>
            </w:pPr>
            <w:r>
              <w:rPr>
                <w:color w:val="1A1A1A"/>
                <w:sz w:val="20"/>
                <w:rFonts w:ascii="Cambria" w:hAnsi="Cambria" w:eastAsia="Microsoft YaHei" w:cs="Cambria"/>
                <w:szCs w:val="20"/>
              </w:rPr>
              <w:t>Membership and participation</w:t>
            </w:r>
          </w:p>
        </w:tc>
      </w:tr>
      <w:tr>
        <w:tc>
          <w:tcPr>
            <w:tcW w:w="1600" w:type="dxa"/>
          </w:tcPr>
          <w:p>
            <w:pPr>
              <w:pStyle w:val="Normal"/>
              <w:spacing w:before="40" w:after="40"/>
              <w:jc w:val="left"/>
            </w:pPr>
            <w:r>
              <w:rPr>
                <w:color w:val="1A1A1A"/>
                <w:sz w:val="20"/>
                <w:rFonts w:ascii="Cambria" w:hAnsi="Cambria" w:eastAsia="Microsoft YaHei" w:cs="Cambria"/>
                <w:szCs w:val="20"/>
              </w:rPr>
              <w:t>4</w:t>
            </w:r>
          </w:p>
        </w:tc>
        <w:tc>
          <w:tcPr>
            <w:tcW w:w="5600" w:type="dxa"/>
          </w:tcPr>
          <w:p>
            <w:pPr>
              <w:pStyle w:val="Normal"/>
              <w:spacing w:before="40" w:after="40"/>
              <w:jc w:val="left"/>
            </w:pPr>
            <w:r>
              <w:rPr>
                <w:color w:val="1A1A1A"/>
                <w:sz w:val="20"/>
                <w:rFonts w:ascii="Cambria" w:hAnsi="Cambria" w:eastAsia="Microsoft YaHei" w:cs="Cambria"/>
                <w:szCs w:val="20"/>
              </w:rPr>
              <w:t>Legal ownership and material rights</w:t>
            </w:r>
          </w:p>
        </w:tc>
      </w:tr>
      <w:tr>
        <w:tc>
          <w:tcPr>
            <w:tcW w:w="1600" w:type="dxa"/>
          </w:tcPr>
          <w:p>
            <w:pPr>
              <w:pStyle w:val="Normal"/>
              <w:spacing w:before="40" w:after="40"/>
              <w:jc w:val="left"/>
            </w:pPr>
            <w:r>
              <w:rPr>
                <w:color w:val="1A1A1A"/>
                <w:sz w:val="20"/>
                <w:rFonts w:ascii="Cambria" w:hAnsi="Cambria" w:eastAsia="Microsoft YaHei" w:cs="Cambria"/>
                <w:szCs w:val="20"/>
              </w:rPr>
              <w:t>5</w:t>
            </w:r>
          </w:p>
        </w:tc>
        <w:tc>
          <w:tcPr>
            <w:tcW w:w="5600" w:type="dxa"/>
          </w:tcPr>
          <w:p>
            <w:pPr>
              <w:pStyle w:val="Normal"/>
              <w:spacing w:before="40" w:after="40"/>
              <w:jc w:val="left"/>
            </w:pPr>
            <w:r>
              <w:rPr>
                <w:color w:val="1A1A1A"/>
                <w:sz w:val="20"/>
                <w:rFonts w:ascii="Cambria" w:hAnsi="Cambria" w:eastAsia="Microsoft YaHei" w:cs="Cambria"/>
                <w:szCs w:val="20"/>
              </w:rPr>
              <w:t>Joint Management Board</w:t>
            </w:r>
          </w:p>
        </w:tc>
      </w:tr>
      <w:tr>
        <w:tc>
          <w:tcPr>
            <w:tcW w:w="1600" w:type="dxa"/>
          </w:tcPr>
          <w:p>
            <w:pPr>
              <w:pStyle w:val="Normal"/>
              <w:spacing w:before="40" w:after="40"/>
              <w:jc w:val="left"/>
            </w:pPr>
            <w:r>
              <w:rPr>
                <w:color w:val="1A1A1A"/>
                <w:sz w:val="20"/>
                <w:rFonts w:ascii="Cambria" w:hAnsi="Cambria" w:eastAsia="Microsoft YaHei" w:cs="Cambria"/>
                <w:szCs w:val="20"/>
              </w:rPr>
              <w:t>6</w:t>
            </w:r>
          </w:p>
        </w:tc>
        <w:tc>
          <w:tcPr>
            <w:tcW w:w="5600" w:type="dxa"/>
          </w:tcPr>
          <w:p>
            <w:pPr>
              <w:pStyle w:val="Normal"/>
              <w:spacing w:before="40" w:after="40"/>
              <w:jc w:val="left"/>
            </w:pPr>
            <w:r>
              <w:rPr>
                <w:color w:val="1A1A1A"/>
                <w:sz w:val="20"/>
                <w:rFonts w:ascii="Cambria" w:hAnsi="Cambria" w:eastAsia="Microsoft YaHei" w:cs="Cambria"/>
                <w:szCs w:val="20"/>
              </w:rPr>
              <w:t>Operations</w:t>
            </w:r>
          </w:p>
        </w:tc>
      </w:tr>
      <w:tr>
        <w:tc>
          <w:tcPr>
            <w:tcW w:w="1600" w:type="dxa"/>
          </w:tcPr>
          <w:p>
            <w:pPr>
              <w:pStyle w:val="Normal"/>
              <w:spacing w:before="40" w:after="40"/>
              <w:jc w:val="left"/>
            </w:pPr>
            <w:r>
              <w:rPr>
                <w:color w:val="1A1A1A"/>
                <w:sz w:val="20"/>
                <w:rFonts w:ascii="Cambria" w:hAnsi="Cambria" w:eastAsia="Microsoft YaHei" w:cs="Cambria"/>
                <w:szCs w:val="20"/>
              </w:rPr>
              <w:t>7</w:t>
            </w:r>
          </w:p>
        </w:tc>
        <w:tc>
          <w:tcPr>
            <w:tcW w:w="5600" w:type="dxa"/>
          </w:tcPr>
          <w:p>
            <w:pPr>
              <w:pStyle w:val="Normal"/>
              <w:spacing w:before="40" w:after="40"/>
              <w:jc w:val="left"/>
            </w:pPr>
            <w:r>
              <w:rPr>
                <w:color w:val="1A1A1A"/>
                <w:sz w:val="20"/>
                <w:rFonts w:ascii="Cambria" w:hAnsi="Cambria" w:eastAsia="Microsoft YaHei" w:cs="Cambria"/>
                <w:szCs w:val="20"/>
              </w:rPr>
              <w:t>IAEA relationship</w:t>
            </w:r>
          </w:p>
        </w:tc>
      </w:tr>
      <w:tr>
        <w:tc>
          <w:tcPr>
            <w:tcW w:w="1600" w:type="dxa"/>
          </w:tcPr>
          <w:p>
            <w:pPr>
              <w:pStyle w:val="Normal"/>
              <w:spacing w:before="40" w:after="40"/>
              <w:jc w:val="left"/>
            </w:pPr>
            <w:r>
              <w:rPr>
                <w:color w:val="1A1A1A"/>
                <w:sz w:val="20"/>
                <w:rFonts w:ascii="Cambria" w:hAnsi="Cambria" w:eastAsia="Microsoft YaHei" w:cs="Cambria"/>
                <w:szCs w:val="20"/>
              </w:rPr>
              <w:t>8</w:t>
            </w:r>
          </w:p>
        </w:tc>
        <w:tc>
          <w:tcPr>
            <w:tcW w:w="5600" w:type="dxa"/>
          </w:tcPr>
          <w:p>
            <w:pPr>
              <w:pStyle w:val="Normal"/>
              <w:spacing w:before="40" w:after="40"/>
              <w:jc w:val="left"/>
            </w:pPr>
            <w:r>
              <w:rPr>
                <w:color w:val="1A1A1A"/>
                <w:sz w:val="20"/>
                <w:rFonts w:ascii="Cambria" w:hAnsi="Cambria" w:eastAsia="Microsoft YaHei" w:cs="Cambria"/>
                <w:szCs w:val="20"/>
              </w:rPr>
              <w:t>Joint Commission</w:t>
            </w:r>
          </w:p>
        </w:tc>
      </w:tr>
      <w:tr>
        <w:tc>
          <w:tcPr>
            <w:tcW w:w="1600" w:type="dxa"/>
          </w:tcPr>
          <w:p>
            <w:pPr>
              <w:pStyle w:val="Normal"/>
              <w:spacing w:before="40" w:after="40"/>
              <w:jc w:val="left"/>
            </w:pPr>
            <w:r>
              <w:rPr>
                <w:color w:val="1A1A1A"/>
                <w:sz w:val="20"/>
                <w:rFonts w:ascii="Cambria" w:hAnsi="Cambria" w:eastAsia="Microsoft YaHei" w:cs="Cambria"/>
                <w:szCs w:val="20"/>
              </w:rPr>
              <w:t>9</w:t>
            </w:r>
          </w:p>
        </w:tc>
        <w:tc>
          <w:tcPr>
            <w:tcW w:w="5600" w:type="dxa"/>
          </w:tcPr>
          <w:p>
            <w:pPr>
              <w:pStyle w:val="Normal"/>
              <w:spacing w:before="40" w:after="40"/>
              <w:jc w:val="left"/>
            </w:pPr>
            <w:r>
              <w:rPr>
                <w:color w:val="1A1A1A"/>
                <w:sz w:val="20"/>
                <w:rFonts w:ascii="Cambria" w:hAnsi="Cambria" w:eastAsia="Microsoft YaHei" w:cs="Cambria"/>
                <w:szCs w:val="20"/>
              </w:rPr>
              <w:t>Verification standards</w:t>
            </w:r>
          </w:p>
        </w:tc>
      </w:tr>
      <w:tr>
        <w:tc>
          <w:tcPr>
            <w:tcW w:w="1600" w:type="dxa"/>
          </w:tcPr>
          <w:p>
            <w:pPr>
              <w:pStyle w:val="Normal"/>
              <w:spacing w:before="40" w:after="40"/>
              <w:jc w:val="left"/>
            </w:pPr>
            <w:r>
              <w:rPr>
                <w:color w:val="1A1A1A"/>
                <w:sz w:val="20"/>
                <w:rFonts w:ascii="Cambria" w:hAnsi="Cambria" w:eastAsia="Microsoft YaHei" w:cs="Cambria"/>
                <w:szCs w:val="20"/>
              </w:rPr>
              <w:t>10</w:t>
            </w:r>
          </w:p>
        </w:tc>
        <w:tc>
          <w:tcPr>
            <w:tcW w:w="5600" w:type="dxa"/>
          </w:tcPr>
          <w:p>
            <w:pPr>
              <w:pStyle w:val="Normal"/>
              <w:spacing w:before="40" w:after="40"/>
              <w:jc w:val="left"/>
            </w:pPr>
            <w:r>
              <w:rPr>
                <w:color w:val="1A1A1A"/>
                <w:sz w:val="20"/>
                <w:rFonts w:ascii="Cambria" w:hAnsi="Cambria" w:eastAsia="Microsoft YaHei" w:cs="Cambria"/>
                <w:szCs w:val="20"/>
              </w:rPr>
              <w:t>Dispute resolution</w:t>
            </w:r>
          </w:p>
        </w:tc>
      </w:tr>
      <w:tr>
        <w:tc>
          <w:tcPr>
            <w:tcW w:w="1600" w:type="dxa"/>
          </w:tcPr>
          <w:p>
            <w:pPr>
              <w:pStyle w:val="Normal"/>
              <w:spacing w:before="40" w:after="40"/>
              <w:jc w:val="left"/>
            </w:pPr>
            <w:r>
              <w:rPr>
                <w:color w:val="1A1A1A"/>
                <w:sz w:val="20"/>
                <w:rFonts w:ascii="Cambria" w:hAnsi="Cambria" w:eastAsia="Microsoft YaHei" w:cs="Cambria"/>
                <w:szCs w:val="20"/>
              </w:rPr>
              <w:t>11</w:t>
            </w:r>
          </w:p>
        </w:tc>
        <w:tc>
          <w:tcPr>
            <w:tcW w:w="5600" w:type="dxa"/>
          </w:tcPr>
          <w:p>
            <w:pPr>
              <w:pStyle w:val="Normal"/>
              <w:spacing w:before="40" w:after="40"/>
              <w:jc w:val="left"/>
            </w:pPr>
            <w:r>
              <w:rPr>
                <w:color w:val="1A1A1A"/>
                <w:sz w:val="20"/>
                <w:rFonts w:ascii="Cambria" w:hAnsi="Cambria" w:eastAsia="Microsoft YaHei" w:cs="Cambria"/>
                <w:szCs w:val="20"/>
              </w:rPr>
              <w:t>Budget and funding</w:t>
            </w:r>
          </w:p>
        </w:tc>
      </w:tr>
      <w:tr>
        <w:tc>
          <w:tcPr>
            <w:tcW w:w="1600" w:type="dxa"/>
          </w:tcPr>
          <w:p>
            <w:pPr>
              <w:pStyle w:val="Normal"/>
              <w:spacing w:before="40" w:after="40"/>
              <w:jc w:val="left"/>
            </w:pPr>
            <w:r>
              <w:rPr>
                <w:color w:val="1A1A1A"/>
                <w:sz w:val="20"/>
                <w:rFonts w:ascii="Cambria" w:hAnsi="Cambria" w:eastAsia="Microsoft YaHei" w:cs="Cambria"/>
                <w:szCs w:val="20"/>
              </w:rPr>
              <w:t>12</w:t>
            </w:r>
          </w:p>
        </w:tc>
        <w:tc>
          <w:tcPr>
            <w:tcW w:w="5600" w:type="dxa"/>
          </w:tcPr>
          <w:p>
            <w:pPr>
              <w:pStyle w:val="Normal"/>
              <w:spacing w:before="40" w:after="40"/>
              <w:jc w:val="left"/>
            </w:pPr>
            <w:r>
              <w:rPr>
                <w:color w:val="1A1A1A"/>
                <w:sz w:val="20"/>
                <w:rFonts w:ascii="Cambria" w:hAnsi="Cambria" w:eastAsia="Microsoft YaHei" w:cs="Cambria"/>
                <w:szCs w:val="20"/>
              </w:rPr>
              <w:t>Amendment</w:t>
            </w:r>
          </w:p>
        </w:tc>
      </w:tr>
      <w:tr>
        <w:tc>
          <w:tcPr>
            <w:tcW w:w="1600" w:type="dxa"/>
          </w:tcPr>
          <w:p>
            <w:pPr>
              <w:pStyle w:val="Normal"/>
              <w:spacing w:before="40" w:after="40"/>
              <w:jc w:val="left"/>
            </w:pPr>
            <w:r>
              <w:rPr>
                <w:color w:val="1A1A1A"/>
                <w:sz w:val="20"/>
                <w:rFonts w:ascii="Cambria" w:hAnsi="Cambria" w:eastAsia="Microsoft YaHei" w:cs="Cambria"/>
                <w:szCs w:val="20"/>
              </w:rPr>
              <w:t>13</w:t>
            </w:r>
          </w:p>
        </w:tc>
        <w:tc>
          <w:tcPr>
            <w:tcW w:w="5600" w:type="dxa"/>
          </w:tcPr>
          <w:p>
            <w:pPr>
              <w:pStyle w:val="Normal"/>
              <w:spacing w:before="40" w:after="40"/>
              <w:jc w:val="left"/>
            </w:pPr>
            <w:r>
              <w:rPr>
                <w:color w:val="1A1A1A"/>
                <w:sz w:val="20"/>
                <w:rFonts w:ascii="Cambria" w:hAnsi="Cambria" w:eastAsia="Microsoft YaHei" w:cs="Cambria"/>
                <w:szCs w:val="20"/>
              </w:rPr>
              <w:t>Duration, termination, and staged deterrent</w:t>
            </w:r>
          </w:p>
        </w:tc>
      </w:tr>
      <w:tr>
        <w:tc>
          <w:tcPr>
            <w:tcW w:w="1600" w:type="dxa"/>
          </w:tcPr>
          <w:p>
            <w:pPr>
              <w:pStyle w:val="Normal"/>
              <w:spacing w:before="40" w:after="40"/>
              <w:jc w:val="left"/>
            </w:pPr>
            <w:r>
              <w:rPr>
                <w:color w:val="1A1A1A"/>
                <w:sz w:val="20"/>
                <w:rFonts w:ascii="Cambria" w:hAnsi="Cambria" w:eastAsia="Microsoft YaHei" w:cs="Cambria"/>
                <w:szCs w:val="20"/>
              </w:rPr>
              <w:t>14</w:t>
            </w:r>
          </w:p>
        </w:tc>
        <w:tc>
          <w:tcPr>
            <w:tcW w:w="5600" w:type="dxa"/>
          </w:tcPr>
          <w:p>
            <w:pPr>
              <w:pStyle w:val="Normal"/>
              <w:spacing w:before="40" w:after="40"/>
              <w:jc w:val="left"/>
            </w:pPr>
            <w:r>
              <w:rPr>
                <w:color w:val="1A1A1A"/>
                <w:sz w:val="20"/>
                <w:rFonts w:ascii="Cambria" w:hAnsi="Cambria" w:eastAsia="Microsoft YaHei" w:cs="Cambria"/>
                <w:szCs w:val="20"/>
              </w:rPr>
              <w:t>Final provisions</w:t>
            </w:r>
          </w:p>
        </w:tc>
      </w:tr>
      <w:tr>
        <w:tc>
          <w:tcPr>
            <w:tcW w:w="1600" w:type="dxa"/>
          </w:tcPr>
          <w:p>
            <w:pPr>
              <w:pStyle w:val="Normal"/>
              <w:spacing w:before="40" w:after="40"/>
              <w:jc w:val="left"/>
            </w:pPr>
            <w:r>
              <w:rPr>
                <w:b/>
                <w:color w:val="1A1A1A"/>
                <w:sz w:val="20"/>
                <w:rFonts w:ascii="Cambria" w:hAnsi="Cambria" w:eastAsia="Microsoft YaHei" w:cs="Cambria"/>
                <w:szCs w:val="20"/>
              </w:rPr>
              <w:t>15</w:t>
            </w:r>
          </w:p>
        </w:tc>
        <w:tc>
          <w:tcPr>
            <w:tcW w:w="5600" w:type="dxa"/>
          </w:tcPr>
          <w:p>
            <w:pPr>
              <w:pStyle w:val="Normal"/>
              <w:spacing w:before="40" w:after="40"/>
              <w:jc w:val="left"/>
            </w:pPr>
            <w:r>
              <w:rPr>
                <w:b/>
                <w:color w:val="1A1A1A"/>
                <w:sz w:val="20"/>
                <w:rFonts w:ascii="Cambria" w:hAnsi="Cambria" w:eastAsia="Microsoft YaHei" w:cs="Cambria"/>
                <w:szCs w:val="20"/>
              </w:rPr>
              <w:t>Force majeure</w:t>
            </w:r>
          </w:p>
        </w:tc>
      </w:tr>
      <w:tr>
        <w:tc>
          <w:tcPr>
            <w:tcW w:w="1600" w:type="dxa"/>
          </w:tcPr>
          <w:p>
            <w:pPr>
              <w:pStyle w:val="Normal"/>
              <w:spacing w:before="40" w:after="40"/>
              <w:jc w:val="left"/>
            </w:pPr>
            <w:r>
              <w:rPr>
                <w:b/>
                <w:color w:val="1A1A1A"/>
                <w:sz w:val="20"/>
                <w:rFonts w:ascii="Cambria" w:hAnsi="Cambria" w:eastAsia="Microsoft YaHei" w:cs="Cambria"/>
                <w:szCs w:val="20"/>
              </w:rPr>
              <w:t>16</w:t>
            </w:r>
          </w:p>
        </w:tc>
        <w:tc>
          <w:tcPr>
            <w:tcW w:w="5600" w:type="dxa"/>
          </w:tcPr>
          <w:p>
            <w:pPr>
              <w:pStyle w:val="Normal"/>
              <w:spacing w:before="40" w:after="40"/>
              <w:jc w:val="left"/>
            </w:pPr>
            <w:r>
              <w:rPr>
                <w:b/>
                <w:color w:val="1A1A1A"/>
                <w:sz w:val="20"/>
                <w:rFonts w:ascii="Cambria" w:hAnsi="Cambria" w:eastAsia="Microsoft YaHei" w:cs="Cambria"/>
                <w:szCs w:val="20"/>
              </w:rPr>
              <w:t>Confidentiality</w:t>
            </w:r>
          </w:p>
        </w:tc>
      </w:tr>
      <w:tr>
        <w:tc>
          <w:tcPr>
            <w:tcW w:w="1600" w:type="dxa"/>
          </w:tcPr>
          <w:p>
            <w:pPr>
              <w:pStyle w:val="Normal"/>
              <w:spacing w:before="40" w:after="40"/>
              <w:jc w:val="left"/>
            </w:pPr>
            <w:r>
              <w:rPr>
                <w:b/>
                <w:color w:val="1A1A1A"/>
                <w:sz w:val="20"/>
                <w:rFonts w:ascii="Cambria" w:hAnsi="Cambria" w:eastAsia="Microsoft YaHei" w:cs="Cambria"/>
                <w:szCs w:val="20"/>
              </w:rPr>
              <w:t>17</w:t>
            </w:r>
          </w:p>
        </w:tc>
        <w:tc>
          <w:tcPr>
            <w:tcW w:w="5600" w:type="dxa"/>
          </w:tcPr>
          <w:p>
            <w:pPr>
              <w:pStyle w:val="Normal"/>
              <w:spacing w:before="40" w:after="40"/>
              <w:jc w:val="left"/>
            </w:pPr>
            <w:r>
              <w:rPr>
                <w:b/>
                <w:color w:val="1A1A1A"/>
                <w:sz w:val="20"/>
                <w:rFonts w:ascii="Cambria" w:hAnsi="Cambria" w:eastAsia="Microsoft YaHei" w:cs="Cambria"/>
                <w:szCs w:val="20"/>
              </w:rPr>
              <w:t>Interpretation</w:t>
            </w:r>
          </w:p>
        </w:tc>
      </w:tr>
      <w:tr>
        <w:tc>
          <w:tcPr>
            <w:tcW w:w="1600" w:type="dxa"/>
          </w:tcPr>
          <w:p>
            <w:pPr>
              <w:pStyle w:val="Normal"/>
              <w:spacing w:before="40" w:after="40"/>
              <w:jc w:val="left"/>
            </w:pPr>
            <w:r>
              <w:rPr>
                <w:b/>
                <w:color w:val="1A1A1A"/>
                <w:sz w:val="20"/>
                <w:rFonts w:ascii="Cambria" w:hAnsi="Cambria" w:eastAsia="Microsoft YaHei" w:cs="Cambria"/>
                <w:szCs w:val="20"/>
              </w:rPr>
              <w:t>18</w:t>
            </w:r>
          </w:p>
        </w:tc>
        <w:tc>
          <w:tcPr>
            <w:tcW w:w="5600" w:type="dxa"/>
          </w:tcPr>
          <w:p>
            <w:pPr>
              <w:pStyle w:val="Normal"/>
              <w:spacing w:before="40" w:after="40"/>
              <w:jc w:val="left"/>
            </w:pPr>
            <w:r>
              <w:rPr>
                <w:b/>
                <w:color w:val="1A1A1A"/>
                <w:sz w:val="20"/>
                <w:rFonts w:ascii="Cambria" w:hAnsi="Cambria" w:eastAsia="Microsoft YaHei" w:cs="Cambria"/>
                <w:szCs w:val="20"/>
              </w:rPr>
              <w:t>Technical Advisory Panel</w:t>
            </w:r>
          </w:p>
        </w:tc>
      </w:tr>
      <w:tr>
        <w:tc>
          <w:tcPr>
            <w:tcW w:w="1600" w:type="dxa"/>
          </w:tcPr>
          <w:p>
            <w:pPr>
              <w:pStyle w:val="Normal"/>
              <w:spacing w:before="40" w:after="40"/>
              <w:jc w:val="left"/>
            </w:pPr>
            <w:r>
              <w:rPr>
                <w:b/>
                <w:color w:val="1A1A1A"/>
                <w:sz w:val="20"/>
                <w:rFonts w:ascii="Cambria" w:hAnsi="Cambria" w:eastAsia="Microsoft YaHei" w:cs="Cambria"/>
                <w:szCs w:val="20"/>
              </w:rPr>
              <w:t>19</w:t>
            </w:r>
          </w:p>
        </w:tc>
        <w:tc>
          <w:tcPr>
            <w:tcW w:w="5600" w:type="dxa"/>
          </w:tcPr>
          <w:p>
            <w:pPr>
              <w:pStyle w:val="Normal"/>
              <w:spacing w:before="40" w:after="40"/>
              <w:jc w:val="left"/>
            </w:pPr>
            <w:r>
              <w:rPr>
                <w:b/>
                <w:color w:val="1A1A1A"/>
                <w:sz w:val="20"/>
                <w:rFonts w:ascii="Cambria" w:hAnsi="Cambria" w:eastAsia="Microsoft YaHei" w:cs="Cambria"/>
                <w:szCs w:val="20"/>
              </w:rPr>
              <w:t>Annual Review Conference</w:t>
            </w:r>
          </w:p>
        </w:tc>
      </w:tr>
      <w:tr>
        <w:tc>
          <w:tcPr>
            <w:tcW w:w="1600" w:type="dxa"/>
          </w:tcPr>
          <w:p>
            <w:pPr>
              <w:pStyle w:val="Normal"/>
              <w:spacing w:before="40" w:after="40"/>
              <w:jc w:val="left"/>
            </w:pPr>
            <w:r>
              <w:rPr>
                <w:b/>
                <w:color w:val="1A1A1A"/>
                <w:sz w:val="20"/>
                <w:rFonts w:ascii="Cambria" w:hAnsi="Cambria" w:eastAsia="Microsoft YaHei" w:cs="Cambria"/>
                <w:szCs w:val="20"/>
              </w:rPr>
              <w:t>20</w:t>
            </w:r>
          </w:p>
        </w:tc>
        <w:tc>
          <w:tcPr>
            <w:tcW w:w="5600" w:type="dxa"/>
          </w:tcPr>
          <w:p>
            <w:pPr>
              <w:pStyle w:val="Normal"/>
              <w:spacing w:before="40" w:after="40"/>
              <w:jc w:val="left"/>
            </w:pPr>
            <w:r>
              <w:rPr>
                <w:b/>
                <w:color w:val="1A1A1A"/>
                <w:sz w:val="20"/>
                <w:rFonts w:ascii="Cambria" w:hAnsi="Cambria" w:eastAsia="Microsoft YaHei" w:cs="Cambria"/>
                <w:szCs w:val="20"/>
              </w:rPr>
              <w:t>Normative hierarchy</w:t>
            </w:r>
          </w:p>
        </w:tc>
      </w:tr>
    </w:tbl>
    <w:p>
      <w:pPr>
        <w:pStyle w:val="Normal"/>
        <w:sectPr>
          <w:headerReference w:type="default" r:id="R79c73d8219cd4c33"/>
          <w:footerReference w:type="default" r:id="R64b5ce5fa6794eb6"/>
          <w:pgSz w:w="11906" w:h="16838"/>
          <w:pgMar w:top="1800" w:right="1440" w:bottom="1440" w:left="1440" w:header="720" w:footer="720"/>
        </w:sectPr>
      </w:pPr>
    </w:p>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0093a2cb95014bf6"/>
                    <a:stretch>
                      <a:fillRect/>
                    </a:stretch>
                  </pic:blipFill>
                  <pic:spPr>
                    <a:xfrm>
                      <a:off x="0" y="0"/>
                      <a:ext cx="7560000" cy="10692000"/>
                    </a:xfrm>
                    <a:prstGeom prst="rect"/>
                  </pic:spPr>
                </pic:pic>
              </a:graphicData>
            </a:graphic>
          </wp:anchor>
        </w:drawing>
      </w:r>
    </w:p>
    <w:p>
      <w:pPr>
        <w:pStyle w:val="Normal"/>
        <w:spacing w:before="6500"/>
        <w:jc w:val="center"/>
      </w:pPr>
      <w:r>
        <w:rPr>
          <w:rFonts w:ascii="Cambria" w:hAnsi="Cambria" w:eastAsia="Cambria" w:cs="Cambria"/>
          <w:b/>
          <w:color w:val="1A2744"/>
          <w:sz w:val="44"/>
          <w:szCs w:val="22"/>
        </w:rPr>
        <w:t>MENOC</w:t>
      </w:r>
    </w:p>
    <w:p>
      <w:pPr>
        <w:pStyle w:val="Normal"/>
        <w:spacing w:before="200"/>
        <w:jc w:val="center"/>
      </w:pPr>
      <w:r>
        <w:rPr>
          <w:rFonts w:ascii="Cambria" w:hAnsi="Cambria" w:eastAsia="Cambria" w:cs="Cambria"/>
          <w:color w:val="A6894A"/>
          <w:sz w:val="20"/>
          <w:szCs w:val="22"/>
        </w:rPr>
        <w:t>Middle East Nuclear Organization for Cooperation</w:t>
      </w:r>
    </w:p>
    <w:p>
      <w:pPr>
        <w:pStyle w:val="Normal"/>
        <w:spacing w:before="600"/>
        <w:jc w:val="center"/>
      </w:pPr>
      <w:r>
        <w:rPr>
          <w:rFonts w:ascii="Cambria" w:hAnsi="Cambria" w:eastAsia="Cambria" w:cs="Cambria"/>
          <w:color w:val="4A4A4A"/>
          <w:sz w:val="18"/>
          <w:szCs w:val="22"/>
        </w:rPr>
        <w:t>Preserving Sovereignty. Ensuring Transparency. Building Peace.</w:t>
      </w:r>
    </w:p>
    <w:p>
      <w:pPr>
        <w:pStyle w:val="Normal"/>
        <w:spacing w:before="300"/>
        <w:jc w:val="center"/>
      </w:pPr>
      <w:r>
        <w:rPr>
          <w:rFonts w:ascii="Cambria" w:hAnsi="Cambria" w:eastAsia="Cambria" w:cs="Cambria"/>
          <w:color w:val="4A4A4A"/>
          <w:sz w:val="16"/>
          <w:szCs w:val="22"/>
        </w:rPr>
        <w:t xml:space="preserve">Muscat, Sultanate of Oman  |  2026 | Rev. A</w:t>
      </w:r>
    </w:p>
    <w:sectPr>
      <w:pgSz w:w="11906" w:h="16838"/>
      <w:pgMar w:top="0" w:right="0" w:bottom="0" w:left="0" w:header="0" w:footer="0"/>
    </w:sectPr>
  </w:body>
</w:document>
</file>

<file path=word/footer1.xml><?xml version="1.0" encoding="utf-8"?>
<w:ftr xmlns:w="http://schemas.openxmlformats.org/wordprocessingml/2006/main">
  <w:p>
    <w:pPr>
      <w:jc w:val="center"/>
    </w:pPr>
    <w:r>
      <w:rPr>
        <w:rFonts w:ascii="Cambria" w:hAnsi="Cambria"/>
        <w:color w:val="7a7a7a"/>
        <w:sz w:val="18"/>
      </w:rPr>
      <w:fldChar w:fldCharType="begin"/>
    </w:r>
    <w:r>
      <w:rPr>
        <w:rFonts w:ascii="Cambria" w:hAnsi="Cambria"/>
        <w:color w:val="7a7a7a"/>
        <w:sz w:val="18"/>
      </w:rPr>
      <w:instrText xml:space="preserve"> PAGE </w:instrText>
    </w:r>
    <w:r>
      <w:rPr>
        <w:rFonts w:ascii="Cambria" w:hAnsi="Cambria"/>
        <w:color w:val="7a7a7a"/>
        <w:sz w:val="18"/>
      </w:rPr>
      <w:fldChar w:fldCharType="separate"/>
    </w:r>
    <w:r>
      <w:rPr>
        <w:rFonts w:ascii="Cambria" w:hAnsi="Cambria"/>
        <w:color w:val="7a7a7a"/>
        <w:sz w:val="18"/>
      </w:rPr>
      <w:t>1</w:t>
    </w:r>
    <w:r>
      <w:rPr>
        <w:rFonts w:ascii="Cambria" w:hAnsi="Cambria"/>
        <w:color w:val="7a7a7a"/>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pPr>
      <w:pStyle w:val="Normal"/>
    </w:pPr>
  </w:p>
  <w:p>
    <w:pPr>
      <w:pStyle w:val="Normal"/>
      <w:jc w:val="right"/>
    </w:pPr>
    <w:r>
      <w:rPr>
        <w:rFonts w:ascii="Cambria" w:hAnsi="Cambria" w:eastAsia="Cambria" w:cs="Cambria"/>
        <w:color w:val="1A1A1A"/>
        <w:sz w:val="16"/>
        <w:szCs w:val="22"/>
      </w:rPr>
      <w:t>MENOC Charter</w:t>
    </w:r>
  </w:p>
</w:hdr>
</file>

<file path=word/numbering.xml><?xml version="1.0" encoding="utf-8"?>
<w:numbering xmlns:w="http://schemas.openxmlformats.org/wordprocessingml/2006/main">
  <w:abstractNum w:abstractNumId="1">
    <w:lvl w:ilvl="0">
      <w:numFmt w:val="decimal"/>
      <w:lvlText w:val="%1."/>
      <w:lvlJc w:val="left"/>
      <w:pPr>
        <w:ind w:left="720" w:hanging="360"/>
      </w:pPr>
    </w:lvl>
    <w:name w:val="List 1"/>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12" w:lineRule="auto"/>
      <w:jc w:val="both"/>
    </w:pPr>
    <w:rPr>
      <w:rFonts w:ascii="Cambria" w:hAnsi="Cambria" w:eastAsia="Microsoft YaHei"/>
      <w:color w:val="1A1A1A"/>
      <w:sz w:val="22"/>
      <w:szCs w:val="22"/>
    </w:rPr>
  </w:style>
  <w:style w:type="paragraph" w:styleId="Heading1">
    <w:name w:val="heading 1"/>
    <w:basedOn w:val="Normal"/>
    <w:pPr>
      <w:keepNext/>
      <w:keepLines/>
      <w:spacing w:before="500" w:after="200"/>
      <w:jc w:val="left"/>
      <w:outlineLvl w:val="0"/>
    </w:pPr>
    <w:rPr>
      <w:rFonts w:ascii="Cambria" w:hAnsi="Cambria" w:eastAsia="Microsoft YaHei"/>
      <w:b/>
      <w:color w:val="1A2744"/>
      <w:sz w:val="40"/>
      <w:szCs w:val="40"/>
    </w:rPr>
  </w:style>
  <w:style w:type="paragraph" w:styleId="Heading2">
    <w:name w:val="heading 2"/>
    <w:basedOn w:val="Normal"/>
    <w:pPr>
      <w:keepNext/>
      <w:keepLines/>
      <w:spacing w:before="360" w:after="140"/>
      <w:jc w:val="left"/>
      <w:outlineLvl w:val="1"/>
    </w:pPr>
    <w:rPr>
      <w:rFonts w:ascii="Cambria" w:hAnsi="Cambria" w:eastAsia="Microsoft YaHei"/>
      <w:b/>
      <w:color w:val="1A1A1A"/>
      <w:sz w:val="28"/>
      <w:szCs w:val="28"/>
    </w:rPr>
  </w:style>
  <w:style w:type="paragraph" w:styleId="Heading3">
    <w:name w:val="heading 3"/>
    <w:basedOn w:val="Normal"/>
    <w:pPr>
      <w:keepNext/>
      <w:keepLines/>
      <w:spacing w:before="240" w:after="100"/>
      <w:jc w:val="left"/>
      <w:outlineLvl w:val="2"/>
    </w:pPr>
    <w:rPr>
      <w:rFonts w:ascii="Cambria" w:hAnsi="Cambria" w:eastAsia="Microsoft YaHei"/>
      <w:b/>
      <w:color w:val="2A2A2A"/>
      <w:sz w:val="24"/>
      <w:szCs w:val="24"/>
    </w:rPr>
  </w:style>
  <w:style w:type="paragraph" w:styleId="Caption">
    <w:name w:val="Caption"/>
    <w:basedOn w:val="Normal"/>
    <w:pPr>
      <w:spacing w:before="60" w:after="280"/>
      <w:jc w:val="center"/>
    </w:pPr>
    <w:rPr>
      <w:color w:val="7A7A7A"/>
      <w:sz w:val="20"/>
      <w:szCs w:val="20"/>
    </w:rPr>
  </w:style>
  <w:style w:type="paragraph" w:styleId="TOC1">
    <w:name w:val="toc 1"/>
    <w:basedOn w:val="Normal"/>
    <w:pPr>
      <w:tabs>
        <w:tab w:val="right" w:leader="dot" w:pos="9350"/>
      </w:tabs>
      <w:spacing w:before="200" w:after="60"/>
      <w:ind w:left="0"/>
    </w:pPr>
    <w:rPr>
      <w:b/>
      <w:color w:val="1A1A1A"/>
    </w:rPr>
  </w:style>
  <w:style w:type="paragraph" w:styleId="TOC2">
    <w:name w:val="toc 2"/>
    <w:basedOn w:val="Normal"/>
    <w:pPr>
      <w:tabs>
        <w:tab w:val="right" w:leader="dot" w:pos="9350"/>
      </w:tabs>
      <w:spacing w:before="60" w:after="60"/>
      <w:ind w:left="360"/>
    </w:pPr>
    <w:rPr>
      <w:color w:val="2A2A2A"/>
    </w:rPr>
  </w:style>
  <w:style w:type="paragraph" w:styleId="TOC3">
    <w:name w:val="toc 3"/>
    <w:basedOn w:val="Normal"/>
    <w:pPr>
      <w:tabs>
        <w:tab w:val="right" w:leader="dot" w:pos="9350"/>
      </w:tabs>
      <w:spacing w:before="40" w:after="60"/>
      <w:ind w:left="720"/>
    </w:pPr>
    <w:rPr>
      <w:color w:val="2A2A2A"/>
    </w:rPr>
  </w:style>
</w:styles>
</file>

<file path=word/_rels/document.xml.rels><?xml version='1.0' encoding='UTF-8'?>
<Relationships xmlns="http://schemas.openxmlformats.org/package/2006/relationships"><Relationship Id="R0093a2cb95014bf6" Type="http://schemas.openxmlformats.org/officeDocument/2006/relationships/image" Target="media/image2.png" /><Relationship Id="R17203a38adef4ad7" Type="http://schemas.openxmlformats.org/officeDocument/2006/relationships/numbering" Target="numbering.xml" /><Relationship Id="R46986768927e429c" Type="http://schemas.openxmlformats.org/officeDocument/2006/relationships/styles" Target="styles.xml" /><Relationship Id="R64b5ce5fa6794eb6" Type="http://schemas.openxmlformats.org/officeDocument/2006/relationships/footer" Target="footer1.xml" /><Relationship Id="R79c73d8219cd4c33" Type="http://schemas.openxmlformats.org/officeDocument/2006/relationships/header" Target="header1.xml" /><Relationship Id="Rb38f57a37b5b4afd" Type="http://schemas.openxmlformats.org/officeDocument/2006/relationships/settings" Target="settings.xml" /><Relationship Id="Rd8210f88dc034e3a" Type="http://schemas.openxmlformats.org/officeDocument/2006/relationships/image" Target="media/image.png" /></Relationships>
</file>

<file path=word/_rels/header1.xml.rels><?xml version='1.0' encoding='UTF-8'?>
<Relationships xmlns="http://schemas.openxmlformats.org/package/2006/relationships"><Relationship Id="Rcb15ea308b3b491c" Type="http://schemas.openxmlformats.org/officeDocument/2006/relationships/image" Target="media/image3.png" /></Relationships>
</file>