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3f967dd8895d471c" Type="http://schemas.openxmlformats.org/officeDocument/2006/relationships/officeDocument" Target="word/document.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Normal"/>
      </w:pPr>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noChangeAspect="1"/>
            </wp:cNvGraphicFramePr>
            <a:graphic>
              <a:graphicData uri="http://schemas.openxmlformats.org/drawingml/2006/picture">
                <pic:pic>
                  <pic:nvPicPr>
                    <pic:cNvPr id="0" name="CoverBg.png"/>
                    <pic:cNvPicPr/>
                  </pic:nvPicPr>
                  <pic:blipFill>
                    <a:blip r:embed="R0756ebe984714ae7"/>
                    <a:stretch>
                      <a:fillRect/>
                    </a:stretch>
                  </pic:blipFill>
                  <pic:spPr>
                    <a:xfrm>
                      <a:off x="0" y="0"/>
                      <a:ext cx="7560000" cy="10692000"/>
                    </a:xfrm>
                    <a:prstGeom prst="rect"/>
                  </pic:spPr>
                </pic:pic>
              </a:graphicData>
            </a:graphic>
          </wp:anchor>
        </w:drawing>
      </w:r>
    </w:p>
    <w:p>
      <w:pPr>
        <w:pStyle w:val="Normal"/>
        <w:spacing w:before="4800"/>
      </w:pPr>
    </w:p>
    <w:p>
      <w:pPr>
        <w:pStyle w:val="Normal"/>
        <w:spacing w:after="120"/>
        <w:ind w:left="1200" w:right="1200"/>
        <w:jc w:val="left"/>
      </w:pPr>
      <w:r>
        <w:rPr>
          <w:color w:val="7A94A5"/>
          <w:sz w:val="24"/>
          <w:rFonts w:ascii="Calibri" w:hAnsi="Calibri" w:eastAsia="Microsoft YaHei" w:cs="Calibri"/>
          <w:szCs w:val="24"/>
          <w:spacing w:val="30"/>
        </w:rPr>
        <w:t>ANNEX 1AB</w:t>
      </w:r>
    </w:p>
    <w:p>
      <w:pPr>
        <w:pStyle w:val="Normal"/>
        <w:spacing w:after="200"/>
        <w:ind w:left="1200" w:right="1200"/>
        <w:jc w:val="left"/>
      </w:pPr>
      <w:r>
        <w:rPr>
          <w:b/>
          <w:color w:val="FFFFFF"/>
          <w:sz w:val="64"/>
          <w:rFonts w:ascii="Calibri" w:hAnsi="Calibri" w:eastAsia="Microsoft YaHei" w:cs="Calibri"/>
          <w:szCs w:val="64"/>
          <w:spacing w:val="30"/>
        </w:rPr>
        <w:t>Navigation Safety &amp;</w:t>
      </w:r>
    </w:p>
    <w:p>
      <w:pPr>
        <w:pStyle w:val="Normal"/>
        <w:spacing w:after="400"/>
        <w:ind w:left="1200" w:right="1200"/>
        <w:jc w:val="left"/>
      </w:pPr>
      <w:r>
        <w:rPr>
          <w:b/>
          <w:color w:val="FFFFFF"/>
          <w:sz w:val="64"/>
          <w:rFonts w:ascii="Calibri" w:hAnsi="Calibri" w:eastAsia="Microsoft YaHei" w:cs="Calibri"/>
          <w:szCs w:val="64"/>
          <w:spacing w:val="30"/>
        </w:rPr>
        <w:t>Deconfliction Protocol</w:t>
      </w:r>
    </w:p>
    <w:p>
      <w:pPr>
        <w:pStyle w:val="Normal"/>
        <w:spacing w:after="600"/>
        <w:ind w:left="1200" w:right="1200"/>
        <w:jc w:val="left"/>
      </w:pPr>
      <w:r>
        <w:rPr>
          <w:i/>
          <w:color w:val="6B9AB5"/>
          <w:sz w:val="24"/>
          <w:rFonts w:ascii="Calibri" w:hAnsi="Calibri" w:eastAsia="Microsoft YaHei" w:cs="Calibri"/>
          <w:szCs w:val="24"/>
        </w:rPr>
        <w:t>To the Hormuz Standardization Understanding (HSU)</w:t>
      </w:r>
    </w:p>
    <w:p>
      <w:pPr>
        <w:pStyle w:val="Normal"/>
        <w:spacing w:after="400"/>
        <w:ind w:left="1200"/>
      </w:pPr>
      <w:r>
        <w:rPr>
          <w:color w:val="7A94A5"/>
          <w:rFonts w:ascii="Calibri" w:hAnsi="Calibri" w:eastAsia="Microsoft YaHei" w:cs="Calibri"/>
          <w:sz w:val="22"/>
          <w:szCs w:val="22"/>
        </w:rPr>
        <w:t>_________________________________</w:t>
      </w:r>
    </w:p>
    <w:p>
      <w:pPr>
        <w:pStyle w:val="Normal"/>
        <w:spacing w:after="80"/>
        <w:ind w:left="1200"/>
        <w:jc w:val="left"/>
      </w:pPr>
      <w:r>
        <w:rPr>
          <w:color w:val="7A94A5"/>
          <w:sz w:val="20"/>
          <w:rFonts w:ascii="Calibri" w:hAnsi="Calibri" w:eastAsia="Microsoft YaHei" w:cs="Calibri"/>
          <w:szCs w:val="20"/>
        </w:rPr>
        <w:t>Effective Date: July 2026</w:t>
      </w:r>
    </w:p>
    <w:p>
      <w:pPr>
        <w:pStyle w:val="Normal"/>
        <w:spacing w:after="80"/>
        <w:ind w:left="1200"/>
        <w:jc w:val="left"/>
      </w:pPr>
      <w:r>
        <w:rPr>
          <w:color w:val="7A94A5"/>
          <w:sz w:val="20"/>
          <w:rFonts w:ascii="Calibri" w:hAnsi="Calibri" w:eastAsia="Microsoft YaHei" w:cs="Calibri"/>
          <w:szCs w:val="20"/>
        </w:rPr>
        <w:t>Version: 2.1</w:t>
      </w:r>
    </w:p>
    <w:p>
      <w:pPr>
        <w:pStyle w:val="Normal"/>
        <w:spacing w:after="80"/>
        <w:ind w:left="1200"/>
        <w:jc w:val="left"/>
      </w:pPr>
      <w:r>
        <w:rPr>
          <w:color w:val="7A94A5"/>
          <w:sz w:val="20"/>
          <w:rFonts w:ascii="Calibri" w:hAnsi="Calibri" w:eastAsia="Microsoft YaHei" w:cs="Calibri"/>
          <w:szCs w:val="20"/>
        </w:rPr>
        <w:t>Review Cycle: Quarterly (JIC) / Annual (Full Technical Review)</w:t>
      </w:r>
    </w:p>
    <w:p>
      <w:pPr>
        <w:pStyle w:val="Normal"/>
        <w:ind w:left="1200"/>
        <w:jc w:val="left"/>
      </w:pPr>
      <w:r>
        <w:rPr>
          <w:color w:val="7A94A5"/>
          <w:sz w:val="20"/>
          <w:rFonts w:ascii="Calibri" w:hAnsi="Calibri" w:eastAsia="Microsoft YaHei" w:cs="Calibri"/>
          <w:szCs w:val="20"/>
        </w:rPr>
        <w:t>Primary Implementing Bodies: JIC, JERC, VTS Operators</w:t>
      </w:r>
    </w:p>
    <w:p>
      <w:pPr>
        <w:pStyle w:val="Normal"/>
        <w:sectPr>
          <w:type w:val="nextPage"/>
          <w:pgSz w:w="11906" w:h="16838"/>
          <w:pgMar w:top="0" w:right="0" w:bottom="0" w:left="0" w:header="0" w:footer="0"/>
          <w:titlePg/>
        </w:sectPr>
      </w:pPr>
    </w:p>
    <w:p>
      <w:pPr>
        <w:pStyle w:val="Heading1"/>
        <w:pageBreakBefore w:val="false"/>
      </w:pPr>
      <w:r>
        <w:rPr>
          <w:rFonts w:ascii="Calibri" w:hAnsi="Calibri" w:eastAsia="Microsoft YaHei" w:cs="Calibri"/>
          <w:b/>
          <w:color w:val="2D5A7B"/>
          <w:sz w:val="36"/>
          <w:szCs w:val="36"/>
        </w:rPr>
        <w:t>Table of Contents</w:t>
      </w:r>
    </w:p>
    <w:p>
      <w:pPr>
        <w:pStyle w:val="Normal"/>
        <w:spacing w:after="300"/>
      </w:pPr>
      <w:r>
        <w:rPr>
          <w:color w:val="7A94A5"/>
          <w:sz w:val="18"/>
          <w:rFonts w:ascii="Calibri" w:hAnsi="Calibri" w:eastAsia="Microsoft YaHei" w:cs="Calibri"/>
          <w:szCs w:val="18"/>
        </w:rPr>
        <w:t>Right-click the TOC and select "Update Field" to refresh page numbers</w:t>
      </w:r>
    </w:p>
    <w:p>
      <w:pPr>
        <w:pStyle w:val="Normal"/>
      </w:pPr>
      <w:r>
        <w:fldChar w:fldCharType="begin"/>
      </w:r>
      <w:r>
        <w:instrText xml:space="preserve"> TOC \o "1-3" \h \z \u </w:instrText>
      </w:r>
      <w:r>
        <w:fldChar w:fldCharType="separate"/>
      </w:r>
    </w:p>
    <w:p>
      <w:pPr>
        <w:pStyle w:val="TOC1"/>
      </w:pPr>
      <w:r>
        <w:rPr>
          <w:rFonts w:ascii="Calibri" w:hAnsi="Calibri" w:eastAsia="Microsoft YaHei" w:cs="Calibri"/>
          <w:sz w:val="22"/>
          <w:b/>
          <w:color w:val="1A2332"/>
          <w:szCs w:val="22"/>
        </w:rPr>
        <w:t>Section A: General Provisions</w:t>
      </w:r>
      <w:r>
        <w:rPr>
          <w:rFonts w:ascii="Calibri" w:hAnsi="Calibri" w:eastAsia="Microsoft YaHei"/>
          <w:sz w:val="22"/>
          <w:b/>
          <w:color w:val="1a2332"/>
        </w:rPr>
        <w:tab/>
      </w:r>
      <w:r>
        <w:rPr>
          <w:rFonts w:ascii="Calibri" w:hAnsi="Calibri" w:eastAsia="Microsoft YaHei" w:cs="Calibri"/>
          <w:sz w:val="22"/>
          <w:b/>
          <w:color w:val="1A2332"/>
          <w:szCs w:val="22"/>
        </w:rPr>
        <w:t>3</w:t>
      </w:r>
    </w:p>
    <w:p>
      <w:pPr>
        <w:pStyle w:val="TOC2"/>
      </w:pPr>
      <w:r>
        <w:rPr>
          <w:rFonts w:ascii="Calibri" w:hAnsi="Calibri" w:eastAsia="Microsoft YaHei" w:cs="Calibri"/>
          <w:sz w:val="22"/>
          <w:color w:val="3D5266"/>
          <w:szCs w:val="22"/>
        </w:rPr>
        <w:t>A.1 Purpose and Scope</w:t>
      </w:r>
      <w:r>
        <w:rPr>
          <w:rFonts w:ascii="Calibri" w:hAnsi="Calibri" w:eastAsia="Microsoft YaHei"/>
          <w:sz w:val="22"/>
          <w:color w:val="3d5266"/>
        </w:rPr>
        <w:tab/>
      </w:r>
      <w:r>
        <w:rPr>
          <w:rFonts w:ascii="Calibri" w:hAnsi="Calibri" w:eastAsia="Microsoft YaHei" w:cs="Calibri"/>
          <w:sz w:val="22"/>
          <w:color w:val="3D5266"/>
          <w:szCs w:val="22"/>
        </w:rPr>
        <w:t>3</w:t>
      </w:r>
    </w:p>
    <w:p>
      <w:pPr>
        <w:pStyle w:val="TOC2"/>
      </w:pPr>
      <w:r>
        <w:rPr>
          <w:rFonts w:ascii="Calibri" w:hAnsi="Calibri" w:eastAsia="Microsoft YaHei" w:cs="Calibri"/>
          <w:sz w:val="22"/>
          <w:color w:val="3D5266"/>
          <w:szCs w:val="22"/>
        </w:rPr>
        <w:t>A.2 Relation to Other Instruments</w:t>
      </w:r>
      <w:r>
        <w:rPr>
          <w:rFonts w:ascii="Calibri" w:hAnsi="Calibri" w:eastAsia="Microsoft YaHei"/>
          <w:sz w:val="22"/>
          <w:color w:val="3d5266"/>
        </w:rPr>
        <w:tab/>
      </w:r>
      <w:r>
        <w:rPr>
          <w:rFonts w:ascii="Calibri" w:hAnsi="Calibri" w:eastAsia="Microsoft YaHei" w:cs="Calibri"/>
          <w:sz w:val="22"/>
          <w:color w:val="3D5266"/>
          <w:szCs w:val="22"/>
        </w:rPr>
        <w:t>4</w:t>
      </w:r>
    </w:p>
    <w:p>
      <w:pPr>
        <w:pStyle w:val="TOC2"/>
      </w:pPr>
      <w:r>
        <w:rPr>
          <w:rFonts w:ascii="Calibri" w:hAnsi="Calibri" w:eastAsia="Microsoft YaHei" w:cs="Calibri"/>
          <w:sz w:val="22"/>
          <w:color w:val="3D5266"/>
          <w:szCs w:val="22"/>
        </w:rPr>
        <w:t>A.3 Non-Political Bypass Clause</w:t>
      </w:r>
      <w:r>
        <w:rPr>
          <w:rFonts w:ascii="Calibri" w:hAnsi="Calibri" w:eastAsia="Microsoft YaHei"/>
          <w:sz w:val="22"/>
          <w:color w:val="3d5266"/>
        </w:rPr>
        <w:tab/>
      </w:r>
      <w:r>
        <w:rPr>
          <w:rFonts w:ascii="Calibri" w:hAnsi="Calibri" w:eastAsia="Microsoft YaHei" w:cs="Calibri"/>
          <w:sz w:val="22"/>
          <w:color w:val="3D5266"/>
          <w:szCs w:val="22"/>
        </w:rPr>
        <w:t>4</w:t>
      </w:r>
    </w:p>
    <w:p>
      <w:pPr>
        <w:pStyle w:val="TOC1"/>
      </w:pPr>
      <w:r>
        <w:rPr>
          <w:rFonts w:ascii="Calibri" w:hAnsi="Calibri" w:eastAsia="Microsoft YaHei" w:cs="Calibri"/>
          <w:sz w:val="22"/>
          <w:b/>
          <w:color w:val="1A2332"/>
          <w:szCs w:val="22"/>
        </w:rPr>
        <w:t>Section B: Vessel Traffic Service (VTS)</w:t>
      </w:r>
      <w:r>
        <w:rPr>
          <w:rFonts w:ascii="Calibri" w:hAnsi="Calibri" w:eastAsia="Microsoft YaHei"/>
          <w:sz w:val="22"/>
          <w:b/>
          <w:color w:val="1a2332"/>
        </w:rPr>
        <w:tab/>
      </w:r>
      <w:r>
        <w:rPr>
          <w:rFonts w:ascii="Calibri" w:hAnsi="Calibri" w:eastAsia="Microsoft YaHei" w:cs="Calibri"/>
          <w:sz w:val="22"/>
          <w:b/>
          <w:color w:val="1A2332"/>
          <w:szCs w:val="22"/>
        </w:rPr>
        <w:t>5</w:t>
      </w:r>
    </w:p>
    <w:p>
      <w:pPr>
        <w:pStyle w:val="TOC2"/>
      </w:pPr>
      <w:r>
        <w:rPr>
          <w:rFonts w:ascii="Calibri" w:hAnsi="Calibri" w:eastAsia="Microsoft YaHei" w:cs="Calibri"/>
          <w:sz w:val="22"/>
          <w:color w:val="3D5266"/>
          <w:szCs w:val="22"/>
        </w:rPr>
        <w:t>B.1 Establishment and Governance</w:t>
      </w:r>
      <w:r>
        <w:rPr>
          <w:rFonts w:ascii="Calibri" w:hAnsi="Calibri" w:eastAsia="Microsoft YaHei"/>
          <w:sz w:val="22"/>
          <w:color w:val="3d5266"/>
        </w:rPr>
        <w:tab/>
      </w:r>
      <w:r>
        <w:rPr>
          <w:rFonts w:ascii="Calibri" w:hAnsi="Calibri" w:eastAsia="Microsoft YaHei" w:cs="Calibri"/>
          <w:sz w:val="22"/>
          <w:color w:val="3D5266"/>
          <w:szCs w:val="22"/>
        </w:rPr>
        <w:t>5</w:t>
      </w:r>
    </w:p>
    <w:p>
      <w:pPr>
        <w:pStyle w:val="TOC2"/>
      </w:pPr>
      <w:r>
        <w:rPr>
          <w:rFonts w:ascii="Calibri" w:hAnsi="Calibri" w:eastAsia="Microsoft YaHei" w:cs="Calibri"/>
          <w:sz w:val="22"/>
          <w:color w:val="3D5266"/>
          <w:szCs w:val="22"/>
        </w:rPr>
        <w:t>B.2 VTS Functions and Operations</w:t>
      </w:r>
      <w:r>
        <w:rPr>
          <w:rFonts w:ascii="Calibri" w:hAnsi="Calibri" w:eastAsia="Microsoft YaHei"/>
          <w:sz w:val="22"/>
          <w:color w:val="3d5266"/>
        </w:rPr>
        <w:tab/>
      </w:r>
      <w:r>
        <w:rPr>
          <w:rFonts w:ascii="Calibri" w:hAnsi="Calibri" w:eastAsia="Microsoft YaHei" w:cs="Calibri"/>
          <w:sz w:val="22"/>
          <w:color w:val="3D5266"/>
          <w:szCs w:val="22"/>
        </w:rPr>
        <w:t>6</w:t>
      </w:r>
    </w:p>
    <w:p>
      <w:pPr>
        <w:pStyle w:val="TOC2"/>
      </w:pPr>
      <w:r>
        <w:rPr>
          <w:rFonts w:ascii="Calibri" w:hAnsi="Calibri" w:eastAsia="Microsoft YaHei" w:cs="Calibri"/>
          <w:sz w:val="22"/>
          <w:color w:val="3D5266"/>
          <w:szCs w:val="22"/>
        </w:rPr>
        <w:t>B.3 Corridor-Specific Protocols</w:t>
      </w:r>
      <w:r>
        <w:rPr>
          <w:rFonts w:ascii="Calibri" w:hAnsi="Calibri" w:eastAsia="Microsoft YaHei"/>
          <w:sz w:val="22"/>
          <w:color w:val="3d5266"/>
        </w:rPr>
        <w:tab/>
      </w:r>
      <w:r>
        <w:rPr>
          <w:rFonts w:ascii="Calibri" w:hAnsi="Calibri" w:eastAsia="Microsoft YaHei" w:cs="Calibri"/>
          <w:sz w:val="22"/>
          <w:color w:val="3D5266"/>
          <w:szCs w:val="22"/>
        </w:rPr>
        <w:t>7</w:t>
      </w:r>
    </w:p>
    <w:p>
      <w:pPr>
        <w:pStyle w:val="TOC1"/>
      </w:pPr>
      <w:r>
        <w:rPr>
          <w:rFonts w:ascii="Calibri" w:hAnsi="Calibri" w:eastAsia="Microsoft YaHei" w:cs="Calibri"/>
          <w:sz w:val="22"/>
          <w:b/>
          <w:color w:val="1A2332"/>
          <w:szCs w:val="22"/>
        </w:rPr>
        <w:t>Section C: Communications Protocols &amp; Hotline</w:t>
      </w:r>
      <w:r>
        <w:rPr>
          <w:rFonts w:ascii="Calibri" w:hAnsi="Calibri" w:eastAsia="Microsoft YaHei"/>
          <w:sz w:val="22"/>
          <w:b/>
          <w:color w:val="1a2332"/>
        </w:rPr>
        <w:tab/>
      </w:r>
      <w:r>
        <w:rPr>
          <w:rFonts w:ascii="Calibri" w:hAnsi="Calibri" w:eastAsia="Microsoft YaHei" w:cs="Calibri"/>
          <w:sz w:val="22"/>
          <w:b/>
          <w:color w:val="1A2332"/>
          <w:szCs w:val="22"/>
        </w:rPr>
        <w:t>8</w:t>
      </w:r>
    </w:p>
    <w:p>
      <w:pPr>
        <w:pStyle w:val="TOC2"/>
      </w:pPr>
      <w:r>
        <w:rPr>
          <w:rFonts w:ascii="Calibri" w:hAnsi="Calibri" w:eastAsia="Microsoft YaHei" w:cs="Calibri"/>
          <w:sz w:val="22"/>
          <w:color w:val="3D5266"/>
          <w:szCs w:val="22"/>
        </w:rPr>
        <w:t>C.1 Standard Communications</w:t>
      </w:r>
      <w:r>
        <w:rPr>
          <w:rFonts w:ascii="Calibri" w:hAnsi="Calibri" w:eastAsia="Microsoft YaHei"/>
          <w:sz w:val="22"/>
          <w:color w:val="3d5266"/>
        </w:rPr>
        <w:tab/>
      </w:r>
      <w:r>
        <w:rPr>
          <w:rFonts w:ascii="Calibri" w:hAnsi="Calibri" w:eastAsia="Microsoft YaHei" w:cs="Calibri"/>
          <w:sz w:val="22"/>
          <w:color w:val="3D5266"/>
          <w:szCs w:val="22"/>
        </w:rPr>
        <w:t>8</w:t>
      </w:r>
    </w:p>
    <w:p>
      <w:pPr>
        <w:pStyle w:val="TOC2"/>
        <w:spacing w:line="288" w:before="60" w:after="40" w:lineRule="auto"/>
        <w:ind w:left="360"/>
      </w:pPr>
      <w:r>
        <w:rPr>
          <w:rFonts w:ascii="Calibri" w:hAnsi="Calibri" w:eastAsia="Microsoft YaHei" w:cs="Calibri"/>
          <w:sz w:val="22"/>
          <w:color w:val="3D5266"/>
          <w:szCs w:val="22"/>
        </w:rPr>
        <w:t>C.1.4 Communications Blackout Protocol</w:t>
      </w:r>
      <w:r>
        <w:rPr>
          <w:rFonts w:ascii="Calibri" w:hAnsi="Calibri" w:eastAsia="Microsoft YaHei"/>
          <w:sz w:val="22"/>
          <w:color w:val="3d5266"/>
        </w:rPr>
        <w:tab/>
      </w:r>
      <w:r>
        <w:rPr>
          <w:rFonts w:ascii="Calibri" w:hAnsi="Calibri" w:eastAsia="Microsoft YaHei" w:cs="Calibri"/>
          <w:sz w:val="22"/>
          <w:color w:val="3D5266"/>
          <w:szCs w:val="22"/>
        </w:rPr>
        <w:t>8</w:t>
      </w:r>
    </w:p>
    <w:p>
      <w:pPr>
        <w:pStyle w:val="TOC2"/>
      </w:pPr>
      <w:r>
        <w:rPr>
          <w:rFonts w:ascii="Calibri" w:hAnsi="Calibri" w:eastAsia="Microsoft YaHei" w:cs="Calibri"/>
          <w:sz w:val="22"/>
          <w:color w:val="3D5266"/>
          <w:szCs w:val="22"/>
        </w:rPr>
        <w:t>C.2 The Military Deconfliction Hotline</w:t>
      </w:r>
      <w:r>
        <w:rPr>
          <w:rFonts w:ascii="Calibri" w:hAnsi="Calibri" w:eastAsia="Microsoft YaHei"/>
          <w:sz w:val="22"/>
          <w:color w:val="3d5266"/>
        </w:rPr>
        <w:tab/>
      </w:r>
      <w:r>
        <w:rPr>
          <w:rFonts w:ascii="Calibri" w:hAnsi="Calibri" w:eastAsia="Microsoft YaHei" w:cs="Calibri"/>
          <w:sz w:val="22"/>
          <w:color w:val="3D5266"/>
          <w:szCs w:val="22"/>
        </w:rPr>
        <w:t>9</w:t>
      </w:r>
    </w:p>
    <w:p>
      <w:pPr>
        <w:pStyle w:val="TOC2"/>
      </w:pPr>
      <w:r>
        <w:rPr>
          <w:rFonts w:ascii="Calibri" w:hAnsi="Calibri" w:eastAsia="Microsoft YaHei" w:cs="Calibri"/>
          <w:sz w:val="22"/>
          <w:color w:val="3D5266"/>
          <w:szCs w:val="22"/>
        </w:rPr>
        <w:t>C.3 Emergency Communications</w:t>
      </w:r>
      <w:r>
        <w:rPr>
          <w:rFonts w:ascii="Calibri" w:hAnsi="Calibri" w:eastAsia="Microsoft YaHei"/>
          <w:sz w:val="22"/>
          <w:color w:val="3d5266"/>
        </w:rPr>
        <w:tab/>
      </w:r>
      <w:r>
        <w:rPr>
          <w:rFonts w:ascii="Calibri" w:hAnsi="Calibri" w:eastAsia="Microsoft YaHei" w:cs="Calibri"/>
          <w:sz w:val="22"/>
          <w:color w:val="3D5266"/>
          <w:szCs w:val="22"/>
        </w:rPr>
        <w:t>10</w:t>
      </w:r>
    </w:p>
    <w:p>
      <w:pPr>
        <w:pStyle w:val="TOC1"/>
      </w:pPr>
      <w:r>
        <w:rPr>
          <w:rFonts w:ascii="Calibri" w:hAnsi="Calibri" w:eastAsia="Microsoft YaHei" w:cs="Calibri"/>
          <w:sz w:val="22"/>
          <w:b/>
          <w:color w:val="1A2332"/>
          <w:szCs w:val="22"/>
        </w:rPr>
        <w:t>Section D: Military Deconfliction &amp; No-Go Zones</w:t>
      </w:r>
      <w:r>
        <w:rPr>
          <w:rFonts w:ascii="Calibri" w:hAnsi="Calibri" w:eastAsia="Microsoft YaHei"/>
          <w:sz w:val="22"/>
          <w:b/>
          <w:color w:val="1a2332"/>
        </w:rPr>
        <w:tab/>
      </w:r>
      <w:r>
        <w:rPr>
          <w:rFonts w:ascii="Calibri" w:hAnsi="Calibri" w:eastAsia="Microsoft YaHei" w:cs="Calibri"/>
          <w:sz w:val="22"/>
          <w:b/>
          <w:color w:val="1A2332"/>
          <w:szCs w:val="22"/>
        </w:rPr>
        <w:t>11</w:t>
      </w:r>
    </w:p>
    <w:p>
      <w:pPr>
        <w:pStyle w:val="TOC2"/>
      </w:pPr>
      <w:r>
        <w:rPr>
          <w:rFonts w:ascii="Calibri" w:hAnsi="Calibri" w:eastAsia="Microsoft YaHei" w:cs="Calibri"/>
          <w:sz w:val="22"/>
          <w:color w:val="3D5266"/>
          <w:szCs w:val="22"/>
        </w:rPr>
        <w:t>D.1 Military-Civilian Standoff</w:t>
      </w:r>
      <w:r>
        <w:rPr>
          <w:rFonts w:ascii="Calibri" w:hAnsi="Calibri" w:eastAsia="Microsoft YaHei"/>
          <w:sz w:val="22"/>
          <w:color w:val="3d5266"/>
        </w:rPr>
        <w:tab/>
      </w:r>
      <w:r>
        <w:rPr>
          <w:rFonts w:ascii="Calibri" w:hAnsi="Calibri" w:eastAsia="Microsoft YaHei" w:cs="Calibri"/>
          <w:sz w:val="22"/>
          <w:color w:val="3D5266"/>
          <w:szCs w:val="22"/>
        </w:rPr>
        <w:t>11</w:t>
      </w:r>
    </w:p>
    <w:p>
      <w:pPr>
        <w:pStyle w:val="TOC2"/>
      </w:pPr>
      <w:r>
        <w:rPr>
          <w:rFonts w:ascii="Calibri" w:hAnsi="Calibri" w:eastAsia="Microsoft YaHei" w:cs="Calibri"/>
          <w:sz w:val="22"/>
          <w:color w:val="3D5266"/>
          <w:szCs w:val="22"/>
        </w:rPr>
        <w:t>D.2 Designated No-Go Zones</w:t>
      </w:r>
      <w:r>
        <w:rPr>
          <w:rFonts w:ascii="Calibri" w:hAnsi="Calibri" w:eastAsia="Microsoft YaHei"/>
          <w:sz w:val="22"/>
          <w:color w:val="3d5266"/>
        </w:rPr>
        <w:tab/>
      </w:r>
      <w:r>
        <w:rPr>
          <w:rFonts w:ascii="Calibri" w:hAnsi="Calibri" w:eastAsia="Microsoft YaHei" w:cs="Calibri"/>
          <w:sz w:val="22"/>
          <w:color w:val="3D5266"/>
          <w:szCs w:val="22"/>
        </w:rPr>
        <w:t>12</w:t>
      </w:r>
    </w:p>
    <w:p>
      <w:pPr>
        <w:pStyle w:val="TOC2"/>
      </w:pPr>
      <w:r>
        <w:rPr>
          <w:rFonts w:ascii="Calibri" w:hAnsi="Calibri" w:eastAsia="Microsoft YaHei" w:cs="Calibri"/>
          <w:sz w:val="22"/>
          <w:color w:val="3D5266"/>
          <w:szCs w:val="22"/>
        </w:rPr>
        <w:t>D.3 Military Exercises and Maneuvers</w:t>
      </w:r>
      <w:r>
        <w:rPr>
          <w:rFonts w:ascii="Calibri" w:hAnsi="Calibri" w:eastAsia="Microsoft YaHei"/>
          <w:sz w:val="22"/>
          <w:color w:val="3d5266"/>
        </w:rPr>
        <w:tab/>
      </w:r>
      <w:r>
        <w:rPr>
          <w:rFonts w:ascii="Calibri" w:hAnsi="Calibri" w:eastAsia="Microsoft YaHei" w:cs="Calibri"/>
          <w:sz w:val="22"/>
          <w:color w:val="3D5266"/>
          <w:szCs w:val="22"/>
        </w:rPr>
        <w:t>13</w:t>
      </w:r>
    </w:p>
    <w:p>
      <w:pPr>
        <w:pStyle w:val="TOC1"/>
      </w:pPr>
      <w:r>
        <w:rPr>
          <w:rFonts w:ascii="Calibri" w:hAnsi="Calibri" w:eastAsia="Microsoft YaHei" w:cs="Calibri"/>
          <w:sz w:val="22"/>
          <w:b/>
          <w:color w:val="1A2332"/>
          <w:szCs w:val="22"/>
        </w:rPr>
        <w:t>Section E: Joint Emergency Response Cell (JERC)</w:t>
      </w:r>
      <w:r>
        <w:rPr>
          <w:rFonts w:ascii="Calibri" w:hAnsi="Calibri" w:eastAsia="Microsoft YaHei"/>
          <w:sz w:val="22"/>
          <w:b/>
          <w:color w:val="1a2332"/>
        </w:rPr>
        <w:tab/>
      </w:r>
      <w:r>
        <w:rPr>
          <w:rFonts w:ascii="Calibri" w:hAnsi="Calibri" w:eastAsia="Microsoft YaHei" w:cs="Calibri"/>
          <w:sz w:val="22"/>
          <w:b/>
          <w:color w:val="1A2332"/>
          <w:szCs w:val="22"/>
        </w:rPr>
        <w:t>14</w:t>
      </w:r>
    </w:p>
    <w:p>
      <w:pPr>
        <w:pStyle w:val="TOC2"/>
      </w:pPr>
      <w:r>
        <w:rPr>
          <w:rFonts w:ascii="Calibri" w:hAnsi="Calibri" w:eastAsia="Microsoft YaHei" w:cs="Calibri"/>
          <w:sz w:val="22"/>
          <w:color w:val="3D5266"/>
          <w:szCs w:val="22"/>
        </w:rPr>
        <w:t>E.1 Establishment and Mandate</w:t>
      </w:r>
      <w:r>
        <w:rPr>
          <w:rFonts w:ascii="Calibri" w:hAnsi="Calibri" w:eastAsia="Microsoft YaHei"/>
          <w:sz w:val="22"/>
          <w:color w:val="3d5266"/>
        </w:rPr>
        <w:tab/>
      </w:r>
      <w:r>
        <w:rPr>
          <w:rFonts w:ascii="Calibri" w:hAnsi="Calibri" w:eastAsia="Microsoft YaHei" w:cs="Calibri"/>
          <w:sz w:val="22"/>
          <w:color w:val="3D5266"/>
          <w:szCs w:val="22"/>
        </w:rPr>
        <w:t>14</w:t>
      </w:r>
    </w:p>
    <w:p>
      <w:pPr>
        <w:pStyle w:val="TOC2"/>
      </w:pPr>
      <w:r>
        <w:rPr>
          <w:rFonts w:ascii="Calibri" w:hAnsi="Calibri" w:eastAsia="Microsoft YaHei" w:cs="Calibri"/>
          <w:sz w:val="22"/>
          <w:color w:val="3D5266"/>
          <w:szCs w:val="22"/>
        </w:rPr>
        <w:t>E.2 JERC Activation Protocol</w:t>
      </w:r>
      <w:r>
        <w:rPr>
          <w:rFonts w:ascii="Calibri" w:hAnsi="Calibri" w:eastAsia="Microsoft YaHei"/>
          <w:sz w:val="22"/>
          <w:color w:val="3d5266"/>
        </w:rPr>
        <w:tab/>
      </w:r>
      <w:r>
        <w:rPr>
          <w:rFonts w:ascii="Calibri" w:hAnsi="Calibri" w:eastAsia="Microsoft YaHei" w:cs="Calibri"/>
          <w:sz w:val="22"/>
          <w:color w:val="3D5266"/>
          <w:szCs w:val="22"/>
        </w:rPr>
        <w:t>15</w:t>
      </w:r>
    </w:p>
    <w:p>
      <w:pPr>
        <w:pStyle w:val="TOC2"/>
      </w:pPr>
      <w:r>
        <w:rPr>
          <w:rFonts w:ascii="Calibri" w:hAnsi="Calibri" w:eastAsia="Microsoft YaHei" w:cs="Calibri"/>
          <w:sz w:val="22"/>
          <w:color w:val="3D5266"/>
          <w:szCs w:val="22"/>
        </w:rPr>
        <w:t>E.3 JERC Functions</w:t>
      </w:r>
      <w:r>
        <w:rPr>
          <w:rFonts w:ascii="Calibri" w:hAnsi="Calibri" w:eastAsia="Microsoft YaHei"/>
          <w:sz w:val="22"/>
          <w:color w:val="3d5266"/>
        </w:rPr>
        <w:tab/>
      </w:r>
      <w:r>
        <w:rPr>
          <w:rFonts w:ascii="Calibri" w:hAnsi="Calibri" w:eastAsia="Microsoft YaHei" w:cs="Calibri"/>
          <w:sz w:val="22"/>
          <w:color w:val="3D5266"/>
          <w:szCs w:val="22"/>
        </w:rPr>
        <w:t>16</w:t>
      </w:r>
    </w:p>
    <w:p>
      <w:pPr>
        <w:pStyle w:val="TOC1"/>
      </w:pPr>
      <w:r>
        <w:rPr>
          <w:rFonts w:ascii="Calibri" w:hAnsi="Calibri" w:eastAsia="Microsoft YaHei" w:cs="Calibri"/>
          <w:sz w:val="22"/>
          <w:b/>
          <w:color w:val="1A2332"/>
          <w:szCs w:val="22"/>
        </w:rPr>
        <w:t>Section F: Reporting, Monitoring, and Compliance</w:t>
      </w:r>
      <w:r>
        <w:rPr>
          <w:rFonts w:ascii="Calibri" w:hAnsi="Calibri" w:eastAsia="Microsoft YaHei"/>
          <w:sz w:val="22"/>
          <w:b/>
          <w:color w:val="1a2332"/>
        </w:rPr>
        <w:tab/>
      </w:r>
      <w:r>
        <w:rPr>
          <w:rFonts w:ascii="Calibri" w:hAnsi="Calibri" w:eastAsia="Microsoft YaHei" w:cs="Calibri"/>
          <w:sz w:val="22"/>
          <w:b/>
          <w:color w:val="1A2332"/>
          <w:szCs w:val="22"/>
        </w:rPr>
        <w:t>17</w:t>
      </w:r>
    </w:p>
    <w:p>
      <w:pPr>
        <w:pStyle w:val="TOC2"/>
      </w:pPr>
      <w:r>
        <w:rPr>
          <w:rFonts w:ascii="Calibri" w:hAnsi="Calibri" w:eastAsia="Microsoft YaHei" w:cs="Calibri"/>
          <w:sz w:val="22"/>
          <w:color w:val="3D5266"/>
          <w:szCs w:val="22"/>
        </w:rPr>
        <w:t>F.1 Incident Reporting</w:t>
      </w:r>
      <w:r>
        <w:rPr>
          <w:rFonts w:ascii="Calibri" w:hAnsi="Calibri" w:eastAsia="Microsoft YaHei"/>
          <w:sz w:val="22"/>
          <w:color w:val="3d5266"/>
        </w:rPr>
        <w:tab/>
      </w:r>
      <w:r>
        <w:rPr>
          <w:rFonts w:ascii="Calibri" w:hAnsi="Calibri" w:eastAsia="Microsoft YaHei" w:cs="Calibri"/>
          <w:sz w:val="22"/>
          <w:color w:val="3D5266"/>
          <w:szCs w:val="22"/>
        </w:rPr>
        <w:t>17</w:t>
      </w:r>
    </w:p>
    <w:p>
      <w:pPr>
        <w:pStyle w:val="TOC2"/>
      </w:pPr>
      <w:r>
        <w:rPr>
          <w:rFonts w:ascii="Calibri" w:hAnsi="Calibri" w:eastAsia="Microsoft YaHei" w:cs="Calibri"/>
          <w:sz w:val="22"/>
          <w:color w:val="3D5266"/>
          <w:szCs w:val="22"/>
        </w:rPr>
        <w:t>F.2 Compliance Monitoring</w:t>
      </w:r>
      <w:r>
        <w:rPr>
          <w:rFonts w:ascii="Calibri" w:hAnsi="Calibri" w:eastAsia="Microsoft YaHei"/>
          <w:sz w:val="22"/>
          <w:color w:val="3d5266"/>
        </w:rPr>
        <w:tab/>
      </w:r>
      <w:r>
        <w:rPr>
          <w:rFonts w:ascii="Calibri" w:hAnsi="Calibri" w:eastAsia="Microsoft YaHei" w:cs="Calibri"/>
          <w:sz w:val="22"/>
          <w:color w:val="3D5266"/>
          <w:szCs w:val="22"/>
        </w:rPr>
        <w:t>18</w:t>
      </w:r>
    </w:p>
    <w:p>
      <w:pPr>
        <w:pStyle w:val="TOC2"/>
      </w:pPr>
      <w:r>
        <w:rPr>
          <w:rFonts w:ascii="Calibri" w:hAnsi="Calibri" w:eastAsia="Microsoft YaHei" w:cs="Calibri"/>
          <w:sz w:val="22"/>
          <w:color w:val="3D5266"/>
          <w:szCs w:val="22"/>
        </w:rPr>
        <w:t>F.3 JIC Review and Enforcement</w:t>
      </w:r>
      <w:r>
        <w:rPr>
          <w:rFonts w:ascii="Calibri" w:hAnsi="Calibri" w:eastAsia="Microsoft YaHei"/>
          <w:sz w:val="22"/>
          <w:color w:val="3d5266"/>
        </w:rPr>
        <w:tab/>
      </w:r>
      <w:r>
        <w:rPr>
          <w:rFonts w:ascii="Calibri" w:hAnsi="Calibri" w:eastAsia="Microsoft YaHei" w:cs="Calibri"/>
          <w:sz w:val="22"/>
          <w:color w:val="3D5266"/>
          <w:szCs w:val="22"/>
        </w:rPr>
        <w:t>19</w:t>
      </w:r>
    </w:p>
    <w:p>
      <w:pPr>
        <w:pStyle w:val="TOC2"/>
        <w:spacing w:line="288" w:before="60" w:after="40" w:lineRule="auto"/>
        <w:ind w:left="360"/>
      </w:pPr>
      <w:r>
        <w:rPr>
          <w:rFonts w:ascii="Calibri" w:hAnsi="Calibri" w:eastAsia="Microsoft YaHei" w:cs="Calibri"/>
          <w:sz w:val="22"/>
          <w:color w:val="3D5266"/>
          <w:szCs w:val="22"/>
        </w:rPr>
        <w:t>F.3.4 Dispute Resolution</w:t>
      </w:r>
      <w:r>
        <w:rPr>
          <w:rFonts w:ascii="Calibri" w:hAnsi="Calibri" w:eastAsia="Microsoft YaHei"/>
          <w:sz w:val="22"/>
          <w:color w:val="3d5266"/>
        </w:rPr>
        <w:tab/>
      </w:r>
      <w:r>
        <w:rPr>
          <w:rFonts w:ascii="Calibri" w:hAnsi="Calibri" w:eastAsia="Microsoft YaHei" w:cs="Calibri"/>
          <w:sz w:val="22"/>
          <w:color w:val="3D5266"/>
          <w:szCs w:val="22"/>
        </w:rPr>
        <w:t>19</w:t>
      </w:r>
    </w:p>
    <w:p>
      <w:pPr>
        <w:pStyle w:val="TOC1"/>
      </w:pPr>
      <w:r>
        <w:rPr>
          <w:rFonts w:ascii="Calibri" w:hAnsi="Calibri" w:eastAsia="Microsoft YaHei" w:cs="Calibri"/>
          <w:sz w:val="22"/>
          <w:b/>
          <w:color w:val="1A2332"/>
          <w:szCs w:val="22"/>
        </w:rPr>
        <w:t>Section G: Technical Review and Updates</w:t>
      </w:r>
      <w:r>
        <w:rPr>
          <w:rFonts w:ascii="Calibri" w:hAnsi="Calibri" w:eastAsia="Microsoft YaHei"/>
          <w:sz w:val="22"/>
          <w:b/>
          <w:color w:val="1a2332"/>
        </w:rPr>
        <w:tab/>
      </w:r>
      <w:r>
        <w:rPr>
          <w:rFonts w:ascii="Calibri" w:hAnsi="Calibri" w:eastAsia="Microsoft YaHei" w:cs="Calibri"/>
          <w:sz w:val="22"/>
          <w:b/>
          <w:color w:val="1A2332"/>
          <w:szCs w:val="22"/>
        </w:rPr>
        <w:t>20</w:t>
      </w:r>
    </w:p>
    <w:p>
      <w:pPr>
        <w:pStyle w:val="TOC1"/>
      </w:pPr>
      <w:r>
        <w:rPr>
          <w:rFonts w:ascii="Calibri" w:hAnsi="Calibri" w:eastAsia="Microsoft YaHei" w:cs="Calibri"/>
          <w:sz w:val="22"/>
          <w:b/>
          <w:color w:val="1A2332"/>
          <w:szCs w:val="22"/>
        </w:rPr>
        <w:t>Section H: Final Provisions</w:t>
      </w:r>
      <w:r>
        <w:rPr>
          <w:rFonts w:ascii="Calibri" w:hAnsi="Calibri" w:eastAsia="Microsoft YaHei"/>
          <w:sz w:val="22"/>
          <w:b/>
          <w:color w:val="1a2332"/>
        </w:rPr>
        <w:tab/>
      </w:r>
      <w:r>
        <w:rPr>
          <w:rFonts w:ascii="Calibri" w:hAnsi="Calibri" w:eastAsia="Microsoft YaHei" w:cs="Calibri"/>
          <w:sz w:val="22"/>
          <w:b/>
          <w:color w:val="1A2332"/>
          <w:szCs w:val="22"/>
        </w:rPr>
        <w:t>21</w:t>
      </w:r>
    </w:p>
    <w:p>
      <w:pPr>
        <w:pStyle w:val="TOC1"/>
        <w:spacing w:line="288" w:before="200" w:after="60" w:lineRule="auto"/>
      </w:pPr>
      <w:r>
        <w:rPr>
          <w:rFonts w:ascii="Calibri" w:hAnsi="Calibri" w:eastAsia="Microsoft YaHei" w:cs="Calibri"/>
          <w:sz w:val="22"/>
          <w:b/>
          <w:color w:val="1A2332"/>
          <w:szCs w:val="22"/>
        </w:rPr>
        <w:t>Section I: Confidence-Building Measures</w:t>
      </w:r>
      <w:r>
        <w:rPr>
          <w:rFonts w:ascii="Calibri" w:hAnsi="Calibri" w:eastAsia="Microsoft YaHei"/>
          <w:sz w:val="22"/>
          <w:b/>
          <w:color w:val="1a2332"/>
        </w:rPr>
        <w:tab/>
      </w:r>
      <w:r>
        <w:rPr>
          <w:rFonts w:ascii="Calibri" w:hAnsi="Calibri" w:eastAsia="Microsoft YaHei" w:cs="Calibri"/>
          <w:sz w:val="22"/>
          <w:b/>
          <w:color w:val="1A2332"/>
          <w:szCs w:val="22"/>
        </w:rPr>
        <w:t>22</w:t>
      </w:r>
    </w:p>
    <w:p>
      <w:pPr>
        <w:pStyle w:val="Normal"/>
      </w:pPr>
      <w:r>
        <w:fldChar w:fldCharType="end"/>
      </w:r>
    </w:p>
    <w:p>
      <w:pPr>
        <w:pStyle w:val="Normal"/>
        <w:sectPr>
          <w:type w:val="nextPage"/>
          <w:pgSz w:w="11906" w:h="16838"/>
          <w:pgMar w:top="1800" w:right="1440" w:bottom="1440" w:left="1440" w:header="720" w:footer="720"/>
        </w:sectPr>
      </w:pPr>
    </w:p>
    <w:p>
      <w:pPr>
        <w:pStyle w:val="Heading1"/>
      </w:pPr>
      <w:bookmarkStart w:name="_Toc001" w:id="1"/>
      <w:r>
        <w:rPr>
          <w:rFonts w:ascii="Calibri" w:hAnsi="Calibri" w:eastAsia="Microsoft YaHei" w:cs="Calibri"/>
          <w:b/>
          <w:color w:val="2D5A7B"/>
          <w:sz w:val="36"/>
          <w:szCs w:val="36"/>
        </w:rPr>
        <w:t>Section A: General Provisions</w:t>
      </w:r>
      <w:bookmarkEnd w:id="1"/>
    </w:p>
    <w:p>
      <w:pPr>
        <w:pStyle w:val="Heading2"/>
      </w:pPr>
      <w:r>
        <w:rPr>
          <w:rFonts w:ascii="Calibri" w:hAnsi="Calibri" w:eastAsia="Microsoft YaHei" w:cs="Calibri"/>
          <w:b/>
          <w:color w:val="1A2332"/>
          <w:sz w:val="28"/>
          <w:szCs w:val="28"/>
        </w:rPr>
        <w:t>A.1 Purpose and Scope</w:t>
      </w:r>
    </w:p>
    <w:p>
      <w:pPr>
        <w:pStyle w:val="Heading3"/>
      </w:pPr>
      <w:r>
        <w:rPr>
          <w:rFonts w:ascii="Calibri" w:hAnsi="Calibri" w:eastAsia="Microsoft YaHei" w:cs="Calibri"/>
          <w:b/>
          <w:color w:val="3D5266"/>
          <w:sz w:val="24"/>
          <w:szCs w:val="24"/>
        </w:rPr>
        <w:t>A.1.1 Purpose</w:t>
      </w:r>
    </w:p>
    <w:p>
      <w:pPr>
        <w:pStyle w:val="Normal"/>
      </w:pPr>
      <w:r>
        <w:rPr>
          <w:rFonts w:ascii="Calibri" w:hAnsi="Calibri" w:eastAsia="Microsoft YaHei" w:cs="Calibri"/>
          <w:color w:val="1A2332"/>
          <w:sz w:val="22"/>
          <w:szCs w:val="22"/>
        </w:rPr>
        <w:t>This Annex establishes a unified, technically standardized framework for:</w:t>
      </w:r>
    </w:p>
    <w:p>
      <w:pPr>
        <w:pStyle w:val="Normal"/>
        <w:numPr>
          <w:ilvl w:val="0"/>
          <w:numId w:val="1"/>
        </w:numPr>
      </w:pPr>
      <w:r>
        <w:rPr>
          <w:rFonts w:ascii="Calibri" w:hAnsi="Calibri" w:eastAsia="Microsoft YaHei" w:cs="Calibri"/>
          <w:color w:val="1A2332"/>
          <w:sz w:val="22"/>
          <w:szCs w:val="22"/>
        </w:rPr>
        <w:t>Safe and efficient commercial vessel transit through the Strait of Hormuz;</w:t>
      </w:r>
    </w:p>
    <w:p>
      <w:pPr>
        <w:pStyle w:val="Normal"/>
        <w:numPr>
          <w:ilvl w:val="0"/>
          <w:numId w:val="1"/>
        </w:numPr>
      </w:pPr>
      <w:r>
        <w:rPr>
          <w:rFonts w:ascii="Calibri" w:hAnsi="Calibri" w:eastAsia="Microsoft YaHei" w:cs="Calibri"/>
          <w:color w:val="1A2332"/>
          <w:sz w:val="22"/>
          <w:szCs w:val="22"/>
        </w:rPr>
        <w:t>Prevention of collisions, groundings, and other navigational hazards;</w:t>
      </w:r>
    </w:p>
    <w:p>
      <w:pPr>
        <w:pStyle w:val="Normal"/>
        <w:numPr>
          <w:ilvl w:val="0"/>
          <w:numId w:val="1"/>
        </w:numPr>
      </w:pPr>
      <w:r>
        <w:rPr>
          <w:rFonts w:ascii="Calibri" w:hAnsi="Calibri" w:eastAsia="Microsoft YaHei" w:cs="Calibri"/>
          <w:color w:val="1A2332"/>
          <w:sz w:val="22"/>
          <w:szCs w:val="22"/>
        </w:rPr>
        <w:t>Deconfliction between military assets and commercial traffic;</w:t>
      </w:r>
    </w:p>
    <w:p>
      <w:pPr>
        <w:pStyle w:val="Normal"/>
        <w:numPr>
          <w:ilvl w:val="0"/>
          <w:numId w:val="1"/>
        </w:numPr>
      </w:pPr>
      <w:r>
        <w:rPr>
          <w:rFonts w:ascii="Calibri" w:hAnsi="Calibri" w:eastAsia="Microsoft YaHei" w:cs="Calibri"/>
          <w:color w:val="1A2332"/>
          <w:sz w:val="22"/>
          <w:szCs w:val="22"/>
        </w:rPr>
        <w:t>Emergency response coordination;</w:t>
      </w:r>
    </w:p>
    <w:p>
      <w:pPr>
        <w:pStyle w:val="Normal"/>
        <w:numPr>
          <w:ilvl w:val="0"/>
          <w:numId w:val="1"/>
        </w:numPr>
      </w:pPr>
      <w:r>
        <w:rPr>
          <w:rFonts w:ascii="Calibri" w:hAnsi="Calibri" w:eastAsia="Microsoft YaHei" w:cs="Calibri"/>
          <w:color w:val="1A2332"/>
          <w:sz w:val="22"/>
          <w:szCs w:val="22"/>
        </w:rPr>
        <w:t>Real-time information sharing among all stakeholders.</w:t>
      </w:r>
    </w:p>
    <w:p>
      <w:pPr>
        <w:pStyle w:val="Heading3"/>
      </w:pPr>
      <w:r>
        <w:rPr>
          <w:rFonts w:ascii="Calibri" w:hAnsi="Calibri" w:eastAsia="Microsoft YaHei" w:cs="Calibri"/>
          <w:b/>
          <w:color w:val="3D5266"/>
          <w:sz w:val="24"/>
          <w:szCs w:val="24"/>
        </w:rPr>
        <w:t>A.1.2 Scope</w:t>
      </w:r>
    </w:p>
    <w:p>
      <w:pPr>
        <w:pStyle w:val="Normal"/>
      </w:pPr>
      <w:r>
        <w:rPr>
          <w:rFonts w:ascii="Calibri" w:hAnsi="Calibri" w:eastAsia="Microsoft YaHei" w:cs="Calibri"/>
          <w:color w:val="1A2332"/>
          <w:sz w:val="22"/>
          <w:szCs w:val="22"/>
        </w:rPr>
        <w:t>This Annex applies to:</w:t>
      </w:r>
    </w:p>
    <w:p>
      <w:pPr>
        <w:pStyle w:val="Normal"/>
        <w:numPr>
          <w:ilvl w:val="0"/>
          <w:numId w:val="1"/>
        </w:numPr>
      </w:pPr>
      <w:r>
        <w:rPr>
          <w:rFonts w:ascii="Calibri" w:hAnsi="Calibri" w:eastAsia="Microsoft YaHei" w:cs="Calibri"/>
          <w:color w:val="1A2332"/>
          <w:sz w:val="22"/>
          <w:szCs w:val="22"/>
        </w:rPr>
        <w:t>All Commercial Vessels (as defined in Article 1.1 of the HSU) transiting the Strait;</w:t>
      </w:r>
    </w:p>
    <w:p>
      <w:pPr>
        <w:pStyle w:val="Normal"/>
        <w:numPr>
          <w:ilvl w:val="0"/>
          <w:numId w:val="1"/>
        </w:numPr>
      </w:pPr>
      <w:r>
        <w:rPr>
          <w:rFonts w:ascii="Calibri" w:hAnsi="Calibri" w:eastAsia="Microsoft YaHei" w:cs="Calibri"/>
          <w:color w:val="1A2332"/>
          <w:sz w:val="22"/>
          <w:szCs w:val="22"/>
        </w:rPr>
        <w:t>All military and naval assets operating within the Strait, insofar as their activities affect Commercial Vessel safety;</w:t>
      </w:r>
    </w:p>
    <w:p>
      <w:pPr>
        <w:pStyle w:val="Normal"/>
        <w:numPr>
          <w:ilvl w:val="0"/>
          <w:numId w:val="1"/>
        </w:numPr>
      </w:pPr>
      <w:r>
        <w:rPr>
          <w:rFonts w:ascii="Calibri" w:hAnsi="Calibri" w:eastAsia="Microsoft YaHei" w:cs="Calibri"/>
          <w:color w:val="1A2332"/>
          <w:sz w:val="22"/>
          <w:szCs w:val="22"/>
        </w:rPr>
        <w:t>The Vessel Traffic Service (VTS) established herein;</w:t>
      </w:r>
    </w:p>
    <w:p>
      <w:pPr>
        <w:pStyle w:val="Normal"/>
        <w:numPr>
          <w:ilvl w:val="0"/>
          <w:numId w:val="1"/>
        </w:numPr>
      </w:pPr>
      <w:r>
        <w:rPr>
          <w:rFonts w:ascii="Calibri" w:hAnsi="Calibri" w:eastAsia="Microsoft YaHei" w:cs="Calibri"/>
          <w:color w:val="1A2332"/>
          <w:sz w:val="22"/>
          <w:szCs w:val="22"/>
        </w:rPr>
        <w:t>The Joint Emergency Response Cell (JERC) established herein;</w:t>
      </w:r>
    </w:p>
    <w:p>
      <w:pPr>
        <w:pStyle w:val="Normal"/>
        <w:numPr>
          <w:ilvl w:val="0"/>
          <w:numId w:val="1"/>
        </w:numPr>
      </w:pPr>
      <w:r>
        <w:rPr>
          <w:rFonts w:ascii="Calibri" w:hAnsi="Calibri" w:eastAsia="Microsoft YaHei" w:cs="Calibri"/>
          <w:color w:val="1A2332"/>
          <w:sz w:val="22"/>
          <w:szCs w:val="22"/>
        </w:rPr>
        <w:t>All communication and reporting protocols for transit and emergency situations.</w:t>
      </w:r>
    </w:p>
    <w:p>
      <w:pPr>
        <w:pStyle w:val="Heading3"/>
      </w:pPr>
      <w:r>
        <w:rPr>
          <w:rFonts w:ascii="Calibri" w:hAnsi="Calibri" w:eastAsia="Microsoft YaHei" w:cs="Calibri"/>
          <w:b/>
          <w:color w:val="3D5266"/>
          <w:sz w:val="24"/>
          <w:szCs w:val="24"/>
        </w:rPr>
        <w:t>A.1.3 Relation to Other Instruments</w:t>
      </w:r>
    </w:p>
    <w:p>
      <w:pPr>
        <w:pStyle w:val="Normal"/>
      </w:pPr>
      <w:r>
        <w:rPr>
          <w:rFonts w:ascii="Calibri" w:hAnsi="Calibri" w:eastAsia="Microsoft YaHei" w:cs="Calibri"/>
          <w:color w:val="1A2332"/>
          <w:sz w:val="22"/>
          <w:szCs w:val="22"/>
        </w:rPr>
        <w:t>Nothing in this Annex supersedes or diminishes:</w:t>
      </w:r>
    </w:p>
    <w:p>
      <w:pPr>
        <w:pStyle w:val="Normal"/>
        <w:numPr>
          <w:ilvl w:val="0"/>
          <w:numId w:val="1"/>
        </w:numPr>
      </w:pPr>
      <w:r>
        <w:rPr>
          <w:rFonts w:ascii="Calibri" w:hAnsi="Calibri" w:eastAsia="Microsoft YaHei" w:cs="Calibri"/>
          <w:color w:val="1A2332"/>
          <w:sz w:val="22"/>
          <w:szCs w:val="22"/>
        </w:rPr>
        <w:t>The International Regulations for Preventing Collisions at Sea (COLREGs), 1972, as amended;</w:t>
      </w:r>
    </w:p>
    <w:p>
      <w:pPr>
        <w:pStyle w:val="Normal"/>
        <w:numPr>
          <w:ilvl w:val="0"/>
          <w:numId w:val="1"/>
        </w:numPr>
      </w:pPr>
      <w:r>
        <w:rPr>
          <w:rFonts w:ascii="Calibri" w:hAnsi="Calibri" w:eastAsia="Microsoft YaHei" w:cs="Calibri"/>
          <w:color w:val="1A2332"/>
          <w:sz w:val="22"/>
          <w:szCs w:val="22"/>
        </w:rPr>
        <w:t>SOLAS (Safety of Life at Sea) Convention requirements;</w:t>
      </w:r>
    </w:p>
    <w:p>
      <w:pPr>
        <w:pStyle w:val="Normal"/>
        <w:numPr>
          <w:ilvl w:val="0"/>
          <w:numId w:val="1"/>
        </w:numPr>
      </w:pPr>
      <w:r>
        <w:rPr>
          <w:rFonts w:ascii="Calibri" w:hAnsi="Calibri" w:eastAsia="Microsoft YaHei" w:cs="Calibri"/>
          <w:color w:val="1A2332"/>
          <w:sz w:val="22"/>
          <w:szCs w:val="22"/>
        </w:rPr>
        <w:t>IMO resolutions and circulars on Vessel Traffic Services (Res. A.857(20)) and navigation safety;</w:t>
      </w:r>
    </w:p>
    <w:p>
      <w:pPr>
        <w:pStyle w:val="Normal"/>
        <w:numPr>
          <w:ilvl w:val="0"/>
          <w:numId w:val="1"/>
        </w:numPr>
      </w:pPr>
      <w:r>
        <w:rPr>
          <w:rFonts w:ascii="Calibri" w:hAnsi="Calibri" w:eastAsia="Microsoft YaHei" w:cs="Calibri"/>
          <w:color w:val="1A2332"/>
          <w:sz w:val="22"/>
          <w:szCs w:val="22"/>
        </w:rPr>
        <w:t>The rights and obligations of flag states under international law of the sea.</w:t>
      </w:r>
    </w:p>
    <w:p>
      <w:pPr>
        <w:pStyle w:val="Heading3"/>
      </w:pPr>
      <w:r>
        <w:rPr>
          <w:rFonts w:ascii="Calibri" w:hAnsi="Calibri" w:eastAsia="Microsoft YaHei" w:cs="Calibri"/>
          <w:b/>
          <w:color w:val="3D5266"/>
          <w:sz w:val="24"/>
          <w:szCs w:val="24"/>
        </w:rPr>
        <w:t>A.1.4 Non-Political Bypass Clause</w:t>
      </w:r>
    </w:p>
    <w:p>
      <w:pPr>
        <w:pStyle w:val="Normal"/>
      </w:pPr>
      <w:r>
        <w:rPr>
          <w:rFonts w:ascii="Calibri" w:hAnsi="Calibri" w:eastAsia="Microsoft YaHei" w:cs="Calibri"/>
          <w:color w:val="1A2332"/>
          <w:sz w:val="22"/>
          <w:szCs w:val="22"/>
        </w:rPr>
        <w:t>This Annex is a technical safety instrument only. The framework architecture excludes any construction of this Annex as:</w:t>
      </w:r>
    </w:p>
    <w:p>
      <w:pPr>
        <w:pStyle w:val="Normal"/>
        <w:numPr>
          <w:ilvl w:val="0"/>
          <w:numId w:val="1"/>
        </w:numPr>
      </w:pPr>
      <w:r>
        <w:rPr>
          <w:rFonts w:ascii="Calibri" w:hAnsi="Calibri" w:eastAsia="Microsoft YaHei" w:cs="Calibri"/>
          <w:color w:val="1A2332"/>
          <w:sz w:val="22"/>
          <w:szCs w:val="22"/>
        </w:rPr>
        <w:t>Recognition of any Party's sovereignty, jurisdiction, or administrative authority over the Strait or any part thereof;</w:t>
      </w:r>
    </w:p>
    <w:p>
      <w:pPr>
        <w:pStyle w:val="Normal"/>
        <w:numPr>
          <w:ilvl w:val="0"/>
          <w:numId w:val="1"/>
        </w:numPr>
      </w:pPr>
      <w:r>
        <w:rPr>
          <w:rFonts w:ascii="Calibri" w:hAnsi="Calibri" w:eastAsia="Microsoft YaHei" w:cs="Calibri"/>
          <w:color w:val="1A2332"/>
          <w:sz w:val="22"/>
          <w:szCs w:val="22"/>
        </w:rPr>
        <w:t>A waiver of any legal arguments or claims by any Party;</w:t>
      </w:r>
    </w:p>
    <w:p>
      <w:pPr>
        <w:pStyle w:val="Normal"/>
        <w:numPr>
          <w:ilvl w:val="0"/>
          <w:numId w:val="1"/>
        </w:numPr>
      </w:pPr>
      <w:r>
        <w:rPr>
          <w:rFonts w:ascii="Calibri" w:hAnsi="Calibri" w:eastAsia="Microsoft YaHei" w:cs="Calibri"/>
          <w:color w:val="1A2332"/>
          <w:sz w:val="22"/>
          <w:szCs w:val="22"/>
        </w:rPr>
        <w:t>A precedent for any other maritime chokepoint;</w:t>
      </w:r>
    </w:p>
    <w:p>
      <w:pPr>
        <w:pStyle w:val="Normal"/>
        <w:numPr>
          <w:ilvl w:val="0"/>
          <w:numId w:val="1"/>
        </w:numPr>
      </w:pPr>
      <w:r>
        <w:rPr>
          <w:rFonts w:ascii="Calibri" w:hAnsi="Calibri" w:eastAsia="Microsoft YaHei" w:cs="Calibri"/>
          <w:color w:val="1A2332"/>
          <w:sz w:val="22"/>
          <w:szCs w:val="22"/>
        </w:rPr>
        <w:t>Authorization for any Party to impose tolls, fees, or transit conditions beyond those explicitly provided for in Annex B of the HSU.</w:t>
      </w:r>
    </w:p>
    <w:p>
      <w:pPr>
        <w:pStyle w:val="Heading3"/>
      </w:pPr>
      <w:r>
        <w:rPr>
          <w:rFonts w:ascii="Calibri" w:hAnsi="Calibri" w:eastAsia="Microsoft YaHei" w:cs="Calibri"/>
          <w:b/>
          <w:color w:val="3D5266"/>
          <w:sz w:val="24"/>
          <w:szCs w:val="24"/>
        </w:rPr>
        <w:t>A.1.5 Non-Retroactivity</w:t>
      </w:r>
    </w:p>
    <w:p>
      <w:pPr>
        <w:pStyle w:val="Normal"/>
        <w:numPr>
          <w:ilvl w:val="0"/>
          <w:numId w:val="1"/>
        </w:numPr>
      </w:pPr>
      <w:r>
        <w:rPr>
          <w:rFonts w:ascii="Calibri" w:hAnsi="Calibri" w:eastAsia="Microsoft YaHei" w:cs="Calibri"/>
          <w:color w:val="1A2332"/>
          <w:sz w:val="22"/>
          <w:szCs w:val="22"/>
        </w:rPr>
        <w:t>This Annex applies exclusively to conduct occurring on or after its effective date. No provision of this Annex is construed as having retroactive effect. Incidents occurring prior to the effective date are governed by the legal regimes in effect at the time.</w:t>
      </w:r>
    </w:p>
    <w:p>
      <w:pPr>
        <w:pStyle w:val="Normal"/>
        <w:numPr>
          <w:ilvl w:val="0"/>
          <w:numId w:val="1"/>
        </w:numPr>
      </w:pPr>
      <w:r>
        <w:rPr>
          <w:rFonts w:ascii="Calibri" w:hAnsi="Calibri" w:eastAsia="Microsoft YaHei" w:cs="Calibri"/>
          <w:color w:val="1A2332"/>
          <w:sz w:val="28"/>
          <w:b/>
          <w:szCs w:val="28"/>
        </w:rPr>
        <w:t xml:space="preserve">Exception: </w:t>
      </w:r>
      <w:r>
        <w:rPr>
          <w:rFonts w:ascii="Calibri" w:hAnsi="Calibri" w:eastAsia="Microsoft YaHei" w:cs="Calibri"/>
          <w:color w:val="1A2332"/>
          <w:sz w:val="22"/>
          <w:szCs w:val="22"/>
        </w:rPr>
        <w:t>If an incident occurring prior to the effective date is still ongoing (e.g., a vessel is still detained, an investigation is still open), the Annex applies to the resolution of that incident from the effective date forward.</w:t>
      </w:r>
    </w:p>
    <w:p>
      <w:pPr>
        <w:pStyle w:val="Normal"/>
        <w:numPr>
          <w:ilvl w:val="0"/>
          <w:numId w:val="1"/>
        </w:numPr>
      </w:pPr>
      <w:r>
        <w:rPr>
          <w:rFonts w:ascii="Calibri" w:hAnsi="Calibri" w:eastAsia="Microsoft YaHei" w:cs="Calibri"/>
          <w:color w:val="1A2332"/>
          <w:sz w:val="28"/>
          <w:b/>
          <w:szCs w:val="28"/>
        </w:rPr>
        <w:t xml:space="preserve">Transition Period: </w:t>
      </w:r>
      <w:r>
        <w:rPr>
          <w:rFonts w:ascii="Calibri" w:hAnsi="Calibri" w:eastAsia="Microsoft YaHei" w:cs="Calibri"/>
          <w:color w:val="1A2332"/>
          <w:sz w:val="22"/>
          <w:szCs w:val="22"/>
        </w:rPr>
        <w:t>For the first 30 days following the effective date, the JIC reviews all open incidents and determines whether they are subject to this Annex or the prior legal regime. The JIC's determination is final.</w:t>
      </w:r>
    </w:p>
    <w:p>
      <w:pPr>
        <w:pStyle w:val="Heading3"/>
      </w:pPr>
      <w:r>
        <w:rPr>
          <w:rFonts w:ascii="Calibri" w:hAnsi="Calibri" w:eastAsia="Microsoft YaHei" w:cs="Calibri"/>
          <w:b/>
          <w:color w:val="3D5266"/>
          <w:sz w:val="24"/>
          <w:szCs w:val="24"/>
        </w:rPr>
        <w:t>A.1.6 Force Majeure</w:t>
      </w:r>
    </w:p>
    <w:p>
      <w:pPr>
        <w:pStyle w:val="Normal"/>
        <w:numPr>
          <w:ilvl w:val="0"/>
          <w:numId w:val="1"/>
        </w:numPr>
      </w:pPr>
      <w:r>
        <w:rPr>
          <w:rFonts w:ascii="Calibri" w:hAnsi="Calibri" w:eastAsia="Microsoft YaHei" w:cs="Calibri"/>
          <w:color w:val="1A2332"/>
          <w:sz w:val="28"/>
          <w:szCs w:val="22"/>
          <w:b/>
        </w:rPr>
        <w:t xml:space="preserve">(a) Definition: </w:t>
      </w:r>
      <w:r>
        <w:rPr>
          <w:rFonts w:ascii="Calibri" w:hAnsi="Calibri" w:eastAsia="Microsoft YaHei" w:cs="Calibri"/>
          <w:color w:val="1A2332"/>
          <w:sz w:val="22"/>
          <w:szCs w:val="22"/>
        </w:rPr>
        <w:t>For the purposes of this Annex, "force majeure" means any event beyond the reasonable control of the vessel or its operator that prevents or delays performance, including: (i) natural disasters (severe storms, tsunamis, earthquakes); (ii) acts of war or armed conflict; (iii) terrorist attacks; (iv) mechanical failure (provided the vessel has a documented maintenance record); (v) medical emergencies.</w:t>
      </w:r>
    </w:p>
    <w:p>
      <w:pPr>
        <w:pStyle w:val="Normal"/>
        <w:numPr>
          <w:ilvl w:val="0"/>
          <w:numId w:val="1"/>
        </w:numPr>
      </w:pPr>
      <w:r>
        <w:rPr>
          <w:rFonts w:ascii="Calibri" w:hAnsi="Calibri" w:eastAsia="Microsoft YaHei" w:cs="Calibri"/>
          <w:color w:val="1A2332"/>
          <w:sz w:val="28"/>
          <w:szCs w:val="22"/>
          <w:b/>
        </w:rPr>
        <w:t xml:space="preserve">(b) Notification: </w:t>
      </w:r>
      <w:r>
        <w:rPr>
          <w:rFonts w:ascii="Calibri" w:hAnsi="Calibri" w:eastAsia="Microsoft YaHei" w:cs="Calibri"/>
          <w:color w:val="1A2332"/>
          <w:sz w:val="22"/>
          <w:szCs w:val="22"/>
        </w:rPr>
        <w:t>A vessel invoking force majeure: (i) notifies the VTS immediately via VHF Channel 16; (ii) files a written report with the JIC within 72 hours; (iii) provides supporting documentation (weather reports, medical records, maintenance logs).</w:t>
      </w:r>
    </w:p>
    <w:p>
      <w:pPr>
        <w:pStyle w:val="Normal"/>
        <w:numPr>
          <w:ilvl w:val="0"/>
          <w:numId w:val="1"/>
        </w:numPr>
      </w:pPr>
      <w:r>
        <w:rPr>
          <w:rFonts w:ascii="Calibri" w:hAnsi="Calibri" w:eastAsia="Microsoft YaHei" w:cs="Calibri"/>
          <w:color w:val="1A2332"/>
          <w:sz w:val="28"/>
          <w:szCs w:val="22"/>
          <w:b/>
        </w:rPr>
        <w:t xml:space="preserve">(c) Review: </w:t>
      </w:r>
      <w:r>
        <w:rPr>
          <w:rFonts w:ascii="Calibri" w:hAnsi="Calibri" w:eastAsia="Microsoft YaHei" w:cs="Calibri"/>
          <w:color w:val="1A2332"/>
          <w:sz w:val="22"/>
          <w:szCs w:val="22"/>
        </w:rPr>
        <w:t>The JIC reviews all force majeure claims and determines whether the event qualifies. If the JIC determines that the event does not qualify, the incident is recorded as a violation.</w:t>
      </w:r>
    </w:p>
    <w:p>
      <w:pPr>
        <w:pStyle w:val="Heading1"/>
      </w:pPr>
      <w:bookmarkStart w:name="_Toc002" w:id="2"/>
      <w:r>
        <w:rPr>
          <w:rFonts w:ascii="Calibri" w:hAnsi="Calibri" w:eastAsia="Microsoft YaHei" w:cs="Calibri"/>
          <w:b/>
          <w:color w:val="2D5A7B"/>
          <w:sz w:val="36"/>
          <w:szCs w:val="36"/>
        </w:rPr>
        <w:t>Section B: Vessel Traffic Service (VTS)</w:t>
      </w:r>
      <w:bookmarkEnd w:id="2"/>
    </w:p>
    <w:p>
      <w:pPr>
        <w:pStyle w:val="Heading2"/>
      </w:pPr>
      <w:r>
        <w:rPr>
          <w:rFonts w:ascii="Calibri" w:hAnsi="Calibri" w:eastAsia="Microsoft YaHei" w:cs="Calibri"/>
          <w:b/>
          <w:color w:val="1A2332"/>
          <w:sz w:val="28"/>
          <w:szCs w:val="28"/>
        </w:rPr>
        <w:t>B.1 Establishment and Governance</w:t>
      </w:r>
    </w:p>
    <w:p>
      <w:pPr>
        <w:pStyle w:val="Heading3"/>
      </w:pPr>
      <w:r>
        <w:rPr>
          <w:rFonts w:ascii="Calibri" w:hAnsi="Calibri" w:eastAsia="Microsoft YaHei" w:cs="Calibri"/>
          <w:b/>
          <w:color w:val="3D5266"/>
          <w:sz w:val="24"/>
          <w:szCs w:val="24"/>
        </w:rPr>
        <w:t>B.1.1 The Hormuz VTS</w:t>
      </w:r>
    </w:p>
    <w:p>
      <w:pPr>
        <w:pStyle w:val="Normal"/>
      </w:pPr>
      <w:r>
        <w:rPr>
          <w:rFonts w:ascii="Calibri" w:hAnsi="Calibri" w:eastAsia="Microsoft YaHei" w:cs="Calibri"/>
          <w:color w:val="1A2332"/>
          <w:sz w:val="22"/>
          <w:szCs w:val="22"/>
        </w:rPr>
        <w:t>A unified, shared Vessel Traffic Service (hereinafter "Hormuz VTS") operates under this Annex for the Strait of Hormuz.</w:t>
      </w:r>
    </w:p>
    <w:p>
      <w:pPr>
        <w:pStyle w:val="Heading3"/>
      </w:pPr>
      <w:r>
        <w:rPr>
          <w:rFonts w:ascii="Calibri" w:hAnsi="Calibri" w:eastAsia="Microsoft YaHei" w:cs="Calibri"/>
          <w:b/>
          <w:color w:val="3D5266"/>
          <w:sz w:val="24"/>
          <w:szCs w:val="24"/>
        </w:rPr>
        <w:t>B.1.2 Governance Structure</w:t>
      </w:r>
    </w:p>
    <w:p>
      <w:pPr>
        <w:pStyle w:val="Normal"/>
      </w:pPr>
      <w:r>
        <w:rPr>
          <w:rFonts w:ascii="Calibri" w:hAnsi="Calibri" w:eastAsia="Microsoft YaHei" w:cs="Calibri"/>
          <w:color w:val="1A2332"/>
          <w:sz w:val="22"/>
          <w:szCs w:val="22"/>
        </w:rPr>
        <w:t>The Hormuz VTS operates under the oversight of the JIC and functions under a VTS Technical Committee composed of:</w:t>
      </w:r>
    </w:p>
    <w:p>
      <w:pPr>
        <w:pStyle w:val="Normal"/>
        <w:numPr>
          <w:ilvl w:val="0"/>
          <w:numId w:val="1"/>
        </w:numPr>
      </w:pPr>
      <w:r>
        <w:rPr>
          <w:rFonts w:ascii="Calibri" w:hAnsi="Calibri" w:eastAsia="Microsoft YaHei" w:cs="Calibri"/>
          <w:color w:val="1A2332"/>
          <w:sz w:val="22"/>
          <w:szCs w:val="22"/>
        </w:rPr>
        <w:t>Two representatives from Iran's Ports and Maritime Organization (PMO);</w:t>
      </w:r>
    </w:p>
    <w:p>
      <w:pPr>
        <w:pStyle w:val="Normal"/>
        <w:numPr>
          <w:ilvl w:val="0"/>
          <w:numId w:val="1"/>
        </w:numPr>
      </w:pPr>
      <w:r>
        <w:rPr>
          <w:rFonts w:ascii="Calibri" w:hAnsi="Calibri" w:eastAsia="Microsoft YaHei" w:cs="Calibri"/>
          <w:color w:val="1A2332"/>
          <w:sz w:val="22"/>
          <w:szCs w:val="22"/>
        </w:rPr>
        <w:t>Two representatives from the U.S. Naval Forces Central Command (NAVCENT), serving in a technical advisory capacity;</w:t>
      </w:r>
    </w:p>
    <w:p>
      <w:pPr>
        <w:pStyle w:val="Normal"/>
        <w:numPr>
          <w:ilvl w:val="0"/>
          <w:numId w:val="1"/>
        </w:numPr>
      </w:pPr>
      <w:r>
        <w:rPr>
          <w:rFonts w:ascii="Calibri" w:hAnsi="Calibri" w:eastAsia="Microsoft YaHei" w:cs="Calibri"/>
          <w:color w:val="1A2332"/>
          <w:sz w:val="22"/>
          <w:szCs w:val="22"/>
        </w:rPr>
        <w:t>One representative from Oman's Maritime Security Centre;</w:t>
      </w:r>
    </w:p>
    <w:p>
      <w:pPr>
        <w:pStyle w:val="Normal"/>
        <w:numPr>
          <w:ilvl w:val="0"/>
          <w:numId w:val="1"/>
        </w:numPr>
      </w:pPr>
      <w:r>
        <w:rPr>
          <w:rFonts w:ascii="Calibri" w:hAnsi="Calibri" w:eastAsia="Microsoft YaHei" w:cs="Calibri"/>
          <w:color w:val="1A2332"/>
          <w:sz w:val="22"/>
          <w:szCs w:val="22"/>
        </w:rPr>
        <w:t>One representative from the IMO (non-voting technical advisor);</w:t>
      </w:r>
    </w:p>
    <w:p>
      <w:pPr>
        <w:pStyle w:val="Normal"/>
        <w:numPr>
          <w:ilvl w:val="0"/>
          <w:numId w:val="1"/>
        </w:numPr>
      </w:pPr>
      <w:r>
        <w:rPr>
          <w:rFonts w:ascii="Calibri" w:hAnsi="Calibri" w:eastAsia="Microsoft YaHei" w:cs="Calibri"/>
          <w:color w:val="1A2332"/>
          <w:sz w:val="22"/>
          <w:szCs w:val="22"/>
        </w:rPr>
        <w:t>One representative from the International Association of Marine Aids to Navigation and Lighthouse Authorities (IALA) (non-voting).</w:t>
      </w:r>
    </w:p>
    <w:p>
      <w:pPr>
        <w:pStyle w:val="Normal"/>
        <w:numPr>
          <w:ilvl w:val="0"/>
          <w:numId w:val="1"/>
        </w:numPr>
      </w:pPr>
      <w:r>
        <w:rPr>
          <w:rFonts w:ascii="Calibri" w:hAnsi="Calibri" w:eastAsia="Microsoft YaHei" w:cs="Calibri"/>
          <w:color w:val="1A2332"/>
          <w:sz w:val="22"/>
          <w:szCs w:val="22"/>
        </w:rPr>
        <w:t>One non-voting representative from the international shipping industry (rotating between BIMCO, INTERCARGO, and INTERTANKO) participates in all JIC deliberations concerning commercial vessel safety and incident review.</w:t>
      </w:r>
    </w:p>
    <w:p>
      <w:pPr>
        <w:pStyle w:val="Heading3"/>
      </w:pPr>
      <w:r>
        <w:rPr>
          <w:rFonts w:ascii="Calibri" w:hAnsi="Calibri" w:eastAsia="Microsoft YaHei" w:cs="Calibri"/>
          <w:b/>
          <w:color w:val="3D5266"/>
          <w:sz w:val="24"/>
          <w:szCs w:val="24"/>
        </w:rPr>
        <w:t>B.1.3 VTS Operators</w:t>
      </w:r>
    </w:p>
    <w:p>
      <w:pPr>
        <w:pStyle w:val="Normal"/>
      </w:pPr>
      <w:r>
        <w:rPr>
          <w:rFonts w:ascii="Calibri" w:hAnsi="Calibri" w:eastAsia="Microsoft YaHei" w:cs="Calibri"/>
          <w:color w:val="1A2332"/>
          <w:sz w:val="22"/>
          <w:szCs w:val="22"/>
        </w:rPr>
        <w:t>VTS operators hold the following qualifications:</w:t>
      </w:r>
    </w:p>
    <w:p>
      <w:pPr>
        <w:pStyle w:val="Normal"/>
        <w:numPr>
          <w:ilvl w:val="0"/>
          <w:numId w:val="1"/>
        </w:numPr>
      </w:pPr>
      <w:r>
        <w:rPr>
          <w:rFonts w:ascii="Calibri" w:hAnsi="Calibri" w:eastAsia="Microsoft YaHei" w:cs="Calibri"/>
          <w:color w:val="1A2332"/>
          <w:sz w:val="22"/>
          <w:szCs w:val="22"/>
        </w:rPr>
        <w:t>Licensed and certified under IMO Model Course 1.24 (VTS Operator Training);</w:t>
      </w:r>
    </w:p>
    <w:p>
      <w:pPr>
        <w:pStyle w:val="Normal"/>
        <w:numPr>
          <w:ilvl w:val="0"/>
          <w:numId w:val="1"/>
        </w:numPr>
      </w:pPr>
      <w:r>
        <w:rPr>
          <w:rFonts w:ascii="Calibri" w:hAnsi="Calibri" w:eastAsia="Microsoft YaHei" w:cs="Calibri"/>
          <w:color w:val="1A2332"/>
          <w:sz w:val="22"/>
          <w:szCs w:val="22"/>
        </w:rPr>
        <w:t>Fluency in English, the international maritime language;</w:t>
      </w:r>
    </w:p>
    <w:p>
      <w:pPr>
        <w:pStyle w:val="Normal"/>
        <w:numPr>
          <w:ilvl w:val="0"/>
          <w:numId w:val="1"/>
        </w:numPr>
      </w:pPr>
      <w:r>
        <w:rPr>
          <w:rFonts w:ascii="Calibri" w:hAnsi="Calibri" w:eastAsia="Microsoft YaHei" w:cs="Calibri"/>
          <w:color w:val="1A2332"/>
          <w:sz w:val="22"/>
          <w:szCs w:val="22"/>
        </w:rPr>
        <w:t>Co-location in the VTS Coordination Hub in Muscat, Oman, with subordinate regional watch centers in Bandar Abbas, Iran, and Fujairah, UAE, for localized traffic management.</w:t>
      </w:r>
    </w:p>
    <w:p>
      <w:pPr>
        <w:pStyle w:val="Heading2"/>
      </w:pPr>
      <w:r>
        <w:rPr>
          <w:rFonts w:ascii="Calibri" w:hAnsi="Calibri" w:eastAsia="Microsoft YaHei" w:cs="Calibri"/>
          <w:b/>
          <w:color w:val="1A2332"/>
          <w:sz w:val="28"/>
          <w:szCs w:val="28"/>
        </w:rPr>
        <w:t>B.2 VTS Functions and Operations</w:t>
      </w:r>
    </w:p>
    <w:p>
      <w:pPr>
        <w:pStyle w:val="Heading3"/>
      </w:pPr>
      <w:r>
        <w:rPr>
          <w:rFonts w:ascii="Calibri" w:hAnsi="Calibri" w:eastAsia="Microsoft YaHei" w:cs="Calibri"/>
          <w:b/>
          <w:color w:val="3D5266"/>
          <w:sz w:val="24"/>
          <w:szCs w:val="24"/>
        </w:rPr>
        <w:t>B.2.1 Primary Functions</w:t>
      </w:r>
    </w:p>
    <w:p>
      <w:pPr>
        <w:pStyle w:val="Normal"/>
      </w:pPr>
      <w:r>
        <w:rPr>
          <w:rFonts w:ascii="Calibri" w:hAnsi="Calibri" w:eastAsia="Microsoft YaHei" w:cs="Calibri"/>
          <w:color w:val="1A2332"/>
          <w:sz w:val="22"/>
          <w:szCs w:val="22"/>
        </w:rPr>
        <w:t>The Hormuz VTS provides:</w:t>
      </w:r>
    </w:p>
    <w:p>
      <w:pPr>
        <w:pStyle w:val="Normal"/>
        <w:numPr>
          <w:ilvl w:val="0"/>
          <w:numId w:val="1"/>
        </w:numPr>
      </w:pPr>
      <w:r>
        <w:rPr>
          <w:rFonts w:ascii="Calibri" w:hAnsi="Calibri" w:eastAsia="Microsoft YaHei" w:cs="Calibri"/>
          <w:color w:val="1A2332"/>
          <w:sz w:val="22"/>
          <w:szCs w:val="22"/>
        </w:rPr>
        <w:t>Traffic Monitoring: Continuous radar, AIS, and CCTV surveillance of all Commercial Vessels in the Strait;</w:t>
      </w:r>
    </w:p>
    <w:p>
      <w:pPr>
        <w:pStyle w:val="Normal"/>
        <w:numPr>
          <w:ilvl w:val="0"/>
          <w:numId w:val="1"/>
        </w:numPr>
      </w:pPr>
      <w:r>
        <w:rPr>
          <w:rFonts w:ascii="Calibri" w:hAnsi="Calibri" w:eastAsia="Microsoft YaHei" w:cs="Calibri"/>
          <w:color w:val="1A2332"/>
          <w:sz w:val="22"/>
          <w:szCs w:val="22"/>
        </w:rPr>
        <w:t>Navigational Information: Real-time broadcasts of weather, sea state, visibility, and navigational hazards;</w:t>
      </w:r>
    </w:p>
    <w:p>
      <w:pPr>
        <w:pStyle w:val="Normal"/>
        <w:numPr>
          <w:ilvl w:val="0"/>
          <w:numId w:val="1"/>
        </w:numPr>
      </w:pPr>
      <w:r>
        <w:rPr>
          <w:rFonts w:ascii="Calibri" w:hAnsi="Calibri" w:eastAsia="Microsoft YaHei" w:cs="Calibri"/>
          <w:color w:val="1A2332"/>
          <w:sz w:val="22"/>
          <w:szCs w:val="22"/>
        </w:rPr>
        <w:t>Traffic Organization: Recommendations on routing, speed, and overtaking to prevent congestion and collisions;</w:t>
      </w:r>
    </w:p>
    <w:p>
      <w:pPr>
        <w:pStyle w:val="Normal"/>
        <w:numPr>
          <w:ilvl w:val="0"/>
          <w:numId w:val="1"/>
        </w:numPr>
      </w:pPr>
      <w:r>
        <w:rPr>
          <w:rFonts w:ascii="Calibri" w:hAnsi="Calibri" w:eastAsia="Microsoft YaHei" w:cs="Calibri"/>
          <w:color w:val="1A2332"/>
          <w:sz w:val="22"/>
          <w:szCs w:val="22"/>
        </w:rPr>
        <w:t>Anchorage Management: Coordination of waiting areas and emergency anchorages;</w:t>
      </w:r>
    </w:p>
    <w:p>
      <w:pPr>
        <w:pStyle w:val="Normal"/>
        <w:numPr>
          <w:ilvl w:val="0"/>
          <w:numId w:val="1"/>
        </w:numPr>
      </w:pPr>
      <w:r>
        <w:rPr>
          <w:rFonts w:ascii="Calibri" w:hAnsi="Calibri" w:eastAsia="Microsoft YaHei" w:cs="Calibri"/>
          <w:color w:val="1A2332"/>
          <w:sz w:val="22"/>
          <w:szCs w:val="22"/>
        </w:rPr>
        <w:t>Incident Logging: Chronological recording of all communications, movements, and anomalies.</w:t>
      </w:r>
    </w:p>
    <w:p>
      <w:pPr>
        <w:pStyle w:val="Heading3"/>
      </w:pPr>
      <w:r>
        <w:rPr>
          <w:rFonts w:ascii="Calibri" w:hAnsi="Calibri" w:eastAsia="Microsoft YaHei" w:cs="Calibri"/>
          <w:b/>
          <w:color w:val="3D5266"/>
          <w:sz w:val="24"/>
          <w:szCs w:val="24"/>
        </w:rPr>
        <w:t>B.2.2 Mandatory Participation</w:t>
      </w:r>
    </w:p>
    <w:p>
      <w:pPr>
        <w:pStyle w:val="Normal"/>
      </w:pPr>
      <w:r>
        <w:rPr>
          <w:rFonts w:ascii="Calibri" w:hAnsi="Calibri" w:eastAsia="Microsoft YaHei" w:cs="Calibri"/>
          <w:color w:val="1A2332"/>
          <w:sz w:val="22"/>
          <w:szCs w:val="22"/>
        </w:rPr>
        <w:t>All Commercial Vessels transiting the Strait adhere to the following protocols:</w:t>
      </w:r>
    </w:p>
    <w:p>
      <w:pPr>
        <w:pStyle w:val="Normal"/>
        <w:numPr>
          <w:ilvl w:val="0"/>
          <w:numId w:val="1"/>
        </w:numPr>
      </w:pPr>
      <w:r>
        <w:rPr>
          <w:rFonts w:ascii="Calibri" w:hAnsi="Calibri" w:eastAsia="Microsoft YaHei" w:cs="Calibri"/>
          <w:color w:val="1A2332"/>
          <w:sz w:val="22"/>
          <w:szCs w:val="22"/>
        </w:rPr>
        <w:t>Maintenance of VHF communications with the Hormuz VTS from 20 nautical miles prior to entering the Strait until 10 nautical miles after exiting;</w:t>
      </w:r>
    </w:p>
    <w:p>
      <w:pPr>
        <w:pStyle w:val="Normal"/>
        <w:numPr>
          <w:ilvl w:val="0"/>
          <w:numId w:val="1"/>
        </w:numPr>
      </w:pPr>
      <w:r>
        <w:rPr>
          <w:rFonts w:ascii="Calibri" w:hAnsi="Calibri" w:eastAsia="Microsoft YaHei" w:cs="Calibri"/>
          <w:color w:val="1A2332"/>
          <w:sz w:val="22"/>
          <w:szCs w:val="22"/>
        </w:rPr>
        <w:t>Reporting of position, cargo, draft, and destination upon VTS request;</w:t>
      </w:r>
    </w:p>
    <w:p>
      <w:pPr>
        <w:pStyle w:val="Normal"/>
        <w:numPr>
          <w:ilvl w:val="0"/>
          <w:numId w:val="1"/>
        </w:numPr>
      </w:pPr>
      <w:r>
        <w:rPr>
          <w:rFonts w:ascii="Calibri" w:hAnsi="Calibri" w:eastAsia="Microsoft YaHei" w:cs="Calibri"/>
          <w:color w:val="1A2332"/>
          <w:sz w:val="22"/>
          <w:szCs w:val="22"/>
        </w:rPr>
        <w:t>Compliance with VTS routing recommendations unless: (i) compliance requires the vessel to navigate into waters with a demonstrable navigational hazard (e.g., uncharted shoals, submerged obstacles, mines, or wreckage); (ii) compliance requires the vessel to deviate from its designated TSS lane by more than 0.5 nautical miles for more than 10 consecutive minutes; (iii) compliance requires the vessel to reduce speed below 10 knots for more than 15 minutes without a safety justification (e.g., heavy weather, traffic congestion). If a master exercises the safety exception, the master logs the deviation in the vessel's official logbook with timestamp and position, notifies the VTS immediately of the deviation and the reason, and files a written report with the JIC within 24 hours. The JIC reviews all reported safety exceptions monthly and publishes an anonymized summary in the quarterly compliance report. If the JIC determines that a master has abused the exception, the vessel's operator receives a private Notice of Concern. The framework defines "repeated abuse" as three or more documented safety exceptions by the same vessel or operator within a 90-day period, where the JIC determines in each case that the safety justification was not demonstrably valid. This definition triggers a Level 2 violation against the vessel's flag state.</w:t>
      </w:r>
    </w:p>
    <w:p>
      <w:pPr>
        <w:pStyle w:val="Heading3"/>
      </w:pPr>
      <w:r>
        <w:rPr>
          <w:rFonts w:ascii="Calibri" w:hAnsi="Calibri" w:eastAsia="Microsoft YaHei" w:cs="Calibri"/>
          <w:b/>
          <w:color w:val="3D5266"/>
          <w:sz w:val="24"/>
          <w:szCs w:val="24"/>
        </w:rPr>
        <w:t>B.2.3 VTS Information Sharing Protocol</w:t>
      </w:r>
    </w:p>
    <w:p>
      <w:pPr>
        <w:pStyle w:val="Normal"/>
        <w:numPr>
          <w:ilvl w:val="0"/>
          <w:numId w:val="1"/>
        </w:numPr>
      </w:pPr>
      <w:r>
        <w:rPr>
          <w:rFonts w:ascii="Calibri" w:hAnsi="Calibri" w:eastAsia="Microsoft YaHei" w:cs="Calibri"/>
          <w:color w:val="1A2332"/>
          <w:sz w:val="22"/>
          <w:szCs w:val="22"/>
        </w:rPr>
        <w:t>All VTS data (radar, AIS, communications logs) resides in a shared, encrypted database accessible to all Parties;</w:t>
      </w:r>
    </w:p>
    <w:p>
      <w:pPr>
        <w:pStyle w:val="Normal"/>
        <w:numPr>
          <w:ilvl w:val="0"/>
          <w:numId w:val="1"/>
        </w:numPr>
      </w:pPr>
      <w:r>
        <w:rPr>
          <w:rFonts w:ascii="Calibri" w:hAnsi="Calibri" w:eastAsia="Microsoft YaHei" w:cs="Calibri"/>
          <w:color w:val="1A2332"/>
          <w:sz w:val="22"/>
          <w:szCs w:val="22"/>
        </w:rPr>
        <w:t>Data retention covers 90 days, with availability to the JIC upon request for incident investigation;</w:t>
      </w:r>
    </w:p>
    <w:p>
      <w:pPr>
        <w:pStyle w:val="Normal"/>
        <w:numPr>
          <w:ilvl w:val="0"/>
          <w:numId w:val="1"/>
        </w:numPr>
      </w:pPr>
      <w:r>
        <w:rPr>
          <w:rFonts w:ascii="Calibri" w:hAnsi="Calibri" w:eastAsia="Microsoft YaHei" w:cs="Calibri"/>
          <w:color w:val="1A2332"/>
          <w:sz w:val="22"/>
          <w:szCs w:val="22"/>
        </w:rPr>
        <w:t>Data use is limited to safety purposes under this Annex. The framework architecture excludes the use of VTS data for intelligence, law enforcement, or enforcement purposes outside of this Annex. Any Party that the JIC finds to have used VTS data for purposes outside this Annex, following a JIC investigation, commits a Level 3 (Serious) violation. The JIC conducts random, unannounced audits of data access logs to verify compliance.</w:t>
      </w:r>
    </w:p>
    <w:p>
      <w:pPr>
        <w:pStyle w:val="Heading3"/>
      </w:pPr>
      <w:r>
        <w:rPr>
          <w:rFonts w:ascii="Calibri" w:hAnsi="Calibri" w:eastAsia="Microsoft YaHei" w:cs="Calibri"/>
          <w:b/>
          <w:color w:val="3D5266"/>
          <w:sz w:val="24"/>
          <w:szCs w:val="24"/>
        </w:rPr>
        <w:t>B.2.4 VTS Synchronization Protocol</w:t>
      </w:r>
    </w:p>
    <w:p>
      <w:pPr>
        <w:pStyle w:val="Normal"/>
        <w:numPr>
          <w:ilvl w:val="0"/>
          <w:numId w:val="1"/>
        </w:numPr>
      </w:pPr>
      <w:r>
        <w:rPr>
          <w:rFonts w:ascii="Calibri" w:hAnsi="Calibri" w:eastAsia="Microsoft YaHei" w:cs="Calibri"/>
          <w:color w:val="1A2332"/>
          <w:sz w:val="28"/>
          <w:szCs w:val="22"/>
          <w:b/>
        </w:rPr>
        <w:t xml:space="preserve">(a) Common Operational Picture: </w:t>
      </w:r>
      <w:r>
        <w:rPr>
          <w:rFonts w:ascii="Calibri" w:hAnsi="Calibri" w:eastAsia="Microsoft YaHei" w:cs="Calibri"/>
          <w:color w:val="1A2332"/>
          <w:sz w:val="22"/>
          <w:szCs w:val="22"/>
        </w:rPr>
        <w:t>The Hormuz VTS maintains a Common Operational Picture (COP) that integrates: (i) satellite AIS data (commercial constellations); (ii) coastal radar returns (Bandar Abbas, Fujairah, Muscat, Dammam, Umm Qasr); (iii) aerial surveillance feeds (UAV or manned aircraft); (iv) VTS operator inputs (visual observations, radio communications).</w:t>
      </w:r>
    </w:p>
    <w:p>
      <w:pPr>
        <w:pStyle w:val="Normal"/>
        <w:numPr>
          <w:ilvl w:val="0"/>
          <w:numId w:val="1"/>
        </w:numPr>
      </w:pPr>
      <w:r>
        <w:rPr>
          <w:rFonts w:ascii="Calibri" w:hAnsi="Calibri" w:eastAsia="Microsoft YaHei" w:cs="Calibri"/>
          <w:color w:val="1A2332"/>
          <w:sz w:val="28"/>
          <w:szCs w:val="22"/>
          <w:b/>
        </w:rPr>
        <w:t xml:space="preserve">(b) Data Fusion: </w:t>
      </w:r>
      <w:r>
        <w:rPr>
          <w:rFonts w:ascii="Calibri" w:hAnsi="Calibri" w:eastAsia="Microsoft YaHei" w:cs="Calibri"/>
          <w:color w:val="1A2332"/>
          <w:sz w:val="22"/>
          <w:szCs w:val="22"/>
        </w:rPr>
        <w:t>The COP updates every 5 minutes with fused data from all available sources. Data fusion is performed using automated algorithms that prioritize: radar data for positioning (highest accuracy); AIS data for identification (vessel name, flag, cargo); satellite data for gap coverage.</w:t>
      </w:r>
    </w:p>
    <w:p>
      <w:pPr>
        <w:pStyle w:val="Normal"/>
        <w:numPr>
          <w:ilvl w:val="0"/>
          <w:numId w:val="1"/>
        </w:numPr>
      </w:pPr>
      <w:r>
        <w:rPr>
          <w:rFonts w:ascii="Calibri" w:hAnsi="Calibri" w:eastAsia="Microsoft YaHei" w:cs="Calibri"/>
          <w:color w:val="1A2332"/>
          <w:sz w:val="28"/>
          <w:szCs w:val="22"/>
          <w:b/>
        </w:rPr>
        <w:t xml:space="preserve">(c) Synchronization Standard: </w:t>
      </w:r>
      <w:r>
        <w:rPr>
          <w:rFonts w:ascii="Calibri" w:hAnsi="Calibri" w:eastAsia="Microsoft YaHei" w:cs="Calibri"/>
          <w:color w:val="1A2332"/>
          <w:sz w:val="22"/>
          <w:szCs w:val="22"/>
        </w:rPr>
        <w:t>All VTS operators use the same COP display, with identical: map projections (WGS 84); coordinate systems (latitude/longitude, decimal degrees); zoom levels and map scales; color coding and symbology; time zones (UTC).</w:t>
      </w:r>
    </w:p>
    <w:p>
      <w:pPr>
        <w:pStyle w:val="Normal"/>
        <w:numPr>
          <w:ilvl w:val="0"/>
          <w:numId w:val="1"/>
        </w:numPr>
      </w:pPr>
      <w:r>
        <w:rPr>
          <w:rFonts w:ascii="Calibri" w:hAnsi="Calibri" w:eastAsia="Microsoft YaHei" w:cs="Calibri"/>
          <w:color w:val="1A2332"/>
          <w:sz w:val="28"/>
          <w:szCs w:val="22"/>
          <w:b/>
        </w:rPr>
        <w:t xml:space="preserve">(d) Synchronization Check: </w:t>
      </w:r>
      <w:r>
        <w:rPr>
          <w:rFonts w:ascii="Calibri" w:hAnsi="Calibri" w:eastAsia="Microsoft YaHei" w:cs="Calibri"/>
          <w:color w:val="1A2332"/>
          <w:sz w:val="22"/>
          <w:szCs w:val="22"/>
        </w:rPr>
        <w:t>The JIC conducts a monthly synchronization check to ensure all VTS operators are using the same COP standard. Any discrepancies are resolved within 48 hours.</w:t>
      </w:r>
    </w:p>
    <w:p>
      <w:pPr>
        <w:pStyle w:val="Normal"/>
        <w:numPr>
          <w:ilvl w:val="0"/>
          <w:numId w:val="1"/>
        </w:numPr>
      </w:pPr>
      <w:r>
        <w:rPr>
          <w:rFonts w:ascii="Calibri" w:hAnsi="Calibri" w:eastAsia="Microsoft YaHei" w:cs="Calibri"/>
          <w:color w:val="1A2332"/>
          <w:sz w:val="28"/>
          <w:szCs w:val="22"/>
          <w:b/>
        </w:rPr>
        <w:t xml:space="preserve">(e) Training: </w:t>
      </w:r>
      <w:r>
        <w:rPr>
          <w:rFonts w:ascii="Calibri" w:hAnsi="Calibri" w:eastAsia="Microsoft YaHei" w:cs="Calibri"/>
          <w:color w:val="1A2332"/>
          <w:sz w:val="22"/>
          <w:szCs w:val="22"/>
        </w:rPr>
        <w:t>All VTS operators complete quarterly training on the COP display and synchronization protocols. Training is conducted by IMO-certified instructors.</w:t>
      </w:r>
    </w:p>
    <w:p>
      <w:pPr>
        <w:pStyle w:val="Heading2"/>
      </w:pPr>
      <w:r>
        <w:rPr>
          <w:rFonts w:ascii="Calibri" w:hAnsi="Calibri" w:eastAsia="Microsoft YaHei" w:cs="Calibri"/>
          <w:b/>
          <w:color w:val="1A2332"/>
          <w:sz w:val="28"/>
          <w:szCs w:val="28"/>
        </w:rPr>
        <w:t>B.3 Corridor-Specific Protocols</w:t>
      </w:r>
    </w:p>
    <w:p>
      <w:pPr>
        <w:pStyle w:val="Heading3"/>
      </w:pPr>
      <w:r>
        <w:rPr>
          <w:rFonts w:ascii="Calibri" w:hAnsi="Calibri" w:eastAsia="Microsoft YaHei" w:cs="Calibri"/>
          <w:b/>
          <w:color w:val="3D5266"/>
          <w:sz w:val="24"/>
          <w:szCs w:val="24"/>
        </w:rPr>
        <w:t>B.3.1 Northern Corridor (Iranian Coast)</w:t>
      </w:r>
    </w:p>
    <w:p>
      <w:pPr>
        <w:pStyle w:val="Normal"/>
        <w:numPr>
          <w:ilvl w:val="0"/>
          <w:numId w:val="1"/>
        </w:numPr>
      </w:pPr>
      <w:r>
        <w:rPr>
          <w:rFonts w:ascii="Calibri" w:hAnsi="Calibri" w:eastAsia="Microsoft YaHei" w:cs="Calibri"/>
          <w:color w:val="1A2332"/>
          <w:sz w:val="22"/>
          <w:szCs w:val="22"/>
        </w:rPr>
        <w:t>The Hormuz VTS cooperates with Iran's local VTS authority in Bandar Abbas for traffic in this corridor;</w:t>
      </w:r>
    </w:p>
    <w:p>
      <w:pPr>
        <w:pStyle w:val="Normal"/>
        <w:numPr>
          <w:ilvl w:val="0"/>
          <w:numId w:val="1"/>
        </w:numPr>
      </w:pPr>
      <w:r>
        <w:rPr>
          <w:rFonts w:ascii="Calibri" w:hAnsi="Calibri" w:eastAsia="Microsoft YaHei" w:cs="Calibri"/>
          <w:color w:val="1A2332"/>
          <w:sz w:val="22"/>
          <w:szCs w:val="22"/>
        </w:rPr>
        <w:t>Vessels in the Northern Corridor receive pilotage and navigational advice from Iranian-licensed pilots, provided such pilots hold IMO-recognized certifications;</w:t>
      </w:r>
    </w:p>
    <w:p>
      <w:pPr>
        <w:pStyle w:val="Normal"/>
        <w:numPr>
          <w:ilvl w:val="0"/>
          <w:numId w:val="1"/>
        </w:numPr>
      </w:pPr>
      <w:r>
        <w:rPr>
          <w:rFonts w:ascii="Calibri" w:hAnsi="Calibri" w:eastAsia="Microsoft YaHei" w:cs="Calibri"/>
          <w:color w:val="1A2332"/>
          <w:sz w:val="22"/>
          <w:szCs w:val="22"/>
        </w:rPr>
        <w:t>The corridor carries standard IMO-compliant buoys and beacons maintained by Iran.</w:t>
      </w:r>
    </w:p>
    <w:p>
      <w:pPr>
        <w:pStyle w:val="Heading3"/>
      </w:pPr>
      <w:r>
        <w:rPr>
          <w:rFonts w:ascii="Calibri" w:hAnsi="Calibri" w:eastAsia="Microsoft YaHei" w:cs="Calibri"/>
          <w:b/>
          <w:color w:val="3D5266"/>
          <w:sz w:val="24"/>
          <w:szCs w:val="24"/>
        </w:rPr>
        <w:t>B.3.2 Southern Corridor (Omani Coast)</w:t>
      </w:r>
    </w:p>
    <w:p>
      <w:pPr>
        <w:pStyle w:val="Normal"/>
        <w:numPr>
          <w:ilvl w:val="0"/>
          <w:numId w:val="1"/>
        </w:numPr>
      </w:pPr>
      <w:r>
        <w:rPr>
          <w:rFonts w:ascii="Calibri" w:hAnsi="Calibri" w:eastAsia="Microsoft YaHei" w:cs="Calibri"/>
          <w:color w:val="1A2332"/>
          <w:sz w:val="22"/>
          <w:szCs w:val="22"/>
        </w:rPr>
        <w:t>The Hormuz VTS cooperates with Oman's Maritime Security Centre for traffic in this corridor;</w:t>
      </w:r>
    </w:p>
    <w:p>
      <w:pPr>
        <w:pStyle w:val="Normal"/>
        <w:numPr>
          <w:ilvl w:val="0"/>
          <w:numId w:val="1"/>
        </w:numPr>
      </w:pPr>
      <w:r>
        <w:rPr>
          <w:rFonts w:ascii="Calibri" w:hAnsi="Calibri" w:eastAsia="Microsoft YaHei" w:cs="Calibri"/>
          <w:color w:val="1A2332"/>
          <w:sz w:val="22"/>
          <w:szCs w:val="22"/>
        </w:rPr>
        <w:t>Vessels in the Southern Corridor receive advisory services from U.S. or Omani-facilitated navigational resources;</w:t>
      </w:r>
    </w:p>
    <w:p>
      <w:pPr>
        <w:pStyle w:val="Normal"/>
        <w:numPr>
          <w:ilvl w:val="0"/>
          <w:numId w:val="1"/>
        </w:numPr>
      </w:pPr>
      <w:r>
        <w:rPr>
          <w:rFonts w:ascii="Calibri" w:hAnsi="Calibri" w:eastAsia="Microsoft YaHei" w:cs="Calibri"/>
          <w:color w:val="1A2332"/>
          <w:sz w:val="22"/>
          <w:szCs w:val="22"/>
        </w:rPr>
        <w:t>The corridor carries standard IMO-compliant buoys and beacons maintained by Oman.</w:t>
      </w:r>
    </w:p>
    <w:p>
      <w:pPr>
        <w:pStyle w:val="Heading3"/>
      </w:pPr>
      <w:r>
        <w:rPr>
          <w:rFonts w:ascii="Calibri" w:hAnsi="Calibri" w:eastAsia="Microsoft YaHei" w:cs="Calibri"/>
          <w:b/>
          <w:color w:val="3D5266"/>
          <w:sz w:val="24"/>
          <w:szCs w:val="24"/>
        </w:rPr>
        <w:t>B.3.3 Equal Status of Corridors</w:t>
      </w:r>
    </w:p>
    <w:p>
      <w:pPr>
        <w:pStyle w:val="Normal"/>
      </w:pPr>
      <w:r>
        <w:rPr>
          <w:rFonts w:ascii="Calibri" w:hAnsi="Calibri" w:eastAsia="Microsoft YaHei" w:cs="Calibri"/>
          <w:color w:val="1A2332"/>
          <w:sz w:val="22"/>
          <w:szCs w:val="22"/>
        </w:rPr>
        <w:t>Neither corridor carries designation as "primary" or "preferred" in VTS communications or documentation. VTS operators use neutral language: "Vessel [Name], you are cleared for transit in the Northern/Southern corridor. Advise of any deviation."</w:t>
      </w:r>
    </w:p>
    <w:p>
      <w:pPr>
        <w:pStyle w:val="Heading1"/>
      </w:pPr>
      <w:bookmarkStart w:name="_Toc003" w:id="3"/>
      <w:r>
        <w:rPr>
          <w:rFonts w:ascii="Calibri" w:hAnsi="Calibri" w:eastAsia="Microsoft YaHei" w:cs="Calibri"/>
          <w:b/>
          <w:color w:val="2D5A7B"/>
          <w:sz w:val="36"/>
          <w:szCs w:val="36"/>
        </w:rPr>
        <w:t>Section C: Communications Protocols &amp; Hotline</w:t>
      </w:r>
      <w:bookmarkEnd w:id="3"/>
    </w:p>
    <w:p>
      <w:pPr>
        <w:pStyle w:val="Heading2"/>
      </w:pPr>
      <w:r>
        <w:rPr>
          <w:rFonts w:ascii="Calibri" w:hAnsi="Calibri" w:eastAsia="Microsoft YaHei" w:cs="Calibri"/>
          <w:b/>
          <w:color w:val="1A2332"/>
          <w:sz w:val="28"/>
          <w:szCs w:val="28"/>
        </w:rPr>
        <w:t>C.1 Standard Communications</w:t>
      </w:r>
    </w:p>
    <w:p>
      <w:pPr>
        <w:pStyle w:val="Heading3"/>
      </w:pPr>
      <w:r>
        <w:rPr>
          <w:rFonts w:ascii="Calibri" w:hAnsi="Calibri" w:eastAsia="Microsoft YaHei" w:cs="Calibri"/>
          <w:b/>
          <w:color w:val="3D5266"/>
          <w:sz w:val="24"/>
          <w:szCs w:val="24"/>
        </w:rPr>
        <w:t>C.1.1 Primary Channels</w:t>
      </w:r>
    </w:p>
    <w:p>
      <w:pPr>
        <w:pStyle w:val="Normal"/>
        <w:numPr>
          <w:ilvl w:val="0"/>
          <w:numId w:val="1"/>
        </w:numPr>
      </w:pPr>
      <w:r>
        <w:rPr>
          <w:rFonts w:ascii="Calibri" w:hAnsi="Calibri" w:eastAsia="Microsoft YaHei" w:cs="Calibri"/>
          <w:color w:val="1A2332"/>
          <w:sz w:val="22"/>
          <w:szCs w:val="22"/>
        </w:rPr>
        <w:t>VHF Channel 16: Distress, safety, and calling (international standard);</w:t>
      </w:r>
    </w:p>
    <w:p>
      <w:pPr>
        <w:pStyle w:val="Normal"/>
        <w:numPr>
          <w:ilvl w:val="0"/>
          <w:numId w:val="1"/>
        </w:numPr>
      </w:pPr>
      <w:r>
        <w:rPr>
          <w:rFonts w:ascii="Calibri" w:hAnsi="Calibri" w:eastAsia="Microsoft YaHei" w:cs="Calibri"/>
          <w:color w:val="1A2332"/>
          <w:sz w:val="22"/>
          <w:szCs w:val="22"/>
        </w:rPr>
        <w:t>VHF Channel 14: Continuous listening watch for VTS traffic management;</w:t>
      </w:r>
    </w:p>
    <w:p>
      <w:pPr>
        <w:pStyle w:val="Normal"/>
        <w:numPr>
          <w:ilvl w:val="0"/>
          <w:numId w:val="1"/>
        </w:numPr>
      </w:pPr>
      <w:r>
        <w:rPr>
          <w:rFonts w:ascii="Calibri" w:hAnsi="Calibri" w:eastAsia="Microsoft YaHei" w:cs="Calibri"/>
          <w:color w:val="1A2332"/>
          <w:sz w:val="22"/>
          <w:szCs w:val="22"/>
        </w:rPr>
        <w:t>VHF Channel 10: Military deconfliction coordination (encrypted as required).</w:t>
      </w:r>
    </w:p>
    <w:p>
      <w:pPr>
        <w:pStyle w:val="Heading3"/>
      </w:pPr>
      <w:r>
        <w:rPr>
          <w:rFonts w:ascii="Calibri" w:hAnsi="Calibri" w:eastAsia="Microsoft YaHei" w:cs="Calibri"/>
          <w:b/>
          <w:color w:val="3D5266"/>
          <w:sz w:val="24"/>
          <w:szCs w:val="24"/>
        </w:rPr>
        <w:t>C.1.2 Language Protocol</w:t>
      </w:r>
    </w:p>
    <w:p>
      <w:pPr>
        <w:pStyle w:val="Normal"/>
        <w:numPr>
          <w:ilvl w:val="0"/>
          <w:numId w:val="1"/>
        </w:numPr>
      </w:pPr>
      <w:r>
        <w:rPr>
          <w:rFonts w:ascii="Calibri" w:hAnsi="Calibri" w:eastAsia="Microsoft YaHei" w:cs="Calibri"/>
          <w:color w:val="1A2332"/>
          <w:sz w:val="22"/>
          <w:szCs w:val="22"/>
        </w:rPr>
        <w:t>All VTS communications occur in English, the international maritime language;</w:t>
      </w:r>
    </w:p>
    <w:p>
      <w:pPr>
        <w:pStyle w:val="Normal"/>
        <w:numPr>
          <w:ilvl w:val="0"/>
          <w:numId w:val="1"/>
        </w:numPr>
      </w:pPr>
      <w:r>
        <w:rPr>
          <w:rFonts w:ascii="Calibri" w:hAnsi="Calibri" w:eastAsia="Microsoft YaHei" w:cs="Calibri"/>
          <w:color w:val="1A2332"/>
          <w:sz w:val="22"/>
          <w:szCs w:val="22"/>
        </w:rPr>
        <w:t>Communication logs reside in English and, where applicable, Farsi/Arabic translations for local operators.</w:t>
      </w:r>
    </w:p>
    <w:p>
      <w:pPr>
        <w:pStyle w:val="Heading3"/>
      </w:pPr>
      <w:r>
        <w:rPr>
          <w:rFonts w:ascii="Calibri" w:hAnsi="Calibri" w:eastAsia="Microsoft YaHei" w:cs="Calibri"/>
          <w:b/>
          <w:color w:val="3D5266"/>
          <w:sz w:val="24"/>
          <w:szCs w:val="24"/>
        </w:rPr>
        <w:t>C.1.3 Communications Equipment Standards</w:t>
      </w:r>
    </w:p>
    <w:p>
      <w:pPr>
        <w:pStyle w:val="Normal"/>
      </w:pPr>
      <w:r>
        <w:rPr>
          <w:rFonts w:ascii="Calibri" w:hAnsi="Calibri" w:eastAsia="Microsoft YaHei" w:cs="Calibri"/>
          <w:color w:val="1A2332"/>
          <w:sz w:val="22"/>
          <w:szCs w:val="22"/>
        </w:rPr>
        <w:t>All Commercial Vessels carry:</w:t>
      </w:r>
    </w:p>
    <w:p>
      <w:pPr>
        <w:pStyle w:val="Normal"/>
        <w:numPr>
          <w:ilvl w:val="0"/>
          <w:numId w:val="1"/>
        </w:numPr>
      </w:pPr>
      <w:r>
        <w:rPr>
          <w:rFonts w:ascii="Calibri" w:hAnsi="Calibri" w:eastAsia="Microsoft YaHei" w:cs="Calibri"/>
          <w:color w:val="1A2332"/>
          <w:sz w:val="22"/>
          <w:szCs w:val="22"/>
        </w:rPr>
        <w:t>VHF radios capable of operating on all required channels;</w:t>
      </w:r>
    </w:p>
    <w:p>
      <w:pPr>
        <w:pStyle w:val="Normal"/>
        <w:numPr>
          <w:ilvl w:val="0"/>
          <w:numId w:val="1"/>
        </w:numPr>
      </w:pPr>
      <w:r>
        <w:rPr>
          <w:rFonts w:ascii="Calibri" w:hAnsi="Calibri" w:eastAsia="Microsoft YaHei" w:cs="Calibri"/>
          <w:color w:val="1A2332"/>
          <w:sz w:val="22"/>
          <w:szCs w:val="22"/>
        </w:rPr>
        <w:t>AIS transponders (Class A for vessels over 300 GT);</w:t>
      </w:r>
    </w:p>
    <w:p>
      <w:pPr>
        <w:pStyle w:val="Normal"/>
        <w:numPr>
          <w:ilvl w:val="0"/>
          <w:numId w:val="1"/>
        </w:numPr>
      </w:pPr>
      <w:r>
        <w:rPr>
          <w:rFonts w:ascii="Calibri" w:hAnsi="Calibri" w:eastAsia="Microsoft YaHei" w:cs="Calibri"/>
          <w:color w:val="1A2332"/>
          <w:sz w:val="22"/>
          <w:szCs w:val="22"/>
        </w:rPr>
        <w:t>NAVTEX receivers for meteorological and navigational warnings.</w:t>
      </w:r>
    </w:p>
    <w:p>
      <w:pPr>
        <w:pStyle w:val="Heading3"/>
        <w:keepNext w:val="1"/>
        <w:spacing w:line="288" w:before="280" w:after="120" w:lineRule="auto"/>
      </w:pPr>
      <w:r>
        <w:rPr>
          <w:rFonts w:ascii="Calibri" w:hAnsi="Calibri" w:eastAsia="Microsoft YaHei" w:cs="Calibri"/>
          <w:b/>
          <w:color w:val="3D5266"/>
          <w:sz w:val="24"/>
          <w:szCs w:val="24"/>
        </w:rPr>
        <w:t>C.1.4 Communications Blackout Protocol</w:t>
      </w:r>
    </w:p>
    <w:p>
      <w:pPr>
        <w:pStyle w:val="Normal"/>
        <w:numPr>
          <w:ilvl w:val="0"/>
          <w:numId w:val="1"/>
        </w:numPr>
      </w:pPr>
      <w:r>
        <w:rPr>
          <w:rFonts w:ascii="Calibri" w:hAnsi="Calibri" w:eastAsia="Microsoft YaHei" w:cs="Calibri"/>
          <w:color w:val="1A2332"/>
          <w:sz w:val="22"/>
          <w:szCs w:val="22"/>
        </w:rPr>
        <w:t>Any Commercial Vessel that fails to respond to VTS hails for more than 15 minutes triggers an automatic flag in the Hormuz VTS. If non-response continues for 30 minutes, the JERC dispatches a patrol asset (naval or coast guard) to establish visual contact and ascertain the vessel's status. This protocol constitutes a safety measure, not an enforcement action, and the JERC logs it as such.</w:t>
      </w:r>
    </w:p>
    <w:p>
      <w:pPr>
        <w:pStyle w:val="Heading2"/>
      </w:pPr>
      <w:r>
        <w:rPr>
          <w:rFonts w:ascii="Calibri" w:hAnsi="Calibri" w:eastAsia="Microsoft YaHei" w:cs="Calibri"/>
          <w:b/>
          <w:color w:val="1A2332"/>
          <w:sz w:val="28"/>
          <w:szCs w:val="28"/>
        </w:rPr>
        <w:t>C.2 The Military Deconfliction Hotline</w:t>
      </w:r>
    </w:p>
    <w:p>
      <w:pPr>
        <w:pStyle w:val="Heading3"/>
      </w:pPr>
      <w:r>
        <w:rPr>
          <w:rFonts w:ascii="Calibri" w:hAnsi="Calibri" w:eastAsia="Microsoft YaHei" w:cs="Calibri"/>
          <w:b/>
          <w:color w:val="3D5266"/>
          <w:sz w:val="24"/>
          <w:szCs w:val="24"/>
        </w:rPr>
        <w:t>C.2.1 Establishment</w:t>
      </w:r>
    </w:p>
    <w:p>
      <w:pPr>
        <w:pStyle w:val="Normal"/>
      </w:pPr>
      <w:r>
        <w:rPr>
          <w:rFonts w:ascii="Calibri" w:hAnsi="Calibri" w:eastAsia="Microsoft YaHei" w:cs="Calibri"/>
          <w:color w:val="1A2332"/>
          <w:sz w:val="22"/>
          <w:szCs w:val="22"/>
        </w:rPr>
        <w:t>A dedicated, 24/7 Military Deconfliction Hotline operates between:</w:t>
      </w:r>
    </w:p>
    <w:p>
      <w:pPr>
        <w:pStyle w:val="Normal"/>
        <w:numPr>
          <w:ilvl w:val="0"/>
          <w:numId w:val="1"/>
        </w:numPr>
      </w:pPr>
      <w:r>
        <w:rPr>
          <w:rFonts w:ascii="Calibri" w:hAnsi="Calibri" w:eastAsia="Microsoft YaHei" w:cs="Calibri"/>
          <w:color w:val="1A2332"/>
          <w:sz w:val="22"/>
          <w:szCs w:val="22"/>
        </w:rPr>
        <w:t>The Joint Emergency Response Cell (JERC) in Muscat;</w:t>
      </w:r>
    </w:p>
    <w:p>
      <w:pPr>
        <w:pStyle w:val="Normal"/>
        <w:numPr>
          <w:ilvl w:val="0"/>
          <w:numId w:val="1"/>
        </w:numPr>
      </w:pPr>
      <w:r>
        <w:rPr>
          <w:rFonts w:ascii="Calibri" w:hAnsi="Calibri" w:eastAsia="Microsoft YaHei" w:cs="Calibri"/>
          <w:color w:val="1A2332"/>
          <w:sz w:val="22"/>
          <w:szCs w:val="22"/>
        </w:rPr>
        <w:t>Iran's IRGC Navy Operational Command;</w:t>
      </w:r>
    </w:p>
    <w:p>
      <w:pPr>
        <w:pStyle w:val="Normal"/>
        <w:numPr>
          <w:ilvl w:val="0"/>
          <w:numId w:val="1"/>
        </w:numPr>
      </w:pPr>
      <w:r>
        <w:rPr>
          <w:rFonts w:ascii="Calibri" w:hAnsi="Calibri" w:eastAsia="Microsoft YaHei" w:cs="Calibri"/>
          <w:color w:val="1A2332"/>
          <w:sz w:val="22"/>
          <w:szCs w:val="22"/>
        </w:rPr>
        <w:t>U.S. Naval Forces Central Command (NAVCENT) Watch Center;</w:t>
      </w:r>
    </w:p>
    <w:p>
      <w:pPr>
        <w:pStyle w:val="Normal"/>
        <w:numPr>
          <w:ilvl w:val="0"/>
          <w:numId w:val="1"/>
        </w:numPr>
      </w:pPr>
      <w:r>
        <w:rPr>
          <w:rFonts w:ascii="Calibri" w:hAnsi="Calibri" w:eastAsia="Microsoft YaHei" w:cs="Calibri"/>
          <w:color w:val="1A2332"/>
          <w:sz w:val="22"/>
          <w:szCs w:val="22"/>
        </w:rPr>
        <w:t>Oman's Maritime Security Centre (as neutral observer and facilitator).</w:t>
      </w:r>
    </w:p>
    <w:p>
      <w:pPr>
        <w:pStyle w:val="Heading3"/>
      </w:pPr>
      <w:r>
        <w:rPr>
          <w:rFonts w:ascii="Calibri" w:hAnsi="Calibri" w:eastAsia="Microsoft YaHei" w:cs="Calibri"/>
          <w:b/>
          <w:color w:val="3D5266"/>
          <w:sz w:val="24"/>
          <w:szCs w:val="24"/>
        </w:rPr>
        <w:t>C.2.2 Hotline Parameters</w:t>
      </w:r>
    </w:p>
    <w:p>
      <w:pPr>
        <w:pStyle w:val="Normal"/>
        <w:numPr>
          <w:ilvl w:val="0"/>
          <w:numId w:val="1"/>
        </w:numPr>
      </w:pPr>
      <w:r>
        <w:rPr>
          <w:rFonts w:ascii="Calibri" w:hAnsi="Calibri" w:eastAsia="Microsoft YaHei" w:cs="Calibri"/>
          <w:color w:val="1A2332"/>
          <w:sz w:val="22"/>
          <w:szCs w:val="22"/>
        </w:rPr>
        <w:t>The hotline operates as a secure, voice-enabled channel (landline and satellite backup);</w:t>
      </w:r>
    </w:p>
    <w:p>
      <w:pPr>
        <w:pStyle w:val="Normal"/>
        <w:numPr>
          <w:ilvl w:val="0"/>
          <w:numId w:val="1"/>
        </w:numPr>
      </w:pPr>
      <w:r>
        <w:rPr>
          <w:rFonts w:ascii="Calibri" w:hAnsi="Calibri" w:eastAsia="Microsoft YaHei" w:cs="Calibri"/>
          <w:color w:val="1A2332"/>
          <w:sz w:val="22"/>
          <w:szCs w:val="22"/>
        </w:rPr>
        <w:t>Call recording and logging occur through the JERC;</w:t>
      </w:r>
    </w:p>
    <w:p>
      <w:pPr>
        <w:pStyle w:val="Normal"/>
        <w:numPr>
          <w:ilvl w:val="0"/>
          <w:numId w:val="1"/>
        </w:numPr>
      </w:pPr>
      <w:r>
        <w:rPr>
          <w:rFonts w:ascii="Calibri" w:hAnsi="Calibri" w:eastAsia="Microsoft YaHei" w:cs="Calibri"/>
          <w:color w:val="1A2332"/>
          <w:sz w:val="22"/>
          <w:szCs w:val="22"/>
        </w:rPr>
        <w:t>Response time to a hotline call does not exceed 15 minutes;</w:t>
      </w:r>
    </w:p>
    <w:p>
      <w:pPr>
        <w:pStyle w:val="Normal"/>
      </w:pPr>
      <w:r>
        <w:rPr>
          <w:rFonts w:ascii="Calibri" w:hAnsi="Calibri" w:eastAsia="Microsoft YaHei" w:cs="Calibri"/>
          <w:color w:val="1A2332"/>
          <w:sz w:val="22"/>
          <w:szCs w:val="22"/>
        </w:rPr>
        <w:t>The hotline serves exclusively the following purposes:</w:t>
      </w:r>
    </w:p>
    <w:p>
      <w:pPr>
        <w:pStyle w:val="Normal"/>
        <w:numPr>
          <w:ilvl w:val="0"/>
          <w:numId w:val="2"/>
        </w:numPr>
      </w:pPr>
      <w:r>
        <w:rPr>
          <w:rFonts w:ascii="Calibri" w:hAnsi="Calibri" w:eastAsia="Microsoft YaHei" w:cs="Calibri"/>
          <w:color w:val="1A2332"/>
          <w:sz w:val="22"/>
          <w:szCs w:val="22"/>
        </w:rPr>
        <w:t>Reporting military-to-military or military-to-civilian confrontations;</w:t>
      </w:r>
    </w:p>
    <w:p>
      <w:pPr>
        <w:pStyle w:val="Normal"/>
        <w:numPr>
          <w:ilvl w:val="0"/>
          <w:numId w:val="2"/>
        </w:numPr>
      </w:pPr>
      <w:r>
        <w:rPr>
          <w:rFonts w:ascii="Calibri" w:hAnsi="Calibri" w:eastAsia="Microsoft YaHei" w:cs="Calibri"/>
          <w:color w:val="1A2332"/>
          <w:sz w:val="22"/>
          <w:szCs w:val="22"/>
        </w:rPr>
        <w:t>Coordinating emergency responses;</w:t>
      </w:r>
    </w:p>
    <w:p>
      <w:pPr>
        <w:pStyle w:val="Normal"/>
        <w:numPr>
          <w:ilvl w:val="0"/>
          <w:numId w:val="2"/>
        </w:numPr>
      </w:pPr>
      <w:r>
        <w:rPr>
          <w:rFonts w:ascii="Calibri" w:hAnsi="Calibri" w:eastAsia="Microsoft YaHei" w:cs="Calibri"/>
          <w:color w:val="1A2332"/>
          <w:sz w:val="22"/>
          <w:szCs w:val="22"/>
        </w:rPr>
        <w:t>Deconflicting military movements near Commercial Vessel traffic;</w:t>
      </w:r>
    </w:p>
    <w:p>
      <w:pPr>
        <w:pStyle w:val="Normal"/>
        <w:numPr>
          <w:ilvl w:val="0"/>
          <w:numId w:val="2"/>
        </w:numPr>
      </w:pPr>
      <w:r>
        <w:rPr>
          <w:rFonts w:ascii="Calibri" w:hAnsi="Calibri" w:eastAsia="Microsoft YaHei" w:cs="Calibri"/>
          <w:color w:val="1A2332"/>
          <w:sz w:val="22"/>
          <w:szCs w:val="22"/>
        </w:rPr>
        <w:t>Requesting clarification of military intentions or activities.</w:t>
      </w:r>
    </w:p>
    <w:p>
      <w:pPr>
        <w:pStyle w:val="Heading3"/>
      </w:pPr>
      <w:r>
        <w:rPr>
          <w:rFonts w:ascii="Calibri" w:hAnsi="Calibri" w:eastAsia="Microsoft YaHei" w:cs="Calibri"/>
          <w:b/>
          <w:color w:val="3D5266"/>
          <w:sz w:val="24"/>
          <w:szCs w:val="24"/>
        </w:rPr>
        <w:t>C.2.3 Mandatory Notification Triggers</w:t>
      </w:r>
    </w:p>
    <w:p>
      <w:pPr>
        <w:pStyle w:val="Normal"/>
      </w:pPr>
      <w:r>
        <w:rPr>
          <w:rFonts w:ascii="Calibri" w:hAnsi="Calibri" w:eastAsia="Microsoft YaHei" w:cs="Calibri"/>
          <w:color w:val="1A2332"/>
          <w:sz w:val="22"/>
          <w:szCs w:val="22"/>
        </w:rPr>
        <w:t>The following events trigger an immediate hotline notification:</w:t>
      </w:r>
    </w:p>
    <w:p>
      <w:pPr>
        <w:pStyle w:val="Normal"/>
        <w:numPr>
          <w:ilvl w:val="0"/>
          <w:numId w:val="1"/>
        </w:numPr>
      </w:pPr>
      <w:r>
        <w:rPr>
          <w:rFonts w:ascii="Calibri" w:hAnsi="Calibri" w:eastAsia="Microsoft YaHei" w:cs="Calibri"/>
          <w:color w:val="1A2332"/>
          <w:sz w:val="22"/>
          <w:szCs w:val="22"/>
        </w:rPr>
        <w:t>Any military vessel approaching within 500 meters (1 nautical mile) of a Commercial Vessel without prior coordination;</w:t>
      </w:r>
    </w:p>
    <w:p>
      <w:pPr>
        <w:pStyle w:val="Normal"/>
        <w:numPr>
          <w:ilvl w:val="0"/>
          <w:numId w:val="1"/>
        </w:numPr>
      </w:pPr>
      <w:r>
        <w:rPr>
          <w:rFonts w:ascii="Calibri" w:hAnsi="Calibri" w:eastAsia="Microsoft YaHei" w:cs="Calibri"/>
          <w:color w:val="1A2332"/>
          <w:sz w:val="22"/>
          <w:szCs w:val="22"/>
        </w:rPr>
        <w:t>Any launch of flares, warning shots, or use of force near Commercial Vessel traffic;</w:t>
      </w:r>
    </w:p>
    <w:p>
      <w:pPr>
        <w:pStyle w:val="Normal"/>
        <w:numPr>
          <w:ilvl w:val="0"/>
          <w:numId w:val="1"/>
        </w:numPr>
      </w:pPr>
      <w:r>
        <w:rPr>
          <w:rFonts w:ascii="Calibri" w:hAnsi="Calibri" w:eastAsia="Microsoft YaHei" w:cs="Calibri"/>
          <w:color w:val="1A2332"/>
          <w:sz w:val="22"/>
          <w:szCs w:val="22"/>
        </w:rPr>
        <w:t>Any deployment of mines, obstacles, or underwater hazards;</w:t>
      </w:r>
    </w:p>
    <w:p>
      <w:pPr>
        <w:pStyle w:val="Normal"/>
        <w:numPr>
          <w:ilvl w:val="0"/>
          <w:numId w:val="1"/>
        </w:numPr>
      </w:pPr>
      <w:r>
        <w:rPr>
          <w:rFonts w:ascii="Calibri" w:hAnsi="Calibri" w:eastAsia="Microsoft YaHei" w:cs="Calibri"/>
          <w:color w:val="1A2332"/>
          <w:sz w:val="22"/>
          <w:szCs w:val="22"/>
        </w:rPr>
        <w:t>Any unscheduled military exercise or maneuver within 10 nautical miles of the designated transit corridors;</w:t>
      </w:r>
    </w:p>
    <w:p>
      <w:pPr>
        <w:pStyle w:val="Normal"/>
        <w:numPr>
          <w:ilvl w:val="0"/>
          <w:numId w:val="1"/>
        </w:numPr>
      </w:pPr>
      <w:r>
        <w:rPr>
          <w:rFonts w:ascii="Calibri" w:hAnsi="Calibri" w:eastAsia="Microsoft YaHei" w:cs="Calibri"/>
          <w:color w:val="1A2332"/>
          <w:sz w:val="22"/>
          <w:szCs w:val="22"/>
        </w:rPr>
        <w:t>Any grounding, collision, or significant navigational incident involving a Commercial Vessel.</w:t>
      </w:r>
    </w:p>
    <w:p>
      <w:pPr>
        <w:pStyle w:val="Heading2"/>
      </w:pPr>
      <w:r>
        <w:rPr>
          <w:rFonts w:ascii="Calibri" w:hAnsi="Calibri" w:eastAsia="Microsoft YaHei" w:cs="Calibri"/>
          <w:b/>
          <w:color w:val="1A2332"/>
          <w:sz w:val="28"/>
          <w:szCs w:val="28"/>
        </w:rPr>
        <w:t>C.3 Emergency Communications</w:t>
      </w:r>
    </w:p>
    <w:p>
      <w:pPr>
        <w:pStyle w:val="Heading3"/>
      </w:pPr>
      <w:r>
        <w:rPr>
          <w:rFonts w:ascii="Calibri" w:hAnsi="Calibri" w:eastAsia="Microsoft YaHei" w:cs="Calibri"/>
          <w:b/>
          <w:color w:val="3D5266"/>
          <w:sz w:val="24"/>
          <w:szCs w:val="24"/>
        </w:rPr>
        <w:t>C.3.1 Distress Protocol</w:t>
      </w:r>
    </w:p>
    <w:p>
      <w:pPr>
        <w:pStyle w:val="Normal"/>
      </w:pPr>
      <w:r>
        <w:rPr>
          <w:rFonts w:ascii="Calibri" w:hAnsi="Calibri" w:eastAsia="Microsoft YaHei" w:cs="Calibri"/>
          <w:color w:val="1A2332"/>
          <w:sz w:val="22"/>
          <w:szCs w:val="22"/>
        </w:rPr>
        <w:t>Commercial Vessels in distress execute the following sequence:</w:t>
      </w:r>
    </w:p>
    <w:p>
      <w:pPr>
        <w:pStyle w:val="Normal"/>
        <w:numPr>
          <w:ilvl w:val="0"/>
          <w:numId w:val="1"/>
        </w:numPr>
      </w:pPr>
      <w:r>
        <w:rPr>
          <w:rFonts w:ascii="Calibri" w:hAnsi="Calibri" w:eastAsia="Microsoft YaHei" w:cs="Calibri"/>
          <w:color w:val="1A2332"/>
          <w:sz w:val="22"/>
          <w:szCs w:val="22"/>
        </w:rPr>
        <w:t>Broadcast MAYDAY on VHF Channel 16;</w:t>
      </w:r>
    </w:p>
    <w:p>
      <w:pPr>
        <w:pStyle w:val="Normal"/>
        <w:numPr>
          <w:ilvl w:val="0"/>
          <w:numId w:val="1"/>
        </w:numPr>
      </w:pPr>
      <w:r>
        <w:rPr>
          <w:rFonts w:ascii="Calibri" w:hAnsi="Calibri" w:eastAsia="Microsoft YaHei" w:cs="Calibri"/>
          <w:color w:val="1A2332"/>
          <w:sz w:val="22"/>
          <w:szCs w:val="22"/>
        </w:rPr>
        <w:t>Transmit DSC (Digital Selective Calling) alert on VHF Channel 70;</w:t>
      </w:r>
    </w:p>
    <w:p>
      <w:pPr>
        <w:pStyle w:val="Normal"/>
        <w:numPr>
          <w:ilvl w:val="0"/>
          <w:numId w:val="1"/>
        </w:numPr>
      </w:pPr>
      <w:r>
        <w:rPr>
          <w:rFonts w:ascii="Calibri" w:hAnsi="Calibri" w:eastAsia="Microsoft YaHei" w:cs="Calibri"/>
          <w:color w:val="1A2332"/>
          <w:sz w:val="22"/>
          <w:szCs w:val="22"/>
        </w:rPr>
        <w:t>Activate EPIRB (Emergency Position Indicating Radio Beacon) if abandoning ship.</w:t>
      </w:r>
    </w:p>
    <w:p>
      <w:pPr>
        <w:pStyle w:val="Heading3"/>
      </w:pPr>
      <w:r>
        <w:rPr>
          <w:rFonts w:ascii="Calibri" w:hAnsi="Calibri" w:eastAsia="Microsoft YaHei" w:cs="Calibri"/>
          <w:b/>
          <w:color w:val="3D5266"/>
          <w:sz w:val="24"/>
          <w:szCs w:val="24"/>
        </w:rPr>
        <w:t>C.3.2 Response Coordination</w:t>
      </w:r>
    </w:p>
    <w:p>
      <w:pPr>
        <w:pStyle w:val="Normal"/>
      </w:pPr>
      <w:r>
        <w:rPr>
          <w:rFonts w:ascii="Calibri" w:hAnsi="Calibri" w:eastAsia="Microsoft YaHei" w:cs="Calibri"/>
          <w:color w:val="1A2332"/>
          <w:sz w:val="28"/>
          <w:szCs w:val="22"/>
          <w:b/>
        </w:rPr>
        <w:t xml:space="preserve">(a) Initial Response: </w:t>
      </w:r>
      <w:r>
        <w:rPr>
          <w:rFonts w:ascii="Calibri" w:hAnsi="Calibri" w:eastAsia="Microsoft YaHei" w:cs="Calibri"/>
          <w:color w:val="1A2332"/>
          <w:sz w:val="22"/>
          <w:szCs w:val="22"/>
        </w:rPr>
        <w:t>Upon receipt of a distress call: (i) the Hormuz VTS acknowledges and logs the call; (ii) the JERC activates immediately (see Section E); (iii) the nearest available asset (naval, coast guard, or commercial) receives direction to respond; (iv) all Parties provide maximum assistance as required by international law and the COLREGs.</w:t>
      </w:r>
    </w:p>
    <w:p>
      <w:pPr>
        <w:pStyle w:val="Normal"/>
        <w:numPr>
          <w:ilvl w:val="0"/>
          <w:numId w:val="1"/>
        </w:numPr>
      </w:pPr>
      <w:r>
        <w:rPr>
          <w:rFonts w:ascii="Calibri" w:hAnsi="Calibri" w:eastAsia="Microsoft YaHei" w:cs="Calibri"/>
          <w:color w:val="1A2332"/>
          <w:sz w:val="28"/>
          <w:szCs w:val="22"/>
          <w:b/>
        </w:rPr>
        <w:t xml:space="preserve">(b) Escalation Procedure: </w:t>
      </w:r>
      <w:r>
        <w:rPr>
          <w:rFonts w:ascii="Calibri" w:hAnsi="Calibri" w:eastAsia="Microsoft YaHei" w:cs="Calibri"/>
          <w:color w:val="1A2332"/>
          <w:sz w:val="22"/>
          <w:szCs w:val="22"/>
        </w:rPr>
        <w:t>If the nearest available asset is unable to respond within 30 minutes: (i) the JERC activates the secondary responder (next nearest asset); (ii) the JERC notifies all Parties of the activation; (iii) the JERC maintains a response log with timestamped entries for all communications; (iv) the JERC escalates to the regional search and rescue authority (Muscat, Tehran, or Abu Dhabi) if no military asset is available.</w:t>
      </w:r>
    </w:p>
    <w:p>
      <w:pPr>
        <w:pStyle w:val="Normal"/>
        <w:numPr>
          <w:ilvl w:val="0"/>
          <w:numId w:val="1"/>
        </w:numPr>
      </w:pPr>
      <w:r>
        <w:rPr>
          <w:rFonts w:ascii="Calibri" w:hAnsi="Calibri" w:eastAsia="Microsoft YaHei" w:cs="Calibri"/>
          <w:color w:val="1A2332"/>
          <w:sz w:val="28"/>
          <w:szCs w:val="22"/>
          <w:b/>
        </w:rPr>
        <w:t xml:space="preserve">(c) Response Priority: </w:t>
      </w:r>
      <w:r>
        <w:rPr>
          <w:rFonts w:ascii="Calibri" w:hAnsi="Calibri" w:eastAsia="Microsoft YaHei" w:cs="Calibri"/>
          <w:color w:val="1A2332"/>
          <w:sz w:val="22"/>
          <w:szCs w:val="22"/>
        </w:rPr>
        <w:t>The following priority applies to all emergency responses: (i) first priority: vessels in immediate danger of sinking, fire, or explosion; (ii) second priority: vessels with medical emergencies or crew injuries; (iii) third priority: vessels with mechanical failures or navigational hazards.</w:t>
      </w:r>
    </w:p>
    <w:p>
      <w:pPr>
        <w:pStyle w:val="Normal"/>
        <w:numPr>
          <w:ilvl w:val="0"/>
          <w:numId w:val="1"/>
        </w:numPr>
      </w:pPr>
      <w:r>
        <w:rPr>
          <w:rFonts w:ascii="Calibri" w:hAnsi="Calibri" w:eastAsia="Microsoft YaHei" w:cs="Calibri"/>
          <w:color w:val="1A2332"/>
          <w:sz w:val="28"/>
          <w:szCs w:val="22"/>
          <w:b/>
        </w:rPr>
        <w:t xml:space="preserve">(d) Post-Response Review: </w:t>
      </w:r>
      <w:r>
        <w:rPr>
          <w:rFonts w:ascii="Calibri" w:hAnsi="Calibri" w:eastAsia="Microsoft YaHei" w:cs="Calibri"/>
          <w:color w:val="1A2332"/>
          <w:sz w:val="22"/>
          <w:szCs w:val="22"/>
        </w:rPr>
        <w:t>All emergency responses are reviewed by the JIC within 14 days. The review assesses: response time and effectiveness; coordination among responders; lessons learned for future responses. The review results are included in the quarterly public report.</w:t>
      </w:r>
    </w:p>
    <w:p>
      <w:pPr>
        <w:pStyle w:val="Heading1"/>
      </w:pPr>
      <w:bookmarkStart w:name="_Toc004" w:id="4"/>
      <w:r>
        <w:rPr>
          <w:rFonts w:ascii="Calibri" w:hAnsi="Calibri" w:eastAsia="Microsoft YaHei" w:cs="Calibri"/>
          <w:b/>
          <w:color w:val="2D5A7B"/>
          <w:sz w:val="36"/>
          <w:szCs w:val="36"/>
        </w:rPr>
        <w:t>Section D: Military Deconfliction &amp; No-Go Zones</w:t>
      </w:r>
      <w:bookmarkEnd w:id="4"/>
    </w:p>
    <w:p>
      <w:pPr>
        <w:pStyle w:val="Heading2"/>
      </w:pPr>
      <w:r>
        <w:rPr>
          <w:rFonts w:ascii="Calibri" w:hAnsi="Calibri" w:eastAsia="Microsoft YaHei" w:cs="Calibri"/>
          <w:b/>
          <w:color w:val="1A2332"/>
          <w:sz w:val="28"/>
          <w:szCs w:val="28"/>
        </w:rPr>
        <w:t>D.1 Military-Civilian Standoff</w:t>
      </w:r>
    </w:p>
    <w:p>
      <w:pPr>
        <w:pStyle w:val="Heading3"/>
      </w:pPr>
      <w:r>
        <w:rPr>
          <w:rFonts w:ascii="Calibri" w:hAnsi="Calibri" w:eastAsia="Microsoft YaHei" w:cs="Calibri"/>
          <w:b/>
          <w:color w:val="3D5266"/>
          <w:sz w:val="24"/>
          <w:szCs w:val="24"/>
        </w:rPr>
        <w:t>D.1.1 Minimum Standoff Distance</w:t>
      </w:r>
    </w:p>
    <w:p>
      <w:pPr>
        <w:pStyle w:val="Normal"/>
      </w:pPr>
      <w:r>
        <w:rPr>
          <w:rFonts w:ascii="Calibri" w:hAnsi="Calibri" w:eastAsia="Microsoft YaHei" w:cs="Calibri"/>
          <w:color w:val="1A2332"/>
          <w:sz w:val="22"/>
          <w:szCs w:val="22"/>
        </w:rPr>
        <w:t>Military vessels, aircraft, and small craft of all Parties maintain the following minimum standoff distances from Commercial Vessels, based on location:</w:t>
      </w:r>
    </w:p>
    <w:tbl>
      <w:tblPr>
        <w:tblW w:w="5000" w:type="pct"/>
        <w:tblBorders>
          <w:top w:val="single" w:color="2d5a7b" w:sz="8"/>
          <w:left w:val="nil"/>
          <w:bottom w:val="single" w:color="2d5a7b" w:sz="8"/>
          <w:right w:val="nil"/>
          <w:insideH w:val="single" w:color="c8d4dc" w:sz="4"/>
          <w:insideV w:val="single" w:color="c8d4dc" w:sz="4"/>
        </w:tblBorders>
      </w:tblPr>
      <w:tblGrid>
        <w:gridCol w:w="3333"/>
        <w:gridCol w:w="3334"/>
        <w:gridCol w:w="3333"/>
        <w:gridCol w:w="3333"/>
      </w:tblGrid>
      <w:tr>
        <w:trPr>
          <w:tblHeader w:val="1"/>
        </w:trPr>
        <w:tc>
          <w:tcPr>
            <w:tcW w:w="3333" w:type="dxa"/>
            <w:shd w:val="clear" w:fill="E8E6E0" w:color="auto"/>
            <w:vAlign w:val="center"/>
          </w:tcPr>
          <w:p>
            <w:pPr>
              <w:pStyle w:val="Normal"/>
            </w:pPr>
            <w:r>
              <w:rPr>
                <w:rFonts w:ascii="Calibri" w:hAnsi="Calibri" w:eastAsia="Microsoft YaHei" w:cs="Calibri"/>
                <w:color w:val="1A2332"/>
                <w:sz w:val="20"/>
                <w:b/>
                <w:szCs w:val="20"/>
              </w:rPr>
              <w:t>Zone</w:t>
            </w:r>
          </w:p>
        </w:tc>
        <w:tc>
          <w:tcPr>
            <w:tcW w:w="3334" w:type="dxa"/>
            <w:shd w:val="clear" w:fill="E8E6E0" w:color="auto"/>
            <w:vAlign w:val="center"/>
          </w:tcPr>
          <w:p>
            <w:pPr>
              <w:pStyle w:val="Normal"/>
            </w:pPr>
            <w:r>
              <w:rPr>
                <w:rFonts w:ascii="Calibri" w:hAnsi="Calibri" w:eastAsia="Microsoft YaHei" w:cs="Calibri"/>
                <w:color w:val="1A2332"/>
                <w:sz w:val="20"/>
                <w:b/>
                <w:szCs w:val="20"/>
              </w:rPr>
              <w:t>Location</w:t>
            </w:r>
          </w:p>
        </w:tc>
        <w:tc>
          <w:tcPr>
            <w:tcW w:w="3333" w:type="dxa"/>
            <w:shd w:val="clear" w:fill="E8E6E0" w:color="auto"/>
            <w:vAlign w:val="center"/>
          </w:tcPr>
          <w:p>
            <w:pPr>
              <w:pStyle w:val="Normal"/>
            </w:pPr>
            <w:r>
              <w:rPr>
                <w:rFonts w:ascii="Calibri" w:hAnsi="Calibri" w:eastAsia="Microsoft YaHei" w:cs="Calibri"/>
                <w:color w:val="1A2332"/>
                <w:sz w:val="20"/>
                <w:b/>
                <w:szCs w:val="20"/>
              </w:rPr>
              <w:t>Standoff Distance</w:t>
            </w:r>
          </w:p>
        </w:tc>
        <w:tc>
          <w:tcPr>
            <w:tcW w:w="3333" w:type="dxa"/>
            <w:shd w:val="clear" w:fill="E8E6E0" w:color="auto"/>
            <w:vAlign w:val="center"/>
          </w:tcPr>
          <w:p>
            <w:pPr>
              <w:pStyle w:val="Normal"/>
            </w:pPr>
            <w:r>
              <w:rPr>
                <w:rFonts w:ascii="Calibri" w:hAnsi="Calibri" w:eastAsia="Microsoft YaHei" w:cs="Calibri"/>
                <w:color w:val="1A2332"/>
                <w:sz w:val="20"/>
                <w:b/>
                <w:szCs w:val="20"/>
              </w:rPr>
              <w:t>Rationale</w:t>
            </w:r>
          </w:p>
        </w:tc>
      </w:tr>
      <w:tr>
        <w:tc>
          <w:tcPr>
            <w:tcW w:w="3333" w:type="dxa"/>
          </w:tcPr>
          <w:p>
            <w:pPr>
              <w:pStyle w:val="Normal"/>
            </w:pPr>
            <w:r>
              <w:rPr>
                <w:rFonts w:ascii="Calibri" w:hAnsi="Calibri" w:eastAsia="Microsoft YaHei" w:cs="Calibri"/>
                <w:color w:val="3D5266"/>
                <w:sz w:val="24"/>
                <w:b/>
                <w:szCs w:val="24"/>
              </w:rPr>
              <w:t>Zone A</w:t>
            </w:r>
          </w:p>
        </w:tc>
        <w:tc>
          <w:tcPr>
            <w:tcW w:w="3334" w:type="dxa"/>
          </w:tcPr>
          <w:p>
            <w:pPr>
              <w:pStyle w:val="Normal"/>
            </w:pPr>
            <w:r>
              <w:rPr>
                <w:rFonts w:ascii="Calibri" w:hAnsi="Calibri" w:eastAsia="Microsoft YaHei" w:cs="Calibri"/>
                <w:color w:val="3D5266"/>
                <w:sz w:val="24"/>
                <w:b/>
                <w:szCs w:val="24"/>
              </w:rPr>
              <w:t>Southern Corridor (within 1 NM of centerline)</w:t>
            </w:r>
          </w:p>
        </w:tc>
        <w:tc>
          <w:tcPr>
            <w:tcW w:w="3333" w:type="dxa"/>
          </w:tcPr>
          <w:p>
            <w:pPr>
              <w:pStyle w:val="Normal"/>
            </w:pPr>
            <w:r>
              <w:rPr>
                <w:rFonts w:ascii="Calibri" w:hAnsi="Calibri" w:eastAsia="Microsoft YaHei" w:cs="Calibri"/>
                <w:color w:val="3D5266"/>
                <w:sz w:val="24"/>
                <w:b/>
                <w:szCs w:val="24"/>
              </w:rPr>
              <w:t>1.5 nautical miles</w:t>
            </w:r>
          </w:p>
        </w:tc>
        <w:tc>
          <w:tcPr>
            <w:tcW w:w="3333" w:type="dxa"/>
          </w:tcPr>
          <w:p>
            <w:pPr>
              <w:pStyle w:val="Normal"/>
            </w:pPr>
            <w:r>
              <w:rPr>
                <w:rFonts w:ascii="Calibri" w:hAnsi="Calibri" w:eastAsia="Microsoft YaHei" w:cs="Calibri"/>
                <w:color w:val="3D5266"/>
                <w:sz w:val="24"/>
                <w:b/>
                <w:szCs w:val="24"/>
              </w:rPr>
              <w:t>Prevents interference in U.S.-escorted corridor</w:t>
            </w:r>
          </w:p>
        </w:tc>
      </w:tr>
      <w:tr>
        <w:tc>
          <w:tcPr>
            <w:tcW w:w="3333" w:type="dxa"/>
          </w:tcPr>
          <w:p>
            <w:pPr>
              <w:pStyle w:val="Normal"/>
            </w:pPr>
            <w:r>
              <w:rPr>
                <w:rFonts w:ascii="Calibri" w:hAnsi="Calibri" w:eastAsia="Microsoft YaHei" w:cs="Calibri"/>
                <w:color w:val="3D5266"/>
                <w:sz w:val="24"/>
                <w:b/>
                <w:szCs w:val="24"/>
              </w:rPr>
              <w:t>Zone B</w:t>
            </w:r>
          </w:p>
        </w:tc>
        <w:tc>
          <w:tcPr>
            <w:tcW w:w="3334" w:type="dxa"/>
          </w:tcPr>
          <w:p>
            <w:pPr>
              <w:pStyle w:val="Normal"/>
            </w:pPr>
            <w:r>
              <w:rPr>
                <w:rFonts w:ascii="Calibri" w:hAnsi="Calibri" w:eastAsia="Microsoft YaHei" w:cs="Calibri"/>
                <w:color w:val="3D5266"/>
                <w:sz w:val="24"/>
                <w:b/>
                <w:szCs w:val="24"/>
              </w:rPr>
              <w:t>Northern Corridor (within 1 NM of centerline)</w:t>
            </w:r>
          </w:p>
        </w:tc>
        <w:tc>
          <w:tcPr>
            <w:tcW w:w="3333" w:type="dxa"/>
          </w:tcPr>
          <w:p>
            <w:pPr>
              <w:pStyle w:val="Normal"/>
            </w:pPr>
            <w:r>
              <w:rPr>
                <w:rFonts w:ascii="Calibri" w:hAnsi="Calibri" w:eastAsia="Microsoft YaHei" w:cs="Calibri"/>
                <w:color w:val="3D5266"/>
                <w:sz w:val="24"/>
                <w:b/>
                <w:szCs w:val="24"/>
              </w:rPr>
              <w:t>1.5 nautical miles</w:t>
            </w:r>
          </w:p>
        </w:tc>
        <w:tc>
          <w:tcPr>
            <w:tcW w:w="3333" w:type="dxa"/>
          </w:tcPr>
          <w:p>
            <w:pPr>
              <w:pStyle w:val="Normal"/>
            </w:pPr>
            <w:r>
              <w:rPr>
                <w:rFonts w:ascii="Calibri" w:hAnsi="Calibri" w:eastAsia="Microsoft YaHei" w:cs="Calibri"/>
                <w:color w:val="3D5266"/>
                <w:sz w:val="24"/>
                <w:b/>
                <w:szCs w:val="24"/>
              </w:rPr>
              <w:t>Prevents interference in Iranian-managed corridor</w:t>
            </w:r>
          </w:p>
        </w:tc>
      </w:tr>
      <w:tr>
        <w:tc>
          <w:tcPr>
            <w:tcW w:w="3333" w:type="dxa"/>
          </w:tcPr>
          <w:p>
            <w:pPr>
              <w:pStyle w:val="Normal"/>
            </w:pPr>
            <w:r>
              <w:rPr>
                <w:rFonts w:ascii="Calibri" w:hAnsi="Calibri" w:eastAsia="Microsoft YaHei" w:cs="Calibri"/>
                <w:color w:val="3D5266"/>
                <w:sz w:val="24"/>
                <w:b/>
                <w:szCs w:val="24"/>
              </w:rPr>
              <w:t>Zone C</w:t>
            </w:r>
          </w:p>
        </w:tc>
        <w:tc>
          <w:tcPr>
            <w:tcW w:w="3334" w:type="dxa"/>
          </w:tcPr>
          <w:p>
            <w:pPr>
              <w:pStyle w:val="Normal"/>
            </w:pPr>
            <w:r>
              <w:rPr>
                <w:rFonts w:ascii="Calibri" w:hAnsi="Calibri" w:eastAsia="Microsoft YaHei" w:cs="Calibri"/>
                <w:color w:val="3D5266"/>
                <w:sz w:val="24"/>
                <w:b/>
                <w:szCs w:val="24"/>
              </w:rPr>
              <w:t>Narrowest point (Musandam to Qeshm)</w:t>
            </w:r>
          </w:p>
        </w:tc>
        <w:tc>
          <w:tcPr>
            <w:tcW w:w="3333" w:type="dxa"/>
          </w:tcPr>
          <w:p>
            <w:pPr>
              <w:pStyle w:val="Normal"/>
            </w:pPr>
            <w:r>
              <w:rPr>
                <w:rFonts w:ascii="Calibri" w:hAnsi="Calibri" w:eastAsia="Microsoft YaHei" w:cs="Calibri"/>
                <w:color w:val="3D5266"/>
                <w:sz w:val="24"/>
                <w:b/>
                <w:szCs w:val="24"/>
              </w:rPr>
              <w:t>2 nautical miles</w:t>
            </w:r>
          </w:p>
        </w:tc>
        <w:tc>
          <w:tcPr>
            <w:tcW w:w="3333" w:type="dxa"/>
          </w:tcPr>
          <w:p>
            <w:pPr>
              <w:pStyle w:val="Normal"/>
            </w:pPr>
            <w:r>
              <w:rPr>
                <w:rFonts w:ascii="Calibri" w:hAnsi="Calibri" w:eastAsia="Microsoft YaHei" w:cs="Calibri"/>
                <w:color w:val="3D5266"/>
                <w:sz w:val="24"/>
                <w:b/>
                <w:szCs w:val="24"/>
              </w:rPr>
              <w:t>Maximum safety at the most constrained area</w:t>
            </w:r>
          </w:p>
        </w:tc>
      </w:tr>
      <w:tr>
        <w:tc>
          <w:tcPr>
            <w:tcW w:w="3333" w:type="dxa"/>
          </w:tcPr>
          <w:p>
            <w:pPr>
              <w:pStyle w:val="Normal"/>
            </w:pPr>
            <w:r>
              <w:rPr>
                <w:rFonts w:ascii="Calibri" w:hAnsi="Calibri" w:eastAsia="Microsoft YaHei" w:cs="Calibri"/>
                <w:color w:val="3D5266"/>
                <w:sz w:val="24"/>
                <w:b/>
                <w:szCs w:val="24"/>
              </w:rPr>
              <w:t>Zone D</w:t>
            </w:r>
          </w:p>
        </w:tc>
        <w:tc>
          <w:tcPr>
            <w:tcW w:w="3334" w:type="dxa"/>
          </w:tcPr>
          <w:p>
            <w:pPr>
              <w:pStyle w:val="Normal"/>
            </w:pPr>
            <w:r>
              <w:rPr>
                <w:rFonts w:ascii="Calibri" w:hAnsi="Calibri" w:eastAsia="Microsoft YaHei" w:cs="Calibri"/>
                <w:color w:val="3D5266"/>
                <w:sz w:val="24"/>
                <w:b/>
                <w:szCs w:val="24"/>
              </w:rPr>
              <w:t>Within 500 meters of any anchored vessel</w:t>
            </w:r>
          </w:p>
        </w:tc>
        <w:tc>
          <w:tcPr>
            <w:tcW w:w="3333" w:type="dxa"/>
          </w:tcPr>
          <w:p>
            <w:pPr>
              <w:pStyle w:val="Normal"/>
            </w:pPr>
            <w:r>
              <w:rPr>
                <w:rFonts w:ascii="Calibri" w:hAnsi="Calibri" w:eastAsia="Microsoft YaHei" w:cs="Calibri"/>
                <w:color w:val="3D5266"/>
                <w:sz w:val="24"/>
                <w:b/>
                <w:szCs w:val="24"/>
              </w:rPr>
              <w:t>500 meters</w:t>
            </w:r>
          </w:p>
        </w:tc>
        <w:tc>
          <w:tcPr>
            <w:tcW w:w="3333" w:type="dxa"/>
          </w:tcPr>
          <w:p>
            <w:pPr>
              <w:pStyle w:val="Normal"/>
            </w:pPr>
            <w:r>
              <w:rPr>
                <w:rFonts w:ascii="Calibri" w:hAnsi="Calibri" w:eastAsia="Microsoft YaHei" w:cs="Calibri"/>
                <w:color w:val="3D5266"/>
                <w:sz w:val="24"/>
                <w:b/>
                <w:szCs w:val="24"/>
              </w:rPr>
              <w:t>Protects vessels at anchor</w:t>
            </w:r>
          </w:p>
        </w:tc>
      </w:tr>
      <w:tr>
        <w:tc>
          <w:tcPr>
            <w:tcW w:w="3333" w:type="dxa"/>
          </w:tcPr>
          <w:p>
            <w:pPr>
              <w:pStyle w:val="Normal"/>
            </w:pPr>
            <w:r>
              <w:rPr>
                <w:rFonts w:ascii="Calibri" w:hAnsi="Calibri" w:eastAsia="Microsoft YaHei" w:cs="Calibri"/>
                <w:color w:val="3D5266"/>
                <w:sz w:val="24"/>
                <w:b/>
                <w:szCs w:val="24"/>
              </w:rPr>
              <w:t>General</w:t>
            </w:r>
          </w:p>
        </w:tc>
        <w:tc>
          <w:tcPr>
            <w:tcW w:w="3334" w:type="dxa"/>
          </w:tcPr>
          <w:p>
            <w:pPr>
              <w:pStyle w:val="Normal"/>
            </w:pPr>
            <w:r>
              <w:rPr>
                <w:rFonts w:ascii="Calibri" w:hAnsi="Calibri" w:eastAsia="Microsoft YaHei" w:cs="Calibri"/>
                <w:color w:val="3D5266"/>
                <w:sz w:val="24"/>
                <w:b/>
                <w:szCs w:val="24"/>
              </w:rPr>
              <w:t>All other areas within the Strait</w:t>
            </w:r>
          </w:p>
        </w:tc>
        <w:tc>
          <w:tcPr>
            <w:tcW w:w="3333" w:type="dxa"/>
          </w:tcPr>
          <w:p>
            <w:pPr>
              <w:pStyle w:val="Normal"/>
            </w:pPr>
            <w:r>
              <w:rPr>
                <w:rFonts w:ascii="Calibri" w:hAnsi="Calibri" w:eastAsia="Microsoft YaHei" w:cs="Calibri"/>
                <w:color w:val="3D5266"/>
                <w:sz w:val="24"/>
                <w:b/>
                <w:szCs w:val="24"/>
              </w:rPr>
              <w:t>1 nautical mile</w:t>
            </w:r>
          </w:p>
        </w:tc>
        <w:tc>
          <w:tcPr>
            <w:tcW w:w="3333" w:type="dxa"/>
          </w:tcPr>
          <w:p>
            <w:pPr>
              <w:pStyle w:val="Normal"/>
            </w:pPr>
            <w:r>
              <w:rPr>
                <w:rFonts w:ascii="Calibri" w:hAnsi="Calibri" w:eastAsia="Microsoft YaHei" w:cs="Calibri"/>
                <w:color w:val="3D5266"/>
                <w:sz w:val="24"/>
                <w:b/>
                <w:szCs w:val="24"/>
              </w:rPr>
              <w:t>Standard operating distance</w:t>
            </w:r>
          </w:p>
        </w:tc>
      </w:tr>
    </w:tbl>
    <w:p>
      <w:pPr>
        <w:pStyle w:val="Normal"/>
        <w:numPr>
          <w:ilvl w:val="0"/>
          <w:numId w:val="1"/>
        </w:numPr>
      </w:pPr>
      <w:r>
        <w:rPr>
          <w:rFonts w:ascii="Calibri" w:hAnsi="Calibri" w:eastAsia="Microsoft YaHei" w:cs="Calibri"/>
          <w:color w:val="1A2332"/>
          <w:sz w:val="28"/>
          <w:b/>
          <w:szCs w:val="28"/>
        </w:rPr>
        <w:t xml:space="preserve">D.1.1(s) Explicit Escort Request: </w:t>
      </w:r>
      <w:r>
        <w:rPr>
          <w:rFonts w:ascii="Calibri" w:hAnsi="Calibri" w:eastAsia="Microsoft YaHei" w:cs="Calibri"/>
          <w:color w:val="1A2332"/>
          <w:sz w:val="22"/>
          <w:szCs w:val="22"/>
        </w:rPr>
        <w:t>The Commercial Vessel's master or flag state provides written or recorded verbal request to the JERC prior to the escort commencing. Escort requests are logged in the Shared Digital Registry and visible to all Parties. The request specifies the escort's duration and purpose. Escort requests are limited to circumstances where the vessel's master has a bona fide safety concern based on a specific, credible threat (e.g., piracy, terrorism, mechanical breakdown). The framework architecture rejects escort requests for routine transits, "flag-showing," or general security patrols, and the JERC returns such requests with a written explanation of the rejection. Engagement of an escort under this provision does not subject the Commercial Vessel, its owner, or its flag state to any form of discrimination, harassment, or increased scrutiny by any Party. Any such retaliation constitutes a Level 3 (Serious) violation.</w:t>
      </w:r>
    </w:p>
    <w:p>
      <w:pPr>
        <w:pStyle w:val="Normal"/>
        <w:numPr>
          <w:ilvl w:val="0"/>
          <w:numId w:val="1"/>
        </w:numPr>
      </w:pPr>
      <w:r>
        <w:rPr>
          <w:rFonts w:ascii="Calibri" w:hAnsi="Calibri" w:eastAsia="Microsoft YaHei" w:cs="Calibri"/>
          <w:color w:val="1A2332"/>
          <w:sz w:val="28"/>
          <w:b/>
          <w:szCs w:val="28"/>
        </w:rPr>
        <w:t xml:space="preserve">D.1.1(t) Bona Fide Emergency: </w:t>
      </w:r>
      <w:r>
        <w:rPr>
          <w:rFonts w:ascii="Calibri" w:hAnsi="Calibri" w:eastAsia="Microsoft YaHei" w:cs="Calibri"/>
          <w:color w:val="1A2332"/>
          <w:sz w:val="22"/>
          <w:szCs w:val="22"/>
        </w:rPr>
        <w:t>A genuine emergency exists (fire, flooding, medical evacuation) and the military asset is responding to a distress call broadcast on VHF Channel 16. The distress call is logged by the VTS. The military asset's response is limited to the duration of the emergency.</w:t>
      </w:r>
    </w:p>
    <w:p>
      <w:pPr>
        <w:pStyle w:val="Normal"/>
        <w:numPr>
          <w:ilvl w:val="0"/>
          <w:numId w:val="1"/>
        </w:numPr>
      </w:pPr>
      <w:r>
        <w:rPr>
          <w:rFonts w:ascii="Calibri" w:hAnsi="Calibri" w:eastAsia="Microsoft YaHei" w:cs="Calibri"/>
          <w:color w:val="1A2332"/>
          <w:sz w:val="28"/>
          <w:b/>
          <w:szCs w:val="28"/>
        </w:rPr>
        <w:t xml:space="preserve">D.1.1(u) Perpendicular Crossing: </w:t>
      </w:r>
      <w:r>
        <w:rPr>
          <w:rFonts w:ascii="Calibri" w:hAnsi="Calibri" w:eastAsia="Microsoft YaHei" w:cs="Calibri"/>
          <w:color w:val="1A2332"/>
          <w:sz w:val="22"/>
          <w:szCs w:val="22"/>
        </w:rPr>
        <w:t>The military asset is transiting perpendicular to the commercial corridor to reach another operational area, provided it does not impede Commercial Vessel traffic. Crossing time does not exceed 5 minutes. The crossing is logged with the JERC prior to commencement.</w:t>
      </w:r>
    </w:p>
    <w:p>
      <w:pPr>
        <w:pStyle w:val="Normal"/>
        <w:numPr>
          <w:ilvl w:val="0"/>
          <w:numId w:val="1"/>
        </w:numPr>
      </w:pPr>
      <w:r>
        <w:rPr>
          <w:rFonts w:ascii="Calibri" w:hAnsi="Calibri" w:eastAsia="Microsoft YaHei" w:cs="Calibri"/>
          <w:color w:val="1A2332"/>
          <w:sz w:val="28"/>
          <w:b/>
          <w:szCs w:val="28"/>
        </w:rPr>
        <w:t xml:space="preserve">No exception is granted for: </w:t>
      </w:r>
      <w:r>
        <w:rPr>
          <w:rFonts w:ascii="Calibri" w:hAnsi="Calibri" w:eastAsia="Microsoft YaHei" w:cs="Calibri"/>
          <w:color w:val="1A2332"/>
          <w:sz w:val="22"/>
          <w:szCs w:val="22"/>
        </w:rPr>
        <w:t>(i) "security patrols" or "area denial" operations; (ii) "show of force" or "presence" maneuvers; (iii) "investigations" or "inspection" activities; (iv) any approach without prior JERC notification.</w:t>
      </w:r>
    </w:p>
    <w:p>
      <w:pPr>
        <w:pStyle w:val="Heading3"/>
      </w:pPr>
      <w:r>
        <w:rPr>
          <w:rFonts w:ascii="Calibri" w:hAnsi="Calibri" w:eastAsia="Microsoft YaHei" w:cs="Calibri"/>
          <w:b/>
          <w:color w:val="3D5266"/>
          <w:sz w:val="24"/>
          <w:szCs w:val="24"/>
        </w:rPr>
        <w:t>D.1.2 Safe Passage Protections</w:t>
      </w:r>
    </w:p>
    <w:p>
      <w:pPr>
        <w:pStyle w:val="Normal"/>
      </w:pPr>
      <w:r>
        <w:rPr>
          <w:rFonts w:ascii="Calibri" w:hAnsi="Calibri" w:eastAsia="Microsoft YaHei" w:cs="Calibri"/>
          <w:color w:val="1A2332"/>
          <w:sz w:val="22"/>
          <w:szCs w:val="22"/>
        </w:rPr>
        <w:t>The framework architecture excludes the following actions by any military vessel against a Commercial Vessel transiting the Strait:</w:t>
      </w:r>
    </w:p>
    <w:p>
      <w:pPr>
        <w:pStyle w:val="Normal"/>
        <w:numPr>
          <w:ilvl w:val="0"/>
          <w:numId w:val="1"/>
        </w:numPr>
      </w:pPr>
      <w:r>
        <w:rPr>
          <w:rFonts w:ascii="Calibri" w:hAnsi="Calibri" w:eastAsia="Microsoft YaHei" w:cs="Calibri"/>
          <w:color w:val="1A2332"/>
          <w:sz w:val="22"/>
          <w:szCs w:val="22"/>
        </w:rPr>
        <w:t>Hailing, boarding, or stopping a Commercial Vessel, except in the following cases:</w:t>
      </w:r>
    </w:p>
    <w:p>
      <w:pPr>
        <w:pStyle w:val="Normal"/>
        <w:numPr>
          <w:ilvl w:val="0"/>
          <w:numId w:val="2"/>
        </w:numPr>
      </w:pPr>
      <w:r>
        <w:rPr>
          <w:rFonts w:ascii="Calibri" w:hAnsi="Calibri" w:eastAsia="Microsoft YaHei" w:cs="Calibri"/>
          <w:color w:val="1A2332"/>
          <w:sz w:val="22"/>
          <w:szCs w:val="22"/>
        </w:rPr>
        <w:t>Emergencies (fire, flooding, pollution);</w:t>
      </w:r>
    </w:p>
    <w:p>
      <w:pPr>
        <w:pStyle w:val="Normal"/>
        <w:numPr>
          <w:ilvl w:val="0"/>
          <w:numId w:val="2"/>
        </w:numPr>
      </w:pPr>
      <w:r>
        <w:rPr>
          <w:rFonts w:ascii="Calibri" w:hAnsi="Calibri" w:eastAsia="Microsoft YaHei" w:cs="Calibri"/>
          <w:color w:val="1A2332"/>
          <w:sz w:val="22"/>
          <w:szCs w:val="22"/>
        </w:rPr>
        <w:t>Verification of a vessel's identity if AIS is malfunctioning and the vessel fails to respond to VTS hails;</w:t>
      </w:r>
    </w:p>
    <w:p>
      <w:pPr>
        <w:pStyle w:val="Normal"/>
        <w:numPr>
          <w:ilvl w:val="0"/>
          <w:numId w:val="2"/>
        </w:numPr>
      </w:pPr>
      <w:r>
        <w:rPr>
          <w:rFonts w:ascii="Calibri" w:hAnsi="Calibri" w:eastAsia="Microsoft YaHei" w:cs="Calibri"/>
          <w:color w:val="1A2332"/>
          <w:sz w:val="22"/>
          <w:szCs w:val="22"/>
        </w:rPr>
        <w:t>Cases of suspected illegal activity as defined by international law (e.g., piracy, human trafficking), provided such actions are coordinated through the JERC.</w:t>
      </w:r>
    </w:p>
    <w:p>
      <w:pPr>
        <w:pStyle w:val="Normal"/>
        <w:numPr>
          <w:ilvl w:val="0"/>
          <w:numId w:val="1"/>
        </w:numPr>
      </w:pPr>
      <w:r>
        <w:rPr>
          <w:rFonts w:ascii="Calibri" w:hAnsi="Calibri" w:eastAsia="Microsoft YaHei" w:cs="Calibri"/>
          <w:color w:val="1A2332"/>
          <w:sz w:val="22"/>
          <w:szCs w:val="22"/>
        </w:rPr>
        <w:t>Firing upon, firing warning shots at, or directing weapons at a Commercial Vessel under any circumstances, except in self-defense against an armed attack as defined under Article 51 of the UN Charter.</w:t>
      </w:r>
    </w:p>
    <w:p>
      <w:pPr>
        <w:pStyle w:val="Heading2"/>
      </w:pPr>
      <w:r>
        <w:rPr>
          <w:rFonts w:ascii="Calibri" w:hAnsi="Calibri" w:eastAsia="Microsoft YaHei" w:cs="Calibri"/>
          <w:b/>
          <w:color w:val="1A2332"/>
          <w:sz w:val="28"/>
          <w:szCs w:val="28"/>
        </w:rPr>
        <w:t>D.2 Designated No-Go Zones</w:t>
      </w:r>
    </w:p>
    <w:p>
      <w:pPr>
        <w:pStyle w:val="Heading3"/>
      </w:pPr>
      <w:r>
        <w:rPr>
          <w:rFonts w:ascii="Calibri" w:hAnsi="Calibri" w:eastAsia="Microsoft YaHei" w:cs="Calibri"/>
          <w:b/>
          <w:color w:val="3D5266"/>
          <w:sz w:val="24"/>
          <w:szCs w:val="24"/>
        </w:rPr>
        <w:t>D.2.1 Establishment of No-Go Zones</w:t>
      </w:r>
    </w:p>
    <w:p>
      <w:pPr>
        <w:pStyle w:val="Normal"/>
      </w:pPr>
      <w:r>
        <w:rPr>
          <w:rFonts w:ascii="Calibri" w:hAnsi="Calibri" w:eastAsia="Microsoft YaHei" w:cs="Calibri"/>
          <w:color w:val="1A2332"/>
          <w:sz w:val="22"/>
          <w:szCs w:val="22"/>
        </w:rPr>
        <w:t>The following No-Go Zones operate for all military small craft (defined as vessels under 150 tons), fast-attack craft, and boarding teams:</w:t>
      </w:r>
    </w:p>
    <w:tbl>
      <w:tblPr>
        <w:tblW w:w="5000" w:type="pct"/>
        <w:tblBorders>
          <w:top w:val="single" w:color="2d5a7b" w:sz="12"/>
          <w:left w:val="nil"/>
          <w:bottom w:val="single" w:color="2d5a7b" w:sz="12"/>
          <w:right w:val="nil"/>
          <w:insideH w:val="single" w:color="c8d4dc" w:sz="4"/>
          <w:insideV w:val="nil"/>
        </w:tblBorders>
      </w:tblPr>
      <w:tblGrid>
        <w:gridCol w:w="1500"/>
        <w:gridCol w:w="3000"/>
        <w:gridCol w:w="2500"/>
        <w:gridCol w:w="2500"/>
      </w:tblGrid>
      <w:tr>
        <w:trPr>
          <w:tblHeader w:val="1"/>
        </w:trPr>
        <w:tc>
          <w:tcPr>
            <w:tcW w:w="1500" w:type="dxa"/>
            <w:shd w:val="clear" w:fill="E8EEF4" w:color="auto"/>
            <w:vAlign w:val="center"/>
          </w:tcPr>
          <w:p>
            <w:pPr>
              <w:pStyle w:val="Normal"/>
              <w:spacing w:before="60" w:after="60"/>
              <w:jc w:val="left"/>
            </w:pPr>
            <w:r>
              <w:rPr>
                <w:b/>
                <w:color w:val="1A2332"/>
                <w:sz w:val="20"/>
                <w:rFonts w:ascii="Calibri" w:hAnsi="Calibri" w:eastAsia="Microsoft YaHei" w:cs="Calibri"/>
                <w:szCs w:val="20"/>
              </w:rPr>
              <w:t>Zone</w:t>
            </w:r>
          </w:p>
        </w:tc>
        <w:tc>
          <w:tcPr>
            <w:tcW w:w="3000" w:type="dxa"/>
            <w:shd w:val="clear" w:fill="E8EEF4" w:color="auto"/>
            <w:vAlign w:val="center"/>
          </w:tcPr>
          <w:p>
            <w:pPr>
              <w:pStyle w:val="Normal"/>
              <w:spacing w:before="60" w:after="60"/>
              <w:jc w:val="left"/>
            </w:pPr>
            <w:r>
              <w:rPr>
                <w:b/>
                <w:color w:val="1A2332"/>
                <w:sz w:val="20"/>
                <w:rFonts w:ascii="Calibri" w:hAnsi="Calibri" w:eastAsia="Microsoft YaHei" w:cs="Calibri"/>
                <w:szCs w:val="20"/>
              </w:rPr>
              <w:t>Location</w:t>
            </w:r>
          </w:p>
        </w:tc>
        <w:tc>
          <w:tcPr>
            <w:tcW w:w="2500" w:type="dxa"/>
            <w:shd w:val="clear" w:fill="E8EEF4" w:color="auto"/>
            <w:vAlign w:val="center"/>
          </w:tcPr>
          <w:p>
            <w:pPr>
              <w:pStyle w:val="Normal"/>
              <w:spacing w:before="60" w:after="60"/>
              <w:jc w:val="left"/>
            </w:pPr>
            <w:r>
              <w:rPr>
                <w:b/>
                <w:color w:val="1A2332"/>
                <w:sz w:val="20"/>
                <w:rFonts w:ascii="Calibri" w:hAnsi="Calibri" w:eastAsia="Microsoft YaHei" w:cs="Calibri"/>
                <w:szCs w:val="20"/>
              </w:rPr>
              <w:t>Applicable To</w:t>
            </w:r>
          </w:p>
        </w:tc>
        <w:tc>
          <w:tcPr>
            <w:tcW w:w="2500" w:type="dxa"/>
            <w:shd w:val="clear" w:fill="E8EEF4" w:color="auto"/>
            <w:vAlign w:val="center"/>
          </w:tcPr>
          <w:p>
            <w:pPr>
              <w:pStyle w:val="Normal"/>
              <w:spacing w:before="60" w:after="60"/>
              <w:jc w:val="left"/>
            </w:pPr>
            <w:r>
              <w:rPr>
                <w:b/>
                <w:color w:val="1A2332"/>
                <w:sz w:val="20"/>
                <w:rFonts w:ascii="Calibri" w:hAnsi="Calibri" w:eastAsia="Microsoft YaHei" w:cs="Calibri"/>
                <w:szCs w:val="20"/>
              </w:rPr>
              <w:t>Purpose</w:t>
            </w:r>
          </w:p>
        </w:tc>
      </w:tr>
      <w:tr>
        <w:tc>
          <w:tcPr>
            <w:tcW w:w="1500" w:type="dxa"/>
          </w:tcPr>
          <w:p>
            <w:pPr>
              <w:pStyle w:val="Normal"/>
              <w:spacing w:before="40" w:after="40"/>
              <w:jc w:val="left"/>
            </w:pPr>
            <w:r>
              <w:rPr>
                <w:color w:val="3D5266"/>
                <w:sz w:val="18"/>
                <w:rFonts w:ascii="Calibri" w:hAnsi="Calibri" w:eastAsia="Microsoft YaHei" w:cs="Calibri"/>
                <w:szCs w:val="18"/>
              </w:rPr>
              <w:t>Zone A</w:t>
            </w:r>
          </w:p>
        </w:tc>
        <w:tc>
          <w:tcPr>
            <w:tcW w:w="3000" w:type="dxa"/>
          </w:tcPr>
          <w:p>
            <w:pPr>
              <w:pStyle w:val="Normal"/>
              <w:spacing w:before="40" w:after="40"/>
              <w:jc w:val="left"/>
            </w:pPr>
            <w:r>
              <w:rPr>
                <w:color w:val="3D5266"/>
                <w:sz w:val="18"/>
                <w:rFonts w:ascii="Calibri" w:hAnsi="Calibri" w:eastAsia="Microsoft YaHei" w:cs="Calibri"/>
                <w:szCs w:val="18"/>
              </w:rPr>
              <w:t>Within 1 NM of the Southern Corridor centerline</w:t>
            </w:r>
          </w:p>
        </w:tc>
        <w:tc>
          <w:tcPr>
            <w:tcW w:w="2500" w:type="dxa"/>
          </w:tcPr>
          <w:p>
            <w:pPr>
              <w:pStyle w:val="Normal"/>
              <w:spacing w:before="40" w:after="40"/>
              <w:jc w:val="left"/>
            </w:pPr>
            <w:r>
              <w:rPr>
                <w:color w:val="3D5266"/>
                <w:sz w:val="18"/>
                <w:rFonts w:ascii="Calibri" w:hAnsi="Calibri" w:eastAsia="Microsoft YaHei" w:cs="Calibri"/>
                <w:szCs w:val="18"/>
              </w:rPr>
              <w:t>IRGC small craft</w:t>
            </w:r>
          </w:p>
        </w:tc>
        <w:tc>
          <w:tcPr>
            <w:tcW w:w="2500" w:type="dxa"/>
          </w:tcPr>
          <w:p>
            <w:pPr>
              <w:pStyle w:val="Normal"/>
              <w:spacing w:before="40" w:after="40"/>
              <w:jc w:val="left"/>
            </w:pPr>
            <w:r>
              <w:rPr>
                <w:color w:val="3D5266"/>
                <w:sz w:val="18"/>
                <w:rFonts w:ascii="Calibri" w:hAnsi="Calibri" w:eastAsia="Microsoft YaHei" w:cs="Calibri"/>
                <w:szCs w:val="18"/>
              </w:rPr>
              <w:t>Prevent swarming and harassment in the U.S.-escorted corridor</w:t>
            </w:r>
          </w:p>
        </w:tc>
      </w:tr>
      <w:tr>
        <w:tc>
          <w:tcPr>
            <w:tcW w:w="1500" w:type="dxa"/>
          </w:tcPr>
          <w:p>
            <w:pPr>
              <w:pStyle w:val="Normal"/>
              <w:spacing w:before="40" w:after="40"/>
              <w:jc w:val="left"/>
            </w:pPr>
            <w:r>
              <w:rPr>
                <w:color w:val="3D5266"/>
                <w:sz w:val="18"/>
                <w:rFonts w:ascii="Calibri" w:hAnsi="Calibri" w:eastAsia="Microsoft YaHei" w:cs="Calibri"/>
                <w:szCs w:val="18"/>
              </w:rPr>
              <w:t>Zone B</w:t>
            </w:r>
          </w:p>
        </w:tc>
        <w:tc>
          <w:tcPr>
            <w:tcW w:w="3000" w:type="dxa"/>
          </w:tcPr>
          <w:p>
            <w:pPr>
              <w:pStyle w:val="Normal"/>
              <w:spacing w:before="40" w:after="40"/>
              <w:jc w:val="left"/>
            </w:pPr>
            <w:r>
              <w:rPr>
                <w:color w:val="3D5266"/>
                <w:sz w:val="18"/>
                <w:rFonts w:ascii="Calibri" w:hAnsi="Calibri" w:eastAsia="Microsoft YaHei" w:cs="Calibri"/>
                <w:szCs w:val="18"/>
              </w:rPr>
              <w:t>Within 1 NM of the Northern Corridor centerline</w:t>
            </w:r>
          </w:p>
        </w:tc>
        <w:tc>
          <w:tcPr>
            <w:tcW w:w="2500" w:type="dxa"/>
          </w:tcPr>
          <w:p>
            <w:pPr>
              <w:pStyle w:val="Normal"/>
              <w:spacing w:before="40" w:after="40"/>
              <w:jc w:val="left"/>
            </w:pPr>
            <w:r>
              <w:rPr>
                <w:color w:val="3D5266"/>
                <w:sz w:val="18"/>
                <w:rFonts w:ascii="Calibri" w:hAnsi="Calibri" w:eastAsia="Microsoft YaHei" w:cs="Calibri"/>
                <w:szCs w:val="18"/>
              </w:rPr>
              <w:t>U.S. naval small craft</w:t>
            </w:r>
          </w:p>
        </w:tc>
        <w:tc>
          <w:tcPr>
            <w:tcW w:w="2500" w:type="dxa"/>
          </w:tcPr>
          <w:p>
            <w:pPr>
              <w:pStyle w:val="Normal"/>
              <w:spacing w:before="40" w:after="40"/>
              <w:jc w:val="left"/>
            </w:pPr>
            <w:r>
              <w:rPr>
                <w:color w:val="3D5266"/>
                <w:sz w:val="18"/>
                <w:rFonts w:ascii="Calibri" w:hAnsi="Calibri" w:eastAsia="Microsoft YaHei" w:cs="Calibri"/>
                <w:szCs w:val="18"/>
              </w:rPr>
              <w:t>Prevent interference with Iranian-managed pilotage</w:t>
            </w:r>
          </w:p>
        </w:tc>
      </w:tr>
      <w:tr>
        <w:tc>
          <w:tcPr>
            <w:tcW w:w="1500" w:type="dxa"/>
          </w:tcPr>
          <w:p>
            <w:pPr>
              <w:pStyle w:val="Normal"/>
              <w:spacing w:before="40" w:after="40"/>
              <w:jc w:val="left"/>
            </w:pPr>
            <w:r>
              <w:rPr>
                <w:color w:val="3D5266"/>
                <w:sz w:val="18"/>
                <w:rFonts w:ascii="Calibri" w:hAnsi="Calibri" w:eastAsia="Microsoft YaHei" w:cs="Calibri"/>
                <w:szCs w:val="18"/>
              </w:rPr>
              <w:t>Zone C</w:t>
            </w:r>
          </w:p>
        </w:tc>
        <w:tc>
          <w:tcPr>
            <w:tcW w:w="3000" w:type="dxa"/>
          </w:tcPr>
          <w:p>
            <w:pPr>
              <w:pStyle w:val="Normal"/>
              <w:spacing w:before="40" w:after="40"/>
              <w:jc w:val="left"/>
            </w:pPr>
            <w:r>
              <w:rPr>
                <w:color w:val="3D5266"/>
                <w:sz w:val="18"/>
                <w:rFonts w:ascii="Calibri" w:hAnsi="Calibri" w:eastAsia="Microsoft YaHei" w:cs="Calibri"/>
                <w:szCs w:val="18"/>
              </w:rPr>
              <w:t>The 2.5-NM-wide narrowest point (Musandam to Qeshm)</w:t>
            </w:r>
          </w:p>
        </w:tc>
        <w:tc>
          <w:tcPr>
            <w:tcW w:w="2500" w:type="dxa"/>
          </w:tcPr>
          <w:p>
            <w:pPr>
              <w:pStyle w:val="Normal"/>
              <w:spacing w:before="40" w:after="40"/>
              <w:jc w:val="left"/>
            </w:pPr>
            <w:r>
              <w:rPr>
                <w:color w:val="3D5266"/>
                <w:sz w:val="18"/>
                <w:rFonts w:ascii="Calibri" w:hAnsi="Calibri" w:eastAsia="Microsoft YaHei" w:cs="Calibri"/>
                <w:szCs w:val="18"/>
              </w:rPr>
              <w:t>ALL military small craft (except escort vessels)</w:t>
            </w:r>
          </w:p>
        </w:tc>
        <w:tc>
          <w:tcPr>
            <w:tcW w:w="2500" w:type="dxa"/>
          </w:tcPr>
          <w:p>
            <w:pPr>
              <w:pStyle w:val="Normal"/>
              <w:spacing w:before="40" w:after="40"/>
              <w:jc w:val="left"/>
            </w:pPr>
            <w:r>
              <w:rPr>
                <w:color w:val="3D5266"/>
                <w:sz w:val="18"/>
                <w:rFonts w:ascii="Calibri" w:hAnsi="Calibri" w:eastAsia="Microsoft YaHei" w:cs="Calibri"/>
                <w:szCs w:val="18"/>
              </w:rPr>
              <w:t>Reduce congestion and collision risk in the most constrained area</w:t>
            </w:r>
          </w:p>
        </w:tc>
      </w:tr>
      <w:tr>
        <w:tc>
          <w:tcPr>
            <w:tcW w:w="1500" w:type="dxa"/>
          </w:tcPr>
          <w:p>
            <w:pPr>
              <w:pStyle w:val="Normal"/>
              <w:spacing w:before="40" w:after="40"/>
              <w:jc w:val="left"/>
            </w:pPr>
            <w:r>
              <w:rPr>
                <w:color w:val="3D5266"/>
                <w:sz w:val="18"/>
                <w:rFonts w:ascii="Calibri" w:hAnsi="Calibri" w:eastAsia="Microsoft YaHei" w:cs="Calibri"/>
                <w:szCs w:val="18"/>
              </w:rPr>
              <w:t>Zone D</w:t>
            </w:r>
          </w:p>
        </w:tc>
        <w:tc>
          <w:tcPr>
            <w:tcW w:w="3000" w:type="dxa"/>
          </w:tcPr>
          <w:p>
            <w:pPr>
              <w:pStyle w:val="Normal"/>
              <w:spacing w:before="40" w:after="40"/>
              <w:jc w:val="left"/>
            </w:pPr>
            <w:r>
              <w:rPr>
                <w:color w:val="3D5266"/>
                <w:sz w:val="18"/>
                <w:rFonts w:ascii="Calibri" w:hAnsi="Calibri" w:eastAsia="Microsoft YaHei" w:cs="Calibri"/>
                <w:szCs w:val="18"/>
              </w:rPr>
              <w:t>Within 500 meters of any anchored Commercial Vessel</w:t>
            </w:r>
          </w:p>
        </w:tc>
        <w:tc>
          <w:tcPr>
            <w:tcW w:w="2500" w:type="dxa"/>
          </w:tcPr>
          <w:p>
            <w:pPr>
              <w:pStyle w:val="Normal"/>
              <w:spacing w:before="40" w:after="40"/>
              <w:jc w:val="left"/>
            </w:pPr>
            <w:r>
              <w:rPr>
                <w:color w:val="3D5266"/>
                <w:sz w:val="18"/>
                <w:rFonts w:ascii="Calibri" w:hAnsi="Calibri" w:eastAsia="Microsoft YaHei" w:cs="Calibri"/>
                <w:szCs w:val="18"/>
              </w:rPr>
              <w:t>ALL military craft</w:t>
            </w:r>
          </w:p>
        </w:tc>
        <w:tc>
          <w:tcPr>
            <w:tcW w:w="2500" w:type="dxa"/>
          </w:tcPr>
          <w:p>
            <w:pPr>
              <w:pStyle w:val="Normal"/>
              <w:spacing w:before="40" w:after="40"/>
              <w:jc w:val="left"/>
            </w:pPr>
            <w:r>
              <w:rPr>
                <w:color w:val="3D5266"/>
                <w:sz w:val="18"/>
                <w:rFonts w:ascii="Calibri" w:hAnsi="Calibri" w:eastAsia="Microsoft YaHei" w:cs="Calibri"/>
                <w:szCs w:val="18"/>
              </w:rPr>
              <w:t>Protect vessels at anchor</w:t>
            </w:r>
          </w:p>
        </w:tc>
      </w:tr>
    </w:tbl>
    <w:p>
      <w:pPr>
        <w:pStyle w:val="Heading3"/>
      </w:pPr>
      <w:r>
        <w:rPr>
          <w:rFonts w:ascii="Calibri" w:hAnsi="Calibri" w:eastAsia="Microsoft YaHei" w:cs="Calibri"/>
          <w:b/>
          <w:color w:val="3D5266"/>
          <w:sz w:val="24"/>
          <w:szCs w:val="24"/>
        </w:rPr>
        <w:t>D.2.2 Enforcement of No-Go Zones</w:t>
      </w:r>
    </w:p>
    <w:p>
      <w:pPr>
        <w:pStyle w:val="Normal"/>
        <w:numPr>
          <w:ilvl w:val="0"/>
          <w:numId w:val="1"/>
        </w:numPr>
      </w:pPr>
      <w:r>
        <w:rPr>
          <w:rFonts w:ascii="Calibri" w:hAnsi="Calibri" w:eastAsia="Microsoft YaHei" w:cs="Calibri"/>
          <w:color w:val="1A2332"/>
          <w:sz w:val="28"/>
          <w:szCs w:val="22"/>
          <w:b/>
        </w:rPr>
        <w:t xml:space="preserve">(a) Monitoring: </w:t>
      </w:r>
      <w:r>
        <w:rPr>
          <w:rFonts w:ascii="Calibri" w:hAnsi="Calibri" w:eastAsia="Microsoft YaHei" w:cs="Calibri"/>
          <w:color w:val="1A2332"/>
          <w:sz w:val="22"/>
          <w:szCs w:val="22"/>
        </w:rPr>
        <w:t>The Hormuz VTS logs all violations of No-Go Zones and reports them to the JIC within 24 hours.</w:t>
      </w:r>
    </w:p>
    <w:p>
      <w:pPr>
        <w:pStyle w:val="Normal"/>
        <w:numPr>
          <w:ilvl w:val="0"/>
          <w:numId w:val="1"/>
        </w:numPr>
      </w:pPr>
      <w:r>
        <w:rPr>
          <w:rFonts w:ascii="Calibri" w:hAnsi="Calibri" w:eastAsia="Microsoft YaHei" w:cs="Calibri"/>
          <w:color w:val="1A2332"/>
          <w:sz w:val="28"/>
          <w:szCs w:val="22"/>
          <w:b/>
        </w:rPr>
        <w:t xml:space="preserve">(b) Unit-Level Response: </w:t>
      </w:r>
      <w:r>
        <w:rPr>
          <w:rFonts w:ascii="Calibri" w:hAnsi="Calibri" w:eastAsia="Microsoft YaHei" w:cs="Calibri"/>
          <w:color w:val="1A2332"/>
          <w:sz w:val="22"/>
          <w:szCs w:val="22"/>
        </w:rPr>
        <w:t>The first violation by a specific military unit in a 30-day period triggers a private "Notice of Concern" from the JIC to the unit's commanding officer. A second violation by the same military unit in a 30-day period triggers a Level 2 (Moderate) response under HSU Article 8 (Graduated Response Ladder).</w:t>
      </w:r>
    </w:p>
    <w:p>
      <w:pPr>
        <w:pStyle w:val="Normal"/>
        <w:numPr>
          <w:ilvl w:val="0"/>
          <w:numId w:val="1"/>
        </w:numPr>
      </w:pPr>
      <w:r>
        <w:rPr>
          <w:rFonts w:ascii="Calibri" w:hAnsi="Calibri" w:eastAsia="Microsoft YaHei" w:cs="Calibri"/>
          <w:color w:val="1A2332"/>
          <w:sz w:val="28"/>
          <w:szCs w:val="22"/>
          <w:b/>
        </w:rPr>
        <w:t xml:space="preserve">(c) Command-Level Response: </w:t>
      </w:r>
      <w:r>
        <w:rPr>
          <w:rFonts w:ascii="Calibri" w:hAnsi="Calibri" w:eastAsia="Microsoft YaHei" w:cs="Calibri"/>
          <w:color w:val="1A2332"/>
          <w:sz w:val="22"/>
          <w:szCs w:val="22"/>
        </w:rPr>
        <w:t>Three or more violations by different units of the same command (e.g., IRGC Navy, NAVCENT) in a 30-day period triggers a command-level "Notice of Concern" to the commanding admiral. Five or more violations by units of the same command in a 90-day period triggers a mandatory JIC review of that command's operational protocols. The JIC recommends specific corrective actions to the command.</w:t>
      </w:r>
    </w:p>
    <w:p>
      <w:pPr>
        <w:pStyle w:val="Normal"/>
        <w:numPr>
          <w:ilvl w:val="0"/>
          <w:numId w:val="1"/>
        </w:numPr>
      </w:pPr>
      <w:r>
        <w:rPr>
          <w:rFonts w:ascii="Calibri" w:hAnsi="Calibri" w:eastAsia="Microsoft YaHei" w:cs="Calibri"/>
          <w:color w:val="1A2332"/>
          <w:sz w:val="28"/>
          <w:szCs w:val="22"/>
          <w:b/>
        </w:rPr>
        <w:t xml:space="preserve">(d) Public Reporting: </w:t>
      </w:r>
      <w:r>
        <w:rPr>
          <w:rFonts w:ascii="Calibri" w:hAnsi="Calibri" w:eastAsia="Microsoft YaHei" w:cs="Calibri"/>
          <w:color w:val="1A2332"/>
          <w:sz w:val="22"/>
          <w:szCs w:val="22"/>
        </w:rPr>
        <w:t>All No-Go Zone violations are documented in the quarterly public Compliance Report, with unit identities anonymized unless the violation is classified as Level 3 or above.</w:t>
      </w:r>
    </w:p>
    <w:p>
      <w:pPr>
        <w:pStyle w:val="Heading3"/>
      </w:pPr>
      <w:r>
        <w:rPr>
          <w:rFonts w:ascii="Calibri" w:hAnsi="Calibri" w:eastAsia="Microsoft YaHei" w:cs="Calibri"/>
          <w:b/>
          <w:color w:val="3D5266"/>
          <w:sz w:val="24"/>
          <w:szCs w:val="24"/>
        </w:rPr>
        <w:t>D.2.3 Exceptions</w:t>
      </w:r>
    </w:p>
    <w:p>
      <w:pPr>
        <w:pStyle w:val="Normal"/>
      </w:pPr>
      <w:r>
        <w:rPr>
          <w:rFonts w:ascii="Calibri" w:hAnsi="Calibri" w:eastAsia="Microsoft YaHei" w:cs="Calibri"/>
          <w:color w:val="1A2332"/>
          <w:sz w:val="22"/>
          <w:szCs w:val="22"/>
        </w:rPr>
        <w:t>Exceptions to No-Go Zones are granted on a case-by-case basis through:</w:t>
      </w:r>
    </w:p>
    <w:p>
      <w:pPr>
        <w:pStyle w:val="Normal"/>
        <w:numPr>
          <w:ilvl w:val="0"/>
          <w:numId w:val="1"/>
        </w:numPr>
      </w:pPr>
      <w:r>
        <w:rPr>
          <w:rFonts w:ascii="Calibri" w:hAnsi="Calibri" w:eastAsia="Microsoft YaHei" w:cs="Calibri"/>
          <w:color w:val="1A2332"/>
          <w:sz w:val="22"/>
          <w:szCs w:val="22"/>
        </w:rPr>
        <w:t>Mutual agreement of the JIC Chair (Oman) and the JERC Duty Officer;</w:t>
      </w:r>
    </w:p>
    <w:p>
      <w:pPr>
        <w:pStyle w:val="Normal"/>
        <w:numPr>
          <w:ilvl w:val="0"/>
          <w:numId w:val="1"/>
        </w:numPr>
      </w:pPr>
      <w:r>
        <w:rPr>
          <w:rFonts w:ascii="Calibri" w:hAnsi="Calibri" w:eastAsia="Microsoft YaHei" w:cs="Calibri"/>
          <w:color w:val="1A2332"/>
          <w:sz w:val="22"/>
          <w:szCs w:val="22"/>
        </w:rPr>
        <w:t>Documented emergencies;</w:t>
      </w:r>
    </w:p>
    <w:p>
      <w:pPr>
        <w:pStyle w:val="Normal"/>
        <w:numPr>
          <w:ilvl w:val="0"/>
          <w:numId w:val="1"/>
        </w:numPr>
      </w:pPr>
      <w:r>
        <w:rPr>
          <w:rFonts w:ascii="Calibri" w:hAnsi="Calibri" w:eastAsia="Microsoft YaHei" w:cs="Calibri"/>
          <w:color w:val="1A2332"/>
          <w:sz w:val="22"/>
          <w:szCs w:val="22"/>
        </w:rPr>
        <w:t>Pre-scheduled, mutually notified escort missions.</w:t>
      </w:r>
    </w:p>
    <w:p>
      <w:pPr>
        <w:pStyle w:val="Normal"/>
        <w:numPr>
          <w:ilvl w:val="0"/>
          <w:numId w:val="1"/>
        </w:numPr>
      </w:pPr>
      <w:r>
        <w:rPr>
          <w:rFonts w:ascii="Calibri" w:hAnsi="Calibri" w:eastAsia="Microsoft YaHei" w:cs="Calibri"/>
          <w:color w:val="1A2332"/>
          <w:sz w:val="28"/>
          <w:szCs w:val="22"/>
          <w:b/>
        </w:rPr>
        <w:t xml:space="preserve">(b) Emergency Entry: </w:t>
      </w:r>
      <w:r>
        <w:rPr>
          <w:rFonts w:ascii="Calibri" w:hAnsi="Calibri" w:eastAsia="Microsoft YaHei" w:cs="Calibri"/>
          <w:color w:val="1A2332"/>
          <w:sz w:val="22"/>
          <w:szCs w:val="22"/>
        </w:rPr>
        <w:t>In the event of a genuine emergency requiring immediate entry into a No-Go Zone: (i) the entering military asset notifies the JERC immediately via the Hotline; (ii) the entering military asset provides the JERC with the reason for entry and the expected duration; (iii) the JERC logs the entry and notifies all Parties within 15 minutes; (iv) the entering military asset exits the No-Go Zone within 30 minutes of the emergency's resolution.</w:t>
      </w:r>
    </w:p>
    <w:p>
      <w:pPr>
        <w:pStyle w:val="Normal"/>
        <w:numPr>
          <w:ilvl w:val="0"/>
          <w:numId w:val="1"/>
        </w:numPr>
      </w:pPr>
      <w:r>
        <w:rPr>
          <w:rFonts w:ascii="Calibri" w:hAnsi="Calibri" w:eastAsia="Microsoft YaHei" w:cs="Calibri"/>
          <w:color w:val="1A2332"/>
          <w:sz w:val="28"/>
          <w:szCs w:val="22"/>
          <w:b/>
        </w:rPr>
        <w:t xml:space="preserve">(c) Emergency Entry Review: </w:t>
      </w:r>
      <w:r>
        <w:rPr>
          <w:rFonts w:ascii="Calibri" w:hAnsi="Calibri" w:eastAsia="Microsoft YaHei" w:cs="Calibri"/>
          <w:color w:val="1A2332"/>
          <w:sz w:val="22"/>
          <w:szCs w:val="22"/>
        </w:rPr>
        <w:t>All emergency entries are reviewed by the JIC within 14 days. If the JIC determines that the entry was not a genuine emergency, it is reclassified as a violation. The entering unit's commander is subject to the enforcement provisions of D.2.2.</w:t>
      </w:r>
    </w:p>
    <w:p>
      <w:pPr>
        <w:pStyle w:val="Heading2"/>
      </w:pPr>
      <w:r>
        <w:rPr>
          <w:rFonts w:ascii="Calibri" w:hAnsi="Calibri" w:eastAsia="Microsoft YaHei" w:cs="Calibri"/>
          <w:b/>
          <w:color w:val="1A2332"/>
          <w:sz w:val="28"/>
          <w:szCs w:val="28"/>
        </w:rPr>
        <w:t>D.3 Military Exercises and Maneuvers</w:t>
      </w:r>
    </w:p>
    <w:p>
      <w:pPr>
        <w:pStyle w:val="Heading3"/>
      </w:pPr>
      <w:r>
        <w:rPr>
          <w:rFonts w:ascii="Calibri" w:hAnsi="Calibri" w:eastAsia="Microsoft YaHei" w:cs="Calibri"/>
          <w:b/>
          <w:color w:val="3D5266"/>
          <w:sz w:val="24"/>
          <w:szCs w:val="24"/>
        </w:rPr>
        <w:t>D.3.1 Pre-Notification Requirement</w:t>
      </w:r>
    </w:p>
    <w:p>
      <w:pPr>
        <w:pStyle w:val="Normal"/>
      </w:pPr>
      <w:r>
        <w:rPr>
          <w:rFonts w:ascii="Calibri" w:hAnsi="Calibri" w:eastAsia="Microsoft YaHei" w:cs="Calibri"/>
          <w:color w:val="1A2332"/>
          <w:sz w:val="22"/>
          <w:szCs w:val="22"/>
        </w:rPr>
        <w:t>All military exercises, maneuvers, or live-fire drills within 20 nautical miles of the designated transit corridors require notification to the Hormuz VTS and the JERC at least 72 hours in advance.</w:t>
      </w:r>
    </w:p>
    <w:p>
      <w:pPr>
        <w:pStyle w:val="Heading3"/>
      </w:pPr>
      <w:r>
        <w:t>D.3.2 Notification Contents</w:t>
      </w:r>
    </w:p>
    <w:p>
      <w:r>
        <w:t>Notifications include:</w:t>
      </w:r>
    </w:p>
    <w:p>
      <w:pPr>
        <w:numPr>
          <w:ilvl w:val="0"/>
          <w:numId w:val="1"/>
        </w:numPr>
      </w:pPr>
      <w:r>
        <w:t>Date, time, and duration of the activity;</w:t>
      </w:r>
    </w:p>
    <w:p>
      <w:pPr>
        <w:numPr>
          <w:ilvl w:val="0"/>
          <w:numId w:val="1"/>
        </w:numPr>
      </w:pPr>
      <w:r>
        <w:t>Geographic coordinates of the activity area;</w:t>
      </w:r>
    </w:p>
    <w:p>
      <w:pPr>
        <w:numPr>
          <w:ilvl w:val="0"/>
          <w:numId w:val="1"/>
        </w:numPr>
      </w:pPr>
      <w:r>
        <w:t>Nature of the activity (e.g., gunnery, anti-submarine, boarding drills);</w:t>
      </w:r>
    </w:p>
    <w:p>
      <w:pPr>
        <w:numPr>
          <w:ilvl w:val="0"/>
          <w:numId w:val="1"/>
        </w:numPr>
      </w:pPr>
      <w:r>
        <w:t>Projected impact on Commercial Vessel traffic (e.g., corridor closures, speed restrictions).</w:t>
      </w:r>
    </w:p>
    <w:p>
      <w:pPr>
        <w:pStyle w:val="Heading3"/>
      </w:pPr>
      <w:r>
        <w:t>D.3.3 VTS Advisory</w:t>
      </w:r>
    </w:p>
    <w:p>
      <w:r>
        <w:t>Upon receipt of a valid notification, the Hormuz VTS executes the following sequence:</w:t>
      </w:r>
    </w:p>
    <w:p>
      <w:pPr>
        <w:numPr>
          <w:ilvl w:val="0"/>
          <w:numId w:val="1"/>
        </w:numPr>
      </w:pPr>
      <w:r>
        <w:t>Issuance of a Navigational Warning (NAVTEX) to all Commercial Vessels in the area;</w:t>
      </w:r>
    </w:p>
    <w:p>
      <w:pPr>
        <w:numPr>
          <w:ilvl w:val="0"/>
          <w:numId w:val="1"/>
        </w:numPr>
      </w:pPr>
      <w:r>
        <w:t>Coordination of alternate routing if the exercise affects a corridor;</w:t>
      </w:r>
    </w:p>
    <w:p>
      <w:pPr>
        <w:numPr>
          <w:ilvl w:val="0"/>
          <w:numId w:val="1"/>
        </w:numPr>
      </w:pPr>
      <w:r>
        <w:t>Logging of the notification and any resulting traffic adjustments.</w:t>
      </w:r>
    </w:p>
    <w:p>
      <w:pPr>
        <w:pStyle w:val="Heading3"/>
      </w:pPr>
      <w:r>
        <w:t>D.3.4 Non-Notification Consequence</w:t>
      </w:r>
    </w:p>
    <w:p>
      <w:r>
        <w:t>Any military exercise conducted without proper notification receives classification as a Level 2 (Moderate) violation under HSU Article 8 and triggers a mandatory JIC review.</w:t>
      </w:r>
    </w:p>
    <w:p>
      <w:pPr>
        <w:pStyle w:val="Heading1"/>
      </w:pPr>
      <w:r>
        <w:t>Section E: Joint Emergency Response Cell (JERC)</w:t>
      </w:r>
      <w:bookmarkStart w:name="_Toc005" w:id="5"/>
      <w:bookmarkEnd w:id="5"/>
    </w:p>
    <w:p>
      <w:pPr>
        <w:pStyle w:val="Heading2"/>
      </w:pPr>
      <w:r>
        <w:t>E.1 Establishment and Mandate</w:t>
      </w:r>
    </w:p>
    <w:p>
      <w:pPr>
        <w:pStyle w:val="Heading3"/>
      </w:pPr>
      <w:r>
        <w:t>E.1.1 Establishment</w:t>
      </w:r>
    </w:p>
    <w:p>
      <w:r>
        <w:t>A Joint Emergency Response Cell (JERC) operates in Muscat, Sultanate of Oman, on a 24/7/365 basis.</w:t>
      </w:r>
    </w:p>
    <w:p>
      <w:pPr>
        <w:pStyle w:val="Heading3"/>
      </w:pPr>
      <w:r>
        <w:t>E.1.2 Mandate</w:t>
      </w:r>
    </w:p>
    <w:p>
      <w:r>
        <w:t>The JERC serves as the primary coordination body for:</w:t>
      </w:r>
    </w:p>
    <w:p>
      <w:pPr>
        <w:numPr>
          <w:ilvl w:val="0"/>
          <w:numId w:val="1"/>
        </w:numPr>
      </w:pPr>
      <w:r>
        <w:t>All emergency responses in the Strait (groundings, collisions, fires, pollution);</w:t>
      </w:r>
    </w:p>
    <w:p>
      <w:pPr>
        <w:numPr>
          <w:ilvl w:val="0"/>
          <w:numId w:val="1"/>
        </w:numPr>
      </w:pPr>
      <w:r>
        <w:t>Military-to-military deconfliction via the Hotline (Section C.2);</w:t>
      </w:r>
    </w:p>
    <w:p>
      <w:pPr>
        <w:numPr>
          <w:ilvl w:val="0"/>
          <w:numId w:val="1"/>
        </w:numPr>
      </w:pPr>
      <w:r>
        <w:t>Information sharing between the Hormuz VTS and all Parties;</w:t>
      </w:r>
    </w:p>
    <w:p>
      <w:pPr>
        <w:numPr>
          <w:ilvl w:val="0"/>
          <w:numId w:val="1"/>
        </w:numPr>
      </w:pPr>
      <w:r>
        <w:t>Initial assessment and logging of incidents for JIC review.</w:t>
      </w:r>
    </w:p>
    <w:p>
      <w:pPr>
        <w:pStyle w:val="Heading3"/>
      </w:pPr>
      <w:r>
        <w:t>E.1.3 Composition</w:t>
      </w:r>
    </w:p>
    <w:p>
      <w:r>
        <w:t>The JERC maintains staffing by duty officers from:</w:t>
      </w:r>
    </w:p>
    <w:p>
      <w:pPr>
        <w:numPr>
          <w:ilvl w:val="0"/>
          <w:numId w:val="1"/>
        </w:numPr>
      </w:pPr>
      <w:r>
        <w:t>Iran (PMO or IRGC Navy representative, rotating);</w:t>
      </w:r>
    </w:p>
    <w:p>
      <w:pPr>
        <w:numPr>
          <w:ilvl w:val="0"/>
          <w:numId w:val="1"/>
        </w:numPr>
      </w:pPr>
      <w:r>
        <w:t>United States (NAVCENT liaison officer);</w:t>
      </w:r>
    </w:p>
    <w:p>
      <w:pPr>
        <w:numPr>
          <w:ilvl w:val="0"/>
          <w:numId w:val="1"/>
        </w:numPr>
      </w:pPr>
      <w:r>
        <w:t>Oman (Maritime Security Centre duty officer, serving as Chair);</w:t>
      </w:r>
    </w:p>
    <w:p>
      <w:pPr>
        <w:numPr>
          <w:ilvl w:val="0"/>
          <w:numId w:val="1"/>
        </w:numPr>
      </w:pPr>
      <w:r>
        <w:t>The Hormuz VTS (technical advisor).</w:t>
      </w:r>
    </w:p>
    <w:p>
      <w:pPr>
        <w:pStyle w:val="Heading2"/>
      </w:pPr>
      <w:r>
        <w:t>E.2 JERC Activation Protocol</w:t>
      </w:r>
    </w:p>
    <w:p>
      <w:pPr>
        <w:pStyle w:val="Heading3"/>
      </w:pPr>
      <w:r>
        <w:t>E.2.1 Activation Triggers</w:t>
      </w:r>
    </w:p>
    <w:p>
      <w:r>
        <w:t>The JERC activates immediately upon:</w:t>
      </w:r>
    </w:p>
    <w:p>
      <w:pPr>
        <w:numPr>
          <w:ilvl w:val="0"/>
          <w:numId w:val="1"/>
        </w:numPr>
      </w:pPr>
      <w:r>
        <w:t>Any distress call (MAYDAY) from a Commercial Vessel in the Strait;</w:t>
      </w:r>
    </w:p>
    <w:p>
      <w:pPr>
        <w:numPr>
          <w:ilvl w:val="0"/>
          <w:numId w:val="1"/>
        </w:numPr>
      </w:pPr>
      <w:r>
        <w:t>Any reported collision, grounding, or major navigational incident;</w:t>
      </w:r>
    </w:p>
    <w:p>
      <w:pPr>
        <w:numPr>
          <w:ilvl w:val="0"/>
          <w:numId w:val="1"/>
        </w:numPr>
      </w:pPr>
      <w:r>
        <w:t>Any military incident involving Commercial Vessels (e.g., boarding, warning shots, seizure);</w:t>
      </w:r>
    </w:p>
    <w:p>
      <w:pPr>
        <w:numPr>
          <w:ilvl w:val="0"/>
          <w:numId w:val="1"/>
        </w:numPr>
      </w:pPr>
      <w:r>
        <w:t>Any reported mine or improvised explosive device (IED);</w:t>
      </w:r>
    </w:p>
    <w:p>
      <w:pPr>
        <w:numPr>
          <w:ilvl w:val="0"/>
          <w:numId w:val="1"/>
        </w:numPr>
      </w:pPr>
      <w:r>
        <w:t>Any request for activation from a Party's national maritime authority.</w:t>
      </w:r>
    </w:p>
    <w:p>
      <w:pPr>
        <w:pStyle w:val="Heading3"/>
      </w:pPr>
      <w:r>
        <w:t>E.2.2 Activation Procedure</w:t>
      </w:r>
    </w:p>
    <w:p>
      <w:r>
        <w:t>Upon activation, the JERC executes the following sequence:</w:t>
      </w:r>
    </w:p>
    <w:p>
      <w:pPr>
        <w:numPr>
          <w:ilvl w:val="0"/>
          <w:numId w:val="1"/>
        </w:numPr>
      </w:pPr>
      <w:r>
        <w:t>Confirmation of the nature and location of the incident;</w:t>
      </w:r>
    </w:p>
    <w:p>
      <w:pPr>
        <w:numPr>
          <w:ilvl w:val="0"/>
          <w:numId w:val="1"/>
        </w:numPr>
      </w:pPr>
      <w:r>
        <w:t>Notification of all Parties' national maritime authorities;</w:t>
      </w:r>
    </w:p>
    <w:p>
      <w:pPr>
        <w:numPr>
          <w:ilvl w:val="0"/>
          <w:numId w:val="1"/>
        </w:numPr>
      </w:pPr>
      <w:r>
        <w:t>Dispatch of the nearest emergency response assets (naval, coast guard, commercial tugs);</w:t>
      </w:r>
    </w:p>
    <w:p>
      <w:pPr>
        <w:numPr>
          <w:ilvl w:val="0"/>
          <w:numId w:val="1"/>
        </w:numPr>
      </w:pPr>
      <w:r>
        <w:t>Logging of all communications and actions in the JERC Incident Log;</w:t>
      </w:r>
    </w:p>
    <w:p>
      <w:pPr>
        <w:numPr>
          <w:ilvl w:val="0"/>
          <w:numId w:val="1"/>
        </w:numPr>
      </w:pPr>
      <w:r>
        <w:t>Preparation of a preliminary incident report for the JIC within 24 hours.</w:t>
      </w:r>
    </w:p>
    <w:p>
      <w:pPr>
        <w:pStyle w:val="Heading2"/>
      </w:pPr>
      <w:r>
        <w:t>E.3 JERC Functions</w:t>
      </w:r>
    </w:p>
    <w:p>
      <w:pPr>
        <w:pStyle w:val="Heading3"/>
      </w:pPr>
      <w:r>
        <w:t>E.3.1 Incident Coordination</w:t>
      </w:r>
    </w:p>
    <w:p>
      <w:pPr>
        <w:pStyle w:val="Normal"/>
      </w:pPr>
      <w:r>
        <w:rPr>
          <w:rFonts w:ascii="Calibri" w:hAnsi="Calibri" w:eastAsia="Microsoft YaHei" w:cs="Calibri"/>
          <w:color w:val="1A2332"/>
          <w:sz w:val="22"/>
          <w:szCs w:val="22"/>
        </w:rPr>
        <w:t>The JERC coordinates all emergency response activities, including:</w:t>
      </w:r>
    </w:p>
    <w:p>
      <w:pPr>
        <w:pStyle w:val="Normal"/>
        <w:numPr>
          <w:ilvl w:val="0"/>
          <w:numId w:val="1"/>
        </w:numPr>
      </w:pPr>
      <w:r>
        <w:rPr>
          <w:rFonts w:ascii="Calibri" w:hAnsi="Calibri" w:eastAsia="Microsoft YaHei" w:cs="Calibri"/>
          <w:color w:val="1A2332"/>
          <w:sz w:val="22"/>
          <w:szCs w:val="22"/>
        </w:rPr>
        <w:t>Search and Rescue (SAR) operations in coordination with Iran, Oman, and UAE SAR authorities;</w:t>
      </w:r>
    </w:p>
    <w:p>
      <w:pPr>
        <w:pStyle w:val="Normal"/>
        <w:numPr>
          <w:ilvl w:val="0"/>
          <w:numId w:val="1"/>
        </w:numPr>
      </w:pPr>
      <w:r>
        <w:rPr>
          <w:rFonts w:ascii="Calibri" w:hAnsi="Calibri" w:eastAsia="Microsoft YaHei" w:cs="Calibri"/>
          <w:color w:val="1A2332"/>
          <w:sz w:val="22"/>
          <w:szCs w:val="22"/>
        </w:rPr>
        <w:t>Pollution response (oil spill containment and cleanup), with notification to the relevant environmental authorities;</w:t>
      </w:r>
    </w:p>
    <w:p>
      <w:pPr>
        <w:pStyle w:val="Normal"/>
        <w:numPr>
          <w:ilvl w:val="0"/>
          <w:numId w:val="1"/>
        </w:numPr>
      </w:pPr>
      <w:r>
        <w:rPr>
          <w:rFonts w:ascii="Calibri" w:hAnsi="Calibri" w:eastAsia="Microsoft YaHei" w:cs="Calibri"/>
          <w:color w:val="1A2332"/>
          <w:sz w:val="22"/>
          <w:szCs w:val="22"/>
        </w:rPr>
        <w:t>Mine-countermeasure operations (MCM), coordinating with all Parties' MCM-capable assets;</w:t>
      </w:r>
    </w:p>
    <w:p>
      <w:pPr>
        <w:pStyle w:val="Normal"/>
        <w:numPr>
          <w:ilvl w:val="0"/>
          <w:numId w:val="1"/>
        </w:numPr>
      </w:pPr>
      <w:r>
        <w:rPr>
          <w:rFonts w:ascii="Calibri" w:hAnsi="Calibri" w:eastAsia="Microsoft YaHei" w:cs="Calibri"/>
          <w:color w:val="1A2332"/>
          <w:sz w:val="22"/>
          <w:szCs w:val="22"/>
        </w:rPr>
        <w:t>Medical evacuation (MEDEVAC) if required.</w:t>
      </w:r>
    </w:p>
    <w:p>
      <w:pPr>
        <w:pStyle w:val="Heading3"/>
      </w:pPr>
      <w:r>
        <w:rPr>
          <w:rFonts w:ascii="Calibri" w:hAnsi="Calibri" w:eastAsia="Microsoft YaHei" w:cs="Calibri"/>
          <w:b/>
          <w:color w:val="3D5266"/>
          <w:sz w:val="24"/>
          <w:szCs w:val="24"/>
        </w:rPr>
        <w:t>E.3.2 Liaison with External Bodies</w:t>
      </w:r>
    </w:p>
    <w:p>
      <w:pPr>
        <w:pStyle w:val="Normal"/>
      </w:pPr>
      <w:r>
        <w:rPr>
          <w:rFonts w:ascii="Calibri" w:hAnsi="Calibri" w:eastAsia="Microsoft YaHei" w:cs="Calibri"/>
          <w:color w:val="1A2332"/>
          <w:sz w:val="22"/>
          <w:szCs w:val="22"/>
        </w:rPr>
        <w:t>The JERC maintains communication with:</w:t>
      </w:r>
    </w:p>
    <w:p>
      <w:pPr>
        <w:pStyle w:val="Normal"/>
        <w:numPr>
          <w:ilvl w:val="0"/>
          <w:numId w:val="1"/>
        </w:numPr>
      </w:pPr>
      <w:r>
        <w:rPr>
          <w:rFonts w:ascii="Calibri" w:hAnsi="Calibri" w:eastAsia="Microsoft YaHei" w:cs="Calibri"/>
          <w:color w:val="1A2332"/>
          <w:sz w:val="22"/>
          <w:szCs w:val="22"/>
        </w:rPr>
        <w:t>IMO's Global Maritime Distress and Safety System (GMDSS);</w:t>
      </w:r>
    </w:p>
    <w:p>
      <w:pPr>
        <w:pStyle w:val="Normal"/>
        <w:numPr>
          <w:ilvl w:val="0"/>
          <w:numId w:val="1"/>
        </w:numPr>
      </w:pPr>
      <w:r>
        <w:rPr>
          <w:rFonts w:ascii="Calibri" w:hAnsi="Calibri" w:eastAsia="Microsoft YaHei" w:cs="Calibri"/>
          <w:color w:val="1A2332"/>
          <w:sz w:val="22"/>
          <w:szCs w:val="22"/>
        </w:rPr>
        <w:t>Regional search and rescue coordination centers in Tehran, Muscat, and Abu Dhabi;</w:t>
      </w:r>
    </w:p>
    <w:p>
      <w:pPr>
        <w:pStyle w:val="Normal"/>
        <w:numPr>
          <w:ilvl w:val="0"/>
          <w:numId w:val="1"/>
        </w:numPr>
      </w:pPr>
      <w:r>
        <w:rPr>
          <w:rFonts w:ascii="Calibri" w:hAnsi="Calibri" w:eastAsia="Microsoft YaHei" w:cs="Calibri"/>
          <w:color w:val="1A2332"/>
          <w:sz w:val="22"/>
          <w:szCs w:val="22"/>
        </w:rPr>
        <w:t>Commercial shipping industry bodies (e.g., BIMCO, INTERCARGO, INTERTANKO).</w:t>
      </w:r>
    </w:p>
    <w:p>
      <w:pPr>
        <w:pStyle w:val="Heading3"/>
      </w:pPr>
      <w:r>
        <w:rPr>
          <w:rFonts w:ascii="Calibri" w:hAnsi="Calibri" w:eastAsia="Microsoft YaHei" w:cs="Calibri"/>
          <w:b/>
          <w:color w:val="3D5266"/>
          <w:sz w:val="24"/>
          <w:szCs w:val="24"/>
        </w:rPr>
        <w:t>E.3.3 Public Information</w:t>
      </w:r>
    </w:p>
    <w:p>
      <w:pPr>
        <w:pStyle w:val="Normal"/>
      </w:pPr>
      <w:r>
        <w:rPr>
          <w:rFonts w:ascii="Calibri" w:hAnsi="Calibri" w:eastAsia="Microsoft YaHei" w:cs="Calibri"/>
          <w:color w:val="1A2332"/>
          <w:sz w:val="22"/>
          <w:szCs w:val="22"/>
        </w:rPr>
        <w:t>The JERC issues, with JIC approval:</w:t>
      </w:r>
    </w:p>
    <w:p>
      <w:pPr>
        <w:pStyle w:val="Normal"/>
        <w:numPr>
          <w:ilvl w:val="0"/>
          <w:numId w:val="1"/>
        </w:numPr>
      </w:pPr>
      <w:r>
        <w:rPr>
          <w:rFonts w:ascii="Calibri" w:hAnsi="Calibri" w:eastAsia="Microsoft YaHei" w:cs="Calibri"/>
          <w:color w:val="1A2332"/>
          <w:sz w:val="22"/>
          <w:szCs w:val="22"/>
        </w:rPr>
        <w:t>Public safety advisories to Commercial Vessels;</w:t>
      </w:r>
    </w:p>
    <w:p>
      <w:pPr>
        <w:pStyle w:val="Normal"/>
        <w:numPr>
          <w:ilvl w:val="0"/>
          <w:numId w:val="1"/>
        </w:numPr>
      </w:pPr>
      <w:r>
        <w:rPr>
          <w:rFonts w:ascii="Calibri" w:hAnsi="Calibri" w:eastAsia="Microsoft YaHei" w:cs="Calibri"/>
          <w:color w:val="1A2332"/>
          <w:sz w:val="22"/>
          <w:szCs w:val="22"/>
        </w:rPr>
        <w:t>Brief press statements in coordination with the Parties' diplomatic missions (to avoid conflicting narratives);</w:t>
      </w:r>
    </w:p>
    <w:p>
      <w:pPr>
        <w:pStyle w:val="Normal"/>
        <w:numPr>
          <w:ilvl w:val="0"/>
          <w:numId w:val="1"/>
        </w:numPr>
      </w:pPr>
      <w:r>
        <w:rPr>
          <w:rFonts w:ascii="Calibri" w:hAnsi="Calibri" w:eastAsia="Microsoft YaHei" w:cs="Calibri"/>
          <w:color w:val="1A2332"/>
          <w:sz w:val="22"/>
          <w:szCs w:val="22"/>
        </w:rPr>
        <w:t>Quarterly incident summary reports to the IMO.</w:t>
      </w:r>
    </w:p>
    <w:p>
      <w:pPr>
        <w:pStyle w:val="Heading1"/>
      </w:pPr>
      <w:bookmarkStart w:name="_Toc006" w:id="6"/>
      <w:r>
        <w:rPr>
          <w:rFonts w:ascii="Calibri" w:hAnsi="Calibri" w:eastAsia="Microsoft YaHei" w:cs="Calibri"/>
          <w:b/>
          <w:color w:val="2D5A7B"/>
          <w:sz w:val="36"/>
          <w:szCs w:val="36"/>
        </w:rPr>
        <w:t>Section F: Reporting, Monitoring, and Compliance</w:t>
      </w:r>
      <w:bookmarkEnd w:id="6"/>
    </w:p>
    <w:p>
      <w:pPr>
        <w:pStyle w:val="Heading2"/>
      </w:pPr>
      <w:r>
        <w:rPr>
          <w:rFonts w:ascii="Calibri" w:hAnsi="Calibri" w:eastAsia="Microsoft YaHei" w:cs="Calibri"/>
          <w:b/>
          <w:color w:val="1A2332"/>
          <w:sz w:val="28"/>
          <w:szCs w:val="28"/>
        </w:rPr>
        <w:t>F.1 Incident Reporting</w:t>
      </w:r>
    </w:p>
    <w:p>
      <w:pPr>
        <w:pStyle w:val="Heading3"/>
      </w:pPr>
      <w:r>
        <w:rPr>
          <w:rFonts w:ascii="Calibri" w:hAnsi="Calibri" w:eastAsia="Microsoft YaHei" w:cs="Calibri"/>
          <w:b/>
          <w:color w:val="3D5266"/>
          <w:sz w:val="24"/>
          <w:szCs w:val="24"/>
        </w:rPr>
        <w:t>F.1.1 Mandatory Reporting Timeline</w:t>
      </w:r>
    </w:p>
    <w:p>
      <w:pPr>
        <w:pStyle w:val="Normal"/>
      </w:pPr>
      <w:r>
        <w:rPr>
          <w:rFonts w:ascii="Calibri" w:hAnsi="Calibri" w:eastAsia="Microsoft YaHei" w:cs="Calibri"/>
          <w:color w:val="1A2332"/>
          <w:sz w:val="22"/>
          <w:szCs w:val="22"/>
        </w:rPr>
        <w:t>All incidents defined in Section C.2.3 (Mandatory Notification Triggers) follow this reporting sequence:</w:t>
      </w:r>
    </w:p>
    <w:p>
      <w:pPr>
        <w:pStyle w:val="Normal"/>
        <w:numPr>
          <w:ilvl w:val="0"/>
          <w:numId w:val="1"/>
        </w:numPr>
      </w:pPr>
      <w:r>
        <w:rPr>
          <w:rFonts w:ascii="Calibri" w:hAnsi="Calibri" w:eastAsia="Microsoft YaHei" w:cs="Calibri"/>
          <w:color w:val="1A2332"/>
          <w:sz w:val="22"/>
          <w:szCs w:val="22"/>
        </w:rPr>
        <w:t>Immediate reporting via the Hotline;</w:t>
      </w:r>
    </w:p>
    <w:p>
      <w:pPr>
        <w:pStyle w:val="Normal"/>
        <w:numPr>
          <w:ilvl w:val="0"/>
          <w:numId w:val="1"/>
        </w:numPr>
      </w:pPr>
      <w:r>
        <w:rPr>
          <w:rFonts w:ascii="Calibri" w:hAnsi="Calibri" w:eastAsia="Microsoft YaHei" w:cs="Calibri"/>
          <w:color w:val="1A2332"/>
          <w:sz w:val="22"/>
          <w:szCs w:val="22"/>
        </w:rPr>
        <w:t>JERC logging within 6 hours;</w:t>
      </w:r>
    </w:p>
    <w:p>
      <w:pPr>
        <w:pStyle w:val="Normal"/>
        <w:numPr>
          <w:ilvl w:val="0"/>
          <w:numId w:val="1"/>
        </w:numPr>
      </w:pPr>
      <w:r>
        <w:rPr>
          <w:rFonts w:ascii="Calibri" w:hAnsi="Calibri" w:eastAsia="Microsoft YaHei" w:cs="Calibri"/>
          <w:color w:val="1A2332"/>
          <w:sz w:val="22"/>
          <w:szCs w:val="22"/>
        </w:rPr>
        <w:t>Formal incident report submission to the JIC within 72 hours.</w:t>
      </w:r>
    </w:p>
    <w:p>
      <w:pPr>
        <w:pStyle w:val="Heading3"/>
      </w:pPr>
      <w:r>
        <w:rPr>
          <w:rFonts w:ascii="Calibri" w:hAnsi="Calibri" w:eastAsia="Microsoft YaHei" w:cs="Calibri"/>
          <w:b/>
          <w:color w:val="3D5266"/>
          <w:sz w:val="24"/>
          <w:szCs w:val="24"/>
        </w:rPr>
        <w:t>F.1.2 Incident Report Contents</w:t>
      </w:r>
    </w:p>
    <w:p>
      <w:pPr>
        <w:pStyle w:val="Normal"/>
      </w:pPr>
      <w:r>
        <w:rPr>
          <w:rFonts w:ascii="Calibri" w:hAnsi="Calibri" w:eastAsia="Microsoft YaHei" w:cs="Calibri"/>
          <w:color w:val="1A2332"/>
          <w:sz w:val="22"/>
          <w:szCs w:val="22"/>
        </w:rPr>
        <w:t>Formal incident reports include:</w:t>
      </w:r>
    </w:p>
    <w:p>
      <w:pPr>
        <w:pStyle w:val="Normal"/>
        <w:numPr>
          <w:ilvl w:val="0"/>
          <w:numId w:val="1"/>
        </w:numPr>
      </w:pPr>
      <w:r>
        <w:rPr>
          <w:rFonts w:ascii="Calibri" w:hAnsi="Calibri" w:eastAsia="Microsoft YaHei" w:cs="Calibri"/>
          <w:color w:val="1A2332"/>
          <w:sz w:val="22"/>
          <w:szCs w:val="22"/>
        </w:rPr>
        <w:t>Date, time, and location of the incident;</w:t>
      </w:r>
    </w:p>
    <w:p>
      <w:pPr>
        <w:pStyle w:val="Normal"/>
        <w:numPr>
          <w:ilvl w:val="0"/>
          <w:numId w:val="1"/>
        </w:numPr>
      </w:pPr>
      <w:r>
        <w:rPr>
          <w:rFonts w:ascii="Calibri" w:hAnsi="Calibri" w:eastAsia="Microsoft YaHei" w:cs="Calibri"/>
          <w:color w:val="1A2332"/>
          <w:sz w:val="22"/>
          <w:szCs w:val="22"/>
        </w:rPr>
        <w:t>Vessels/assets involved (names, types, flags);</w:t>
      </w:r>
    </w:p>
    <w:p>
      <w:pPr>
        <w:pStyle w:val="Normal"/>
        <w:numPr>
          <w:ilvl w:val="0"/>
          <w:numId w:val="1"/>
        </w:numPr>
      </w:pPr>
      <w:r>
        <w:rPr>
          <w:rFonts w:ascii="Calibri" w:hAnsi="Calibri" w:eastAsia="Microsoft YaHei" w:cs="Calibri"/>
          <w:color w:val="1A2332"/>
          <w:sz w:val="22"/>
          <w:szCs w:val="22"/>
        </w:rPr>
        <w:t>Description of the event (chronological narrative);</w:t>
      </w:r>
    </w:p>
    <w:p>
      <w:pPr>
        <w:pStyle w:val="Normal"/>
        <w:numPr>
          <w:ilvl w:val="0"/>
          <w:numId w:val="1"/>
        </w:numPr>
      </w:pPr>
      <w:r>
        <w:rPr>
          <w:rFonts w:ascii="Calibri" w:hAnsi="Calibri" w:eastAsia="Microsoft YaHei" w:cs="Calibri"/>
          <w:color w:val="1A2332"/>
          <w:sz w:val="22"/>
          <w:szCs w:val="22"/>
        </w:rPr>
        <w:t>Actions taken (by JERC, VTS, Parties, and vessels);</w:t>
      </w:r>
    </w:p>
    <w:p>
      <w:pPr>
        <w:pStyle w:val="Normal"/>
        <w:numPr>
          <w:ilvl w:val="0"/>
          <w:numId w:val="1"/>
        </w:numPr>
      </w:pPr>
      <w:r>
        <w:rPr>
          <w:rFonts w:ascii="Calibri" w:hAnsi="Calibri" w:eastAsia="Microsoft YaHei" w:cs="Calibri"/>
          <w:color w:val="1A2332"/>
          <w:sz w:val="22"/>
          <w:szCs w:val="22"/>
        </w:rPr>
        <w:t>Injuries, casualties, or damage sustained;</w:t>
      </w:r>
    </w:p>
    <w:p>
      <w:pPr>
        <w:pStyle w:val="Normal"/>
        <w:numPr>
          <w:ilvl w:val="0"/>
          <w:numId w:val="1"/>
        </w:numPr>
      </w:pPr>
      <w:r>
        <w:rPr>
          <w:rFonts w:ascii="Calibri" w:hAnsi="Calibri" w:eastAsia="Microsoft YaHei" w:cs="Calibri"/>
          <w:color w:val="1A2332"/>
          <w:sz w:val="22"/>
          <w:szCs w:val="22"/>
        </w:rPr>
        <w:t>Preliminary assessment of cause(s);</w:t>
      </w:r>
    </w:p>
    <w:p>
      <w:pPr>
        <w:pStyle w:val="Normal"/>
        <w:numPr>
          <w:ilvl w:val="0"/>
          <w:numId w:val="1"/>
        </w:numPr>
      </w:pPr>
      <w:r>
        <w:rPr>
          <w:rFonts w:ascii="Calibri" w:hAnsi="Calibri" w:eastAsia="Microsoft YaHei" w:cs="Calibri"/>
          <w:color w:val="1A2332"/>
          <w:sz w:val="22"/>
          <w:szCs w:val="22"/>
        </w:rPr>
        <w:t>Recommendations to prevent recurrence.</w:t>
      </w:r>
    </w:p>
    <w:p>
      <w:pPr>
        <w:pStyle w:val="Heading3"/>
      </w:pPr>
      <w:r>
        <w:rPr>
          <w:rFonts w:ascii="Calibri" w:hAnsi="Calibri" w:eastAsia="Microsoft YaHei" w:cs="Calibri"/>
          <w:b/>
          <w:color w:val="3D5266"/>
          <w:sz w:val="24"/>
          <w:szCs w:val="24"/>
        </w:rPr>
        <w:t>F.1.3 Anonymous Reporting</w:t>
      </w:r>
    </w:p>
    <w:p>
      <w:pPr>
        <w:pStyle w:val="Normal"/>
      </w:pPr>
      <w:r>
        <w:rPr>
          <w:rFonts w:ascii="Calibri" w:hAnsi="Calibri" w:eastAsia="Microsoft YaHei" w:cs="Calibri"/>
          <w:color w:val="1A2332"/>
          <w:sz w:val="22"/>
          <w:szCs w:val="22"/>
        </w:rPr>
        <w:t>Commercial vessels submit incident reports anonymously to the JERC via a dedicated, secure online portal. Anonymous reports receive investigation to the same standard as formal reports.</w:t>
      </w:r>
    </w:p>
    <w:p>
      <w:pPr>
        <w:pStyle w:val="Normal"/>
        <w:numPr>
          <w:ilvl w:val="0"/>
          <w:numId w:val="1"/>
        </w:numPr>
      </w:pPr>
      <w:r>
        <w:rPr>
          <w:rFonts w:ascii="Calibri" w:hAnsi="Calibri" w:eastAsia="Microsoft YaHei" w:cs="Calibri"/>
          <w:color w:val="1A2332"/>
          <w:sz w:val="28"/>
          <w:b/>
          <w:szCs w:val="28"/>
        </w:rPr>
        <w:t xml:space="preserve">(a) Whistleblower Protection: </w:t>
      </w:r>
      <w:r>
        <w:rPr>
          <w:rFonts w:ascii="Calibri" w:hAnsi="Calibri" w:eastAsia="Microsoft YaHei" w:cs="Calibri"/>
          <w:color w:val="1A2332"/>
          <w:sz w:val="22"/>
          <w:szCs w:val="22"/>
        </w:rPr>
        <w:t>No vessel, operator, or crew member is subject to retaliation, discrimination, or penalty for submitting a good-faith incident report under this Annex. Retaliation includes: denial of services; increased fees or inspections; harassment or intimidation; blacklisting or reputational damage.</w:t>
      </w:r>
    </w:p>
    <w:p>
      <w:pPr>
        <w:pStyle w:val="Normal"/>
        <w:numPr>
          <w:ilvl w:val="0"/>
          <w:numId w:val="1"/>
        </w:numPr>
      </w:pPr>
      <w:r>
        <w:rPr>
          <w:rFonts w:ascii="Calibri" w:hAnsi="Calibri" w:eastAsia="Microsoft YaHei" w:cs="Calibri"/>
          <w:color w:val="1A2332"/>
          <w:sz w:val="28"/>
          <w:b/>
          <w:szCs w:val="28"/>
        </w:rPr>
        <w:t xml:space="preserve">(b) Retaliation Reporting: </w:t>
      </w:r>
      <w:r>
        <w:rPr>
          <w:rFonts w:ascii="Calibri" w:hAnsi="Calibri" w:eastAsia="Microsoft YaHei" w:cs="Calibri"/>
          <w:color w:val="1A2332"/>
          <w:sz w:val="22"/>
          <w:szCs w:val="22"/>
        </w:rPr>
        <w:t>Any vessel that believes it has been subjected to retaliation submits a report to the JIC. The JIC investigates the report and, if retaliation is confirmed, the responsible Party is subject to a Level 2 (Moderate) violation under HSU Article 8.</w:t>
      </w:r>
    </w:p>
    <w:p>
      <w:pPr>
        <w:pStyle w:val="Normal"/>
        <w:numPr>
          <w:ilvl w:val="0"/>
          <w:numId w:val="1"/>
        </w:numPr>
      </w:pPr>
      <w:r>
        <w:rPr>
          <w:rFonts w:ascii="Calibri" w:hAnsi="Calibri" w:eastAsia="Microsoft YaHei" w:cs="Calibri"/>
          <w:color w:val="1A2332"/>
          <w:sz w:val="28"/>
          <w:b/>
          <w:szCs w:val="28"/>
        </w:rPr>
        <w:t xml:space="preserve">(c) Confidentiality: </w:t>
      </w:r>
      <w:r>
        <w:rPr>
          <w:rFonts w:ascii="Calibri" w:hAnsi="Calibri" w:eastAsia="Microsoft YaHei" w:cs="Calibri"/>
          <w:color w:val="1A2332"/>
          <w:sz w:val="22"/>
          <w:szCs w:val="22"/>
        </w:rPr>
        <w:t>The JIC maintains the confidentiality of the reporter's identity to the maximum extent possible. The reporter's identity is disclosed only to the JIC and only as necessary for the investigation.</w:t>
      </w:r>
    </w:p>
    <w:p>
      <w:pPr>
        <w:pStyle w:val="Heading3"/>
      </w:pPr>
      <w:r>
        <w:rPr>
          <w:rFonts w:ascii="Calibri" w:hAnsi="Calibri" w:eastAsia="Microsoft YaHei" w:cs="Calibri"/>
          <w:b/>
          <w:color w:val="3D5266"/>
          <w:sz w:val="24"/>
          <w:szCs w:val="24"/>
        </w:rPr>
        <w:t>F.1.4 Media Protocol</w:t>
      </w:r>
    </w:p>
    <w:p>
      <w:pPr>
        <w:pStyle w:val="Normal"/>
        <w:numPr>
          <w:ilvl w:val="0"/>
          <w:numId w:val="1"/>
        </w:numPr>
      </w:pPr>
      <w:r>
        <w:rPr>
          <w:rFonts w:ascii="Calibri" w:hAnsi="Calibri" w:eastAsia="Microsoft YaHei" w:cs="Calibri"/>
          <w:color w:val="1A2332"/>
          <w:sz w:val="28"/>
          <w:szCs w:val="22"/>
          <w:b/>
        </w:rPr>
        <w:t xml:space="preserve">(a) Standardized Media Statement: </w:t>
      </w:r>
      <w:r>
        <w:rPr>
          <w:rFonts w:ascii="Calibri" w:hAnsi="Calibri" w:eastAsia="Microsoft YaHei" w:cs="Calibri"/>
          <w:color w:val="1A2332"/>
          <w:sz w:val="22"/>
          <w:szCs w:val="22"/>
        </w:rPr>
        <w:t>The JIC prepares a standardized media statement for all Level 2+ incidents. The statement includes: basic facts (date, time, location); vessels involved (names, types, flags); nature of the incident; actions taken; status of the investigation; contact for further information (JIC Public Information Officer).</w:t>
      </w:r>
    </w:p>
    <w:p>
      <w:pPr>
        <w:pStyle w:val="Normal"/>
        <w:numPr>
          <w:ilvl w:val="0"/>
          <w:numId w:val="1"/>
        </w:numPr>
      </w:pPr>
      <w:r>
        <w:rPr>
          <w:rFonts w:ascii="Calibri" w:hAnsi="Calibri" w:eastAsia="Microsoft YaHei" w:cs="Calibri"/>
          <w:color w:val="1A2332"/>
          <w:sz w:val="28"/>
          <w:szCs w:val="22"/>
          <w:b/>
        </w:rPr>
        <w:t xml:space="preserve">(b) Publication Timeline: </w:t>
      </w:r>
      <w:r>
        <w:rPr>
          <w:rFonts w:ascii="Calibri" w:hAnsi="Calibri" w:eastAsia="Microsoft YaHei" w:cs="Calibri"/>
          <w:color w:val="1A2332"/>
          <w:sz w:val="22"/>
          <w:szCs w:val="22"/>
        </w:rPr>
        <w:t>Level 2 statements publish within 24 hours; Level 3 within 12 hours; Level 4 within 6 hours.</w:t>
      </w:r>
    </w:p>
    <w:p>
      <w:pPr>
        <w:pStyle w:val="Normal"/>
        <w:numPr>
          <w:ilvl w:val="0"/>
          <w:numId w:val="1"/>
        </w:numPr>
      </w:pPr>
      <w:r>
        <w:rPr>
          <w:rFonts w:ascii="Calibri" w:hAnsi="Calibri" w:eastAsia="Microsoft YaHei" w:cs="Calibri"/>
          <w:color w:val="1A2332"/>
          <w:sz w:val="28"/>
          <w:szCs w:val="22"/>
          <w:b/>
        </w:rPr>
        <w:t xml:space="preserve">(c) Pre-Publication Review: </w:t>
      </w:r>
      <w:r>
        <w:rPr>
          <w:rFonts w:ascii="Calibri" w:hAnsi="Calibri" w:eastAsia="Microsoft YaHei" w:cs="Calibri"/>
          <w:color w:val="1A2332"/>
          <w:sz w:val="22"/>
          <w:szCs w:val="22"/>
        </w:rPr>
        <w:t>The statement is shared with all Parties 6 hours prior to publication for factual accuracy review. Any Party that fails to respond within the 6-hour window is deemed to have no objections. The JIC Public Information Officer retains final authority over the content of the statement.</w:t>
      </w:r>
    </w:p>
    <w:p>
      <w:pPr>
        <w:pStyle w:val="Normal"/>
        <w:numPr>
          <w:ilvl w:val="0"/>
          <w:numId w:val="1"/>
        </w:numPr>
      </w:pPr>
      <w:r>
        <w:rPr>
          <w:rFonts w:ascii="Calibri" w:hAnsi="Calibri" w:eastAsia="Microsoft YaHei" w:cs="Calibri"/>
          <w:color w:val="1A2332"/>
          <w:sz w:val="28"/>
          <w:szCs w:val="22"/>
          <w:b/>
        </w:rPr>
        <w:t xml:space="preserve">(d) Media Contact: </w:t>
      </w:r>
      <w:r>
        <w:rPr>
          <w:rFonts w:ascii="Calibri" w:hAnsi="Calibri" w:eastAsia="Microsoft YaHei" w:cs="Calibri"/>
          <w:color w:val="1A2332"/>
          <w:sz w:val="22"/>
          <w:szCs w:val="22"/>
        </w:rPr>
        <w:t>The JIC designates a Public Information Officer (PIO) to handle all media inquiries. The PIO is available 24/7 for Level 2+ incidents.</w:t>
      </w:r>
    </w:p>
    <w:p>
      <w:pPr>
        <w:pStyle w:val="Normal"/>
        <w:numPr>
          <w:ilvl w:val="0"/>
          <w:numId w:val="1"/>
        </w:numPr>
      </w:pPr>
      <w:r>
        <w:rPr>
          <w:rFonts w:ascii="Calibri" w:hAnsi="Calibri" w:eastAsia="Microsoft YaHei" w:cs="Calibri"/>
          <w:color w:val="1A2332"/>
          <w:sz w:val="28"/>
          <w:szCs w:val="22"/>
          <w:b/>
        </w:rPr>
        <w:t xml:space="preserve">(e) Party Communications: </w:t>
      </w:r>
      <w:r>
        <w:rPr>
          <w:rFonts w:ascii="Calibri" w:hAnsi="Calibri" w:eastAsia="Microsoft YaHei" w:cs="Calibri"/>
          <w:color w:val="1A2332"/>
          <w:sz w:val="22"/>
          <w:szCs w:val="22"/>
        </w:rPr>
        <w:t>Parties issue their own statements only under the following conditions: the statements are consistent with the JIC's standardized statement; the statements do not contradict the JIC's facts; the statements do not escalate the situation through inflammatory language.</w:t>
      </w:r>
    </w:p>
    <w:p>
      <w:pPr>
        <w:pStyle w:val="Normal"/>
        <w:numPr>
          <w:ilvl w:val="0"/>
          <w:numId w:val="1"/>
        </w:numPr>
      </w:pPr>
      <w:r>
        <w:rPr>
          <w:rFonts w:ascii="Calibri" w:hAnsi="Calibri" w:eastAsia="Microsoft YaHei" w:cs="Calibri"/>
          <w:color w:val="1A2332"/>
          <w:sz w:val="28"/>
          <w:szCs w:val="22"/>
          <w:b/>
        </w:rPr>
        <w:t xml:space="preserve">(f) Consequences for Inflammatory Statements: </w:t>
      </w:r>
      <w:r>
        <w:rPr>
          <w:rFonts w:ascii="Calibri" w:hAnsi="Calibri" w:eastAsia="Microsoft YaHei" w:cs="Calibri"/>
          <w:color w:val="1A2332"/>
          <w:sz w:val="22"/>
          <w:szCs w:val="22"/>
        </w:rPr>
        <w:t>Any Party that issues a statement that the JIC determines is inflammatory or escalatory is subject to a Level 1 (Minor) violation under HSU Article 8.</w:t>
      </w:r>
    </w:p>
    <w:p>
      <w:pPr>
        <w:pStyle w:val="Heading2"/>
      </w:pPr>
      <w:r>
        <w:rPr>
          <w:rFonts w:ascii="Calibri" w:hAnsi="Calibri" w:eastAsia="Microsoft YaHei" w:cs="Calibri"/>
          <w:b/>
          <w:color w:val="1A2332"/>
          <w:sz w:val="28"/>
          <w:szCs w:val="28"/>
        </w:rPr>
        <w:t>F.2 Compliance Monitoring</w:t>
      </w:r>
    </w:p>
    <w:p>
      <w:pPr>
        <w:pStyle w:val="Heading3"/>
      </w:pPr>
      <w:r>
        <w:rPr>
          <w:rFonts w:ascii="Calibri" w:hAnsi="Calibri" w:eastAsia="Microsoft YaHei" w:cs="Calibri"/>
          <w:b/>
          <w:color w:val="3D5266"/>
          <w:sz w:val="24"/>
          <w:szCs w:val="24"/>
        </w:rPr>
        <w:t>F.2.1 VTS Monitoring</w:t>
      </w:r>
    </w:p>
    <w:p>
      <w:pPr>
        <w:pStyle w:val="Normal"/>
      </w:pPr>
      <w:r>
        <w:rPr>
          <w:rFonts w:ascii="Calibri" w:hAnsi="Calibri" w:eastAsia="Microsoft YaHei" w:cs="Calibri"/>
          <w:color w:val="1A2332"/>
          <w:sz w:val="22"/>
          <w:szCs w:val="22"/>
        </w:rPr>
        <w:t>The Hormuz VTS continuously monitors:</w:t>
      </w:r>
    </w:p>
    <w:p>
      <w:pPr>
        <w:pStyle w:val="Normal"/>
        <w:numPr>
          <w:ilvl w:val="0"/>
          <w:numId w:val="1"/>
        </w:numPr>
      </w:pPr>
      <w:r>
        <w:rPr>
          <w:rFonts w:ascii="Calibri" w:hAnsi="Calibri" w:eastAsia="Microsoft YaHei" w:cs="Calibri"/>
          <w:color w:val="1A2332"/>
          <w:sz w:val="22"/>
          <w:szCs w:val="22"/>
        </w:rPr>
        <w:t>Vessel compliance with routing and reporting requirements;</w:t>
      </w:r>
    </w:p>
    <w:p>
      <w:pPr>
        <w:pStyle w:val="Normal"/>
        <w:numPr>
          <w:ilvl w:val="0"/>
          <w:numId w:val="1"/>
        </w:numPr>
      </w:pPr>
      <w:r>
        <w:rPr>
          <w:rFonts w:ascii="Calibri" w:hAnsi="Calibri" w:eastAsia="Microsoft YaHei" w:cs="Calibri"/>
          <w:color w:val="1A2332"/>
          <w:sz w:val="22"/>
          <w:szCs w:val="22"/>
        </w:rPr>
        <w:t>Military asset presence and movements within designated corridors;</w:t>
      </w:r>
    </w:p>
    <w:p>
      <w:pPr>
        <w:pStyle w:val="Normal"/>
        <w:numPr>
          <w:ilvl w:val="0"/>
          <w:numId w:val="1"/>
        </w:numPr>
      </w:pPr>
      <w:r>
        <w:rPr>
          <w:rFonts w:ascii="Calibri" w:hAnsi="Calibri" w:eastAsia="Microsoft YaHei" w:cs="Calibri"/>
          <w:color w:val="1A2332"/>
          <w:sz w:val="22"/>
          <w:szCs w:val="22"/>
        </w:rPr>
        <w:t>Violations of No-Go Zones;</w:t>
      </w:r>
    </w:p>
    <w:p>
      <w:pPr>
        <w:pStyle w:val="Normal"/>
        <w:numPr>
          <w:ilvl w:val="0"/>
          <w:numId w:val="1"/>
        </w:numPr>
      </w:pPr>
      <w:r>
        <w:rPr>
          <w:rFonts w:ascii="Calibri" w:hAnsi="Calibri" w:eastAsia="Microsoft YaHei" w:cs="Calibri"/>
          <w:color w:val="1A2332"/>
          <w:sz w:val="22"/>
          <w:szCs w:val="22"/>
        </w:rPr>
        <w:t>Communications protocol adherence.</w:t>
      </w:r>
    </w:p>
    <w:p>
      <w:pPr>
        <w:pStyle w:val="Heading3"/>
      </w:pPr>
      <w:r>
        <w:rPr>
          <w:rFonts w:ascii="Calibri" w:hAnsi="Calibri" w:eastAsia="Microsoft YaHei" w:cs="Calibri"/>
          <w:b/>
          <w:color w:val="3D5266"/>
          <w:sz w:val="24"/>
          <w:szCs w:val="24"/>
        </w:rPr>
        <w:t>F.2.2 Automated Flagging</w:t>
      </w:r>
    </w:p>
    <w:p>
      <w:pPr>
        <w:pStyle w:val="Normal"/>
      </w:pPr>
      <w:r>
        <w:rPr>
          <w:rFonts w:ascii="Calibri" w:hAnsi="Calibri" w:eastAsia="Microsoft YaHei" w:cs="Calibri"/>
          <w:color w:val="1A2332"/>
          <w:sz w:val="22"/>
          <w:szCs w:val="22"/>
        </w:rPr>
        <w:t>The Hormuz VTS employs automated alert systems to flag:</w:t>
      </w:r>
    </w:p>
    <w:p>
      <w:pPr>
        <w:pStyle w:val="Normal"/>
        <w:numPr>
          <w:ilvl w:val="0"/>
          <w:numId w:val="1"/>
        </w:numPr>
      </w:pPr>
      <w:r>
        <w:rPr>
          <w:rFonts w:ascii="Calibri" w:hAnsi="Calibri" w:eastAsia="Microsoft YaHei" w:cs="Calibri"/>
          <w:color w:val="1A2332"/>
          <w:sz w:val="22"/>
          <w:szCs w:val="22"/>
        </w:rPr>
        <w:t>AIS transponder silence ("dark" vessels);</w:t>
      </w:r>
    </w:p>
    <w:p>
      <w:pPr>
        <w:pStyle w:val="Normal"/>
        <w:numPr>
          <w:ilvl w:val="0"/>
          <w:numId w:val="1"/>
        </w:numPr>
      </w:pPr>
      <w:r>
        <w:rPr>
          <w:rFonts w:ascii="Calibri" w:hAnsi="Calibri" w:eastAsia="Microsoft YaHei" w:cs="Calibri"/>
          <w:color w:val="1A2332"/>
          <w:sz w:val="22"/>
          <w:szCs w:val="22"/>
        </w:rPr>
        <w:t>Deviations from designated corridors;</w:t>
      </w:r>
    </w:p>
    <w:p>
      <w:pPr>
        <w:pStyle w:val="Normal"/>
        <w:numPr>
          <w:ilvl w:val="0"/>
          <w:numId w:val="1"/>
        </w:numPr>
      </w:pPr>
      <w:r>
        <w:rPr>
          <w:rFonts w:ascii="Calibri" w:hAnsi="Calibri" w:eastAsia="Microsoft YaHei" w:cs="Calibri"/>
          <w:color w:val="1A2332"/>
          <w:sz w:val="22"/>
          <w:szCs w:val="22"/>
        </w:rPr>
        <w:t>Speed and track irregularities;</w:t>
      </w:r>
    </w:p>
    <w:p>
      <w:pPr>
        <w:pStyle w:val="Normal"/>
        <w:numPr>
          <w:ilvl w:val="0"/>
          <w:numId w:val="1"/>
        </w:numPr>
      </w:pPr>
      <w:r>
        <w:rPr>
          <w:rFonts w:ascii="Calibri" w:hAnsi="Calibri" w:eastAsia="Microsoft YaHei" w:cs="Calibri"/>
          <w:color w:val="1A2332"/>
          <w:sz w:val="22"/>
          <w:szCs w:val="22"/>
        </w:rPr>
        <w:t>Unauthorized military approaches.</w:t>
      </w:r>
    </w:p>
    <w:p>
      <w:pPr>
        <w:pStyle w:val="Heading3"/>
      </w:pPr>
      <w:r>
        <w:rPr>
          <w:rFonts w:ascii="Calibri" w:hAnsi="Calibri" w:eastAsia="Microsoft YaHei" w:cs="Calibri"/>
          <w:b/>
          <w:color w:val="3D5266"/>
          <w:sz w:val="24"/>
          <w:szCs w:val="24"/>
        </w:rPr>
        <w:t>F.2.3 Verification Standard</w:t>
      </w:r>
    </w:p>
    <w:p>
      <w:pPr>
        <w:pStyle w:val="Normal"/>
        <w:numPr>
          <w:ilvl w:val="0"/>
          <w:numId w:val="1"/>
        </w:numPr>
      </w:pPr>
      <w:r>
        <w:rPr>
          <w:rFonts w:ascii="Calibri" w:hAnsi="Calibri" w:eastAsia="Microsoft YaHei" w:cs="Calibri"/>
          <w:color w:val="1A2332"/>
          <w:sz w:val="22"/>
          <w:szCs w:val="22"/>
        </w:rPr>
        <w:t>No alert is classified as a violation until verified by at least two independent monitoring sources consistent with the following standard:</w:t>
      </w:r>
    </w:p>
    <w:p>
      <w:pPr>
        <w:pStyle w:val="Normal"/>
        <w:numPr>
          <w:ilvl w:val="0"/>
          <w:numId w:val="1"/>
        </w:numPr>
      </w:pPr>
      <w:r>
        <w:rPr>
          <w:rFonts w:ascii="Calibri" w:hAnsi="Calibri" w:eastAsia="Microsoft YaHei" w:cs="Calibri"/>
          <w:color w:val="1A2332"/>
          <w:sz w:val="28"/>
          <w:szCs w:val="22"/>
          <w:b/>
        </w:rPr>
        <w:t xml:space="preserve">(a) Consistency: </w:t>
      </w:r>
      <w:r>
        <w:rPr>
          <w:rFonts w:ascii="Calibri" w:hAnsi="Calibri" w:eastAsia="Microsoft YaHei" w:cs="Calibri"/>
          <w:color w:val="1A2332"/>
          <w:sz w:val="22"/>
          <w:szCs w:val="22"/>
        </w:rPr>
        <w:t>The data values fall within the measurement tolerance defined for each metric.</w:t>
      </w:r>
    </w:p>
    <w:p>
      <w:pPr>
        <w:pStyle w:val="Normal"/>
        <w:numPr>
          <w:ilvl w:val="0"/>
          <w:numId w:val="1"/>
        </w:numPr>
      </w:pPr>
      <w:r>
        <w:rPr>
          <w:rFonts w:ascii="Calibri" w:hAnsi="Calibri" w:eastAsia="Microsoft YaHei" w:cs="Calibri"/>
          <w:color w:val="1A2332"/>
          <w:sz w:val="28"/>
          <w:szCs w:val="22"/>
          <w:b/>
        </w:rPr>
        <w:t xml:space="preserve">(b) Independence: </w:t>
      </w:r>
      <w:r>
        <w:rPr>
          <w:rFonts w:ascii="Calibri" w:hAnsi="Calibri" w:eastAsia="Microsoft YaHei" w:cs="Calibri"/>
          <w:color w:val="1A2332"/>
          <w:sz w:val="22"/>
          <w:szCs w:val="22"/>
        </w:rPr>
        <w:t>The sources are not derived from the same sensor or platform.</w:t>
      </w:r>
    </w:p>
    <w:p>
      <w:pPr>
        <w:pStyle w:val="Normal"/>
        <w:numPr>
          <w:ilvl w:val="0"/>
          <w:numId w:val="1"/>
        </w:numPr>
      </w:pPr>
      <w:r>
        <w:rPr>
          <w:rFonts w:ascii="Calibri" w:hAnsi="Calibri" w:eastAsia="Microsoft YaHei" w:cs="Calibri"/>
          <w:color w:val="1A2332"/>
          <w:sz w:val="28"/>
          <w:szCs w:val="22"/>
          <w:b/>
        </w:rPr>
        <w:t xml:space="preserve">(c) Timeliness: </w:t>
      </w:r>
      <w:r>
        <w:rPr>
          <w:rFonts w:ascii="Calibri" w:hAnsi="Calibri" w:eastAsia="Microsoft YaHei" w:cs="Calibri"/>
          <w:color w:val="1A2332"/>
          <w:sz w:val="22"/>
          <w:szCs w:val="22"/>
        </w:rPr>
        <w:t>The data is collected within 15 minutes of the alleged incident.</w:t>
      </w:r>
    </w:p>
    <w:p>
      <w:pPr>
        <w:pStyle w:val="Normal"/>
        <w:numPr>
          <w:ilvl w:val="0"/>
          <w:numId w:val="1"/>
        </w:numPr>
      </w:pPr>
      <w:r>
        <w:rPr>
          <w:rFonts w:ascii="Calibri" w:hAnsi="Calibri" w:eastAsia="Microsoft YaHei" w:cs="Calibri"/>
          <w:color w:val="1A2332"/>
          <w:sz w:val="22"/>
          <w:szCs w:val="22"/>
        </w:rPr>
        <w:t>The Technical Working Group defines measurement tolerances for each metric in the Standard Operating Procedures (SOPs). The TWG reviews these tolerances quarterly and adjusts them as needed.</w:t>
      </w:r>
    </w:p>
    <w:p>
      <w:pPr>
        <w:pStyle w:val="Normal"/>
        <w:numPr>
          <w:ilvl w:val="0"/>
          <w:numId w:val="1"/>
        </w:numPr>
      </w:pPr>
      <w:r>
        <w:rPr>
          <w:rFonts w:ascii="Calibri" w:hAnsi="Calibri" w:eastAsia="Microsoft YaHei" w:cs="Calibri"/>
          <w:color w:val="1A2332"/>
          <w:sz w:val="28"/>
          <w:szCs w:val="22"/>
          <w:b/>
        </w:rPr>
        <w:t xml:space="preserve">(d) Provisional Status: </w:t>
      </w:r>
      <w:r>
        <w:rPr>
          <w:rFonts w:ascii="Calibri" w:hAnsi="Calibri" w:eastAsia="Microsoft YaHei" w:cs="Calibri"/>
          <w:color w:val="1A2332"/>
          <w:sz w:val="22"/>
          <w:szCs w:val="22"/>
        </w:rPr>
        <w:t>A single-source finding receives provisional status pending corroboration. The Technical Working Group does not recommend activation based solely on provisional findings.</w:t>
      </w:r>
    </w:p>
    <w:p>
      <w:pPr>
        <w:pStyle w:val="Heading3"/>
      </w:pPr>
      <w:r>
        <w:rPr>
          <w:rFonts w:ascii="Calibri" w:hAnsi="Calibri" w:eastAsia="Microsoft YaHei" w:cs="Calibri"/>
          <w:b/>
          <w:color w:val="3D5266"/>
          <w:sz w:val="24"/>
          <w:szCs w:val="24"/>
        </w:rPr>
        <w:t>F.2.4 Quarterly Compliance Reports</w:t>
      </w:r>
    </w:p>
    <w:p>
      <w:pPr>
        <w:pStyle w:val="Normal"/>
      </w:pPr>
      <w:r>
        <w:rPr>
          <w:rFonts w:ascii="Calibri" w:hAnsi="Calibri" w:eastAsia="Microsoft YaHei" w:cs="Calibri"/>
          <w:color w:val="1A2332"/>
          <w:sz w:val="22"/>
          <w:szCs w:val="22"/>
        </w:rPr>
        <w:t>The JIC publishes a quarterly public Compliance Report summarizing:</w:t>
      </w:r>
    </w:p>
    <w:p>
      <w:pPr>
        <w:pStyle w:val="Normal"/>
        <w:numPr>
          <w:ilvl w:val="0"/>
          <w:numId w:val="1"/>
        </w:numPr>
      </w:pPr>
      <w:r>
        <w:rPr>
          <w:rFonts w:ascii="Calibri" w:hAnsi="Calibri" w:eastAsia="Microsoft YaHei" w:cs="Calibri"/>
          <w:color w:val="1A2332"/>
          <w:sz w:val="22"/>
          <w:szCs w:val="22"/>
        </w:rPr>
        <w:t>Number and types of incidents;</w:t>
      </w:r>
    </w:p>
    <w:p>
      <w:pPr>
        <w:pStyle w:val="Normal"/>
        <w:numPr>
          <w:ilvl w:val="0"/>
          <w:numId w:val="1"/>
        </w:numPr>
      </w:pPr>
      <w:r>
        <w:rPr>
          <w:rFonts w:ascii="Calibri" w:hAnsi="Calibri" w:eastAsia="Microsoft YaHei" w:cs="Calibri"/>
          <w:color w:val="1A2332"/>
          <w:sz w:val="22"/>
          <w:szCs w:val="22"/>
        </w:rPr>
        <w:t>Compliance rates by corridor and vessel type;</w:t>
      </w:r>
    </w:p>
    <w:p>
      <w:pPr>
        <w:pStyle w:val="Normal"/>
        <w:numPr>
          <w:ilvl w:val="0"/>
          <w:numId w:val="1"/>
        </w:numPr>
      </w:pPr>
      <w:r>
        <w:rPr>
          <w:rFonts w:ascii="Calibri" w:hAnsi="Calibri" w:eastAsia="Microsoft YaHei" w:cs="Calibri"/>
          <w:color w:val="1A2332"/>
          <w:sz w:val="22"/>
          <w:szCs w:val="22"/>
        </w:rPr>
        <w:t>Military asset movements and any violations;</w:t>
      </w:r>
    </w:p>
    <w:p>
      <w:pPr>
        <w:pStyle w:val="Normal"/>
        <w:numPr>
          <w:ilvl w:val="0"/>
          <w:numId w:val="1"/>
        </w:numPr>
      </w:pPr>
      <w:r>
        <w:rPr>
          <w:rFonts w:ascii="Calibri" w:hAnsi="Calibri" w:eastAsia="Microsoft YaHei" w:cs="Calibri"/>
          <w:color w:val="1A2332"/>
          <w:sz w:val="22"/>
          <w:szCs w:val="22"/>
        </w:rPr>
        <w:t>Recommendations for operational improvements.</w:t>
      </w:r>
    </w:p>
    <w:p>
      <w:pPr>
        <w:pStyle w:val="Heading2"/>
      </w:pPr>
      <w:r>
        <w:rPr>
          <w:rFonts w:ascii="Calibri" w:hAnsi="Calibri" w:eastAsia="Microsoft YaHei" w:cs="Calibri"/>
          <w:b/>
          <w:color w:val="1A2332"/>
          <w:sz w:val="28"/>
          <w:szCs w:val="28"/>
        </w:rPr>
        <w:t>F.3 JIC Review and Enforcement</w:t>
      </w:r>
    </w:p>
    <w:p>
      <w:pPr>
        <w:pStyle w:val="Heading3"/>
      </w:pPr>
      <w:r>
        <w:rPr>
          <w:rFonts w:ascii="Calibri" w:hAnsi="Calibri" w:eastAsia="Microsoft YaHei" w:cs="Calibri"/>
          <w:b/>
          <w:color w:val="3D5266"/>
          <w:sz w:val="24"/>
          <w:szCs w:val="24"/>
        </w:rPr>
        <w:t>F.3.1 JIC Review of Incidents</w:t>
      </w:r>
    </w:p>
    <w:p>
      <w:pPr>
        <w:pStyle w:val="Normal"/>
      </w:pPr>
      <w:r>
        <w:rPr>
          <w:rFonts w:ascii="Calibri" w:hAnsi="Calibri" w:eastAsia="Microsoft YaHei" w:cs="Calibri"/>
          <w:color w:val="1A2332"/>
          <w:sz w:val="22"/>
          <w:szCs w:val="22"/>
        </w:rPr>
        <w:t>All incident reports undergo JIC review at the next scheduled meeting or within 14 days of the incident, whichever occurs sooner.</w:t>
      </w:r>
    </w:p>
    <w:p>
      <w:pPr>
        <w:pStyle w:val="Heading3"/>
      </w:pPr>
      <w:r>
        <w:rPr>
          <w:rFonts w:ascii="Calibri" w:hAnsi="Calibri" w:eastAsia="Microsoft YaHei" w:cs="Calibri"/>
          <w:b/>
          <w:color w:val="3D5266"/>
          <w:sz w:val="24"/>
          <w:szCs w:val="24"/>
        </w:rPr>
        <w:t>F.3.2 Classification of Violations</w:t>
      </w:r>
    </w:p>
    <w:p>
      <w:pPr>
        <w:pStyle w:val="Normal"/>
      </w:pPr>
      <w:r>
        <w:rPr>
          <w:rFonts w:ascii="Calibri" w:hAnsi="Calibri" w:eastAsia="Microsoft YaHei" w:cs="Calibri"/>
          <w:color w:val="1A2332"/>
          <w:sz w:val="28"/>
          <w:szCs w:val="22"/>
          <w:b/>
        </w:rPr>
        <w:t xml:space="preserve">(a) Classification: </w:t>
      </w:r>
      <w:r>
        <w:rPr>
          <w:rFonts w:ascii="Calibri" w:hAnsi="Calibri" w:eastAsia="Microsoft YaHei" w:cs="Calibri"/>
          <w:color w:val="1A2332"/>
          <w:sz w:val="22"/>
          <w:szCs w:val="22"/>
        </w:rPr>
        <w:t>Upon review, the JIC classifies each incident as follows:</w:t>
      </w:r>
    </w:p>
    <w:p>
      <w:pPr>
        <w:pStyle w:val="Normal"/>
        <w:numPr>
          <w:ilvl w:val="0"/>
          <w:numId w:val="1"/>
        </w:numPr>
      </w:pPr>
      <w:r>
        <w:rPr>
          <w:rFonts w:ascii="Calibri" w:hAnsi="Calibri" w:eastAsia="Microsoft YaHei" w:cs="Calibri"/>
          <w:color w:val="1A2332"/>
          <w:sz w:val="22"/>
          <w:szCs w:val="22"/>
        </w:rPr>
        <w:t>No Violation: Minor communication error, no safety impact;</w:t>
      </w:r>
    </w:p>
    <w:p>
      <w:pPr>
        <w:pStyle w:val="Normal"/>
        <w:numPr>
          <w:ilvl w:val="0"/>
          <w:numId w:val="1"/>
        </w:numPr>
      </w:pPr>
      <w:r>
        <w:rPr>
          <w:rFonts w:ascii="Calibri" w:hAnsi="Calibri" w:eastAsia="Microsoft YaHei" w:cs="Calibri"/>
          <w:color w:val="1A2332"/>
          <w:sz w:val="22"/>
          <w:szCs w:val="22"/>
        </w:rPr>
        <w:t>Level 1 (Minor): Technical breach, no safety impact;</w:t>
      </w:r>
    </w:p>
    <w:p>
      <w:pPr>
        <w:pStyle w:val="Normal"/>
        <w:numPr>
          <w:ilvl w:val="0"/>
          <w:numId w:val="1"/>
        </w:numPr>
      </w:pPr>
      <w:r>
        <w:rPr>
          <w:rFonts w:ascii="Calibri" w:hAnsi="Calibri" w:eastAsia="Microsoft YaHei" w:cs="Calibri"/>
          <w:color w:val="1A2332"/>
          <w:sz w:val="22"/>
          <w:szCs w:val="22"/>
        </w:rPr>
        <w:t>Level 2 (Moderate): Breach affecting safety or navigation;</w:t>
      </w:r>
    </w:p>
    <w:p>
      <w:pPr>
        <w:pStyle w:val="Normal"/>
        <w:numPr>
          <w:ilvl w:val="0"/>
          <w:numId w:val="1"/>
        </w:numPr>
      </w:pPr>
      <w:r>
        <w:rPr>
          <w:rFonts w:ascii="Calibri" w:hAnsi="Calibri" w:eastAsia="Microsoft YaHei" w:cs="Calibri"/>
          <w:color w:val="1A2332"/>
          <w:sz w:val="22"/>
          <w:szCs w:val="22"/>
        </w:rPr>
        <w:t>Level 3 (Serious): Breach involving force, coercion, or significant safety risk;</w:t>
      </w:r>
    </w:p>
    <w:p>
      <w:pPr>
        <w:pStyle w:val="Normal"/>
        <w:numPr>
          <w:ilvl w:val="0"/>
          <w:numId w:val="1"/>
        </w:numPr>
      </w:pPr>
      <w:r>
        <w:rPr>
          <w:rFonts w:ascii="Calibri" w:hAnsi="Calibri" w:eastAsia="Microsoft YaHei" w:cs="Calibri"/>
          <w:color w:val="1A2332"/>
          <w:sz w:val="22"/>
          <w:szCs w:val="22"/>
        </w:rPr>
        <w:t>Level 4 (Critical): Breach involving closure, sinking, or loss of life.</w:t>
      </w:r>
    </w:p>
    <w:p>
      <w:pPr>
        <w:pStyle w:val="Normal"/>
        <w:numPr>
          <w:ilvl w:val="0"/>
          <w:numId w:val="1"/>
        </w:numPr>
      </w:pPr>
      <w:r>
        <w:rPr>
          <w:rFonts w:ascii="Calibri" w:hAnsi="Calibri" w:eastAsia="Microsoft YaHei" w:cs="Calibri"/>
          <w:color w:val="1A2332"/>
          <w:sz w:val="28"/>
          <w:szCs w:val="22"/>
          <w:b/>
        </w:rPr>
        <w:t xml:space="preserve">(b) First Violation Protocol: </w:t>
      </w:r>
      <w:r>
        <w:rPr>
          <w:rFonts w:ascii="Calibri" w:hAnsi="Calibri" w:eastAsia="Microsoft YaHei" w:cs="Calibri"/>
          <w:color w:val="1A2332"/>
          <w:sz w:val="22"/>
          <w:szCs w:val="22"/>
        </w:rPr>
        <w:t>The first Level 2 violation by either Party at any time during the duration of this Annex receives First Violation designation and falls under the following modified response:</w:t>
      </w:r>
    </w:p>
    <w:p>
      <w:pPr>
        <w:pStyle w:val="Normal"/>
        <w:numPr>
          <w:ilvl w:val="0"/>
          <w:numId w:val="1"/>
        </w:numPr>
      </w:pPr>
      <w:r>
        <w:rPr>
          <w:rFonts w:ascii="Calibri" w:hAnsi="Calibri" w:eastAsia="Microsoft YaHei" w:cs="Calibri"/>
          <w:color w:val="1A2332"/>
          <w:sz w:val="22"/>
          <w:szCs w:val="22"/>
        </w:rPr>
        <w:t>(i) The JIC issues a private Notice of Concern (as per Level 1) instead of a public Compliance Alert;</w:t>
      </w:r>
    </w:p>
    <w:p>
      <w:pPr>
        <w:pStyle w:val="Normal"/>
        <w:numPr>
          <w:ilvl w:val="0"/>
          <w:numId w:val="1"/>
        </w:numPr>
      </w:pPr>
      <w:r>
        <w:rPr>
          <w:rFonts w:ascii="Calibri" w:hAnsi="Calibri" w:eastAsia="Microsoft YaHei" w:cs="Calibri"/>
          <w:color w:val="1A2332"/>
          <w:sz w:val="22"/>
          <w:szCs w:val="22"/>
        </w:rPr>
        <w:t>(ii) The framework applies no financial penalty;</w:t>
      </w:r>
    </w:p>
    <w:p>
      <w:pPr>
        <w:pStyle w:val="Normal"/>
        <w:numPr>
          <w:ilvl w:val="0"/>
          <w:numId w:val="1"/>
        </w:numPr>
      </w:pPr>
      <w:r>
        <w:rPr>
          <w:rFonts w:ascii="Calibri" w:hAnsi="Calibri" w:eastAsia="Microsoft YaHei" w:cs="Calibri"/>
          <w:color w:val="1A2332"/>
          <w:sz w:val="22"/>
          <w:szCs w:val="22"/>
        </w:rPr>
        <w:t>(iii) The JIC convenes a technical consultation within 14 days to review the circumstances and recommend corrective actions.</w:t>
      </w:r>
    </w:p>
    <w:p>
      <w:pPr>
        <w:pStyle w:val="Normal"/>
        <w:numPr>
          <w:ilvl w:val="0"/>
          <w:numId w:val="1"/>
        </w:numPr>
      </w:pPr>
      <w:r>
        <w:rPr>
          <w:rFonts w:ascii="Calibri" w:hAnsi="Calibri" w:eastAsia="Microsoft YaHei" w:cs="Calibri"/>
          <w:color w:val="1A2332"/>
          <w:sz w:val="28"/>
          <w:szCs w:val="22"/>
          <w:b/>
        </w:rPr>
        <w:t xml:space="preserve">(c) Irrevocability: </w:t>
      </w:r>
      <w:r>
        <w:rPr>
          <w:rFonts w:ascii="Calibri" w:hAnsi="Calibri" w:eastAsia="Microsoft YaHei" w:cs="Calibri"/>
          <w:color w:val="1A2332"/>
          <w:sz w:val="22"/>
          <w:szCs w:val="22"/>
        </w:rPr>
        <w:t>The First Violation Protocol applies once per Party, for the entire duration of this Annex. Once a Party receives a First Violation designation, the Protocol exhausts itself for that Party, and no subsequent invocation is permitted, regardless of the passage of time. The JIC treats any second violation by the same Party, at any time, according to the standard escalation ladder. Level 3 or Level 4 violations do not qualify for First Violation treatment.</w:t>
      </w:r>
    </w:p>
    <w:p>
      <w:pPr>
        <w:pStyle w:val="Heading3"/>
      </w:pPr>
      <w:r>
        <w:rPr>
          <w:rFonts w:ascii="Calibri" w:hAnsi="Calibri" w:eastAsia="Microsoft YaHei" w:cs="Calibri"/>
          <w:b/>
          <w:color w:val="3D5266"/>
          <w:sz w:val="24"/>
          <w:szCs w:val="24"/>
        </w:rPr>
        <w:t>F.3.3 Public Compliance Report and Human-in-the-Loop Review</w:t>
      </w:r>
    </w:p>
    <w:p>
      <w:pPr>
        <w:pStyle w:val="Normal"/>
        <w:numPr>
          <w:ilvl w:val="0"/>
          <w:numId w:val="1"/>
        </w:numPr>
      </w:pPr>
      <w:r>
        <w:rPr>
          <w:rFonts w:ascii="Calibri" w:hAnsi="Calibri" w:eastAsia="Microsoft YaHei" w:cs="Calibri"/>
          <w:color w:val="1A2332"/>
          <w:sz w:val="28"/>
          <w:szCs w:val="22"/>
          <w:b/>
        </w:rPr>
        <w:t xml:space="preserve">(a) Automatic Trigger: </w:t>
      </w:r>
      <w:r>
        <w:rPr>
          <w:rFonts w:ascii="Calibri" w:hAnsi="Calibri" w:eastAsia="Microsoft YaHei" w:cs="Calibri"/>
          <w:color w:val="1A2332"/>
          <w:sz w:val="22"/>
          <w:szCs w:val="22"/>
        </w:rPr>
        <w:t>Any violation classified as Level 2 or above triggers: documentation in the quarterly public Compliance Report; a mandatory JIC meeting within 48 hours to determine the appropriate response under HSU Article 8.</w:t>
      </w:r>
    </w:p>
    <w:p>
      <w:pPr>
        <w:pStyle w:val="Normal"/>
        <w:numPr>
          <w:ilvl w:val="0"/>
          <w:numId w:val="1"/>
        </w:numPr>
      </w:pPr>
      <w:r>
        <w:rPr>
          <w:rFonts w:ascii="Calibri" w:hAnsi="Calibri" w:eastAsia="Microsoft YaHei" w:cs="Calibri"/>
          <w:color w:val="1A2332"/>
          <w:sz w:val="28"/>
          <w:szCs w:val="22"/>
          <w:b/>
        </w:rPr>
        <w:t xml:space="preserve">(b) Human-in-the-Loop Review: </w:t>
      </w:r>
      <w:r>
        <w:rPr>
          <w:rFonts w:ascii="Calibri" w:hAnsi="Calibri" w:eastAsia="Microsoft YaHei" w:cs="Calibri"/>
          <w:color w:val="1A2332"/>
          <w:sz w:val="22"/>
          <w:szCs w:val="22"/>
        </w:rPr>
        <w:t>Prior to the JIC meeting, the following review applies: Level 1 reviews within 48 hours by the TWG; Level 2 reviews within 7 days by the JIC; Level 3 reviews within 14 days by the JIC Emergency Session; Level 4 reviews within 72 hours by the JIC Emergency Session. If the JIC determines that an incident was classified incorrectly, the record is amended and any provisional measures are reversed.</w:t>
      </w:r>
    </w:p>
    <w:p>
      <w:pPr>
        <w:pStyle w:val="Normal"/>
        <w:numPr>
          <w:ilvl w:val="0"/>
          <w:numId w:val="1"/>
        </w:numPr>
      </w:pPr>
      <w:r>
        <w:rPr>
          <w:rFonts w:ascii="Calibri" w:hAnsi="Calibri" w:eastAsia="Microsoft YaHei" w:cs="Calibri"/>
          <w:color w:val="1A2332"/>
          <w:sz w:val="28"/>
          <w:szCs w:val="22"/>
          <w:b/>
        </w:rPr>
        <w:t xml:space="preserve">(c) Provisional Measures: </w:t>
      </w:r>
      <w:r>
        <w:rPr>
          <w:rFonts w:ascii="Calibri" w:hAnsi="Calibri" w:eastAsia="Microsoft YaHei" w:cs="Calibri"/>
          <w:color w:val="1A2332"/>
          <w:sz w:val="22"/>
          <w:szCs w:val="22"/>
        </w:rPr>
        <w:t>During the review timeline: Level 3 financial freeze is held in escrow (not disbursed, but not forfeited); Level 4 HSU suspension is delayed (suspension begins only after review confirms the violation); Level 2 financial penalty is held in escrow pending review.</w:t>
      </w:r>
    </w:p>
    <w:p>
      <w:pPr>
        <w:pStyle w:val="Normal"/>
        <w:numPr>
          <w:ilvl w:val="0"/>
          <w:numId w:val="1"/>
        </w:numPr>
      </w:pPr>
      <w:r>
        <w:rPr>
          <w:rFonts w:ascii="Calibri" w:hAnsi="Calibri" w:eastAsia="Microsoft YaHei" w:cs="Calibri"/>
          <w:color w:val="1A2332"/>
          <w:sz w:val="28"/>
          <w:szCs w:val="22"/>
          <w:b/>
        </w:rPr>
        <w:t xml:space="preserve">(d) Retroactive Reversal: </w:t>
      </w:r>
      <w:r>
        <w:rPr>
          <w:rFonts w:ascii="Calibri" w:hAnsi="Calibri" w:eastAsia="Microsoft YaHei" w:cs="Calibri"/>
          <w:color w:val="1A2332"/>
          <w:sz w:val="22"/>
          <w:szCs w:val="22"/>
        </w:rPr>
        <w:t>If the JIC determines that an incident was classified incorrectly, the record is amended and any provisional measures are reversed. The incident is recorded as "No Violation" in the quarterly report.</w:t>
      </w:r>
    </w:p>
    <w:p>
      <w:pPr>
        <w:pStyle w:val="Heading3"/>
        <w:keepNext w:val="1"/>
        <w:spacing w:line="288" w:before="280" w:after="120" w:lineRule="auto"/>
      </w:pPr>
      <w:r>
        <w:rPr>
          <w:rFonts w:ascii="Calibri" w:hAnsi="Calibri" w:eastAsia="Microsoft YaHei" w:cs="Calibri"/>
          <w:b/>
          <w:color w:val="3D5266"/>
          <w:sz w:val="24"/>
          <w:szCs w:val="24"/>
        </w:rPr>
        <w:t>F.3.4 Dispute Resolution</w:t>
      </w:r>
    </w:p>
    <w:p>
      <w:pPr>
        <w:pStyle w:val="Normal"/>
        <w:numPr>
          <w:ilvl w:val="0"/>
          <w:numId w:val="1"/>
        </w:numPr>
      </w:pPr>
      <w:r>
        <w:rPr>
          <w:rFonts w:ascii="Calibri" w:hAnsi="Calibri" w:eastAsia="Microsoft YaHei" w:cs="Calibri"/>
          <w:color w:val="1A2332"/>
          <w:sz w:val="22"/>
          <w:szCs w:val="22"/>
        </w:rPr>
        <w:t>In the event the JIC deadlocks on the classification of an incident or the application of a response under HSU Article 8, the matter refers to an ad hoc panel of three independent maritime experts (one nominated by each Party and a third mutually agreed upon) within 14 days. The panel's recommendation is non-binding but the JIC publishes it in the quarterly Compliance Report.</w:t>
      </w:r>
    </w:p>
    <w:p>
      <w:pPr>
        <w:pStyle w:val="Heading1"/>
      </w:pPr>
      <w:bookmarkStart w:name="_Toc007" w:id="7"/>
      <w:r>
        <w:rPr>
          <w:rFonts w:ascii="Calibri" w:hAnsi="Calibri" w:eastAsia="Microsoft YaHei" w:cs="Calibri"/>
          <w:b/>
          <w:color w:val="2D5A7B"/>
          <w:sz w:val="36"/>
          <w:szCs w:val="36"/>
        </w:rPr>
        <w:t>Section G: Technical Review and Updates</w:t>
      </w:r>
      <w:bookmarkEnd w:id="7"/>
    </w:p>
    <w:p>
      <w:pPr>
        <w:pStyle w:val="Heading2"/>
      </w:pPr>
      <w:r>
        <w:rPr>
          <w:rFonts w:ascii="Calibri" w:hAnsi="Calibri" w:eastAsia="Microsoft YaHei" w:cs="Calibri"/>
          <w:b/>
          <w:color w:val="1A2332"/>
          <w:sz w:val="28"/>
          <w:szCs w:val="28"/>
        </w:rPr>
        <w:t>G.1 Annual Technical Review</w:t>
      </w:r>
    </w:p>
    <w:p>
      <w:pPr>
        <w:pStyle w:val="Heading3"/>
      </w:pPr>
      <w:r>
        <w:rPr>
          <w:rFonts w:ascii="Calibri" w:hAnsi="Calibri" w:eastAsia="Microsoft YaHei" w:cs="Calibri"/>
          <w:b/>
          <w:color w:val="3D5266"/>
          <w:sz w:val="24"/>
          <w:szCs w:val="24"/>
        </w:rPr>
        <w:t>G.1.1 Review Process</w:t>
      </w:r>
    </w:p>
    <w:p>
      <w:pPr>
        <w:pStyle w:val="Normal"/>
      </w:pPr>
      <w:r>
        <w:rPr>
          <w:rFonts w:ascii="Calibri" w:hAnsi="Calibri" w:eastAsia="Microsoft YaHei" w:cs="Calibri"/>
          <w:color w:val="1A2332"/>
          <w:sz w:val="22"/>
          <w:szCs w:val="22"/>
        </w:rPr>
        <w:t>The JIC convenes an Annual Technical Review of this Annex, no later than 12 months after its effective date, to:</w:t>
      </w:r>
    </w:p>
    <w:p>
      <w:pPr>
        <w:pStyle w:val="Normal"/>
        <w:numPr>
          <w:ilvl w:val="0"/>
          <w:numId w:val="1"/>
        </w:numPr>
      </w:pPr>
      <w:r>
        <w:rPr>
          <w:rFonts w:ascii="Calibri" w:hAnsi="Calibri" w:eastAsia="Microsoft YaHei" w:cs="Calibri"/>
          <w:color w:val="1A2332"/>
          <w:sz w:val="22"/>
          <w:szCs w:val="22"/>
        </w:rPr>
        <w:t>Assess operational effectiveness;</w:t>
      </w:r>
    </w:p>
    <w:p>
      <w:pPr>
        <w:pStyle w:val="Normal"/>
        <w:numPr>
          <w:ilvl w:val="0"/>
          <w:numId w:val="1"/>
        </w:numPr>
      </w:pPr>
      <w:r>
        <w:rPr>
          <w:rFonts w:ascii="Calibri" w:hAnsi="Calibri" w:eastAsia="Microsoft YaHei" w:cs="Calibri"/>
          <w:color w:val="1A2332"/>
          <w:sz w:val="22"/>
          <w:szCs w:val="22"/>
        </w:rPr>
        <w:t>Identify gaps, ambiguities, or areas for improvement;</w:t>
      </w:r>
    </w:p>
    <w:p>
      <w:pPr>
        <w:pStyle w:val="Normal"/>
        <w:numPr>
          <w:ilvl w:val="0"/>
          <w:numId w:val="1"/>
        </w:numPr>
      </w:pPr>
      <w:r>
        <w:rPr>
          <w:rFonts w:ascii="Calibri" w:hAnsi="Calibri" w:eastAsia="Microsoft YaHei" w:cs="Calibri"/>
          <w:color w:val="1A2332"/>
          <w:sz w:val="22"/>
          <w:szCs w:val="22"/>
        </w:rPr>
        <w:t>Incorporate lessons learned from incidents and exercises;</w:t>
      </w:r>
    </w:p>
    <w:p>
      <w:pPr>
        <w:pStyle w:val="Normal"/>
        <w:numPr>
          <w:ilvl w:val="0"/>
          <w:numId w:val="1"/>
        </w:numPr>
      </w:pPr>
      <w:r>
        <w:rPr>
          <w:rFonts w:ascii="Calibri" w:hAnsi="Calibri" w:eastAsia="Microsoft YaHei" w:cs="Calibri"/>
          <w:color w:val="1A2332"/>
          <w:sz w:val="22"/>
          <w:szCs w:val="22"/>
        </w:rPr>
        <w:t>Update technical specifications (VHF channels, No-Go Zone boundaries, etc.) as needed.</w:t>
      </w:r>
    </w:p>
    <w:p>
      <w:pPr>
        <w:pStyle w:val="Heading3"/>
      </w:pPr>
      <w:r>
        <w:rPr>
          <w:rFonts w:ascii="Calibri" w:hAnsi="Calibri" w:eastAsia="Microsoft YaHei" w:cs="Calibri"/>
          <w:b/>
          <w:color w:val="3D5266"/>
          <w:sz w:val="24"/>
          <w:szCs w:val="24"/>
        </w:rPr>
        <w:t>G.1.2 IMO Consultation</w:t>
      </w:r>
    </w:p>
    <w:p>
      <w:pPr>
        <w:pStyle w:val="Normal"/>
      </w:pPr>
      <w:r>
        <w:rPr>
          <w:rFonts w:ascii="Calibri" w:hAnsi="Calibri" w:eastAsia="Microsoft YaHei" w:cs="Calibri"/>
          <w:color w:val="1A2332"/>
          <w:sz w:val="22"/>
          <w:szCs w:val="22"/>
        </w:rPr>
        <w:t>The JIC consults the IMO during the Annual Technical Review to ensure alignment with evolving international standards and best practices.</w:t>
      </w:r>
    </w:p>
    <w:p>
      <w:pPr>
        <w:pStyle w:val="Heading2"/>
      </w:pPr>
      <w:r>
        <w:rPr>
          <w:rFonts w:ascii="Calibri" w:hAnsi="Calibri" w:eastAsia="Microsoft YaHei" w:cs="Calibri"/>
          <w:b/>
          <w:color w:val="1A2332"/>
          <w:sz w:val="28"/>
          <w:szCs w:val="28"/>
        </w:rPr>
        <w:t>G.2 Emergency Amendments</w:t>
      </w:r>
    </w:p>
    <w:p>
      <w:pPr>
        <w:pStyle w:val="Heading3"/>
      </w:pPr>
      <w:r>
        <w:rPr>
          <w:rFonts w:ascii="Calibri" w:hAnsi="Calibri" w:eastAsia="Microsoft YaHei" w:cs="Calibri"/>
          <w:b/>
          <w:color w:val="3D5266"/>
          <w:sz w:val="24"/>
          <w:szCs w:val="24"/>
        </w:rPr>
        <w:t>G.2.1 Urgent Updates</w:t>
      </w:r>
    </w:p>
    <w:p>
      <w:pPr>
        <w:pStyle w:val="Normal"/>
      </w:pPr>
      <w:r>
        <w:rPr>
          <w:rFonts w:ascii="Calibri" w:hAnsi="Calibri" w:eastAsia="Microsoft YaHei" w:cs="Calibri"/>
          <w:color w:val="1A2332"/>
          <w:sz w:val="22"/>
          <w:szCs w:val="22"/>
        </w:rPr>
        <w:t>In the event of a significant navigational hazard, security threat, or technological change:</w:t>
      </w:r>
    </w:p>
    <w:p>
      <w:pPr>
        <w:pStyle w:val="Normal"/>
        <w:numPr>
          <w:ilvl w:val="0"/>
          <w:numId w:val="1"/>
        </w:numPr>
      </w:pPr>
      <w:r>
        <w:rPr>
          <w:rFonts w:ascii="Calibri" w:hAnsi="Calibri" w:eastAsia="Microsoft YaHei" w:cs="Calibri"/>
          <w:color w:val="1A2332"/>
          <w:sz w:val="22"/>
          <w:szCs w:val="22"/>
        </w:rPr>
        <w:t>Any Party proposes an emergency amendment to this Annex;</w:t>
      </w:r>
    </w:p>
    <w:p>
      <w:pPr>
        <w:pStyle w:val="Normal"/>
        <w:numPr>
          <w:ilvl w:val="0"/>
          <w:numId w:val="1"/>
        </w:numPr>
      </w:pPr>
      <w:r>
        <w:rPr>
          <w:rFonts w:ascii="Calibri" w:hAnsi="Calibri" w:eastAsia="Microsoft YaHei" w:cs="Calibri"/>
          <w:color w:val="1A2332"/>
          <w:sz w:val="22"/>
          <w:szCs w:val="22"/>
        </w:rPr>
        <w:t>Such amendments are submitted to the JIC in writing, with justification and proposed text;</w:t>
      </w:r>
    </w:p>
    <w:p>
      <w:pPr>
        <w:pStyle w:val="Normal"/>
        <w:numPr>
          <w:ilvl w:val="0"/>
          <w:numId w:val="1"/>
        </w:numPr>
      </w:pPr>
      <w:r>
        <w:rPr>
          <w:rFonts w:ascii="Calibri" w:hAnsi="Calibri" w:eastAsia="Microsoft YaHei" w:cs="Calibri"/>
          <w:color w:val="1A2332"/>
          <w:sz w:val="22"/>
          <w:szCs w:val="22"/>
        </w:rPr>
        <w:t>The JIC convenes an emergency session within 7 days to consider the amendment;</w:t>
      </w:r>
    </w:p>
    <w:p>
      <w:pPr>
        <w:pStyle w:val="Normal"/>
        <w:numPr>
          <w:ilvl w:val="0"/>
          <w:numId w:val="1"/>
        </w:numPr>
      </w:pPr>
      <w:r>
        <w:rPr>
          <w:rFonts w:ascii="Calibri" w:hAnsi="Calibri" w:eastAsia="Microsoft YaHei" w:cs="Calibri"/>
          <w:color w:val="1A2332"/>
          <w:sz w:val="22"/>
          <w:szCs w:val="22"/>
        </w:rPr>
        <w:t>Amendments are adopted by a two-thirds majority of JIC voting members;</w:t>
      </w:r>
    </w:p>
    <w:p>
      <w:pPr>
        <w:pStyle w:val="Normal"/>
        <w:numPr>
          <w:ilvl w:val="0"/>
          <w:numId w:val="1"/>
        </w:numPr>
      </w:pPr>
      <w:r>
        <w:rPr>
          <w:rFonts w:ascii="Calibri" w:hAnsi="Calibri" w:eastAsia="Microsoft YaHei" w:cs="Calibri"/>
          <w:color w:val="1A2332"/>
          <w:sz w:val="22"/>
          <w:szCs w:val="22"/>
        </w:rPr>
        <w:t>Emergency amendments take effect immediately upon adoption and are documented in the next quarterly report.</w:t>
      </w:r>
    </w:p>
    <w:p>
      <w:pPr>
        <w:pStyle w:val="Heading2"/>
      </w:pPr>
      <w:r>
        <w:rPr>
          <w:rFonts w:ascii="Calibri" w:hAnsi="Calibri" w:eastAsia="Microsoft YaHei" w:cs="Calibri"/>
          <w:b/>
          <w:color w:val="1A2332"/>
          <w:sz w:val="28"/>
          <w:szCs w:val="28"/>
        </w:rPr>
        <w:t>G.3 SOP Development</w:t>
      </w:r>
    </w:p>
    <w:p>
      <w:pPr>
        <w:pStyle w:val="Heading3"/>
      </w:pPr>
      <w:r>
        <w:rPr>
          <w:rFonts w:ascii="Calibri" w:hAnsi="Calibri" w:eastAsia="Microsoft YaHei" w:cs="Calibri"/>
          <w:b/>
          <w:color w:val="3D5266"/>
          <w:sz w:val="24"/>
          <w:szCs w:val="24"/>
        </w:rPr>
        <w:t>G.3.1 Standard Operating Procedures</w:t>
      </w:r>
    </w:p>
    <w:p>
      <w:pPr>
        <w:pStyle w:val="Normal"/>
      </w:pPr>
      <w:r>
        <w:rPr>
          <w:rFonts w:ascii="Calibri" w:hAnsi="Calibri" w:eastAsia="Microsoft YaHei" w:cs="Calibri"/>
          <w:color w:val="1A2332"/>
          <w:sz w:val="22"/>
          <w:szCs w:val="22"/>
        </w:rPr>
        <w:t>The JIC develops detailed Standard Operating Procedures (SOPs) for specific operational scenarios, including:</w:t>
      </w:r>
    </w:p>
    <w:p>
      <w:pPr>
        <w:pStyle w:val="Normal"/>
        <w:numPr>
          <w:ilvl w:val="0"/>
          <w:numId w:val="1"/>
        </w:numPr>
      </w:pPr>
      <w:r>
        <w:rPr>
          <w:rFonts w:ascii="Calibri" w:hAnsi="Calibri" w:eastAsia="Microsoft YaHei" w:cs="Calibri"/>
          <w:color w:val="1A2332"/>
          <w:sz w:val="22"/>
          <w:szCs w:val="22"/>
        </w:rPr>
        <w:t>Boarding procedures (if required under exceptional circumstances);</w:t>
      </w:r>
    </w:p>
    <w:p>
      <w:pPr>
        <w:pStyle w:val="Normal"/>
        <w:numPr>
          <w:ilvl w:val="0"/>
          <w:numId w:val="1"/>
        </w:numPr>
      </w:pPr>
      <w:r>
        <w:rPr>
          <w:rFonts w:ascii="Calibri" w:hAnsi="Calibri" w:eastAsia="Microsoft YaHei" w:cs="Calibri"/>
          <w:color w:val="1A2332"/>
          <w:sz w:val="22"/>
          <w:szCs w:val="22"/>
        </w:rPr>
        <w:t>Mine-countermeasure coordination;</w:t>
      </w:r>
    </w:p>
    <w:p>
      <w:pPr>
        <w:pStyle w:val="Normal"/>
        <w:numPr>
          <w:ilvl w:val="0"/>
          <w:numId w:val="1"/>
        </w:numPr>
      </w:pPr>
      <w:r>
        <w:rPr>
          <w:rFonts w:ascii="Calibri" w:hAnsi="Calibri" w:eastAsia="Microsoft YaHei" w:cs="Calibri"/>
          <w:color w:val="1A2332"/>
          <w:sz w:val="22"/>
          <w:szCs w:val="22"/>
        </w:rPr>
        <w:t>Escort and protective service protocols;</w:t>
      </w:r>
    </w:p>
    <w:p>
      <w:pPr>
        <w:pStyle w:val="Normal"/>
        <w:numPr>
          <w:ilvl w:val="0"/>
          <w:numId w:val="1"/>
        </w:numPr>
      </w:pPr>
      <w:r>
        <w:rPr>
          <w:rFonts w:ascii="Calibri" w:hAnsi="Calibri" w:eastAsia="Microsoft YaHei" w:cs="Calibri"/>
          <w:color w:val="1A2332"/>
          <w:sz w:val="22"/>
          <w:szCs w:val="22"/>
        </w:rPr>
        <w:t>Communication drills and exercises.</w:t>
      </w:r>
    </w:p>
    <w:p>
      <w:pPr>
        <w:pStyle w:val="Heading3"/>
      </w:pPr>
      <w:r>
        <w:rPr>
          <w:rFonts w:ascii="Calibri" w:hAnsi="Calibri" w:eastAsia="Microsoft YaHei" w:cs="Calibri"/>
          <w:b/>
          <w:color w:val="3D5266"/>
          <w:sz w:val="24"/>
          <w:szCs w:val="24"/>
        </w:rPr>
        <w:t>G.3.2 SOP Approval</w:t>
      </w:r>
    </w:p>
    <w:p>
      <w:pPr>
        <w:pStyle w:val="Normal"/>
      </w:pPr>
      <w:r>
        <w:rPr>
          <w:rFonts w:ascii="Calibri" w:hAnsi="Calibri" w:eastAsia="Microsoft YaHei" w:cs="Calibri"/>
          <w:color w:val="1A2332"/>
          <w:sz w:val="22"/>
          <w:szCs w:val="22"/>
        </w:rPr>
        <w:t>SOPs are approved by the JIC by simple majority and are treated as technical appendices, subject to the same confidentiality and data-sharing provisions as this Annex.</w:t>
      </w:r>
    </w:p>
    <w:p>
      <w:pPr>
        <w:pStyle w:val="Heading1"/>
      </w:pPr>
      <w:bookmarkStart w:name="_Toc008" w:id="8"/>
      <w:r>
        <w:rPr>
          <w:rFonts w:ascii="Calibri" w:hAnsi="Calibri" w:eastAsia="Microsoft YaHei" w:cs="Calibri"/>
          <w:b/>
          <w:color w:val="2D5A7B"/>
          <w:sz w:val="36"/>
          <w:szCs w:val="36"/>
        </w:rPr>
        <w:t>Section H: Final Provisions</w:t>
      </w:r>
      <w:bookmarkEnd w:id="8"/>
    </w:p>
    <w:p>
      <w:pPr>
        <w:pStyle w:val="Heading2"/>
      </w:pPr>
      <w:r>
        <w:rPr>
          <w:rFonts w:ascii="Calibri" w:hAnsi="Calibri" w:eastAsia="Microsoft YaHei" w:cs="Calibri"/>
          <w:b/>
          <w:color w:val="1A2332"/>
          <w:sz w:val="28"/>
          <w:szCs w:val="28"/>
        </w:rPr>
        <w:t>H.1 Duration and Review</w:t>
      </w:r>
    </w:p>
    <w:p>
      <w:pPr>
        <w:pStyle w:val="Heading3"/>
      </w:pPr>
      <w:r>
        <w:rPr>
          <w:rFonts w:ascii="Calibri" w:hAnsi="Calibri" w:eastAsia="Microsoft YaHei" w:cs="Calibri"/>
          <w:b/>
          <w:color w:val="3D5266"/>
          <w:sz w:val="24"/>
          <w:szCs w:val="24"/>
        </w:rPr>
        <w:t>H.1.1 Duration</w:t>
      </w:r>
    </w:p>
    <w:p>
      <w:pPr>
        <w:pStyle w:val="Normal"/>
      </w:pPr>
      <w:r>
        <w:rPr>
          <w:rFonts w:ascii="Calibri" w:hAnsi="Calibri" w:eastAsia="Microsoft YaHei" w:cs="Calibri"/>
          <w:color w:val="1A2332"/>
          <w:sz w:val="22"/>
          <w:szCs w:val="22"/>
        </w:rPr>
        <w:t>This Annex remains in effect for the duration of the HSU (24 months, renewable) unless amended or terminated by mutual agreement of the Parties.</w:t>
      </w:r>
    </w:p>
    <w:p>
      <w:pPr>
        <w:pStyle w:val="Heading3"/>
      </w:pPr>
      <w:r>
        <w:rPr>
          <w:rFonts w:ascii="Calibri" w:hAnsi="Calibri" w:eastAsia="Microsoft YaHei" w:cs="Calibri"/>
          <w:b/>
          <w:color w:val="3D5266"/>
          <w:sz w:val="24"/>
          <w:szCs w:val="24"/>
        </w:rPr>
        <w:t>H.1.2 Termination</w:t>
      </w:r>
    </w:p>
    <w:p>
      <w:pPr>
        <w:pStyle w:val="Normal"/>
      </w:pPr>
      <w:r>
        <w:rPr>
          <w:rFonts w:ascii="Calibri" w:hAnsi="Calibri" w:eastAsia="Microsoft YaHei" w:cs="Calibri"/>
          <w:color w:val="1A2332"/>
          <w:sz w:val="22"/>
          <w:szCs w:val="22"/>
        </w:rPr>
        <w:t>Termination of this Annex is governed by HSU Article 9.3 (Withdrawal). Termination of the Annex does not automatically terminate the HSU, but the HSU undergoes review if this Annex terminates.</w:t>
      </w:r>
    </w:p>
    <w:p>
      <w:pPr>
        <w:pStyle w:val="Heading2"/>
      </w:pPr>
      <w:r>
        <w:rPr>
          <w:rFonts w:ascii="Calibri" w:hAnsi="Calibri" w:eastAsia="Microsoft YaHei" w:cs="Calibri"/>
          <w:b/>
          <w:color w:val="1A2332"/>
          <w:sz w:val="28"/>
          <w:szCs w:val="28"/>
        </w:rPr>
        <w:t>H.2 Confidentiality</w:t>
      </w:r>
    </w:p>
    <w:p>
      <w:pPr>
        <w:pStyle w:val="Heading3"/>
      </w:pPr>
      <w:r>
        <w:rPr>
          <w:rFonts w:ascii="Calibri" w:hAnsi="Calibri" w:eastAsia="Microsoft YaHei" w:cs="Calibri"/>
          <w:b/>
          <w:color w:val="3D5266"/>
          <w:sz w:val="24"/>
          <w:szCs w:val="24"/>
        </w:rPr>
        <w:t>H.2.1 Non-Disclosure</w:t>
      </w:r>
    </w:p>
    <w:p>
      <w:pPr>
        <w:pStyle w:val="Normal"/>
      </w:pPr>
      <w:r>
        <w:rPr>
          <w:rFonts w:ascii="Calibri" w:hAnsi="Calibri" w:eastAsia="Microsoft YaHei" w:cs="Calibri"/>
          <w:color w:val="1A2332"/>
          <w:sz w:val="22"/>
          <w:szCs w:val="22"/>
        </w:rPr>
        <w:t>All operational data, communications logs, and incident reports generated under this Annex carry classification as CONFIDENTIAL / RESTRICTED and are not disclosed to third parties except:</w:t>
      </w:r>
    </w:p>
    <w:p>
      <w:pPr>
        <w:pStyle w:val="Normal"/>
        <w:numPr>
          <w:ilvl w:val="0"/>
          <w:numId w:val="1"/>
        </w:numPr>
      </w:pPr>
      <w:r>
        <w:rPr>
          <w:rFonts w:ascii="Calibri" w:hAnsi="Calibri" w:eastAsia="Microsoft YaHei" w:cs="Calibri"/>
          <w:color w:val="1A2332"/>
          <w:sz w:val="22"/>
          <w:szCs w:val="22"/>
        </w:rPr>
        <w:t>As required for emergency response;</w:t>
      </w:r>
    </w:p>
    <w:p>
      <w:pPr>
        <w:pStyle w:val="Normal"/>
        <w:numPr>
          <w:ilvl w:val="0"/>
          <w:numId w:val="1"/>
        </w:numPr>
      </w:pPr>
      <w:r>
        <w:rPr>
          <w:rFonts w:ascii="Calibri" w:hAnsi="Calibri" w:eastAsia="Microsoft YaHei" w:cs="Calibri"/>
          <w:color w:val="1A2332"/>
          <w:sz w:val="22"/>
          <w:szCs w:val="22"/>
        </w:rPr>
        <w:t>As required by the IMO for safety reporting;</w:t>
      </w:r>
    </w:p>
    <w:p>
      <w:pPr>
        <w:pStyle w:val="Normal"/>
        <w:numPr>
          <w:ilvl w:val="0"/>
          <w:numId w:val="1"/>
        </w:numPr>
      </w:pPr>
      <w:r>
        <w:rPr>
          <w:rFonts w:ascii="Calibri" w:hAnsi="Calibri" w:eastAsia="Microsoft YaHei" w:cs="Calibri"/>
          <w:color w:val="1A2332"/>
          <w:sz w:val="22"/>
          <w:szCs w:val="22"/>
        </w:rPr>
        <w:t>By unanimous agreement of the JIC.</w:t>
      </w:r>
    </w:p>
    <w:p>
      <w:pPr>
        <w:pStyle w:val="Heading3"/>
      </w:pPr>
      <w:r>
        <w:rPr>
          <w:rFonts w:ascii="Calibri" w:hAnsi="Calibri" w:eastAsia="Microsoft YaHei" w:cs="Calibri"/>
          <w:b/>
          <w:color w:val="3D5266"/>
          <w:sz w:val="24"/>
          <w:szCs w:val="24"/>
        </w:rPr>
        <w:t>H.2.2 Public Reports</w:t>
      </w:r>
    </w:p>
    <w:p>
      <w:pPr>
        <w:pStyle w:val="Normal"/>
      </w:pPr>
      <w:r>
        <w:rPr>
          <w:rFonts w:ascii="Calibri" w:hAnsi="Calibri" w:eastAsia="Microsoft YaHei" w:cs="Calibri"/>
          <w:color w:val="1A2332"/>
          <w:sz w:val="22"/>
          <w:szCs w:val="22"/>
        </w:rPr>
        <w:t>Quarterly public Compliance Reports are anonymized and do not identify specific vessels, masters, or military units except where such identification is necessary for safety transparency.</w:t>
      </w:r>
    </w:p>
    <w:p>
      <w:pPr>
        <w:pStyle w:val="Heading2"/>
      </w:pPr>
      <w:r>
        <w:rPr>
          <w:rFonts w:ascii="Calibri" w:hAnsi="Calibri" w:eastAsia="Microsoft YaHei" w:cs="Calibri"/>
          <w:b/>
          <w:color w:val="1A2332"/>
          <w:sz w:val="28"/>
          <w:szCs w:val="28"/>
        </w:rPr>
        <w:t>H.3 Annex Signatures</w:t>
      </w:r>
    </w:p>
    <w:p>
      <w:pPr>
        <w:pStyle w:val="Normal"/>
      </w:pPr>
      <w:r>
        <w:rPr>
          <w:rFonts w:ascii="Calibri" w:hAnsi="Calibri" w:eastAsia="Microsoft YaHei" w:cs="Calibri"/>
          <w:color w:val="1A2332"/>
          <w:sz w:val="22"/>
          <w:szCs w:val="22"/>
        </w:rPr>
        <w:t>This Annex is adopted by the Signatories to the HSU and is appended to the HSU as an integral component.</w:t>
      </w:r>
    </w:p>
    <w:p>
      <w:pPr>
        <w:pStyle w:val="Normal"/>
      </w:pPr>
      <w:r>
        <w:rPr>
          <w:rFonts w:ascii="Calibri" w:hAnsi="Calibri" w:eastAsia="Microsoft YaHei" w:cs="Calibri"/>
          <w:color w:val="1A2332"/>
          <w:sz w:val="22"/>
          <w:szCs w:val="22"/>
        </w:rPr>
        <w:t>ADOPTED this _____ day of ___________, 2026, in Muscat, Sultanate of Oman.</w:t>
      </w:r>
    </w:p>
    <w:p>
      <w:pPr>
        <w:pStyle w:val="Heading1"/>
        <w:keepNext w:val="1"/>
        <w:pageBreakBefore w:val="1"/>
        <w:spacing w:line="288" w:before="480" w:after="240" w:lineRule="auto"/>
      </w:pPr>
      <w:r>
        <w:rPr>
          <w:rFonts w:ascii="Calibri" w:hAnsi="Calibri" w:eastAsia="Microsoft YaHei" w:cs="Calibri"/>
          <w:b/>
          <w:color w:val="2D5A7B"/>
          <w:sz w:val="36"/>
          <w:szCs w:val="36"/>
        </w:rPr>
        <w:t>Section I: Confidence-Building Measures</w:t>
      </w:r>
    </w:p>
    <w:p>
      <w:pPr>
        <w:pStyle w:val="Normal"/>
      </w:pPr>
      <w:r>
        <w:rPr>
          <w:rFonts w:ascii="Calibri" w:hAnsi="Calibri" w:eastAsia="Microsoft YaHei" w:cs="Calibri"/>
          <w:color w:val="1A2332"/>
          <w:sz w:val="22"/>
          <w:szCs w:val="22"/>
        </w:rPr>
        <w:t>The Parties agree to conduct biannual joint VTS tabletop exercises, exchange VTS operators for 30-day secondments to foster mutual understanding, and establish a formal "Good Samaritan" recognition for vessels and units that provide exceptional assistance in emergencies.</w:t>
      </w:r>
    </w:p>
    <w:p>
      <w:pPr>
        <w:pStyle w:val="Heading2"/>
        <w:keepNext w:val="1"/>
        <w:spacing w:line="288" w:before="360" w:after="160" w:lineRule="auto"/>
      </w:pPr>
      <w:r>
        <w:rPr>
          <w:rFonts w:ascii="Calibri" w:hAnsi="Calibri" w:eastAsia="Microsoft YaHei" w:cs="Calibri"/>
          <w:b/>
          <w:color w:val="3D5266"/>
          <w:sz w:val="18"/>
          <w:szCs w:val="28"/>
        </w:rPr>
        <w:t>I.1 Joint VTS Tabletop Exercises</w:t>
      </w:r>
    </w:p>
    <w:p>
      <w:pPr>
        <w:pStyle w:val="Normal"/>
      </w:pPr>
      <w:r>
        <w:rPr>
          <w:rFonts w:ascii="Calibri" w:hAnsi="Calibri" w:eastAsia="Microsoft YaHei" w:cs="Calibri"/>
          <w:color w:val="1A2332"/>
          <w:sz w:val="22"/>
          <w:szCs w:val="22"/>
        </w:rPr>
        <w:t>The JIC organizes joint VTS tabletop exercises twice per calendar year. Each exercise simulates a Strait of Hormuz emergency scenario, tests coordination protocols, and identifies operational gaps. All Parties participate with at least two representatives per exercise.</w:t>
      </w:r>
    </w:p>
    <w:p>
      <w:pPr>
        <w:pStyle w:val="Heading2"/>
        <w:keepNext w:val="1"/>
        <w:spacing w:line="288" w:before="360" w:after="160" w:lineRule="auto"/>
      </w:pPr>
      <w:r>
        <w:rPr>
          <w:rFonts w:ascii="Calibri" w:hAnsi="Calibri" w:eastAsia="Microsoft YaHei" w:cs="Calibri"/>
          <w:b/>
          <w:color w:val="3D5266"/>
          <w:sz w:val="18"/>
          <w:szCs w:val="28"/>
        </w:rPr>
        <w:t>I.2 VTS Operator Secondments</w:t>
      </w:r>
    </w:p>
    <w:p>
      <w:pPr>
        <w:pStyle w:val="Normal"/>
      </w:pPr>
      <w:r>
        <w:rPr>
          <w:rFonts w:ascii="Calibri" w:hAnsi="Calibri" w:eastAsia="Microsoft YaHei" w:cs="Calibri"/>
          <w:color w:val="1A2332"/>
          <w:sz w:val="22"/>
          <w:szCs w:val="22"/>
        </w:rPr>
        <w:t>The Hormuz VTS facilitates 30-day secondments of VTS operators between watch centers. Each secondment placement rotates among Bandar Abbas, Fujairah, and Muscat. The hosting watch center provides the secondee with full operational access, training on local procedures, and integration into regular watch schedules. Secondment reports feed into the Annual Technical Review under Section G.</w:t>
      </w:r>
    </w:p>
    <w:p>
      <w:pPr>
        <w:pStyle w:val="Heading2"/>
        <w:keepNext w:val="1"/>
        <w:spacing w:line="288" w:before="360" w:after="160" w:lineRule="auto"/>
      </w:pPr>
      <w:r>
        <w:rPr>
          <w:rFonts w:ascii="Calibri" w:hAnsi="Calibri" w:eastAsia="Microsoft YaHei" w:cs="Calibri"/>
          <w:b/>
          <w:color w:val="3D5266"/>
          <w:sz w:val="18"/>
          <w:szCs w:val="28"/>
        </w:rPr>
        <w:t>I.3 Good Samaritan Recognition</w:t>
      </w:r>
    </w:p>
    <w:p>
      <w:pPr>
        <w:pStyle w:val="Normal"/>
      </w:pPr>
      <w:r>
        <w:rPr>
          <w:rFonts w:ascii="Calibri" w:hAnsi="Calibri" w:eastAsia="Microsoft YaHei" w:cs="Calibri"/>
          <w:color w:val="1A2332"/>
          <w:sz w:val="22"/>
          <w:szCs w:val="22"/>
        </w:rPr>
        <w:t>The JIC maintains a formal Good Samaritan recognition program for commercial vessels, naval units, or coast guard assets that provide exceptional assistance during emergencies in the Strait. Nominations originate from any Party, the JERC, or the vessel assisted. The JIC reviews nominations quarterly and publishes recognized actions in the public Compliance Report. Recognition carries no financial reward and does not confer legal privilege, but it does serve as a public record of exceptional maritime cooperation.</w:t>
      </w:r>
    </w:p>
    <w:p>
      <w:pPr>
        <w:pStyle w:val="Heading1"/>
      </w:pPr>
      <w:bookmarkStart w:name="_Toc009" w:id="9"/>
      <w:r>
        <w:rPr>
          <w:rFonts w:ascii="Calibri" w:hAnsi="Calibri" w:eastAsia="Microsoft YaHei" w:cs="Calibri"/>
          <w:b/>
          <w:color w:val="2D5A7B"/>
          <w:sz w:val="36"/>
          <w:szCs w:val="36"/>
        </w:rPr>
        <w:t>Implementing Officials Acknowledgment</w:t>
      </w:r>
      <w:bookmarkEnd w:id="9"/>
    </w:p>
    <w:p>
      <w:pPr>
        <w:pStyle w:val="Normal"/>
      </w:pPr>
      <w:r>
        <w:rPr>
          <w:rFonts w:ascii="Calibri" w:hAnsi="Calibri" w:eastAsia="Microsoft YaHei" w:cs="Calibri"/>
          <w:color w:val="1A2332"/>
          <w:sz w:val="22"/>
          <w:szCs w:val="22"/>
        </w:rPr>
        <w:t>The undersigned operational commanders acknowledge receipt of Annex 1AB and commit to disseminating its provisions to their respective units:</w:t>
      </w:r>
    </w:p>
    <w:tbl>
      <w:tblPr>
        <w:tblW w:w="5000" w:type="pct"/>
        <w:tblBorders>
          <w:top w:val="single" w:color="2d5a7b" w:sz="8"/>
          <w:left w:val="nil"/>
          <w:bottom w:val="single" w:color="2d5a7b" w:sz="8"/>
          <w:right w:val="nil"/>
          <w:insideH w:val="single" w:color="c8d4dc" w:sz="4"/>
          <w:insideV w:val="single" w:color="c8d4dc" w:sz="4"/>
        </w:tblBorders>
      </w:tblPr>
      <w:tblGrid>
        <w:gridCol w:w="3333"/>
        <w:gridCol w:w="3334"/>
        <w:gridCol w:w="3333"/>
      </w:tblGrid>
      <w:tr>
        <w:trPr>
          <w:tblHeader w:val="1"/>
        </w:trPr>
        <w:tc>
          <w:tcPr>
            <w:tcW w:w="3333" w:type="dxa"/>
            <w:shd w:val="clear" w:fill="E8EEF4" w:color="auto"/>
            <w:vAlign w:val="center"/>
          </w:tcPr>
          <w:p>
            <w:pPr>
              <w:pStyle w:val="Normal"/>
              <w:spacing w:before="60" w:after="60"/>
              <w:jc w:val="left"/>
            </w:pPr>
            <w:r>
              <w:rPr>
                <w:b/>
                <w:color w:val="1A2332"/>
                <w:sz w:val="20"/>
                <w:rFonts w:ascii="Calibri" w:hAnsi="Calibri" w:eastAsia="Microsoft YaHei" w:cs="Calibri"/>
                <w:szCs w:val="20"/>
              </w:rPr>
              <w:t>FOR THE UNITED STATES NAVAL FORCES CENTRAL COMMAND</w:t>
            </w:r>
          </w:p>
        </w:tc>
        <w:tc>
          <w:tcPr>
            <w:tcW w:w="3334" w:type="dxa"/>
            <w:shd w:val="clear" w:fill="E8EEF4" w:color="auto"/>
            <w:vAlign w:val="center"/>
          </w:tcPr>
          <w:p>
            <w:pPr>
              <w:pStyle w:val="Normal"/>
              <w:spacing w:before="60" w:after="60"/>
              <w:jc w:val="left"/>
            </w:pPr>
            <w:r>
              <w:rPr>
                <w:b/>
                <w:color w:val="1A2332"/>
                <w:sz w:val="20"/>
                <w:rFonts w:ascii="Calibri" w:hAnsi="Calibri" w:eastAsia="Microsoft YaHei" w:cs="Calibri"/>
                <w:szCs w:val="20"/>
              </w:rPr>
              <w:t>FOR THE IRGC NAVY</w:t>
            </w:r>
          </w:p>
        </w:tc>
        <w:tc>
          <w:tcPr>
            <w:tcW w:w="3333" w:type="dxa"/>
            <w:shd w:val="clear" w:fill="E8EEF4" w:color="auto"/>
            <w:vAlign w:val="center"/>
          </w:tcPr>
          <w:p>
            <w:pPr>
              <w:pStyle w:val="Normal"/>
              <w:spacing w:before="60" w:after="60"/>
              <w:jc w:val="left"/>
            </w:pPr>
            <w:r>
              <w:rPr>
                <w:b/>
                <w:color w:val="1A2332"/>
                <w:sz w:val="20"/>
                <w:rFonts w:ascii="Calibri" w:hAnsi="Calibri" w:eastAsia="Microsoft YaHei" w:cs="Calibri"/>
                <w:szCs w:val="20"/>
              </w:rPr>
              <w:t>FOR THE SULTANATE OF OMAN MARITIME SECURITY CENTRE</w:t>
            </w:r>
          </w:p>
        </w:tc>
      </w:tr>
      <w:tr>
        <w:tc>
          <w:tcPr>
            <w:tcW w:w="3333" w:type="dxa"/>
          </w:tcPr>
          <w:p>
            <w:pPr>
              <w:pStyle w:val="Normal"/>
              <w:spacing w:before="40" w:after="40"/>
              <w:jc w:val="left"/>
            </w:pPr>
            <w:r>
              <w:rPr>
                <w:color w:val="3D5266"/>
                <w:sz w:val="18"/>
                <w:rFonts w:ascii="Calibri" w:hAnsi="Calibri" w:eastAsia="Microsoft YaHei" w:cs="Calibri"/>
                <w:szCs w:val="18"/>
              </w:rPr>
              <w:t>_________________________</w:t>
            </w:r>
          </w:p>
        </w:tc>
        <w:tc>
          <w:tcPr>
            <w:tcW w:w="3334" w:type="dxa"/>
          </w:tcPr>
          <w:p>
            <w:pPr>
              <w:pStyle w:val="Normal"/>
              <w:spacing w:before="40" w:after="40"/>
              <w:jc w:val="left"/>
            </w:pPr>
            <w:r>
              <w:rPr>
                <w:color w:val="3D5266"/>
                <w:sz w:val="18"/>
                <w:rFonts w:ascii="Calibri" w:hAnsi="Calibri" w:eastAsia="Microsoft YaHei" w:cs="Calibri"/>
                <w:szCs w:val="18"/>
              </w:rPr>
              <w:t>_________________________</w:t>
            </w:r>
          </w:p>
        </w:tc>
        <w:tc>
          <w:tcPr>
            <w:tcW w:w="3333" w:type="dxa"/>
          </w:tcPr>
          <w:p>
            <w:pPr>
              <w:pStyle w:val="Normal"/>
              <w:spacing w:before="40" w:after="40"/>
              <w:jc w:val="left"/>
            </w:pPr>
            <w:r>
              <w:rPr>
                <w:color w:val="3D5266"/>
                <w:sz w:val="18"/>
                <w:rFonts w:ascii="Calibri" w:hAnsi="Calibri" w:eastAsia="Microsoft YaHei" w:cs="Calibri"/>
                <w:szCs w:val="18"/>
              </w:rPr>
              <w:t>_________________________</w:t>
            </w:r>
          </w:p>
        </w:tc>
      </w:tr>
      <w:tr>
        <w:tc>
          <w:tcPr>
            <w:tcW w:w="3333" w:type="dxa"/>
          </w:tcPr>
          <w:p>
            <w:pPr>
              <w:pStyle w:val="Normal"/>
              <w:spacing w:before="40" w:after="40"/>
              <w:jc w:val="left"/>
            </w:pPr>
            <w:r>
              <w:rPr>
                <w:color w:val="3D5266"/>
                <w:sz w:val="18"/>
                <w:rFonts w:ascii="Calibri" w:hAnsi="Calibri" w:eastAsia="Microsoft YaHei" w:cs="Calibri"/>
                <w:szCs w:val="18"/>
              </w:rPr>
              <w:t>[Name]</w:t>
            </w:r>
          </w:p>
        </w:tc>
        <w:tc>
          <w:tcPr>
            <w:tcW w:w="3334" w:type="dxa"/>
          </w:tcPr>
          <w:p>
            <w:pPr>
              <w:pStyle w:val="Normal"/>
              <w:spacing w:before="40" w:after="40"/>
              <w:jc w:val="left"/>
            </w:pPr>
            <w:r>
              <w:rPr>
                <w:color w:val="3D5266"/>
                <w:sz w:val="18"/>
                <w:rFonts w:ascii="Calibri" w:hAnsi="Calibri" w:eastAsia="Microsoft YaHei" w:cs="Calibri"/>
                <w:szCs w:val="18"/>
              </w:rPr>
              <w:t>[Name]</w:t>
            </w:r>
          </w:p>
        </w:tc>
        <w:tc>
          <w:tcPr>
            <w:tcW w:w="3333" w:type="dxa"/>
          </w:tcPr>
          <w:p>
            <w:pPr>
              <w:pStyle w:val="Normal"/>
              <w:spacing w:before="40" w:after="40"/>
              <w:jc w:val="left"/>
            </w:pPr>
            <w:r>
              <w:rPr>
                <w:color w:val="3D5266"/>
                <w:sz w:val="18"/>
                <w:rFonts w:ascii="Calibri" w:hAnsi="Calibri" w:eastAsia="Microsoft YaHei" w:cs="Calibri"/>
                <w:szCs w:val="18"/>
              </w:rPr>
              <w:t>[Name]</w:t>
            </w:r>
          </w:p>
        </w:tc>
      </w:tr>
      <w:tr>
        <w:tc>
          <w:tcPr>
            <w:tcW w:w="3333" w:type="dxa"/>
          </w:tcPr>
          <w:p>
            <w:pPr>
              <w:pStyle w:val="Normal"/>
              <w:spacing w:before="40" w:after="40"/>
              <w:jc w:val="left"/>
            </w:pPr>
            <w:r>
              <w:rPr>
                <w:color w:val="3D5266"/>
                <w:sz w:val="18"/>
                <w:rFonts w:ascii="Calibri" w:hAnsi="Calibri" w:eastAsia="Microsoft YaHei" w:cs="Calibri"/>
                <w:szCs w:val="18"/>
              </w:rPr>
              <w:t>[Title]</w:t>
            </w:r>
          </w:p>
        </w:tc>
        <w:tc>
          <w:tcPr>
            <w:tcW w:w="3334" w:type="dxa"/>
          </w:tcPr>
          <w:p>
            <w:pPr>
              <w:pStyle w:val="Normal"/>
              <w:spacing w:before="40" w:after="40"/>
              <w:jc w:val="left"/>
            </w:pPr>
            <w:r>
              <w:rPr>
                <w:color w:val="3D5266"/>
                <w:sz w:val="18"/>
                <w:rFonts w:ascii="Calibri" w:hAnsi="Calibri" w:eastAsia="Microsoft YaHei" w:cs="Calibri"/>
                <w:szCs w:val="18"/>
              </w:rPr>
              <w:t>[Title]</w:t>
            </w:r>
          </w:p>
        </w:tc>
        <w:tc>
          <w:tcPr>
            <w:tcW w:w="3333" w:type="dxa"/>
          </w:tcPr>
          <w:p>
            <w:pPr>
              <w:pStyle w:val="Normal"/>
              <w:spacing w:before="40" w:after="40"/>
              <w:jc w:val="left"/>
            </w:pPr>
            <w:r>
              <w:rPr>
                <w:color w:val="3D5266"/>
                <w:sz w:val="18"/>
                <w:rFonts w:ascii="Calibri" w:hAnsi="Calibri" w:eastAsia="Microsoft YaHei" w:cs="Calibri"/>
                <w:szCs w:val="18"/>
              </w:rPr>
              <w:t>[Title]</w:t>
            </w:r>
          </w:p>
        </w:tc>
      </w:tr>
      <w:tr>
        <w:tc>
          <w:tcPr>
            <w:tcW w:w="3333" w:type="dxa"/>
          </w:tcPr>
          <w:p>
            <w:pPr>
              <w:pStyle w:val="Normal"/>
              <w:spacing w:before="40" w:after="40"/>
              <w:jc w:val="left"/>
            </w:pPr>
            <w:r>
              <w:rPr>
                <w:color w:val="3D5266"/>
                <w:sz w:val="18"/>
                <w:rFonts w:ascii="Calibri" w:hAnsi="Calibri" w:eastAsia="Microsoft YaHei" w:cs="Calibri"/>
                <w:szCs w:val="18"/>
              </w:rPr>
              <w:t>Date: _______________</w:t>
            </w:r>
          </w:p>
        </w:tc>
        <w:tc>
          <w:tcPr>
            <w:tcW w:w="3334" w:type="dxa"/>
          </w:tcPr>
          <w:p>
            <w:pPr>
              <w:pStyle w:val="Normal"/>
              <w:spacing w:before="40" w:after="40"/>
              <w:jc w:val="left"/>
            </w:pPr>
            <w:r>
              <w:rPr>
                <w:color w:val="3D5266"/>
                <w:sz w:val="18"/>
                <w:rFonts w:ascii="Calibri" w:hAnsi="Calibri" w:eastAsia="Microsoft YaHei" w:cs="Calibri"/>
                <w:szCs w:val="18"/>
              </w:rPr>
              <w:t>Date: _______________</w:t>
            </w:r>
          </w:p>
        </w:tc>
        <w:tc>
          <w:tcPr>
            <w:tcW w:w="3333" w:type="dxa"/>
          </w:tcPr>
          <w:p>
            <w:pPr>
              <w:pStyle w:val="Normal"/>
              <w:spacing w:before="40" w:after="40"/>
              <w:jc w:val="left"/>
            </w:pPr>
            <w:r>
              <w:rPr>
                <w:color w:val="3D5266"/>
                <w:sz w:val="18"/>
                <w:rFonts w:ascii="Calibri" w:hAnsi="Calibri" w:eastAsia="Microsoft YaHei" w:cs="Calibri"/>
                <w:szCs w:val="18"/>
              </w:rPr>
              <w:t>Date: _______________</w:t>
            </w:r>
          </w:p>
        </w:tc>
      </w:tr>
    </w:tbl>
    <w:p>
      <w:pPr>
        <w:pStyle w:val="Normal"/>
        <w:sectPr>
          <w:headerReference w:type="default" r:id="R45d82e701ac24094"/>
          <w:footerReference w:type="default" r:id="R8880dcf39dbc494c"/>
          <w:pgSz w:w="11906" w:h="16838"/>
          <w:pgMar w:top="1800" w:right="1440" w:bottom="1440" w:left="1440" w:header="720" w:footer="720"/>
        </w:sectPr>
      </w:pPr>
    </w:p>
    <w:p>
      <w:pPr>
        <w:pStyle w:val="Normal"/>
      </w:pPr>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3" name="BackBg"/>
            <wp:cNvGraphicFramePr>
              <a:graphicFrameLocks noChangeAspect="1"/>
            </wp:cNvGraphicFramePr>
            <a:graphic>
              <a:graphicData uri="http://schemas.openxmlformats.org/drawingml/2006/picture">
                <pic:pic>
                  <pic:nvPicPr>
                    <pic:cNvPr id="0" name="BackBg.png"/>
                    <pic:cNvPicPr/>
                  </pic:nvPicPr>
                  <pic:blipFill>
                    <a:blip r:embed="R18e0de366ed34915"/>
                    <a:stretch>
                      <a:fillRect/>
                    </a:stretch>
                  </pic:blipFill>
                  <pic:spPr>
                    <a:xfrm>
                      <a:off x="0" y="0"/>
                      <a:ext cx="7560000" cy="10692000"/>
                    </a:xfrm>
                    <a:prstGeom prst="rect"/>
                  </pic:spPr>
                </pic:pic>
              </a:graphicData>
            </a:graphic>
          </wp:anchor>
        </w:drawing>
      </w:r>
    </w:p>
    <w:p>
      <w:pPr>
        <w:pStyle w:val="Normal"/>
        <w:spacing w:before="6000"/>
        <w:jc w:val="center"/>
      </w:pPr>
      <w:r>
        <w:rPr>
          <w:b/>
          <w:color w:val="2D5A7B"/>
          <w:sz w:val="56"/>
          <w:rFonts w:ascii="Calibri" w:hAnsi="Calibri" w:eastAsia="Microsoft YaHei" w:cs="Calibri"/>
          <w:szCs w:val="56"/>
        </w:rPr>
        <w:t>Annex 1AB</w:t>
      </w:r>
    </w:p>
    <w:p>
      <w:pPr>
        <w:pStyle w:val="Normal"/>
        <w:spacing w:before="300"/>
        <w:jc w:val="center"/>
      </w:pPr>
      <w:r>
        <w:rPr>
          <w:i/>
          <w:color w:val="6B9AB5"/>
          <w:sz w:val="24"/>
          <w:rFonts w:ascii="Calibri" w:hAnsi="Calibri" w:eastAsia="Microsoft YaHei" w:cs="Calibri"/>
          <w:szCs w:val="24"/>
        </w:rPr>
        <w:t>Navigation Safety &amp; Deconfliction Protocol</w:t>
      </w:r>
    </w:p>
    <w:p>
      <w:pPr>
        <w:pStyle w:val="Normal"/>
        <w:spacing w:before="600"/>
        <w:jc w:val="center"/>
      </w:pPr>
      <w:r>
        <w:rPr>
          <w:color w:val="7A94A5"/>
          <w:sz w:val="20"/>
          <w:rFonts w:ascii="Calibri" w:hAnsi="Calibri" w:eastAsia="Microsoft YaHei" w:cs="Calibri"/>
          <w:szCs w:val="20"/>
        </w:rPr>
        <w:t>To the Hormuz Standardization Understanding (HSU)</w:t>
      </w:r>
    </w:p>
    <w:p>
      <w:pPr>
        <w:pStyle w:val="Normal"/>
        <w:spacing w:before="3000"/>
        <w:jc w:val="center"/>
      </w:pPr>
      <w:r>
        <w:rPr>
          <w:color w:val="7A94A5"/>
          <w:sz w:val="18"/>
          <w:rFonts w:ascii="Calibri" w:hAnsi="Calibri" w:eastAsia="Microsoft YaHei" w:cs="Calibri"/>
          <w:szCs w:val="18"/>
        </w:rPr>
        <w:t>Hormuz Standardization Understanding | July 2026</w:t>
      </w:r>
    </w:p>
    <w:p>
      <w:pPr>
        <w:spacing w:before="100"/>
        <w:jc w:val="center"/>
      </w:pPr>
      <w:r>
        <w:rPr>
          <w:color w:val="7a94a5"/>
          <w:sz w:val="16"/>
        </w:rPr>
        <w:t>Depositary: Government of the Sultanate of Oman</w:t>
      </w:r>
    </w:p>
    <w:p>
      <w:pPr>
        <w:spacing w:before="200"/>
        <w:jc w:val="center"/>
      </w:pPr>
      <w:r>
        <w:rPr>
          <w:color w:val="7a94a5"/>
          <w:sz w:val="16"/>
        </w:rPr>
        <w:t>CONFIDENTIAL / AUTHORIZED NEGOTIATORS ONLY</w:t>
      </w:r>
    </w:p>
    <w:sectPr>
      <w:pgSz w:w="11906" w:h="16838"/>
      <w:pgMar w:top="0" w:right="0" w:bottom="0" w:left="0" w:header="0" w:footer="0"/>
    </w:sectPr>
  </w:body>
</w:document>
</file>

<file path=word/footer1.xml><?xml version="1.0" encoding="utf-8"?>
<w:ftr xmlns:w="http://schemas.openxmlformats.org/wordprocessingml/2006/main">
  <w:p>
    <w:pPr>
      <w:jc w:val="center"/>
    </w:pPr>
    <w:r>
      <w:rPr>
        <w:color w:val="7a94a5"/>
        <w:sz w:val="18"/>
      </w:rPr>
      <w:t xml:space="preserve">Page </w:t>
    </w:r>
    <w:r>
      <w:rPr>
        <w:color w:val="7a94a5"/>
        <w:sz w:val="18"/>
      </w:rPr>
      <w:fldChar w:fldCharType="begin"/>
    </w:r>
    <w:r>
      <w:rPr>
        <w:color w:val="7a94a5"/>
        <w:sz w:val="18"/>
      </w:rPr>
      <w:instrText xml:space="preserve"> PAGE </w:instrText>
    </w:r>
    <w:r>
      <w:rPr>
        <w:color w:val="7a94a5"/>
        <w:sz w:val="18"/>
      </w:rPr>
      <w:fldChar w:fldCharType="separate"/>
    </w:r>
    <w:r>
      <w:rPr>
        <w:color w:val="7a94a5"/>
        <w:sz w:val="18"/>
      </w:rPr>
      <w:t>1</w:t>
    </w:r>
    <w:r>
      <w:rPr>
        <w:color w:val="7a94a5"/>
        <w:sz w:val="18"/>
      </w:rPr>
      <w:fldChar w:fldCharType="end"/>
    </w:r>
    <w:r>
      <w:rPr>
        <w:color w:val="7a94a5"/>
        <w:sz w:val="18"/>
      </w:rPr>
      <w:t xml:space="preserve"> of </w:t>
    </w:r>
    <w:r>
      <w:rPr>
        <w:color w:val="7a94a5"/>
        <w:sz w:val="18"/>
      </w:rPr>
      <w:fldChar w:fldCharType="begin"/>
    </w:r>
    <w:r>
      <w:rPr>
        <w:color w:val="7a94a5"/>
        <w:sz w:val="18"/>
      </w:rPr>
      <w:instrText xml:space="preserve"> NUMPAGES </w:instrText>
    </w:r>
    <w:r>
      <w:rPr>
        <w:color w:val="7a94a5"/>
        <w:sz w:val="18"/>
      </w:rPr>
      <w:fldChar w:fldCharType="separate"/>
    </w:r>
    <w:r>
      <w:rPr>
        <w:color w:val="7a94a5"/>
        <w:sz w:val="18"/>
      </w:rPr>
      <w:t>1</w:t>
    </w:r>
    <w:r>
      <w:rPr>
        <w:color w:val="7a94a5"/>
        <w:sz w:val="18"/>
      </w:rPr>
      <w:fldChar w:fldCharType="end"/>
    </w:r>
  </w:p>
</w:ftr>
</file>

<file path=word/header1.xml><?xml version="1.0" encoding="utf-8"?>
<w:hdr xmlns:w="http://schemas.openxmlformats.org/wordprocessingml/2006/main">
  <w:p>
    <w:pPr>
      <w:jc w:val="right"/>
    </w:pPr>
    <w:r>
      <w:rPr>
        <w:color w:val="7a94a5"/>
        <w:sz w:val="16"/>
      </w:rPr>
      <w:t>Annex 1AB: Navigation Safety &amp; Deconfliction Protocol</w:t>
    </w:r>
  </w:p>
</w:hdr>
</file>

<file path=word/numbering.xml><?xml version="1.0" encoding="utf-8"?>
<w:numbering xmlns:w="http://schemas.openxmlformats.org/wordprocessingml/2006/main">
  <w:abstractNum w:abstractNumId="1">
    <w:lvl w:ilvl="0">
      <w:numFmt w:val="lowerLetter"/>
      <w:lvlText w:val="(%1)"/>
      <w:lvlJc w:val="left"/>
      <w:pPr>
        <w:ind w:left="720" w:hanging="360"/>
      </w:pPr>
    </w:lvl>
  </w:abstractNum>
  <w:abstractNum w:abstractNumId="2">
    <w:lvl w:ilvl="0">
      <w:numFmt w:val="lowerRoman"/>
      <w:lvlText w:val="(%1)"/>
      <w:lvlJc w:val="left"/>
      <w:pPr>
        <w:ind w:left="1080" w:hanging="360"/>
      </w:pPr>
    </w:lvl>
  </w:abstractNum>
  <w:abstractNum w:abstractNumId="3">
    <w:lvl w:ilvl="0">
      <w:numFmt w:val="decimal"/>
      <w:lvlText w:val="%1."/>
      <w:lvlJc w:val="left"/>
      <w:pPr>
        <w:ind w:left="720" w:hanging="360"/>
      </w:pPr>
    </w:lvl>
  </w:abstractNum>
  <w:num w:numId="1">
    <w:abstractNumId w:val="1"/>
  </w:num>
  <w:num w:numId="2">
    <w:abstractNumId w:val="2"/>
  </w:num>
  <w:num w:numId="3">
    <w:abstractNumId w:val="3"/>
  </w:num>
</w:numbering>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after="180" w:line="288" w:lineRule="auto"/>
    </w:pPr>
    <w:rPr>
      <w:rFonts w:ascii="Calibri" w:hAnsi="Calibri" w:eastAsia="Microsoft YaHei"/>
      <w:color w:val="1a2332"/>
      <w:sz w:val="22"/>
    </w:rPr>
  </w:style>
  <w:style w:type="paragraph" w:styleId="Heading1">
    <w:name w:val="heading 1"/>
    <w:basedOn w:val="Normal"/>
    <w:pPr>
      <w:keepNext/>
      <w:keepLines/>
      <w:pageBreakBefore/>
      <w:spacing w:before="480" w:after="240"/>
      <w:outlineLvl w:val="0"/>
    </w:pPr>
    <w:rPr>
      <w:rFonts w:ascii="Calibri" w:hAnsi="Calibri" w:eastAsia="Microsoft YaHei"/>
      <w:b/>
      <w:color w:val="2d5a7b"/>
      <w:sz w:val="36"/>
    </w:rPr>
  </w:style>
  <w:style w:type="paragraph" w:styleId="Heading2">
    <w:name w:val="heading 2"/>
    <w:basedOn w:val="Normal"/>
    <w:pPr>
      <w:keepNext/>
      <w:keepLines/>
      <w:spacing w:before="360" w:after="160"/>
      <w:outlineLvl w:val="1"/>
    </w:pPr>
    <w:rPr>
      <w:rFonts w:ascii="Calibri" w:hAnsi="Calibri" w:eastAsia="Microsoft YaHei"/>
      <w:b/>
      <w:color w:val="1a2332"/>
      <w:sz w:val="28"/>
    </w:rPr>
  </w:style>
  <w:style w:type="paragraph" w:styleId="Heading3">
    <w:name w:val="heading 3"/>
    <w:basedOn w:val="Normal"/>
    <w:pPr>
      <w:keepNext/>
      <w:keepLines/>
      <w:spacing w:before="280" w:after="120"/>
      <w:outlineLvl w:val="2"/>
    </w:pPr>
    <w:rPr>
      <w:rFonts w:ascii="Calibri" w:hAnsi="Calibri" w:eastAsia="Microsoft YaHei"/>
      <w:b/>
      <w:color w:val="3d5266"/>
      <w:sz w:val="24"/>
    </w:rPr>
  </w:style>
  <w:style w:type="paragraph" w:styleId="Heading4">
    <w:name w:val="heading 4"/>
    <w:basedOn w:val="Normal"/>
    <w:pPr>
      <w:keepNext/>
      <w:keepLines/>
      <w:spacing w:before="200" w:after="80"/>
      <w:outlineLvl w:val="3"/>
    </w:pPr>
    <w:rPr>
      <w:rFonts w:ascii="Calibri" w:hAnsi="Calibri" w:eastAsia="Microsoft YaHei"/>
      <w:b/>
      <w:color w:val="3d5266"/>
      <w:sz w:val="22"/>
    </w:rPr>
  </w:style>
  <w:style w:type="paragraph" w:styleId="TOC1">
    <w:name w:val="toc 1"/>
    <w:basedOn w:val="Normal"/>
    <w:pPr>
      <w:tabs>
        <w:tab w:val="right" w:leader="dot" w:pos="9350"/>
      </w:tabs>
      <w:spacing w:before="200" w:after="60"/>
    </w:pPr>
    <w:rPr>
      <w:b/>
      <w:color w:val="1a2332"/>
    </w:rPr>
  </w:style>
  <w:style w:type="paragraph" w:styleId="TOC2">
    <w:name w:val="toc 2"/>
    <w:basedOn w:val="Normal"/>
    <w:pPr>
      <w:tabs>
        <w:tab w:val="right" w:leader="dot" w:pos="9350"/>
      </w:tabs>
      <w:spacing w:before="60" w:after="40"/>
      <w:ind w:left="360"/>
    </w:pPr>
    <w:rPr>
      <w:color w:val="3d5266"/>
    </w:rPr>
  </w:style>
  <w:style w:type="paragraph" w:styleId="TOC3">
    <w:name w:val="toc 3"/>
    <w:basedOn w:val="Normal"/>
    <w:pPr>
      <w:tabs>
        <w:tab w:val="right" w:leader="dot" w:pos="9350"/>
      </w:tabs>
      <w:spacing w:before="40" w:after="20"/>
      <w:ind w:left="720"/>
    </w:pPr>
    <w:rPr>
      <w:color w:val="7a94a5"/>
      <w:sz w:val="20"/>
    </w:rPr>
  </w:style>
</w:styles>
</file>

<file path=word/_rels/document.xml.rels><?xml version='1.0' encoding='UTF-8'?>
<Relationships xmlns="http://schemas.openxmlformats.org/package/2006/relationships"><Relationship Id="R0756ebe984714ae7" Type="http://schemas.openxmlformats.org/officeDocument/2006/relationships/image" Target="media/image.png" /><Relationship Id="R114675e402a04814" Type="http://schemas.openxmlformats.org/officeDocument/2006/relationships/numbering" Target="numbering.xml" /><Relationship Id="R18e0de366ed34915" Type="http://schemas.openxmlformats.org/officeDocument/2006/relationships/image" Target="media/image2.png" /><Relationship Id="R34f3d4f62a7d4115" Type="http://schemas.openxmlformats.org/officeDocument/2006/relationships/styles" Target="styles.xml" /><Relationship Id="R45d82e701ac24094" Type="http://schemas.openxmlformats.org/officeDocument/2006/relationships/header" Target="header1.xml" /><Relationship Id="R8880dcf39dbc494c" Type="http://schemas.openxmlformats.org/officeDocument/2006/relationships/footer" Target="footer1.xml" /><Relationship Id="Ra97c9add1b5e4292" Type="http://schemas.openxmlformats.org/officeDocument/2006/relationships/settings" Target="settings.xml" /></Relationships>
</file>

<file path=word/_rels/header1.xml.rels><?xml version='1.0' encoding='UTF-8'?>
<Relationships xmlns="http://schemas.openxmlformats.org/package/2006/relationships"><Relationship Id="R9e80ba9920444af5" Type="http://schemas.openxmlformats.org/officeDocument/2006/relationships/image" Target="media/image3.png" /></Relationships>
</file>