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DDABE" w14:textId="77777777" w:rsidR="001E0D0B" w:rsidRDefault="001E0D0B">
      <w:pPr>
        <w:spacing w:before="3600"/>
      </w:pPr>
    </w:p>
    <w:p w14:paraId="770D96FE" w14:textId="77777777" w:rsidR="001E0D0B" w:rsidRDefault="00000000">
      <w:pPr>
        <w:spacing w:after="600"/>
        <w:jc w:val="center"/>
      </w:pPr>
      <w:r>
        <w:rPr>
          <w:rFonts w:cs="Calibri"/>
          <w:b/>
          <w:color w:val="8B2500"/>
          <w:spacing w:val="60"/>
          <w:sz w:val="24"/>
        </w:rPr>
        <w:t>NOTMAR: NAVIGATIONAL WARNING</w:t>
      </w:r>
    </w:p>
    <w:p w14:paraId="5F6684A9" w14:textId="77777777" w:rsidR="001E0D0B" w:rsidRDefault="00000000">
      <w:pPr>
        <w:spacing w:after="200"/>
        <w:jc w:val="center"/>
      </w:pPr>
      <w:r>
        <w:rPr>
          <w:rFonts w:cs="Calibri"/>
          <w:b/>
          <w:color w:val="0D2B3E"/>
          <w:spacing w:val="30"/>
          <w:sz w:val="56"/>
          <w:szCs w:val="56"/>
        </w:rPr>
        <w:t>IRANIAN TECHNICAL</w:t>
      </w:r>
    </w:p>
    <w:p w14:paraId="7AFC20EE" w14:textId="77777777" w:rsidR="001E0D0B" w:rsidRDefault="00000000">
      <w:pPr>
        <w:spacing w:after="400"/>
        <w:jc w:val="center"/>
      </w:pPr>
      <w:r>
        <w:rPr>
          <w:rFonts w:cs="Calibri"/>
          <w:b/>
          <w:color w:val="0D2B3E"/>
          <w:spacing w:val="30"/>
          <w:sz w:val="56"/>
          <w:szCs w:val="56"/>
        </w:rPr>
        <w:t>MARITIME NOTICE</w:t>
      </w:r>
    </w:p>
    <w:p w14:paraId="35884CFD" w14:textId="77777777" w:rsidR="001E0D0B" w:rsidRDefault="00000000">
      <w:pPr>
        <w:spacing w:after="200"/>
        <w:jc w:val="center"/>
      </w:pPr>
      <w:r>
        <w:rPr>
          <w:rFonts w:cs="Calibri"/>
          <w:color w:val="1A4A5E"/>
          <w:sz w:val="28"/>
          <w:szCs w:val="28"/>
        </w:rPr>
        <w:t>Notice to Mariners: Strait of Hormuz</w:t>
      </w:r>
    </w:p>
    <w:p w14:paraId="48FE4992" w14:textId="77777777" w:rsidR="001E0D0B" w:rsidRDefault="00000000">
      <w:pPr>
        <w:spacing w:after="1200"/>
        <w:jc w:val="center"/>
      </w:pPr>
      <w:r>
        <w:rPr>
          <w:rFonts w:cs="Calibri"/>
          <w:color w:val="3D4F5F"/>
          <w:szCs w:val="22"/>
        </w:rPr>
        <w:t>PMO/NOTMAR/2026-07-11/HORMUZ-01</w:t>
      </w:r>
    </w:p>
    <w:p w14:paraId="5E5940B3" w14:textId="77777777" w:rsidR="001E0D0B" w:rsidRDefault="00000000">
      <w:pPr>
        <w:spacing w:after="100"/>
        <w:jc w:val="center"/>
      </w:pPr>
      <w:r>
        <w:rPr>
          <w:rFonts w:cs="Calibri"/>
          <w:sz w:val="24"/>
        </w:rPr>
        <w:t>Issuing Authority:</w:t>
      </w:r>
    </w:p>
    <w:p w14:paraId="21140AFD" w14:textId="77777777" w:rsidR="001E0D0B" w:rsidRDefault="00000000">
      <w:pPr>
        <w:spacing w:after="2000"/>
        <w:jc w:val="center"/>
      </w:pPr>
      <w:r>
        <w:rPr>
          <w:rFonts w:cs="Calibri"/>
          <w:b/>
          <w:color w:val="0D2B3E"/>
          <w:sz w:val="26"/>
          <w:szCs w:val="26"/>
        </w:rPr>
        <w:t>Ports and Maritime Organization of Iran (PMO)</w:t>
      </w:r>
    </w:p>
    <w:p w14:paraId="18F65E56" w14:textId="77777777" w:rsidR="001E0D0B" w:rsidRDefault="00000000">
      <w:pPr>
        <w:spacing w:after="100"/>
        <w:jc w:val="center"/>
      </w:pPr>
      <w:r>
        <w:rPr>
          <w:rFonts w:cs="Calibri"/>
          <w:color w:val="3D4F5F"/>
          <w:szCs w:val="22"/>
        </w:rPr>
        <w:t>Issued: 11 July 2026</w:t>
      </w:r>
    </w:p>
    <w:p w14:paraId="3E8DB53A" w14:textId="77777777" w:rsidR="001E0D0B" w:rsidRDefault="00000000">
      <w:pPr>
        <w:spacing w:after="200"/>
        <w:jc w:val="center"/>
      </w:pPr>
      <w:r>
        <w:rPr>
          <w:rFonts w:cs="Calibri"/>
          <w:color w:val="3D4F5F"/>
          <w:szCs w:val="22"/>
        </w:rPr>
        <w:t>Classification: Unrestricted Maritime Safety</w:t>
      </w:r>
    </w:p>
    <w:p w14:paraId="5D6E3D72" w14:textId="77777777" w:rsidR="001E0D0B" w:rsidRDefault="00000000">
      <w:pPr>
        <w:spacing w:after="100"/>
        <w:jc w:val="center"/>
      </w:pPr>
      <w:r>
        <w:rPr>
          <w:rFonts w:cs="Calibri"/>
          <w:color w:val="7A8B99"/>
          <w:sz w:val="20"/>
          <w:szCs w:val="20"/>
        </w:rPr>
        <w:t>Validity: Effective immediately. Renews monthly unless amended</w:t>
      </w:r>
    </w:p>
    <w:p w14:paraId="69383446" w14:textId="77777777" w:rsidR="001E0D0B" w:rsidRDefault="001E0D0B">
      <w:pPr>
        <w:sectPr w:rsidR="001E0D0B">
          <w:pgSz w:w="11906" w:h="16838"/>
          <w:pgMar w:top="0" w:right="0" w:bottom="0" w:left="0" w:header="0" w:footer="0" w:gutter="0"/>
          <w:cols w:space="720"/>
          <w:titlePg/>
        </w:sectPr>
      </w:pPr>
    </w:p>
    <w:p w14:paraId="2C3A56EB" w14:textId="77777777" w:rsidR="001E0D0B" w:rsidRDefault="00000000">
      <w:pPr>
        <w:pStyle w:val="Heading1"/>
      </w:pPr>
      <w:r>
        <w:rPr>
          <w:rFonts w:cs="Calibri"/>
          <w:szCs w:val="32"/>
        </w:rPr>
        <w:lastRenderedPageBreak/>
        <w:t>Table of Contents</w:t>
      </w:r>
    </w:p>
    <w:p w14:paraId="1248A8B5" w14:textId="77777777" w:rsidR="001E0D0B" w:rsidRDefault="00000000">
      <w:r>
        <w:fldChar w:fldCharType="begin"/>
      </w:r>
      <w:r>
        <w:instrText xml:space="preserve"> TOC \o "1-3" \h \z \u </w:instrText>
      </w:r>
      <w:r>
        <w:fldChar w:fldCharType="separate"/>
      </w:r>
    </w:p>
    <w:p w14:paraId="087CE6C6" w14:textId="77777777" w:rsidR="001E0D0B" w:rsidRDefault="00000000">
      <w:pPr>
        <w:pStyle w:val="TOC1"/>
      </w:pPr>
      <w:r>
        <w:rPr>
          <w:rFonts w:cs="Calibri"/>
          <w:szCs w:val="22"/>
        </w:rPr>
        <w:t>1. Document Header</w:t>
      </w:r>
      <w:r>
        <w:tab/>
      </w:r>
      <w:r>
        <w:rPr>
          <w:rFonts w:cs="Calibri"/>
          <w:szCs w:val="22"/>
        </w:rPr>
        <w:t>3</w:t>
      </w:r>
    </w:p>
    <w:p w14:paraId="3AADE431" w14:textId="77777777" w:rsidR="001E0D0B" w:rsidRDefault="00000000">
      <w:pPr>
        <w:pStyle w:val="TOC1"/>
      </w:pPr>
      <w:r>
        <w:rPr>
          <w:rFonts w:cs="Calibri"/>
          <w:szCs w:val="22"/>
        </w:rPr>
        <w:t>2. Purpose Statement</w:t>
      </w:r>
      <w:r>
        <w:tab/>
      </w:r>
      <w:r>
        <w:rPr>
          <w:rFonts w:cs="Calibri"/>
          <w:szCs w:val="22"/>
        </w:rPr>
        <w:t>3</w:t>
      </w:r>
    </w:p>
    <w:p w14:paraId="3C17F05C" w14:textId="77777777" w:rsidR="001E0D0B" w:rsidRDefault="00000000">
      <w:pPr>
        <w:pStyle w:val="TOC1"/>
      </w:pPr>
      <w:r>
        <w:rPr>
          <w:rFonts w:cs="Calibri"/>
          <w:szCs w:val="22"/>
        </w:rPr>
        <w:t>3. Affected Area</w:t>
      </w:r>
      <w:r>
        <w:tab/>
      </w:r>
      <w:r>
        <w:rPr>
          <w:rFonts w:cs="Calibri"/>
          <w:szCs w:val="22"/>
        </w:rPr>
        <w:t>4</w:t>
      </w:r>
    </w:p>
    <w:p w14:paraId="7D6CDAFA" w14:textId="77777777" w:rsidR="001E0D0B" w:rsidRDefault="00000000">
      <w:pPr>
        <w:pStyle w:val="TOC1"/>
      </w:pPr>
      <w:r>
        <w:rPr>
          <w:rFonts w:cs="Calibri"/>
          <w:szCs w:val="22"/>
        </w:rPr>
        <w:t>4. Temporary Safety Measures</w:t>
      </w:r>
      <w:r>
        <w:tab/>
      </w:r>
      <w:r>
        <w:rPr>
          <w:rFonts w:cs="Calibri"/>
          <w:szCs w:val="22"/>
        </w:rPr>
        <w:t>4</w:t>
      </w:r>
    </w:p>
    <w:p w14:paraId="541995B1" w14:textId="77777777" w:rsidR="001E0D0B" w:rsidRDefault="00000000">
      <w:pPr>
        <w:pStyle w:val="TOC1"/>
      </w:pPr>
      <w:r>
        <w:rPr>
          <w:rFonts w:cs="Calibri"/>
          <w:szCs w:val="22"/>
        </w:rPr>
        <w:t>5. Vessel Routing</w:t>
      </w:r>
      <w:r>
        <w:tab/>
      </w:r>
      <w:r>
        <w:rPr>
          <w:rFonts w:cs="Calibri"/>
          <w:szCs w:val="22"/>
        </w:rPr>
        <w:t>5</w:t>
      </w:r>
    </w:p>
    <w:p w14:paraId="74907E4A" w14:textId="77777777" w:rsidR="001E0D0B" w:rsidRDefault="00000000">
      <w:pPr>
        <w:pStyle w:val="TOC1"/>
      </w:pPr>
      <w:r>
        <w:rPr>
          <w:rFonts w:cs="Calibri"/>
          <w:szCs w:val="22"/>
        </w:rPr>
        <w:t>6. Patrol Zones</w:t>
      </w:r>
      <w:r>
        <w:tab/>
      </w:r>
      <w:r>
        <w:rPr>
          <w:rFonts w:cs="Calibri"/>
          <w:szCs w:val="22"/>
        </w:rPr>
        <w:t>6</w:t>
      </w:r>
    </w:p>
    <w:p w14:paraId="6649D8AA" w14:textId="77777777" w:rsidR="001E0D0B" w:rsidRDefault="00000000">
      <w:pPr>
        <w:pStyle w:val="TOC1"/>
      </w:pPr>
      <w:r>
        <w:rPr>
          <w:rFonts w:cs="Calibri"/>
          <w:szCs w:val="22"/>
        </w:rPr>
        <w:t>7. Deconfliction Communication</w:t>
      </w:r>
      <w:r>
        <w:tab/>
      </w:r>
      <w:r>
        <w:rPr>
          <w:rFonts w:cs="Calibri"/>
          <w:szCs w:val="22"/>
        </w:rPr>
        <w:t>7</w:t>
      </w:r>
    </w:p>
    <w:p w14:paraId="3A09CE4C" w14:textId="77777777" w:rsidR="001E0D0B" w:rsidRDefault="00000000">
      <w:pPr>
        <w:pStyle w:val="TOC1"/>
      </w:pPr>
      <w:r>
        <w:rPr>
          <w:rFonts w:cs="Calibri"/>
          <w:szCs w:val="22"/>
        </w:rPr>
        <w:t>8. International Conventions</w:t>
      </w:r>
      <w:r>
        <w:tab/>
      </w:r>
      <w:r>
        <w:rPr>
          <w:rFonts w:cs="Calibri"/>
          <w:szCs w:val="22"/>
        </w:rPr>
        <w:t>8</w:t>
      </w:r>
    </w:p>
    <w:p w14:paraId="253BF99A" w14:textId="77777777" w:rsidR="001E0D0B" w:rsidRDefault="00000000">
      <w:pPr>
        <w:pStyle w:val="TOC1"/>
      </w:pPr>
      <w:r>
        <w:rPr>
          <w:rFonts w:cs="Calibri"/>
          <w:szCs w:val="22"/>
        </w:rPr>
        <w:t>9. Non-Political Framing</w:t>
      </w:r>
      <w:r>
        <w:tab/>
      </w:r>
      <w:r>
        <w:rPr>
          <w:rFonts w:cs="Calibri"/>
          <w:szCs w:val="22"/>
        </w:rPr>
        <w:t>8</w:t>
      </w:r>
    </w:p>
    <w:p w14:paraId="08E34112" w14:textId="77777777" w:rsidR="001E0D0B" w:rsidRDefault="00000000">
      <w:pPr>
        <w:pStyle w:val="TOC1"/>
      </w:pPr>
      <w:r>
        <w:rPr>
          <w:rFonts w:cs="Calibri"/>
          <w:szCs w:val="22"/>
        </w:rPr>
        <w:t>10. Duration and Renewal</w:t>
      </w:r>
      <w:r>
        <w:tab/>
      </w:r>
      <w:r>
        <w:rPr>
          <w:rFonts w:cs="Calibri"/>
          <w:szCs w:val="22"/>
        </w:rPr>
        <w:t>9</w:t>
      </w:r>
    </w:p>
    <w:p w14:paraId="114404E4" w14:textId="77777777" w:rsidR="001E0D0B" w:rsidRDefault="00000000">
      <w:pPr>
        <w:pStyle w:val="TOC1"/>
      </w:pPr>
      <w:r>
        <w:rPr>
          <w:rFonts w:cs="Calibri"/>
          <w:szCs w:val="22"/>
        </w:rPr>
        <w:t>11. Contact Information</w:t>
      </w:r>
      <w:r>
        <w:tab/>
      </w:r>
      <w:r>
        <w:rPr>
          <w:rFonts w:cs="Calibri"/>
          <w:szCs w:val="22"/>
        </w:rPr>
        <w:t>9</w:t>
      </w:r>
    </w:p>
    <w:p w14:paraId="797C5EE3" w14:textId="77777777" w:rsidR="001E0D0B" w:rsidRDefault="00000000">
      <w:pPr>
        <w:pStyle w:val="TOC1"/>
      </w:pPr>
      <w:r>
        <w:rPr>
          <w:rFonts w:cs="Calibri"/>
          <w:szCs w:val="22"/>
        </w:rPr>
        <w:t>12. Commitment to Safety</w:t>
      </w:r>
      <w:r>
        <w:tab/>
      </w:r>
      <w:r>
        <w:rPr>
          <w:rFonts w:cs="Calibri"/>
          <w:szCs w:val="22"/>
        </w:rPr>
        <w:t>10</w:t>
      </w:r>
    </w:p>
    <w:p w14:paraId="33513648" w14:textId="77777777" w:rsidR="001E0D0B" w:rsidRDefault="00000000">
      <w:pPr>
        <w:pStyle w:val="TOC1"/>
      </w:pPr>
      <w:r>
        <w:rPr>
          <w:rFonts w:cs="Calibri"/>
          <w:szCs w:val="22"/>
        </w:rPr>
        <w:t>13. Signature Block</w:t>
      </w:r>
      <w:r>
        <w:tab/>
      </w:r>
      <w:r>
        <w:rPr>
          <w:rFonts w:cs="Calibri"/>
          <w:szCs w:val="22"/>
        </w:rPr>
        <w:t>10</w:t>
      </w:r>
    </w:p>
    <w:p w14:paraId="4D9C3FE6" w14:textId="77777777" w:rsidR="001E0D0B" w:rsidRDefault="00000000">
      <w:pPr>
        <w:pStyle w:val="TOC1"/>
      </w:pPr>
      <w:r>
        <w:rPr>
          <w:rFonts w:cs="Calibri"/>
          <w:szCs w:val="22"/>
        </w:rPr>
        <w:t>Annex A: Operational Safety Protocols</w:t>
      </w:r>
      <w:r>
        <w:tab/>
      </w:r>
      <w:r>
        <w:rPr>
          <w:rFonts w:cs="Calibri"/>
          <w:szCs w:val="22"/>
        </w:rPr>
        <w:t>11</w:t>
      </w:r>
    </w:p>
    <w:p w14:paraId="7E4C28ED" w14:textId="77777777" w:rsidR="001E0D0B" w:rsidRDefault="00000000">
      <w:pPr>
        <w:pStyle w:val="TOC1"/>
      </w:pPr>
      <w:r>
        <w:rPr>
          <w:rFonts w:cs="Calibri"/>
          <w:szCs w:val="22"/>
        </w:rPr>
        <w:t>Annex B: Prohibited Elements</w:t>
      </w:r>
      <w:r>
        <w:tab/>
      </w:r>
      <w:r>
        <w:rPr>
          <w:rFonts w:cs="Calibri"/>
          <w:szCs w:val="22"/>
        </w:rPr>
        <w:t>13</w:t>
      </w:r>
    </w:p>
    <w:p w14:paraId="4ACB0C26" w14:textId="77777777" w:rsidR="001E0D0B" w:rsidRDefault="00000000">
      <w:r>
        <w:fldChar w:fldCharType="end"/>
      </w:r>
    </w:p>
    <w:p w14:paraId="6A9DF7FA" w14:textId="77777777" w:rsidR="001E0D0B" w:rsidRDefault="001E0D0B">
      <w:pPr>
        <w:sectPr w:rsidR="001E0D0B">
          <w:pgSz w:w="11906" w:h="16838"/>
          <w:pgMar w:top="1800" w:right="1440" w:bottom="1440" w:left="1440" w:header="720" w:footer="720" w:gutter="0"/>
          <w:cols w:space="720"/>
        </w:sectPr>
      </w:pPr>
    </w:p>
    <w:p w14:paraId="493F1A6C" w14:textId="77777777" w:rsidR="001E0D0B" w:rsidRDefault="00000000">
      <w:pPr>
        <w:pStyle w:val="Heading1"/>
      </w:pPr>
      <w:bookmarkStart w:id="0" w:name="_Toc001"/>
      <w:r>
        <w:rPr>
          <w:rFonts w:cs="Calibri"/>
          <w:szCs w:val="32"/>
        </w:rPr>
        <w:lastRenderedPageBreak/>
        <w:t>1. Document Header</w:t>
      </w:r>
      <w:bookmarkEnd w:id="0"/>
    </w:p>
    <w:p w14:paraId="14E56A98" w14:textId="77777777" w:rsidR="001E0D0B" w:rsidRDefault="00000000">
      <w:pPr>
        <w:pStyle w:val="Heading2"/>
      </w:pPr>
      <w:r>
        <w:rPr>
          <w:rFonts w:cs="Calibri"/>
          <w:szCs w:val="26"/>
        </w:rPr>
        <w:t>1.1 Issuing Authority</w:t>
      </w:r>
    </w:p>
    <w:p w14:paraId="4036F607" w14:textId="77777777" w:rsidR="001E0D0B" w:rsidRDefault="00000000">
      <w:r>
        <w:rPr>
          <w:rFonts w:cs="Calibri"/>
          <w:szCs w:val="22"/>
        </w:rPr>
        <w:t>The Ports and Maritime Organization of Iran (PMO) issues this Navigational Warning / Notice to Mariners. PMO operates as the civilian maritime authority of the Islamic Republic of Iran.</w:t>
      </w:r>
    </w:p>
    <w:p w14:paraId="178935D9" w14:textId="77777777" w:rsidR="001E0D0B" w:rsidRDefault="00000000">
      <w:pPr>
        <w:pStyle w:val="Heading2"/>
      </w:pPr>
      <w:r>
        <w:rPr>
          <w:rFonts w:cs="Calibri"/>
          <w:szCs w:val="26"/>
        </w:rPr>
        <w:t>1.2 Notice Classification</w:t>
      </w:r>
    </w:p>
    <w:p w14:paraId="05E38E5E" w14:textId="77777777" w:rsidR="001E0D0B" w:rsidRDefault="00000000">
      <w:r>
        <w:rPr>
          <w:rFonts w:cs="Calibri"/>
          <w:szCs w:val="22"/>
        </w:rPr>
        <w:t>This document carries the classification: NAVIGATIONAL WARNING / NOTICE TO MARINERS (NOTMAR). This classification frames the Notice as a routine safety communication within standard maritime classification systems.</w:t>
      </w:r>
    </w:p>
    <w:p w14:paraId="05D95909" w14:textId="77777777" w:rsidR="001E0D0B" w:rsidRDefault="00000000">
      <w:pPr>
        <w:pStyle w:val="Heading2"/>
      </w:pPr>
      <w:r>
        <w:rPr>
          <w:rFonts w:cs="Calibri"/>
          <w:szCs w:val="26"/>
        </w:rPr>
        <w:t>1.3 Reference Code</w:t>
      </w:r>
    </w:p>
    <w:p w14:paraId="7E395A2D" w14:textId="77777777" w:rsidR="001E0D0B" w:rsidRDefault="00000000">
      <w:r>
        <w:rPr>
          <w:rFonts w:cs="Calibri"/>
          <w:szCs w:val="22"/>
        </w:rPr>
        <w:t>PMO/NOTMAR/2026-07-11/HORMUZ-01</w:t>
      </w:r>
    </w:p>
    <w:p w14:paraId="79455B1E" w14:textId="77777777" w:rsidR="001E0D0B" w:rsidRDefault="00000000">
      <w:r>
        <w:rPr>
          <w:rFonts w:cs="Calibri"/>
          <w:szCs w:val="22"/>
        </w:rPr>
        <w:t>This reference code enables tracking and aligns with the PMO reference system for navigational warnings.</w:t>
      </w:r>
    </w:p>
    <w:p w14:paraId="74C587F4" w14:textId="77777777" w:rsidR="001E0D0B" w:rsidRDefault="00000000">
      <w:pPr>
        <w:pStyle w:val="Heading2"/>
      </w:pPr>
      <w:r>
        <w:rPr>
          <w:rFonts w:cs="Calibri"/>
          <w:szCs w:val="26"/>
        </w:rPr>
        <w:t>1.4 Validity Period</w:t>
      </w:r>
    </w:p>
    <w:p w14:paraId="58FD97CC" w14:textId="77777777" w:rsidR="001E0D0B" w:rsidRDefault="00000000">
      <w:r>
        <w:rPr>
          <w:rFonts w:cs="Calibri"/>
          <w:szCs w:val="22"/>
        </w:rPr>
        <w:t>This Notice enters into effect on 11 July 2026. The Notice renews on a monthly basis unless amended or revoked. This monthly renewal creates a termination mechanism. The Islamic Republic of Iran reserves the right to decline renewal upon expiration.</w:t>
      </w:r>
    </w:p>
    <w:p w14:paraId="13B54634" w14:textId="77777777" w:rsidR="001E0D0B" w:rsidRDefault="00000000">
      <w:pPr>
        <w:pStyle w:val="Heading2"/>
      </w:pPr>
      <w:r>
        <w:rPr>
          <w:rFonts w:cs="Calibri"/>
          <w:szCs w:val="26"/>
        </w:rPr>
        <w:t>1.5 Affected Area</w:t>
      </w:r>
    </w:p>
    <w:p w14:paraId="2C52EB3E" w14:textId="77777777" w:rsidR="001E0D0B" w:rsidRDefault="00000000">
      <w:r>
        <w:rPr>
          <w:rFonts w:cs="Calibri"/>
          <w:szCs w:val="22"/>
        </w:rPr>
        <w:t>Strait of Hormuz (approximate coordinates: 26 degrees 30 minutes N to 27 degrees 00 minutes N, 55 degrees 00 minutes E to 56 degrees 30 minutes E).</w:t>
      </w:r>
    </w:p>
    <w:p w14:paraId="041785C4" w14:textId="77777777" w:rsidR="001E0D0B" w:rsidRDefault="00000000">
      <w:r>
        <w:rPr>
          <w:rFonts w:cs="Calibri"/>
          <w:szCs w:val="22"/>
        </w:rPr>
        <w:t>This geographic specification aligns with the IMO-designated transit corridor framework.</w:t>
      </w:r>
    </w:p>
    <w:p w14:paraId="15735452" w14:textId="77777777" w:rsidR="001E0D0B" w:rsidRDefault="00000000">
      <w:pPr>
        <w:pStyle w:val="Heading1"/>
      </w:pPr>
      <w:bookmarkStart w:id="1" w:name="_Toc002"/>
      <w:r>
        <w:rPr>
          <w:rFonts w:cs="Calibri"/>
          <w:szCs w:val="32"/>
        </w:rPr>
        <w:t>2. Purpose Statement</w:t>
      </w:r>
      <w:bookmarkEnd w:id="1"/>
    </w:p>
    <w:p w14:paraId="04769666" w14:textId="77777777" w:rsidR="001E0D0B" w:rsidRDefault="00000000">
      <w:r>
        <w:t>This Notice provides updated guidance for safe navigation in the Strait of Hormuz.</w:t>
      </w:r>
    </w:p>
    <w:p w14:paraId="54747AE7" w14:textId="77777777" w:rsidR="001E0D0B" w:rsidRDefault="00000000">
      <w:r>
        <w:t>This Notice addresses navigational safety exclusively. The framework architecture of this Notice centers on technical maritime operations. This Notice does not constitute a political statement. This Notice does not reflect political negotiations. This Notice does not address or reference any bilateral or multilateral political discussions.</w:t>
      </w:r>
    </w:p>
    <w:p w14:paraId="139BE46F" w14:textId="77777777" w:rsidR="001E0D0B" w:rsidRDefault="00000000">
      <w:pPr>
        <w:pBdr>
          <w:left w:val="single" w:sz="18" w:space="0" w:color="C9A84C"/>
        </w:pBdr>
        <w:shd w:val="clear" w:color="auto" w:fill="FAF8F2"/>
        <w:spacing w:before="200" w:after="200"/>
        <w:ind w:left="200" w:right="200"/>
      </w:pPr>
      <w:r>
        <w:rPr>
          <w:b/>
          <w:color w:val="8B2500"/>
          <w:sz w:val="21"/>
        </w:rPr>
        <w:lastRenderedPageBreak/>
        <w:t xml:space="preserve">NOTE: </w:t>
      </w:r>
      <w:r>
        <w:rPr>
          <w:sz w:val="21"/>
        </w:rPr>
        <w:t>KEY PRINCIPLE: This Notice operates as guidance. Guidance carries flexibility. Amendments or withdrawals proceed without political cost.</w:t>
      </w:r>
    </w:p>
    <w:p w14:paraId="5E973B1B" w14:textId="77777777" w:rsidR="001E0D0B" w:rsidRDefault="00000000">
      <w:pPr>
        <w:pStyle w:val="Heading1"/>
      </w:pPr>
      <w:r>
        <w:t>3. Affected Area</w:t>
      </w:r>
      <w:bookmarkStart w:id="2" w:name="_Toc003"/>
      <w:bookmarkEnd w:id="2"/>
    </w:p>
    <w:p w14:paraId="6AC37145" w14:textId="77777777" w:rsidR="001E0D0B" w:rsidRDefault="00000000">
      <w:r>
        <w:t>The Strait of Hormuz, including all designated shipping lanes and transit corridors between the Arabian Gulf and the Gulf of Oman, falls within the scope of this Notice. The affected area is bounded by the following coordinates:</w:t>
      </w:r>
    </w:p>
    <w:p w14:paraId="66DD4492" w14:textId="77777777" w:rsidR="001E0D0B" w:rsidRDefault="00000000">
      <w:pPr>
        <w:numPr>
          <w:ilvl w:val="0"/>
          <w:numId w:val="1"/>
        </w:numPr>
        <w:spacing w:after="100"/>
      </w:pPr>
      <w:r>
        <w:t>Northwestern Limit: 27 degrees 00 minutes N, 55 degrees 00 minutes E</w:t>
      </w:r>
    </w:p>
    <w:p w14:paraId="519C9371" w14:textId="77777777" w:rsidR="001E0D0B" w:rsidRDefault="00000000">
      <w:pPr>
        <w:numPr>
          <w:ilvl w:val="0"/>
          <w:numId w:val="1"/>
        </w:numPr>
        <w:spacing w:after="100"/>
      </w:pPr>
      <w:r>
        <w:t>Northeastern Limit: 27 degrees 00 minutes N, 56 degrees 30 minutes E</w:t>
      </w:r>
    </w:p>
    <w:p w14:paraId="7ED1404C" w14:textId="77777777" w:rsidR="001E0D0B" w:rsidRDefault="00000000">
      <w:pPr>
        <w:numPr>
          <w:ilvl w:val="0"/>
          <w:numId w:val="1"/>
        </w:numPr>
        <w:spacing w:after="100"/>
      </w:pPr>
      <w:r>
        <w:t>Southwestern Limit: 26 degrees 30 minutes N, 55 degrees 00 minutes E</w:t>
      </w:r>
    </w:p>
    <w:p w14:paraId="3C9C932E" w14:textId="77777777" w:rsidR="001E0D0B" w:rsidRDefault="00000000">
      <w:pPr>
        <w:numPr>
          <w:ilvl w:val="0"/>
          <w:numId w:val="1"/>
        </w:numPr>
        <w:spacing w:after="100"/>
      </w:pPr>
      <w:r>
        <w:t>Southeastern Limit: 26 degrees 30 minutes N, 56 degrees 30 minutes E</w:t>
      </w:r>
    </w:p>
    <w:p w14:paraId="5DC71105" w14:textId="77777777" w:rsidR="001E0D0B" w:rsidRDefault="00000000">
      <w:r>
        <w:t>These coordinates align with IMO standards for navigational warnings.</w:t>
      </w:r>
    </w:p>
    <w:p w14:paraId="38E4C755" w14:textId="77777777" w:rsidR="001E0D0B" w:rsidRDefault="00000000">
      <w:pPr>
        <w:pStyle w:val="Heading1"/>
      </w:pPr>
      <w:r>
        <w:t>4. Temporary Safety Measures</w:t>
      </w:r>
      <w:bookmarkStart w:id="3" w:name="_Toc004"/>
      <w:bookmarkEnd w:id="3"/>
    </w:p>
    <w:p w14:paraId="3BBFCB8A" w14:textId="77777777" w:rsidR="001E0D0B" w:rsidRDefault="00000000">
      <w:r>
        <w:t>The Islamic Republic of Iran implements temporary measures to enhance navigational safety and reduce the risk of maritime incidents in the affected area. The framework architecture incorporates the following operational specifics:</w:t>
      </w:r>
    </w:p>
    <w:p w14:paraId="47F047CC" w14:textId="77777777" w:rsidR="001E0D0B" w:rsidRDefault="00000000">
      <w:pPr>
        <w:pStyle w:val="Heading3"/>
      </w:pPr>
      <w:r>
        <w:t>4.1 Predictable Patrol Patterns</w:t>
      </w:r>
    </w:p>
    <w:p w14:paraId="67FF2EB4" w14:textId="77777777" w:rsidR="001E0D0B" w:rsidRDefault="00000000">
      <w:r>
        <w:t>Iranian naval and coast guard units maintain established patrol zones as described in Section 6 of this Notice. Predictable patterns reduce ambiguity and enhance safety for all vessels transiting the strait.</w:t>
      </w:r>
    </w:p>
    <w:p w14:paraId="43AFA82D" w14:textId="77777777" w:rsidR="001E0D0B" w:rsidRDefault="00000000">
      <w:pPr>
        <w:pStyle w:val="Heading3"/>
      </w:pPr>
      <w:r>
        <w:t>4.2 No Unscheduled Operations</w:t>
      </w:r>
    </w:p>
    <w:p w14:paraId="44D398B2" w14:textId="77777777" w:rsidR="001E0D0B" w:rsidRDefault="00000000">
      <w:r>
        <w:t>Iranian units do not conduct unscheduled operations within primary shipping lanes. This protocol protects commercial transit corridors from unexpected interference.</w:t>
      </w:r>
    </w:p>
    <w:p w14:paraId="0495B00C" w14:textId="77777777" w:rsidR="001E0D0B" w:rsidRDefault="00000000">
      <w:pPr>
        <w:pStyle w:val="Heading3"/>
      </w:pPr>
      <w:r>
        <w:t>4.3 Communication Protocols</w:t>
      </w:r>
    </w:p>
    <w:p w14:paraId="7D8F657E" w14:textId="77777777" w:rsidR="001E0D0B" w:rsidRDefault="00000000">
      <w:r>
        <w:t>All vessels maintain continuous communication on VHF Channel 16 (156.800 MHz). This frequency operates as the international standard for maritime emergencies and safety communications.</w:t>
      </w:r>
    </w:p>
    <w:p w14:paraId="01358844" w14:textId="77777777" w:rsidR="001E0D0B" w:rsidRDefault="00000000">
      <w:pPr>
        <w:pStyle w:val="Heading3"/>
      </w:pPr>
      <w:r>
        <w:t>4.4 Incident Reporting</w:t>
      </w:r>
    </w:p>
    <w:p w14:paraId="7DB944FB" w14:textId="77777777" w:rsidR="001E0D0B" w:rsidRDefault="00000000">
      <w:r>
        <w:t>Any maritime incident reports go to Iranian maritime authorities via the contact information in Section 11 of this Notice.</w:t>
      </w:r>
    </w:p>
    <w:p w14:paraId="47985ECD"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FRAMEWORK NOTE: These measures operate under a temporary designation. The temporary designation allows withdrawal if hostilities resume.</w:t>
      </w:r>
    </w:p>
    <w:p w14:paraId="3B79A907" w14:textId="77777777" w:rsidR="001E0D0B" w:rsidRDefault="00000000">
      <w:pPr>
        <w:pStyle w:val="Heading1"/>
      </w:pPr>
      <w:r>
        <w:lastRenderedPageBreak/>
        <w:t>5. Vessel Routing</w:t>
      </w:r>
      <w:bookmarkStart w:id="4" w:name="_Toc005"/>
      <w:bookmarkEnd w:id="4"/>
    </w:p>
    <w:p w14:paraId="4556411E" w14:textId="77777777" w:rsidR="001E0D0B" w:rsidRDefault="00000000">
      <w:r>
        <w:t>Commercial vessels follow the routing guidance set forth in this section.</w:t>
      </w:r>
    </w:p>
    <w:p w14:paraId="190CF1FE" w14:textId="77777777" w:rsidR="001E0D0B" w:rsidRDefault="00000000">
      <w:pPr>
        <w:pStyle w:val="Heading3"/>
      </w:pPr>
      <w:r>
        <w:t>5.1 Primary Shipping Lanes</w:t>
      </w:r>
    </w:p>
    <w:p w14:paraId="20AC6BCD" w14:textId="77777777" w:rsidR="001E0D0B" w:rsidRDefault="00000000">
      <w:r>
        <w:t>Eastbound Lane (Outbound from Arabian Gulf to Gulf of Oman):</w:t>
      </w:r>
    </w:p>
    <w:p w14:paraId="11B058BD" w14:textId="77777777" w:rsidR="001E0D0B" w:rsidRDefault="00000000">
      <w:pPr>
        <w:numPr>
          <w:ilvl w:val="0"/>
          <w:numId w:val="1"/>
        </w:numPr>
        <w:spacing w:after="100"/>
      </w:pPr>
      <w:r>
        <w:t>Centerline: 26 degrees 45 minutes N</w:t>
      </w:r>
    </w:p>
    <w:p w14:paraId="35490627" w14:textId="77777777" w:rsidR="001E0D0B" w:rsidRDefault="00000000">
      <w:pPr>
        <w:numPr>
          <w:ilvl w:val="0"/>
          <w:numId w:val="1"/>
        </w:numPr>
        <w:spacing w:after="100"/>
      </w:pPr>
      <w:r>
        <w:t>Width: 3 nautical miles</w:t>
      </w:r>
    </w:p>
    <w:p w14:paraId="4D7DE88C" w14:textId="77777777" w:rsidR="001E0D0B" w:rsidRDefault="00000000">
      <w:pPr>
        <w:numPr>
          <w:ilvl w:val="0"/>
          <w:numId w:val="1"/>
        </w:numPr>
        <w:spacing w:after="100"/>
      </w:pPr>
      <w:r>
        <w:t>Coordinates: 55 degrees 30 minutes E to 56 degrees 30 minutes E</w:t>
      </w:r>
    </w:p>
    <w:p w14:paraId="724F2FA7" w14:textId="77777777" w:rsidR="001E0D0B" w:rsidRDefault="00000000">
      <w:r>
        <w:t>Westbound Lane (Inbound to Arabian Gulf):</w:t>
      </w:r>
    </w:p>
    <w:p w14:paraId="62E40FFA" w14:textId="77777777" w:rsidR="001E0D0B" w:rsidRDefault="00000000">
      <w:pPr>
        <w:numPr>
          <w:ilvl w:val="0"/>
          <w:numId w:val="1"/>
        </w:numPr>
        <w:spacing w:after="100"/>
      </w:pPr>
      <w:r>
        <w:t>Centerline: 26 degrees 35 minutes N</w:t>
      </w:r>
    </w:p>
    <w:p w14:paraId="6245E2D4" w14:textId="77777777" w:rsidR="001E0D0B" w:rsidRDefault="00000000">
      <w:pPr>
        <w:numPr>
          <w:ilvl w:val="0"/>
          <w:numId w:val="1"/>
        </w:numPr>
        <w:spacing w:after="100"/>
      </w:pPr>
      <w:r>
        <w:t>Width: 3 nautical miles</w:t>
      </w:r>
    </w:p>
    <w:p w14:paraId="2E1BC645" w14:textId="77777777" w:rsidR="001E0D0B" w:rsidRDefault="00000000">
      <w:pPr>
        <w:numPr>
          <w:ilvl w:val="0"/>
          <w:numId w:val="1"/>
        </w:numPr>
        <w:spacing w:after="100"/>
      </w:pPr>
      <w:r>
        <w:t>Coordinates: 55 degrees 30 minutes E to 56 degrees 30 minutes E</w:t>
      </w:r>
    </w:p>
    <w:p w14:paraId="7A920414" w14:textId="77777777" w:rsidR="001E0D0B" w:rsidRDefault="00000000">
      <w:r>
        <w:t>Separation Zone: 1 nautical mile separates eastbound and westbound lanes. No vessel anchors or loiters in the separation zone.</w:t>
      </w:r>
    </w:p>
    <w:p w14:paraId="4EB36A40" w14:textId="77777777" w:rsidR="001E0D0B" w:rsidRDefault="00000000">
      <w:r>
        <w:t>Deep Water Route (for large tankers and vessels exceeding 150,000 DWT):</w:t>
      </w:r>
    </w:p>
    <w:p w14:paraId="5400042C" w14:textId="77777777" w:rsidR="001E0D0B" w:rsidRDefault="00000000">
      <w:pPr>
        <w:numPr>
          <w:ilvl w:val="0"/>
          <w:numId w:val="1"/>
        </w:numPr>
        <w:spacing w:after="100"/>
      </w:pPr>
      <w:r>
        <w:t>Centerline: 26 degrees 40 minutes N</w:t>
      </w:r>
    </w:p>
    <w:p w14:paraId="1FACED8B" w14:textId="77777777" w:rsidR="001E0D0B" w:rsidRDefault="00000000">
      <w:pPr>
        <w:numPr>
          <w:ilvl w:val="0"/>
          <w:numId w:val="1"/>
        </w:numPr>
        <w:spacing w:after="100"/>
      </w:pPr>
      <w:r>
        <w:t>Width: 2 nautical miles</w:t>
      </w:r>
    </w:p>
    <w:p w14:paraId="4821B401" w14:textId="77777777" w:rsidR="001E0D0B" w:rsidRDefault="00000000">
      <w:pPr>
        <w:pStyle w:val="Heading3"/>
      </w:pPr>
      <w:r>
        <w:t>5.2 Transit Corridor</w:t>
      </w:r>
    </w:p>
    <w:p w14:paraId="50036148" w14:textId="77777777" w:rsidR="001E0D0B" w:rsidRDefault="00000000">
      <w:r>
        <w:t>Vessels use the designated transit corridor extending 80.7 nautical miles from the waiting area to waypoint six, including a main transit corridor of 62.2 nautical miles.</w:t>
      </w:r>
    </w:p>
    <w:p w14:paraId="2CB7D59C" w14:textId="77777777" w:rsidR="001E0D0B" w:rsidRDefault="00000000">
      <w:pPr>
        <w:pStyle w:val="Heading3"/>
      </w:pPr>
      <w:r>
        <w:t>5.3 Group Transit</w:t>
      </w:r>
    </w:p>
    <w:p w14:paraId="238A7BF8" w14:textId="77777777" w:rsidR="001E0D0B" w:rsidRDefault="00000000">
      <w:r>
        <w:t>Vessel movements organize into designated transit groups to enhance safety and coordination.</w:t>
      </w:r>
    </w:p>
    <w:p w14:paraId="12C298B6" w14:textId="77777777" w:rsidR="001E0D0B" w:rsidRDefault="00000000">
      <w:pPr>
        <w:pStyle w:val="Heading3"/>
      </w:pPr>
      <w:r>
        <w:t>5.4 AIS Transmission</w:t>
      </w:r>
    </w:p>
    <w:p w14:paraId="4E6939C2" w14:textId="77777777" w:rsidR="001E0D0B" w:rsidRDefault="00000000">
      <w:r>
        <w:t>All vessels maintain continuous Automatic Identification System (AIS) transmission while transiting the affected area.</w:t>
      </w:r>
    </w:p>
    <w:p w14:paraId="35D9B7CC" w14:textId="77777777" w:rsidR="001E0D0B" w:rsidRDefault="00000000">
      <w:pPr>
        <w:pStyle w:val="Heading3"/>
      </w:pPr>
      <w:r>
        <w:t>5.5 Alternative Positioning</w:t>
      </w:r>
    </w:p>
    <w:p w14:paraId="7C6CCB4C" w14:textId="77777777" w:rsidR="001E0D0B" w:rsidRDefault="00000000">
      <w:r>
        <w:t>Mariners monitor for AIS and navigational system anomalies. Mariners employ alternative positioning methods if electronic interference is detected.</w:t>
      </w:r>
    </w:p>
    <w:p w14:paraId="74C019AB" w14:textId="77777777" w:rsidR="001E0D0B" w:rsidRDefault="00000000">
      <w:pPr>
        <w:pStyle w:val="Heading1"/>
      </w:pPr>
      <w:r>
        <w:lastRenderedPageBreak/>
        <w:t>6. Patrol Zones</w:t>
      </w:r>
      <w:bookmarkStart w:id="5" w:name="_Toc006"/>
      <w:bookmarkEnd w:id="5"/>
    </w:p>
    <w:p w14:paraId="08A5A717" w14:textId="77777777" w:rsidR="001E0D0B" w:rsidRDefault="00000000">
      <w:r>
        <w:t>Iranian naval and coast guard units operate within the following designated patrol zones:</w:t>
      </w:r>
    </w:p>
    <w:p w14:paraId="5607DB78" w14:textId="77777777" w:rsidR="001E0D0B" w:rsidRDefault="00000000">
      <w:pPr>
        <w:pStyle w:val="Heading3"/>
      </w:pPr>
      <w:r>
        <w:t>6.1 Northern Patrol Zone (Iranian Coastal)</w:t>
      </w:r>
    </w:p>
    <w:p w14:paraId="067B7AB1" w14:textId="77777777" w:rsidR="001E0D0B" w:rsidRDefault="00000000">
      <w:pPr>
        <w:numPr>
          <w:ilvl w:val="0"/>
          <w:numId w:val="1"/>
        </w:numPr>
        <w:spacing w:after="100"/>
      </w:pPr>
      <w:r>
        <w:t>Eastern boundary: 56 degrees 15 minutes E</w:t>
      </w:r>
    </w:p>
    <w:p w14:paraId="4A1E8196" w14:textId="77777777" w:rsidR="001E0D0B" w:rsidRDefault="00000000">
      <w:pPr>
        <w:numPr>
          <w:ilvl w:val="0"/>
          <w:numId w:val="1"/>
        </w:numPr>
        <w:spacing w:after="100"/>
      </w:pPr>
      <w:r>
        <w:t>Western boundary: 55 degrees 00 minutes E</w:t>
      </w:r>
    </w:p>
    <w:p w14:paraId="0F5E348E" w14:textId="77777777" w:rsidR="001E0D0B" w:rsidRDefault="00000000">
      <w:pPr>
        <w:numPr>
          <w:ilvl w:val="0"/>
          <w:numId w:val="1"/>
        </w:numPr>
        <w:spacing w:after="100"/>
      </w:pPr>
      <w:r>
        <w:t>Southern boundary: 26 degrees 30 minutes N</w:t>
      </w:r>
    </w:p>
    <w:p w14:paraId="2C12F5FE" w14:textId="77777777" w:rsidR="001E0D0B" w:rsidRDefault="00000000">
      <w:pPr>
        <w:numPr>
          <w:ilvl w:val="0"/>
          <w:numId w:val="1"/>
        </w:numPr>
        <w:spacing w:after="100"/>
      </w:pPr>
      <w:r>
        <w:t>Northern boundary: Iranian territorial sea limit (12 nautical miles from baseline)</w:t>
      </w:r>
    </w:p>
    <w:p w14:paraId="6E73D2E8" w14:textId="77777777" w:rsidR="001E0D0B" w:rsidRDefault="00000000">
      <w:pPr>
        <w:pStyle w:val="Heading3"/>
      </w:pPr>
      <w:r>
        <w:t>6.2 Central Patrol Zone (Strait Transit Area)</w:t>
      </w:r>
    </w:p>
    <w:p w14:paraId="6C6F12FA" w14:textId="77777777" w:rsidR="001E0D0B" w:rsidRDefault="00000000">
      <w:r>
        <w:t>No Iranian naval patrols operate within this zone unless transiting.</w:t>
      </w:r>
    </w:p>
    <w:p w14:paraId="7C37F508" w14:textId="77777777" w:rsidR="001E0D0B" w:rsidRDefault="00000000">
      <w:pPr>
        <w:numPr>
          <w:ilvl w:val="0"/>
          <w:numId w:val="1"/>
        </w:numPr>
        <w:spacing w:after="100"/>
      </w:pPr>
      <w:r>
        <w:t>Boundaries: From 26 degrees 30 minutes N to 27 degrees 00 minutes N</w:t>
      </w:r>
    </w:p>
    <w:p w14:paraId="09C0299F" w14:textId="77777777" w:rsidR="001E0D0B" w:rsidRDefault="00000000">
      <w:pPr>
        <w:numPr>
          <w:ilvl w:val="0"/>
          <w:numId w:val="1"/>
        </w:numPr>
        <w:spacing w:after="100"/>
      </w:pPr>
      <w:r>
        <w:t>Primary shipping lanes: IMO-designated Traffic Separation Scheme</w:t>
      </w:r>
    </w:p>
    <w:p w14:paraId="2C097A07"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OPERATIONAL SIGNIFICANCE: The exclusion of Iranian naval patrols from the Central Patrol Zone constitutes a mutual architectural feature of the framework. This exclusion allows all parties to confirm that Iran has withdrawn from primary shipping lanes.</w:t>
      </w:r>
    </w:p>
    <w:p w14:paraId="029B1A0A" w14:textId="77777777" w:rsidR="001E0D0B" w:rsidRDefault="00000000">
      <w:pPr>
        <w:pStyle w:val="Heading3"/>
      </w:pPr>
      <w:r>
        <w:t>6.3 Southern Patrol Zone (Omani Coastal)</w:t>
      </w:r>
    </w:p>
    <w:p w14:paraId="1342ADA7" w14:textId="77777777" w:rsidR="001E0D0B" w:rsidRDefault="00000000">
      <w:r>
        <w:t>Iranian naval units do not operate south of 26 degrees 30 minutes N. This protocol respects Omani territorial waters and adjacent zones.</w:t>
      </w:r>
    </w:p>
    <w:p w14:paraId="000CA61B" w14:textId="77777777" w:rsidR="001E0D0B" w:rsidRDefault="00000000">
      <w:pPr>
        <w:pStyle w:val="Heading1"/>
      </w:pPr>
      <w:r>
        <w:t>7. Deconfliction Communication</w:t>
      </w:r>
      <w:bookmarkStart w:id="6" w:name="_Toc007"/>
      <w:bookmarkEnd w:id="6"/>
    </w:p>
    <w:p w14:paraId="004D1A67" w14:textId="77777777" w:rsidR="001E0D0B" w:rsidRDefault="00000000">
      <w:r>
        <w:t>The following communication protocols support safe transit through the Strait of Hormuz:</w:t>
      </w:r>
    </w:p>
    <w:p w14:paraId="28FA8490" w14:textId="77777777" w:rsidR="001E0D0B" w:rsidRDefault="00000000">
      <w:pPr>
        <w:pStyle w:val="Heading3"/>
      </w:pPr>
      <w:r>
        <w:t>7.1 Primary Frequency</w:t>
      </w:r>
    </w:p>
    <w:p w14:paraId="2DBC50B7" w14:textId="77777777" w:rsidR="001E0D0B" w:rsidRDefault="00000000">
      <w:r>
        <w:t>VHF Channel 16 (156.800 MHz) operates as a 24/7 listening watch for all vessels in the affected area.</w:t>
      </w:r>
    </w:p>
    <w:p w14:paraId="2C713713" w14:textId="77777777" w:rsidR="001E0D0B" w:rsidRDefault="00000000">
      <w:pPr>
        <w:pStyle w:val="Heading3"/>
      </w:pPr>
      <w:r>
        <w:t>7.2 Backup Frequency</w:t>
      </w:r>
    </w:p>
    <w:p w14:paraId="0E5AAF65" w14:textId="77777777" w:rsidR="001E0D0B" w:rsidRDefault="00000000">
      <w:r>
        <w:t>VHF Channel 70 (156.525 MHz) serves as the DSC (Digital Selective Calling) backup.</w:t>
      </w:r>
    </w:p>
    <w:p w14:paraId="480760DA" w14:textId="77777777" w:rsidR="001E0D0B" w:rsidRDefault="00000000">
      <w:pPr>
        <w:pStyle w:val="Heading3"/>
      </w:pPr>
      <w:r>
        <w:t>7.3 HF Backup</w:t>
      </w:r>
    </w:p>
    <w:p w14:paraId="5E1B56A6" w14:textId="77777777" w:rsidR="001E0D0B" w:rsidRDefault="00000000">
      <w:pPr>
        <w:numPr>
          <w:ilvl w:val="0"/>
          <w:numId w:val="1"/>
        </w:numPr>
        <w:spacing w:after="100"/>
      </w:pPr>
      <w:r>
        <w:t>2182 kHz (voice)</w:t>
      </w:r>
    </w:p>
    <w:p w14:paraId="59D7F4C5" w14:textId="77777777" w:rsidR="001E0D0B" w:rsidRDefault="00000000">
      <w:pPr>
        <w:numPr>
          <w:ilvl w:val="0"/>
          <w:numId w:val="1"/>
        </w:numPr>
        <w:spacing w:after="100"/>
      </w:pPr>
      <w:r>
        <w:t>2187.5 kHz (DSC)</w:t>
      </w:r>
    </w:p>
    <w:p w14:paraId="4CD61AEF" w14:textId="77777777" w:rsidR="001E0D0B" w:rsidRDefault="00000000">
      <w:pPr>
        <w:pStyle w:val="Heading3"/>
      </w:pPr>
      <w:r>
        <w:lastRenderedPageBreak/>
        <w:t>7.4 International Distress Frequency</w:t>
      </w:r>
    </w:p>
    <w:p w14:paraId="4CD415D8" w14:textId="77777777" w:rsidR="001E0D0B" w:rsidRDefault="00000000">
      <w:r>
        <w:t>121.5 MHz (AM) remains available for emergency communications.</w:t>
      </w:r>
    </w:p>
    <w:p w14:paraId="7F56E332" w14:textId="77777777" w:rsidR="001E0D0B" w:rsidRDefault="00000000">
      <w:pPr>
        <w:pStyle w:val="Heading3"/>
      </w:pPr>
      <w:r>
        <w:t>7.5 Designated Maritime Frequencies</w:t>
      </w:r>
    </w:p>
    <w:p w14:paraId="4356EC4D" w14:textId="77777777" w:rsidR="001E0D0B" w:rsidRDefault="00000000">
      <w:r>
        <w:t>All designated maritime frequencies operate as approved by the International Maritime Organization.</w:t>
      </w:r>
    </w:p>
    <w:p w14:paraId="78B4189E" w14:textId="77777777" w:rsidR="001E0D0B" w:rsidRDefault="00000000">
      <w:pPr>
        <w:pStyle w:val="Heading3"/>
      </w:pPr>
      <w:r>
        <w:t>7.6 Response Protocol</w:t>
      </w:r>
    </w:p>
    <w:p w14:paraId="30214CA7" w14:textId="77777777" w:rsidR="001E0D0B" w:rsidRDefault="00000000">
      <w:r>
        <w:t>Vessels respond to hails from Iranian maritime authorities and coalition military forces.</w:t>
      </w:r>
    </w:p>
    <w:p w14:paraId="088661D6" w14:textId="77777777" w:rsidR="001E0D0B" w:rsidRDefault="00000000">
      <w:pPr>
        <w:pStyle w:val="Heading3"/>
      </w:pPr>
      <w:r>
        <w:t>7.7 Emergency Communications</w:t>
      </w:r>
    </w:p>
    <w:p w14:paraId="266406F1" w14:textId="77777777" w:rsidR="001E0D0B" w:rsidRDefault="00000000">
      <w:r>
        <w:t>Emergency communications receive priority. Vessels in distress contact Iranian authorities immediately via VHF Channel 16.</w:t>
      </w:r>
    </w:p>
    <w:p w14:paraId="666B07DE" w14:textId="77777777" w:rsidR="001E0D0B" w:rsidRDefault="00000000">
      <w:pPr>
        <w:pStyle w:val="Heading1"/>
      </w:pPr>
      <w:r>
        <w:t>8. International Conventions</w:t>
      </w:r>
      <w:bookmarkStart w:id="7" w:name="_Toc008"/>
      <w:bookmarkEnd w:id="7"/>
    </w:p>
    <w:p w14:paraId="3319B1F5" w14:textId="77777777" w:rsidR="001E0D0B" w:rsidRDefault="00000000">
      <w:r>
        <w:t>The Islamic Republic of Iran continues to uphold its obligations under the following international maritime conventions:</w:t>
      </w:r>
    </w:p>
    <w:p w14:paraId="7BCCC377" w14:textId="77777777" w:rsidR="001E0D0B" w:rsidRDefault="00000000">
      <w:pPr>
        <w:numPr>
          <w:ilvl w:val="0"/>
          <w:numId w:val="1"/>
        </w:numPr>
        <w:spacing w:after="100"/>
      </w:pPr>
      <w:r>
        <w:t>International Maritime Organization (IMO) safety standards</w:t>
      </w:r>
    </w:p>
    <w:p w14:paraId="7973A6A9" w14:textId="77777777" w:rsidR="001E0D0B" w:rsidRDefault="00000000">
      <w:pPr>
        <w:numPr>
          <w:ilvl w:val="0"/>
          <w:numId w:val="1"/>
        </w:numPr>
        <w:spacing w:after="100"/>
      </w:pPr>
      <w:r>
        <w:t>International Convention for the Safety of Life at Sea (SOLAS)</w:t>
      </w:r>
    </w:p>
    <w:p w14:paraId="64CD9A1A" w14:textId="77777777" w:rsidR="001E0D0B" w:rsidRDefault="00000000">
      <w:pPr>
        <w:numPr>
          <w:ilvl w:val="0"/>
          <w:numId w:val="1"/>
        </w:numPr>
        <w:spacing w:after="100"/>
      </w:pPr>
      <w:r>
        <w:t>International Convention on Standards of Training, Certification and Watchkeeping for Seafarers (STCW)</w:t>
      </w:r>
    </w:p>
    <w:p w14:paraId="3E9DC943" w14:textId="77777777" w:rsidR="001E0D0B" w:rsidRDefault="00000000">
      <w:pPr>
        <w:numPr>
          <w:ilvl w:val="0"/>
          <w:numId w:val="1"/>
        </w:numPr>
        <w:spacing w:after="100"/>
      </w:pPr>
      <w:r>
        <w:t>International Regulations for Preventing Collisions at Sea (COLREGs)</w:t>
      </w:r>
    </w:p>
    <w:p w14:paraId="463EE5CF"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NOTE: This Notice references SOLAS, STCW, and COLREGs exclusively. These technical maritime safety conventions represent ratified obligations and do not constitute political concessions.</w:t>
      </w:r>
    </w:p>
    <w:p w14:paraId="76030133" w14:textId="77777777" w:rsidR="001E0D0B" w:rsidRDefault="00000000">
      <w:pPr>
        <w:pStyle w:val="Heading1"/>
      </w:pPr>
      <w:r>
        <w:t>9. Non-Political Framing</w:t>
      </w:r>
      <w:bookmarkStart w:id="8" w:name="_Toc009"/>
      <w:bookmarkEnd w:id="8"/>
    </w:p>
    <w:p w14:paraId="6C51FAE9" w14:textId="77777777" w:rsidR="001E0D0B" w:rsidRDefault="00000000">
      <w:r>
        <w:t>This section establishes the deniability framework for this Notice.</w:t>
      </w:r>
    </w:p>
    <w:p w14:paraId="2013A060" w14:textId="77777777" w:rsidR="001E0D0B" w:rsidRDefault="00000000">
      <w:pPr>
        <w:pStyle w:val="Heading3"/>
      </w:pPr>
      <w:r>
        <w:t>9.1 Exclusive Purpose</w:t>
      </w:r>
    </w:p>
    <w:p w14:paraId="2BFC53B9" w14:textId="77777777" w:rsidR="001E0D0B" w:rsidRDefault="00000000">
      <w:r>
        <w:t>This Notice issues exclusively for purposes of navigational safety.</w:t>
      </w:r>
    </w:p>
    <w:p w14:paraId="0A24B9AD" w14:textId="77777777" w:rsidR="001E0D0B" w:rsidRDefault="00000000">
      <w:pPr>
        <w:pStyle w:val="Heading3"/>
      </w:pPr>
      <w:r>
        <w:t>9.2 Non-Political Status</w:t>
      </w:r>
    </w:p>
    <w:p w14:paraId="3DF3D0AE" w14:textId="77777777" w:rsidR="001E0D0B" w:rsidRDefault="00000000">
      <w:r>
        <w:t>This Notice is not a political statement and does not reflect political negotiations.</w:t>
      </w:r>
    </w:p>
    <w:p w14:paraId="4D996AD8" w14:textId="77777777" w:rsidR="001E0D0B" w:rsidRDefault="00000000">
      <w:pPr>
        <w:pStyle w:val="Heading3"/>
      </w:pPr>
      <w:r>
        <w:lastRenderedPageBreak/>
        <w:t>9.3 No Political Reference</w:t>
      </w:r>
    </w:p>
    <w:p w14:paraId="11A4ACD3" w14:textId="77777777" w:rsidR="001E0D0B" w:rsidRDefault="00000000">
      <w:r>
        <w:t>This Notice does not address or reference any bilateral or multilateral political discussions.</w:t>
      </w:r>
    </w:p>
    <w:p w14:paraId="7586D1A6"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CRITICAL FRAMEWORK PRINCIPLE: These clauses constitute the most important structural elements of this Notice. They allow the interpretation that this Notice represents standard procedure. The safety measures in this Notice align with standard maritime practice.</w:t>
      </w:r>
    </w:p>
    <w:p w14:paraId="5025B395" w14:textId="77777777" w:rsidR="001E0D0B" w:rsidRDefault="00000000">
      <w:pPr>
        <w:pStyle w:val="Heading1"/>
      </w:pPr>
      <w:r>
        <w:t>10. Duration and Renewal</w:t>
      </w:r>
      <w:bookmarkStart w:id="9" w:name="_Toc010"/>
      <w:bookmarkEnd w:id="9"/>
    </w:p>
    <w:p w14:paraId="516732B8" w14:textId="77777777" w:rsidR="001E0D0B" w:rsidRDefault="00000000">
      <w:r>
        <w:t>This Notice enters into effect immediately upon issuance. The Notice renews on a monthly basis unless revoked or amended.</w:t>
      </w:r>
    </w:p>
    <w:p w14:paraId="7F11A3A4" w14:textId="77777777" w:rsidR="001E0D0B" w:rsidRDefault="00000000">
      <w:r>
        <w:t>The Islamic Republic of Iran reserves the following rights:</w:t>
      </w:r>
    </w:p>
    <w:p w14:paraId="62BFD2DF" w14:textId="77777777" w:rsidR="001E0D0B" w:rsidRDefault="00000000">
      <w:pPr>
        <w:numPr>
          <w:ilvl w:val="0"/>
          <w:numId w:val="1"/>
        </w:numPr>
        <w:spacing w:after="100"/>
      </w:pPr>
      <w:r>
        <w:t>Amendment: This Notice undergoes amendment with 24 hours notice through Omani channels</w:t>
      </w:r>
    </w:p>
    <w:p w14:paraId="74099E6F" w14:textId="77777777" w:rsidR="001E0D0B" w:rsidRDefault="00000000">
      <w:pPr>
        <w:numPr>
          <w:ilvl w:val="0"/>
          <w:numId w:val="1"/>
        </w:numPr>
        <w:spacing w:after="100"/>
      </w:pPr>
      <w:r>
        <w:t>Revocation: This Notice receives immediate revocation in the event of hostilities</w:t>
      </w:r>
    </w:p>
    <w:p w14:paraId="300FF7F8" w14:textId="77777777" w:rsidR="001E0D0B" w:rsidRDefault="00000000">
      <w:pPr>
        <w:numPr>
          <w:ilvl w:val="0"/>
          <w:numId w:val="1"/>
        </w:numPr>
        <w:spacing w:after="100"/>
      </w:pPr>
      <w:r>
        <w:t>Non-Renewal: The Islamic Republic of Iran declines to renew this Notice upon expiration</w:t>
      </w:r>
    </w:p>
    <w:p w14:paraId="6FA8B171"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TERMINATION MECHANISM: Monthly renewal provides leverage. Non-renewal proceeds automatically if circumstances change. This Notice does not constitute a permanent concession. This Notice remains temporary and conditional.</w:t>
      </w:r>
    </w:p>
    <w:p w14:paraId="35AC3FC7" w14:textId="77777777" w:rsidR="001E0D0B" w:rsidRDefault="00000000">
      <w:pPr>
        <w:pStyle w:val="Heading1"/>
      </w:pPr>
      <w:r>
        <w:t>11. Contact Information</w:t>
      </w:r>
      <w:bookmarkStart w:id="10" w:name="_Toc011"/>
      <w:bookmarkEnd w:id="10"/>
    </w:p>
    <w:p w14:paraId="2C17755C" w14:textId="77777777" w:rsidR="001E0D0B" w:rsidRDefault="00000000">
      <w:r>
        <w:t>For inquiries, contact the PMO Navigation Safety Desk:</w:t>
      </w:r>
    </w:p>
    <w:p w14:paraId="1AFE0984" w14:textId="77777777" w:rsidR="001E0D0B" w:rsidRDefault="00000000">
      <w:pPr>
        <w:numPr>
          <w:ilvl w:val="0"/>
          <w:numId w:val="1"/>
        </w:numPr>
        <w:spacing w:after="100"/>
      </w:pPr>
      <w:r>
        <w:t>VHF: Channel 16 (primary), Channel 70 (DSC backup)</w:t>
      </w:r>
    </w:p>
    <w:p w14:paraId="1EBFBE2F" w14:textId="77777777" w:rsidR="001E0D0B" w:rsidRDefault="00000000">
      <w:pPr>
        <w:numPr>
          <w:ilvl w:val="0"/>
          <w:numId w:val="1"/>
        </w:numPr>
        <w:spacing w:after="100"/>
      </w:pPr>
      <w:r>
        <w:t>Email: navsafety@pmo.ir (encrypted)</w:t>
      </w:r>
    </w:p>
    <w:p w14:paraId="3CEFD183" w14:textId="77777777" w:rsidR="001E0D0B" w:rsidRDefault="00000000">
      <w:pPr>
        <w:numPr>
          <w:ilvl w:val="0"/>
          <w:numId w:val="1"/>
        </w:numPr>
        <w:spacing w:after="100"/>
      </w:pPr>
      <w:r>
        <w:t>Telephone: [+98] [REDACTED] (24/7 operations)</w:t>
      </w:r>
    </w:p>
    <w:p w14:paraId="57457085" w14:textId="77777777" w:rsidR="001E0D0B" w:rsidRDefault="00000000">
      <w:pPr>
        <w:numPr>
          <w:ilvl w:val="0"/>
          <w:numId w:val="1"/>
        </w:numPr>
        <w:spacing w:after="100"/>
      </w:pPr>
      <w:r>
        <w:t>Emergency: Immediate notification via VHF Channel 16</w:t>
      </w:r>
    </w:p>
    <w:p w14:paraId="1DFA87AB" w14:textId="77777777" w:rsidR="001E0D0B" w:rsidRDefault="00000000">
      <w:r>
        <w:t>The PMO operates as a civilian authority. Direct IRGC contact information does not appear in this Notice. This protocol preserves the civilian framing of this navigational warning.</w:t>
      </w:r>
    </w:p>
    <w:p w14:paraId="2F336D6F" w14:textId="77777777" w:rsidR="001E0D0B" w:rsidRDefault="00000000">
      <w:pPr>
        <w:pStyle w:val="Heading1"/>
      </w:pPr>
      <w:r>
        <w:t>12. Commitment to Safety</w:t>
      </w:r>
      <w:bookmarkStart w:id="11" w:name="_Toc012"/>
      <w:bookmarkEnd w:id="11"/>
    </w:p>
    <w:p w14:paraId="62FA0BA5" w14:textId="77777777" w:rsidR="001E0D0B" w:rsidRDefault="00000000">
      <w:r>
        <w:t>Iran commits to minimizing navigational disruption in the Strait of Hormuz and ensuring safe passage for all commercial vessels.</w:t>
      </w:r>
    </w:p>
    <w:p w14:paraId="2D9DAE5B" w14:textId="77777777" w:rsidR="001E0D0B" w:rsidRDefault="00000000">
      <w:pPr>
        <w:pStyle w:val="Heading3"/>
      </w:pPr>
      <w:r>
        <w:lastRenderedPageBreak/>
        <w:t>12.1 Standard Practice</w:t>
      </w:r>
    </w:p>
    <w:p w14:paraId="1536A4BD" w14:textId="77777777" w:rsidR="001E0D0B" w:rsidRDefault="00000000">
      <w:r>
        <w:t>This Notice issues in accordance with standard maritime practice. This Notice is consistent with Iran's longstanding role in promoting regional navigation safety.</w:t>
      </w:r>
    </w:p>
    <w:p w14:paraId="6C5AABAB" w14:textId="77777777" w:rsidR="001E0D0B" w:rsidRDefault="00000000">
      <w:pPr>
        <w:pStyle w:val="Heading3"/>
      </w:pPr>
      <w:r>
        <w:t>12.2 Acknowledgment Request</w:t>
      </w:r>
    </w:p>
    <w:p w14:paraId="6D78A41F" w14:textId="77777777" w:rsidR="001E0D0B" w:rsidRDefault="00000000">
      <w:r>
        <w:t>All vessels acknowledge receipt of this Notice and disseminate its contents to their respective fleets.</w:t>
      </w:r>
    </w:p>
    <w:p w14:paraId="483D33C5" w14:textId="77777777" w:rsidR="001E0D0B" w:rsidRDefault="00000000">
      <w:pPr>
        <w:pStyle w:val="Heading1"/>
      </w:pPr>
      <w:r>
        <w:t>13. Signature Block</w:t>
      </w:r>
      <w:bookmarkStart w:id="12" w:name="_Toc013"/>
      <w:bookmarkEnd w:id="12"/>
    </w:p>
    <w:p w14:paraId="6EF7E5CE" w14:textId="77777777" w:rsidR="001E0D0B" w:rsidRDefault="00000000">
      <w:r>
        <w:t>Issued By:</w:t>
      </w:r>
    </w:p>
    <w:p w14:paraId="3737F67D" w14:textId="77777777" w:rsidR="001E0D0B" w:rsidRDefault="00000000">
      <w:r>
        <w:t>_________________________</w:t>
      </w:r>
    </w:p>
    <w:p w14:paraId="78F7ED8D" w14:textId="77777777" w:rsidR="001E0D0B" w:rsidRDefault="00000000">
      <w:r>
        <w:t>[Name], Director General</w:t>
      </w:r>
    </w:p>
    <w:p w14:paraId="5A6139C0" w14:textId="77777777" w:rsidR="001E0D0B" w:rsidRDefault="00000000">
      <w:r>
        <w:t>Navigation Safety Department</w:t>
      </w:r>
    </w:p>
    <w:p w14:paraId="5EF15A95" w14:textId="77777777" w:rsidR="001E0D0B" w:rsidRDefault="00000000">
      <w:r>
        <w:t>Ports and Maritime Organization of Iran</w:t>
      </w:r>
    </w:p>
    <w:p w14:paraId="6C2CEC2E" w14:textId="77777777" w:rsidR="001E0D0B" w:rsidRDefault="00000000">
      <w:r>
        <w:t>Islamic Republic of Iran</w:t>
      </w:r>
    </w:p>
    <w:p w14:paraId="126D89B0" w14:textId="77777777" w:rsidR="001E0D0B" w:rsidRDefault="00000000">
      <w:r>
        <w:t>Date: 11 July 2026</w:t>
      </w:r>
    </w:p>
    <w:p w14:paraId="0F47EAD9" w14:textId="77777777" w:rsidR="001E0D0B" w:rsidRDefault="00000000">
      <w:r>
        <w:t>Time: [REDACTED]</w:t>
      </w:r>
    </w:p>
    <w:p w14:paraId="55094C5D" w14:textId="77777777" w:rsidR="001E0D0B" w:rsidRDefault="00000000">
      <w:r>
        <w:t>Seal:</w:t>
      </w:r>
    </w:p>
    <w:p w14:paraId="60C37B34" w14:textId="77777777" w:rsidR="001E0D0B" w:rsidRDefault="00000000">
      <w:r>
        <w:t>[Official Seal of the Ports and Maritime Organization of Iran]</w:t>
      </w:r>
    </w:p>
    <w:p w14:paraId="465A578D" w14:textId="77777777" w:rsidR="001E0D0B" w:rsidRDefault="00000000">
      <w:pPr>
        <w:pStyle w:val="Heading3"/>
      </w:pPr>
      <w:r>
        <w:t>13.1 International Dissemination</w:t>
      </w:r>
    </w:p>
    <w:p w14:paraId="12DD9803" w14:textId="77777777" w:rsidR="001E0D0B" w:rsidRDefault="00000000">
      <w:r>
        <w:t xml:space="preserve">This Notice files with the International Maritime Organization (IMO) and is available through regional NAVTEX and </w:t>
      </w:r>
      <w:proofErr w:type="spellStart"/>
      <w:r>
        <w:t>SafetyNET</w:t>
      </w:r>
      <w:proofErr w:type="spellEnd"/>
      <w:r>
        <w:t xml:space="preserve"> systems.</w:t>
      </w:r>
    </w:p>
    <w:p w14:paraId="5A1D721F" w14:textId="77777777" w:rsidR="001E0D0B" w:rsidRDefault="00000000">
      <w:pPr>
        <w:pStyle w:val="Heading3"/>
      </w:pPr>
      <w:r>
        <w:t>13.2 Distribution List</w:t>
      </w:r>
    </w:p>
    <w:p w14:paraId="36AFF098" w14:textId="77777777" w:rsidR="001E0D0B" w:rsidRDefault="00000000">
      <w:pPr>
        <w:numPr>
          <w:ilvl w:val="0"/>
          <w:numId w:val="1"/>
        </w:numPr>
        <w:spacing w:after="100"/>
      </w:pPr>
      <w:r>
        <w:t>IMO Global Integrated Shipping Information System (GISIS)</w:t>
      </w:r>
    </w:p>
    <w:p w14:paraId="16ADCF30" w14:textId="77777777" w:rsidR="001E0D0B" w:rsidRDefault="00000000">
      <w:pPr>
        <w:numPr>
          <w:ilvl w:val="0"/>
          <w:numId w:val="1"/>
        </w:numPr>
        <w:spacing w:after="100"/>
      </w:pPr>
      <w:r>
        <w:t>Regional NAVTEX broadcast</w:t>
      </w:r>
    </w:p>
    <w:p w14:paraId="24F2215B" w14:textId="77777777" w:rsidR="001E0D0B" w:rsidRDefault="00000000">
      <w:pPr>
        <w:numPr>
          <w:ilvl w:val="0"/>
          <w:numId w:val="1"/>
        </w:numPr>
        <w:spacing w:after="100"/>
      </w:pPr>
      <w:proofErr w:type="spellStart"/>
      <w:r>
        <w:t>SafetyNET</w:t>
      </w:r>
      <w:proofErr w:type="spellEnd"/>
      <w:r>
        <w:t xml:space="preserve"> broadcast</w:t>
      </w:r>
    </w:p>
    <w:p w14:paraId="77F66D62" w14:textId="77777777" w:rsidR="001E0D0B" w:rsidRDefault="00000000">
      <w:pPr>
        <w:numPr>
          <w:ilvl w:val="0"/>
          <w:numId w:val="1"/>
        </w:numPr>
        <w:spacing w:after="100"/>
      </w:pPr>
      <w:r>
        <w:t>Iranian Ports and Maritime Organization website</w:t>
      </w:r>
    </w:p>
    <w:p w14:paraId="43CF33D3" w14:textId="77777777" w:rsidR="001E0D0B" w:rsidRDefault="00000000">
      <w:pPr>
        <w:numPr>
          <w:ilvl w:val="0"/>
          <w:numId w:val="1"/>
        </w:numPr>
        <w:spacing w:after="100"/>
      </w:pPr>
      <w:r>
        <w:t>Sultanate of Oman (for coordination)</w:t>
      </w:r>
    </w:p>
    <w:p w14:paraId="7F03FCCA" w14:textId="77777777" w:rsidR="001E0D0B" w:rsidRDefault="00000000">
      <w:pPr>
        <w:numPr>
          <w:ilvl w:val="0"/>
          <w:numId w:val="1"/>
        </w:numPr>
        <w:spacing w:after="100"/>
      </w:pPr>
      <w:r>
        <w:t>All Iranian diplomatic missions (for local dissemination)</w:t>
      </w:r>
    </w:p>
    <w:p w14:paraId="5705DB1A" w14:textId="77777777" w:rsidR="001E0D0B" w:rsidRDefault="00000000">
      <w:pPr>
        <w:pStyle w:val="Heading3"/>
      </w:pPr>
      <w:r>
        <w:t>13.3 Filing and Retention</w:t>
      </w:r>
    </w:p>
    <w:p w14:paraId="16B348E4" w14:textId="77777777" w:rsidR="001E0D0B" w:rsidRDefault="00000000">
      <w:r>
        <w:t>Original filed with: Ports and Maritime Organization of Iran</w:t>
      </w:r>
    </w:p>
    <w:p w14:paraId="77002180" w14:textId="77777777" w:rsidR="001E0D0B" w:rsidRDefault="00000000">
      <w:r>
        <w:lastRenderedPageBreak/>
        <w:t>Copy retained by: Sultanate of Oman (for verification)</w:t>
      </w:r>
    </w:p>
    <w:p w14:paraId="5B122110" w14:textId="77777777" w:rsidR="001E0D0B" w:rsidRDefault="00000000">
      <w:pPr>
        <w:pBdr>
          <w:left w:val="single" w:sz="18" w:space="0" w:color="C9A84C"/>
        </w:pBdr>
        <w:shd w:val="clear" w:color="auto" w:fill="FAF8F2"/>
        <w:spacing w:before="200" w:after="200"/>
        <w:ind w:left="200" w:right="200"/>
      </w:pPr>
      <w:r>
        <w:rPr>
          <w:b/>
          <w:color w:val="8B2500"/>
          <w:sz w:val="21"/>
        </w:rPr>
        <w:t xml:space="preserve">NOTE: </w:t>
      </w:r>
      <w:r>
        <w:rPr>
          <w:sz w:val="21"/>
        </w:rPr>
        <w:t>NOTE: No direct acknowledgment from external powers appears in this Notice. External powers receive this Notice through Omani channels, not directly.</w:t>
      </w:r>
    </w:p>
    <w:p w14:paraId="618B3C80" w14:textId="77777777" w:rsidR="001E0D0B" w:rsidRDefault="001E0D0B">
      <w:pPr>
        <w:pageBreakBefore/>
      </w:pPr>
    </w:p>
    <w:p w14:paraId="359CE499" w14:textId="77777777" w:rsidR="001E0D0B" w:rsidRDefault="00000000">
      <w:pPr>
        <w:pStyle w:val="Heading1"/>
      </w:pPr>
      <w:r>
        <w:t>Annex A: Operational Safety Protocols</w:t>
      </w:r>
      <w:bookmarkStart w:id="13" w:name="_Toc014"/>
      <w:bookmarkEnd w:id="13"/>
    </w:p>
    <w:p w14:paraId="5EFAA336" w14:textId="77777777" w:rsidR="001E0D0B" w:rsidRDefault="00000000">
      <w:r>
        <w:t>This annex provides additional operational specificity for the safe transit of commercial vessels through the Strait of Hormuz.</w:t>
      </w:r>
    </w:p>
    <w:p w14:paraId="50544275" w14:textId="77777777" w:rsidR="001E0D0B" w:rsidRDefault="00000000">
      <w:pPr>
        <w:pStyle w:val="Heading2"/>
      </w:pPr>
      <w:r>
        <w:t>A.1 Transit Group Protocol</w:t>
      </w:r>
    </w:p>
    <w:p w14:paraId="4B86554D" w14:textId="77777777" w:rsidR="001E0D0B" w:rsidRDefault="00000000">
      <w:pPr>
        <w:numPr>
          <w:ilvl w:val="0"/>
          <w:numId w:val="1"/>
        </w:numPr>
        <w:spacing w:after="100"/>
      </w:pPr>
      <w:r>
        <w:t>Vessels organize into transit groups of 5-10 vessels</w:t>
      </w:r>
    </w:p>
    <w:p w14:paraId="7B8339CB" w14:textId="77777777" w:rsidR="001E0D0B" w:rsidRDefault="00000000">
      <w:pPr>
        <w:numPr>
          <w:ilvl w:val="0"/>
          <w:numId w:val="1"/>
        </w:numPr>
        <w:spacing w:after="100"/>
      </w:pPr>
      <w:r>
        <w:t>Transit groups depart at designated intervals</w:t>
      </w:r>
    </w:p>
    <w:p w14:paraId="744D243E" w14:textId="77777777" w:rsidR="001E0D0B" w:rsidRDefault="00000000">
      <w:pPr>
        <w:numPr>
          <w:ilvl w:val="0"/>
          <w:numId w:val="1"/>
        </w:numPr>
        <w:spacing w:after="100"/>
      </w:pPr>
      <w:r>
        <w:t>Vessels maintain 1 nautical mile separation within groups</w:t>
      </w:r>
    </w:p>
    <w:p w14:paraId="4E745655" w14:textId="77777777" w:rsidR="001E0D0B" w:rsidRDefault="00000000">
      <w:pPr>
        <w:numPr>
          <w:ilvl w:val="0"/>
          <w:numId w:val="1"/>
        </w:numPr>
        <w:spacing w:after="100"/>
      </w:pPr>
      <w:r>
        <w:t>Groups maintain 10 nautical mile separation between groups</w:t>
      </w:r>
    </w:p>
    <w:p w14:paraId="6020E5CD" w14:textId="77777777" w:rsidR="001E0D0B" w:rsidRDefault="00000000">
      <w:pPr>
        <w:pStyle w:val="Heading2"/>
      </w:pPr>
      <w:r>
        <w:t>A.2 Communication Protocol</w:t>
      </w:r>
    </w:p>
    <w:p w14:paraId="691CCB07" w14:textId="77777777" w:rsidR="001E0D0B" w:rsidRDefault="00000000">
      <w:pPr>
        <w:numPr>
          <w:ilvl w:val="0"/>
          <w:numId w:val="1"/>
        </w:numPr>
        <w:spacing w:after="100"/>
      </w:pPr>
      <w:r>
        <w:t>All vessels maintain VHF Channel 16 listening watch</w:t>
      </w:r>
    </w:p>
    <w:p w14:paraId="10A5B86B" w14:textId="77777777" w:rsidR="001E0D0B" w:rsidRDefault="00000000">
      <w:pPr>
        <w:numPr>
          <w:ilvl w:val="0"/>
          <w:numId w:val="1"/>
        </w:numPr>
        <w:spacing w:after="100"/>
      </w:pPr>
      <w:r>
        <w:t>Vessels respond to hails from Iranian authorities</w:t>
      </w:r>
    </w:p>
    <w:p w14:paraId="40A0916D" w14:textId="77777777" w:rsidR="001E0D0B" w:rsidRDefault="00000000">
      <w:pPr>
        <w:numPr>
          <w:ilvl w:val="0"/>
          <w:numId w:val="1"/>
        </w:numPr>
        <w:spacing w:after="100"/>
      </w:pPr>
      <w:r>
        <w:t>Vessels report any unusual activity to Iranian authorities</w:t>
      </w:r>
    </w:p>
    <w:p w14:paraId="6AF7D10C" w14:textId="77777777" w:rsidR="001E0D0B" w:rsidRDefault="00000000">
      <w:pPr>
        <w:numPr>
          <w:ilvl w:val="0"/>
          <w:numId w:val="1"/>
        </w:numPr>
        <w:spacing w:after="100"/>
      </w:pPr>
      <w:r>
        <w:t>Emergency communications receive priority handling</w:t>
      </w:r>
    </w:p>
    <w:p w14:paraId="401B9A04" w14:textId="77777777" w:rsidR="001E0D0B" w:rsidRDefault="00000000">
      <w:pPr>
        <w:pStyle w:val="Heading2"/>
      </w:pPr>
      <w:r>
        <w:t>A.3 Incident Reporting Protocol</w:t>
      </w:r>
    </w:p>
    <w:p w14:paraId="7DF07194" w14:textId="77777777" w:rsidR="001E0D0B" w:rsidRDefault="00000000">
      <w:pPr>
        <w:numPr>
          <w:ilvl w:val="0"/>
          <w:numId w:val="1"/>
        </w:numPr>
        <w:spacing w:after="100"/>
      </w:pPr>
      <w:r>
        <w:t>Reportable incidents include: collisions, near-misses, hostile activity</w:t>
      </w:r>
    </w:p>
    <w:p w14:paraId="0C422AB6" w14:textId="77777777" w:rsidR="001E0D0B" w:rsidRDefault="00000000">
      <w:pPr>
        <w:numPr>
          <w:ilvl w:val="0"/>
          <w:numId w:val="1"/>
        </w:numPr>
        <w:spacing w:after="100"/>
      </w:pPr>
      <w:r>
        <w:t>Reporting timeframe: within 1 hour of incident</w:t>
      </w:r>
    </w:p>
    <w:p w14:paraId="616D49FA" w14:textId="77777777" w:rsidR="001E0D0B" w:rsidRDefault="00000000">
      <w:pPr>
        <w:numPr>
          <w:ilvl w:val="0"/>
          <w:numId w:val="1"/>
        </w:numPr>
        <w:spacing w:after="100"/>
      </w:pPr>
      <w:r>
        <w:rPr>
          <w:rFonts w:cs="Calibri"/>
          <w:szCs w:val="22"/>
        </w:rPr>
        <w:t>Report destination: PMO Navigation Safety Desk (contact in Section 11)</w:t>
      </w:r>
    </w:p>
    <w:p w14:paraId="38BBEF10" w14:textId="77777777" w:rsidR="001E0D0B" w:rsidRDefault="00000000">
      <w:pPr>
        <w:numPr>
          <w:ilvl w:val="0"/>
          <w:numId w:val="1"/>
        </w:numPr>
        <w:spacing w:after="100"/>
      </w:pPr>
      <w:r>
        <w:rPr>
          <w:rFonts w:cs="Calibri"/>
          <w:szCs w:val="22"/>
        </w:rPr>
        <w:t>Oman receives notification for verification purposes</w:t>
      </w:r>
    </w:p>
    <w:p w14:paraId="1CCEFA3A" w14:textId="77777777" w:rsidR="001E0D0B" w:rsidRDefault="00000000">
      <w:pPr>
        <w:pStyle w:val="Heading2"/>
      </w:pPr>
      <w:r>
        <w:rPr>
          <w:rFonts w:cs="Calibri"/>
          <w:szCs w:val="26"/>
        </w:rPr>
        <w:t>A.4 Safety Zone Protocol</w:t>
      </w:r>
    </w:p>
    <w:p w14:paraId="4B624C80" w14:textId="77777777" w:rsidR="001E0D0B" w:rsidRDefault="00000000">
      <w:pPr>
        <w:numPr>
          <w:ilvl w:val="0"/>
          <w:numId w:val="1"/>
        </w:numPr>
        <w:spacing w:after="100"/>
      </w:pPr>
      <w:r>
        <w:rPr>
          <w:rFonts w:cs="Calibri"/>
          <w:szCs w:val="22"/>
        </w:rPr>
        <w:t>A 5 nautical mile safety zone exists around commercial vessels</w:t>
      </w:r>
    </w:p>
    <w:p w14:paraId="151DA4A4" w14:textId="77777777" w:rsidR="001E0D0B" w:rsidRDefault="00000000">
      <w:pPr>
        <w:numPr>
          <w:ilvl w:val="0"/>
          <w:numId w:val="1"/>
        </w:numPr>
        <w:spacing w:after="100"/>
      </w:pPr>
      <w:r>
        <w:rPr>
          <w:rFonts w:cs="Calibri"/>
          <w:szCs w:val="22"/>
        </w:rPr>
        <w:t>Iranian naval units do not enter the safety zone without notification</w:t>
      </w:r>
    </w:p>
    <w:p w14:paraId="2D41EEC3" w14:textId="77777777" w:rsidR="001E0D0B" w:rsidRDefault="00000000">
      <w:pPr>
        <w:numPr>
          <w:ilvl w:val="0"/>
          <w:numId w:val="1"/>
        </w:numPr>
        <w:spacing w:after="100"/>
      </w:pPr>
      <w:r>
        <w:rPr>
          <w:rFonts w:cs="Calibri"/>
          <w:szCs w:val="22"/>
        </w:rPr>
        <w:t>Notification requires: 12 hours advance notice to vessel operator</w:t>
      </w:r>
    </w:p>
    <w:p w14:paraId="557177BE" w14:textId="77777777" w:rsidR="001E0D0B" w:rsidRDefault="001E0D0B">
      <w:pPr>
        <w:pageBreakBefore/>
      </w:pPr>
    </w:p>
    <w:p w14:paraId="7D0BAA1B" w14:textId="77777777" w:rsidR="001E0D0B" w:rsidRDefault="00000000">
      <w:pPr>
        <w:pStyle w:val="Heading1"/>
      </w:pPr>
      <w:bookmarkStart w:id="14" w:name="_Toc015"/>
      <w:r>
        <w:rPr>
          <w:rFonts w:cs="Calibri"/>
          <w:szCs w:val="32"/>
        </w:rPr>
        <w:t>Annex B: Prohibited Elements</w:t>
      </w:r>
      <w:bookmarkEnd w:id="14"/>
    </w:p>
    <w:p w14:paraId="4389D834" w14:textId="77777777" w:rsidR="001E0D0B" w:rsidRDefault="00000000">
      <w:r>
        <w:rPr>
          <w:rFonts w:cs="Calibri"/>
          <w:szCs w:val="22"/>
        </w:rPr>
        <w:t>This annex lists elements that this Notice excludes by design. These exclusions preserve the operational integrity and non-political framing of this Notice.</w:t>
      </w:r>
    </w:p>
    <w:p w14:paraId="1A380940" w14:textId="77777777" w:rsidR="001E0D0B" w:rsidRDefault="00000000">
      <w:pPr>
        <w:pStyle w:val="Heading2"/>
      </w:pPr>
      <w:r>
        <w:rPr>
          <w:rFonts w:cs="Calibri"/>
          <w:szCs w:val="26"/>
        </w:rPr>
        <w:t>B.1 Absolute Exclusions</w:t>
      </w:r>
    </w:p>
    <w:tbl>
      <w:tblPr>
        <w:tblW w:w="5000" w:type="pct"/>
        <w:tblInd w:w="10" w:type="dxa"/>
        <w:tblBorders>
          <w:top w:val="single" w:sz="12" w:space="0" w:color="8B2500"/>
          <w:left w:val="nil"/>
          <w:bottom w:val="single" w:sz="12" w:space="0" w:color="8B2500"/>
          <w:right w:val="nil"/>
          <w:insideH w:val="single" w:sz="4" w:space="0" w:color="C8C3B8"/>
        </w:tblBorders>
        <w:tblCellMar>
          <w:left w:w="10" w:type="dxa"/>
          <w:right w:w="10" w:type="dxa"/>
        </w:tblCellMar>
        <w:tblLook w:val="0000" w:firstRow="0" w:lastRow="0" w:firstColumn="0" w:lastColumn="0" w:noHBand="0" w:noVBand="0"/>
      </w:tblPr>
      <w:tblGrid>
        <w:gridCol w:w="3336"/>
        <w:gridCol w:w="5710"/>
      </w:tblGrid>
      <w:tr w:rsidR="001E0D0B" w14:paraId="48576E9C" w14:textId="77777777">
        <w:trPr>
          <w:tblHeader/>
        </w:trPr>
        <w:tc>
          <w:tcPr>
            <w:tcW w:w="3500" w:type="dxa"/>
            <w:shd w:val="clear" w:color="auto" w:fill="E8E6E1"/>
          </w:tcPr>
          <w:p w14:paraId="72C7A53A" w14:textId="77777777" w:rsidR="001E0D0B" w:rsidRDefault="00000000">
            <w:pPr>
              <w:spacing w:before="60" w:after="60"/>
            </w:pPr>
            <w:r>
              <w:rPr>
                <w:rFonts w:cs="Calibri"/>
                <w:b/>
                <w:sz w:val="20"/>
                <w:szCs w:val="20"/>
              </w:rPr>
              <w:t>Prohibited Element</w:t>
            </w:r>
          </w:p>
        </w:tc>
        <w:tc>
          <w:tcPr>
            <w:tcW w:w="6076" w:type="dxa"/>
            <w:shd w:val="clear" w:color="auto" w:fill="E8E6E1"/>
          </w:tcPr>
          <w:p w14:paraId="701A9F1F" w14:textId="77777777" w:rsidR="001E0D0B" w:rsidRDefault="00000000">
            <w:pPr>
              <w:spacing w:before="60" w:after="60"/>
            </w:pPr>
            <w:r>
              <w:rPr>
                <w:rFonts w:cs="Calibri"/>
                <w:b/>
                <w:sz w:val="20"/>
                <w:szCs w:val="20"/>
              </w:rPr>
              <w:t>Reason for Exclusion</w:t>
            </w:r>
          </w:p>
        </w:tc>
      </w:tr>
      <w:tr w:rsidR="001E0D0B" w14:paraId="344C5871" w14:textId="77777777">
        <w:tc>
          <w:tcPr>
            <w:tcW w:w="3500" w:type="dxa"/>
          </w:tcPr>
          <w:p w14:paraId="5D3B245F" w14:textId="77777777" w:rsidR="001E0D0B" w:rsidRDefault="00000000">
            <w:pPr>
              <w:spacing w:before="60" w:after="60"/>
            </w:pPr>
            <w:r>
              <w:rPr>
                <w:rFonts w:cs="Calibri"/>
                <w:color w:val="3D4F5F"/>
                <w:sz w:val="20"/>
                <w:szCs w:val="20"/>
              </w:rPr>
              <w:t>Any mention of the United States, America, or Trump</w:t>
            </w:r>
          </w:p>
        </w:tc>
        <w:tc>
          <w:tcPr>
            <w:tcW w:w="6076" w:type="dxa"/>
          </w:tcPr>
          <w:p w14:paraId="40EF3836" w14:textId="77777777" w:rsidR="001E0D0B" w:rsidRDefault="00000000">
            <w:pPr>
              <w:spacing w:before="60" w:after="60"/>
            </w:pPr>
            <w:r>
              <w:rPr>
                <w:rFonts w:cs="Calibri"/>
                <w:color w:val="3D4F5F"/>
                <w:sz w:val="20"/>
                <w:szCs w:val="20"/>
              </w:rPr>
              <w:t>Iran refuses such references; the document reads as a dictated concession</w:t>
            </w:r>
          </w:p>
        </w:tc>
      </w:tr>
      <w:tr w:rsidR="001E0D0B" w14:paraId="101BBB84" w14:textId="77777777">
        <w:tc>
          <w:tcPr>
            <w:tcW w:w="3500" w:type="dxa"/>
          </w:tcPr>
          <w:p w14:paraId="6FE9C54F" w14:textId="77777777" w:rsidR="001E0D0B" w:rsidRDefault="00000000">
            <w:pPr>
              <w:spacing w:before="60" w:after="60"/>
            </w:pPr>
            <w:r>
              <w:rPr>
                <w:rFonts w:cs="Calibri"/>
                <w:color w:val="3D4F5F"/>
                <w:sz w:val="20"/>
                <w:szCs w:val="20"/>
              </w:rPr>
              <w:t>"Free transit" or "no tolls"</w:t>
            </w:r>
          </w:p>
        </w:tc>
        <w:tc>
          <w:tcPr>
            <w:tcW w:w="6076" w:type="dxa"/>
          </w:tcPr>
          <w:p w14:paraId="764354DE" w14:textId="70BDEF44" w:rsidR="001E0D0B" w:rsidRDefault="00000000">
            <w:pPr>
              <w:spacing w:before="60" w:after="60"/>
            </w:pPr>
            <w:r>
              <w:rPr>
                <w:rFonts w:cs="Calibri"/>
                <w:color w:val="3D4F5F"/>
                <w:sz w:val="20"/>
                <w:szCs w:val="20"/>
              </w:rPr>
              <w:t xml:space="preserve">Iran explores maritime service fees after 60 days; inclusion </w:t>
            </w:r>
            <w:r w:rsidR="00EA379C">
              <w:rPr>
                <w:rFonts w:cs="Calibri"/>
                <w:color w:val="3D4F5F"/>
                <w:sz w:val="20"/>
                <w:szCs w:val="20"/>
              </w:rPr>
              <w:t>pre-empts</w:t>
            </w:r>
            <w:r>
              <w:rPr>
                <w:rFonts w:cs="Calibri"/>
                <w:color w:val="3D4F5F"/>
                <w:sz w:val="20"/>
                <w:szCs w:val="20"/>
              </w:rPr>
              <w:t xml:space="preserve"> leverage</w:t>
            </w:r>
          </w:p>
        </w:tc>
      </w:tr>
      <w:tr w:rsidR="001E0D0B" w14:paraId="42871DA8" w14:textId="77777777">
        <w:tc>
          <w:tcPr>
            <w:tcW w:w="3500" w:type="dxa"/>
          </w:tcPr>
          <w:p w14:paraId="12F57BF7" w14:textId="77777777" w:rsidR="001E0D0B" w:rsidRDefault="00000000">
            <w:pPr>
              <w:spacing w:before="60" w:after="60"/>
            </w:pPr>
            <w:r>
              <w:rPr>
                <w:rFonts w:cs="Calibri"/>
                <w:color w:val="3D4F5F"/>
                <w:sz w:val="20"/>
                <w:szCs w:val="20"/>
              </w:rPr>
              <w:t>Reference to the 1968 Traffic Separation Scheme</w:t>
            </w:r>
          </w:p>
        </w:tc>
        <w:tc>
          <w:tcPr>
            <w:tcW w:w="6076" w:type="dxa"/>
          </w:tcPr>
          <w:p w14:paraId="6EA1715E" w14:textId="77777777" w:rsidR="001E0D0B" w:rsidRDefault="00000000">
            <w:pPr>
              <w:spacing w:before="60" w:after="60"/>
            </w:pPr>
            <w:r>
              <w:rPr>
                <w:rFonts w:cs="Calibri"/>
                <w:color w:val="3D4F5F"/>
                <w:sz w:val="20"/>
                <w:szCs w:val="20"/>
              </w:rPr>
              <w:t>Iran rejects these routes and insists they change</w:t>
            </w:r>
          </w:p>
        </w:tc>
      </w:tr>
      <w:tr w:rsidR="001E0D0B" w14:paraId="053BD6D8" w14:textId="77777777">
        <w:tc>
          <w:tcPr>
            <w:tcW w:w="3500" w:type="dxa"/>
          </w:tcPr>
          <w:p w14:paraId="54898F45" w14:textId="77777777" w:rsidR="001E0D0B" w:rsidRDefault="00000000">
            <w:pPr>
              <w:spacing w:before="60" w:after="60"/>
            </w:pPr>
            <w:r>
              <w:rPr>
                <w:rFonts w:cs="Calibri"/>
                <w:color w:val="3D4F5F"/>
                <w:sz w:val="20"/>
                <w:szCs w:val="20"/>
              </w:rPr>
              <w:t>"Southern route" or parallel route references</w:t>
            </w:r>
          </w:p>
        </w:tc>
        <w:tc>
          <w:tcPr>
            <w:tcW w:w="6076" w:type="dxa"/>
          </w:tcPr>
          <w:p w14:paraId="3C4A30B8" w14:textId="77777777" w:rsidR="001E0D0B" w:rsidRDefault="00000000">
            <w:pPr>
              <w:spacing w:before="60" w:after="60"/>
            </w:pPr>
            <w:r>
              <w:rPr>
                <w:rFonts w:cs="Calibri"/>
                <w:color w:val="3D4F5F"/>
                <w:sz w:val="20"/>
                <w:szCs w:val="20"/>
              </w:rPr>
              <w:t>Iran refuses to recognize any such parallel routes</w:t>
            </w:r>
          </w:p>
        </w:tc>
      </w:tr>
      <w:tr w:rsidR="001E0D0B" w14:paraId="4BBDD334" w14:textId="77777777">
        <w:tc>
          <w:tcPr>
            <w:tcW w:w="3500" w:type="dxa"/>
          </w:tcPr>
          <w:p w14:paraId="63ADC155" w14:textId="77777777" w:rsidR="001E0D0B" w:rsidRDefault="00000000">
            <w:pPr>
              <w:spacing w:before="60" w:after="60"/>
            </w:pPr>
            <w:r>
              <w:rPr>
                <w:rFonts w:cs="Calibri"/>
                <w:color w:val="3D4F5F"/>
                <w:sz w:val="20"/>
                <w:szCs w:val="20"/>
              </w:rPr>
              <w:t>"Surrender," "capitulation," "concession"</w:t>
            </w:r>
          </w:p>
        </w:tc>
        <w:tc>
          <w:tcPr>
            <w:tcW w:w="6076" w:type="dxa"/>
          </w:tcPr>
          <w:p w14:paraId="1BDEC1CF" w14:textId="77777777" w:rsidR="001E0D0B" w:rsidRDefault="00000000">
            <w:pPr>
              <w:spacing w:before="60" w:after="60"/>
            </w:pPr>
            <w:r>
              <w:rPr>
                <w:rFonts w:cs="Calibri"/>
                <w:color w:val="3D4F5F"/>
                <w:sz w:val="20"/>
                <w:szCs w:val="20"/>
              </w:rPr>
              <w:t>Political suicide; immediate hardliner rejection</w:t>
            </w:r>
          </w:p>
        </w:tc>
      </w:tr>
      <w:tr w:rsidR="001E0D0B" w14:paraId="6C923949" w14:textId="77777777">
        <w:tc>
          <w:tcPr>
            <w:tcW w:w="3500" w:type="dxa"/>
          </w:tcPr>
          <w:p w14:paraId="4C5C43C9" w14:textId="77777777" w:rsidR="001E0D0B" w:rsidRDefault="00000000">
            <w:pPr>
              <w:spacing w:before="60" w:after="60"/>
            </w:pPr>
            <w:r>
              <w:rPr>
                <w:rFonts w:cs="Calibri"/>
                <w:color w:val="3D4F5F"/>
                <w:sz w:val="20"/>
                <w:szCs w:val="20"/>
              </w:rPr>
              <w:t>"Iran-US" or "Iran-American"</w:t>
            </w:r>
          </w:p>
        </w:tc>
        <w:tc>
          <w:tcPr>
            <w:tcW w:w="6076" w:type="dxa"/>
          </w:tcPr>
          <w:p w14:paraId="0AA16451" w14:textId="77777777" w:rsidR="001E0D0B" w:rsidRDefault="00000000">
            <w:pPr>
              <w:spacing w:before="60" w:after="60"/>
            </w:pPr>
            <w:r>
              <w:rPr>
                <w:rFonts w:cs="Calibri"/>
                <w:color w:val="3D4F5F"/>
                <w:sz w:val="20"/>
                <w:szCs w:val="20"/>
              </w:rPr>
              <w:t>This Notice is technical, not bilateral</w:t>
            </w:r>
          </w:p>
        </w:tc>
      </w:tr>
      <w:tr w:rsidR="001E0D0B" w14:paraId="503370C9" w14:textId="77777777">
        <w:tc>
          <w:tcPr>
            <w:tcW w:w="3500" w:type="dxa"/>
          </w:tcPr>
          <w:p w14:paraId="40AC98C2" w14:textId="77777777" w:rsidR="001E0D0B" w:rsidRDefault="00000000">
            <w:pPr>
              <w:spacing w:before="60" w:after="60"/>
            </w:pPr>
            <w:r>
              <w:rPr>
                <w:rFonts w:cs="Calibri"/>
                <w:color w:val="3D4F5F"/>
                <w:sz w:val="20"/>
                <w:szCs w:val="20"/>
              </w:rPr>
              <w:t>"Negotiations" or "talks"</w:t>
            </w:r>
          </w:p>
        </w:tc>
        <w:tc>
          <w:tcPr>
            <w:tcW w:w="6076" w:type="dxa"/>
          </w:tcPr>
          <w:p w14:paraId="386D3267" w14:textId="77777777" w:rsidR="001E0D0B" w:rsidRDefault="00000000">
            <w:pPr>
              <w:spacing w:before="60" w:after="60"/>
            </w:pPr>
            <w:r>
              <w:rPr>
                <w:rFonts w:cs="Calibri"/>
                <w:color w:val="3D4F5F"/>
                <w:sz w:val="20"/>
                <w:szCs w:val="20"/>
              </w:rPr>
              <w:t>This is a safety notice, not a political document</w:t>
            </w:r>
          </w:p>
        </w:tc>
      </w:tr>
      <w:tr w:rsidR="001E0D0B" w14:paraId="43C9B533" w14:textId="77777777">
        <w:tc>
          <w:tcPr>
            <w:tcW w:w="3500" w:type="dxa"/>
          </w:tcPr>
          <w:p w14:paraId="607AA0EA" w14:textId="77777777" w:rsidR="001E0D0B" w:rsidRDefault="00000000">
            <w:pPr>
              <w:spacing w:before="60" w:after="60"/>
            </w:pPr>
            <w:r>
              <w:rPr>
                <w:rFonts w:cs="Calibri"/>
                <w:color w:val="3D4F5F"/>
                <w:sz w:val="20"/>
                <w:szCs w:val="20"/>
              </w:rPr>
              <w:t>UNCLOS reference</w:t>
            </w:r>
          </w:p>
        </w:tc>
        <w:tc>
          <w:tcPr>
            <w:tcW w:w="6076" w:type="dxa"/>
          </w:tcPr>
          <w:p w14:paraId="5B7C1F4D" w14:textId="77777777" w:rsidR="001E0D0B" w:rsidRDefault="00000000">
            <w:pPr>
              <w:spacing w:before="60" w:after="60"/>
            </w:pPr>
            <w:r>
              <w:rPr>
                <w:rFonts w:cs="Calibri"/>
                <w:color w:val="3D4F5F"/>
                <w:sz w:val="20"/>
                <w:szCs w:val="20"/>
              </w:rPr>
              <w:t>Iran is not a signatory and rejects UNCLOS as basis for governance</w:t>
            </w:r>
          </w:p>
        </w:tc>
      </w:tr>
      <w:tr w:rsidR="001E0D0B" w14:paraId="6A1C2497" w14:textId="77777777">
        <w:tc>
          <w:tcPr>
            <w:tcW w:w="3500" w:type="dxa"/>
          </w:tcPr>
          <w:p w14:paraId="2C393268" w14:textId="77777777" w:rsidR="001E0D0B" w:rsidRDefault="00000000">
            <w:pPr>
              <w:spacing w:before="60" w:after="60"/>
            </w:pPr>
            <w:r>
              <w:rPr>
                <w:rFonts w:cs="Calibri"/>
                <w:color w:val="3D4F5F"/>
                <w:sz w:val="20"/>
                <w:szCs w:val="20"/>
              </w:rPr>
              <w:t>IRGC involvement</w:t>
            </w:r>
          </w:p>
        </w:tc>
        <w:tc>
          <w:tcPr>
            <w:tcW w:w="6076" w:type="dxa"/>
          </w:tcPr>
          <w:p w14:paraId="294F8132" w14:textId="77777777" w:rsidR="001E0D0B" w:rsidRDefault="00000000">
            <w:pPr>
              <w:spacing w:before="60" w:after="60"/>
            </w:pPr>
            <w:r>
              <w:rPr>
                <w:rFonts w:cs="Calibri"/>
                <w:color w:val="3D4F5F"/>
                <w:sz w:val="20"/>
                <w:szCs w:val="20"/>
              </w:rPr>
              <w:t>Frames the document as military; undermines civilian deniability</w:t>
            </w:r>
          </w:p>
        </w:tc>
      </w:tr>
    </w:tbl>
    <w:p w14:paraId="54B4B55B" w14:textId="77777777" w:rsidR="001E0D0B" w:rsidRDefault="00000000">
      <w:pPr>
        <w:pStyle w:val="Heading2"/>
      </w:pPr>
      <w:r>
        <w:rPr>
          <w:rFonts w:cs="Calibri"/>
          <w:szCs w:val="26"/>
        </w:rPr>
        <w:t>B.2 Rationale for Exclusions</w:t>
      </w:r>
    </w:p>
    <w:p w14:paraId="339E519B" w14:textId="77777777" w:rsidR="001E0D0B" w:rsidRDefault="00000000">
      <w:r>
        <w:rPr>
          <w:rFonts w:cs="Calibri"/>
          <w:szCs w:val="22"/>
        </w:rPr>
        <w:t>Each exclusion in this annex serves a specific structural purpose. The framework architecture of this Notice depends on the absence of these elements. Inclusion of any excluded element triggers rejection by stakeholders and collapses the mutual architectural framework.</w:t>
      </w:r>
    </w:p>
    <w:p w14:paraId="5BAD7036" w14:textId="77777777" w:rsidR="001E0D0B" w:rsidRDefault="00000000">
      <w:pPr>
        <w:pStyle w:val="Heading2"/>
      </w:pPr>
      <w:r>
        <w:rPr>
          <w:rFonts w:cs="Calibri"/>
          <w:szCs w:val="26"/>
        </w:rPr>
        <w:t>B.3 Compliance Verification</w:t>
      </w:r>
    </w:p>
    <w:p w14:paraId="27B6BDB5" w14:textId="77777777" w:rsidR="001E0D0B" w:rsidRDefault="00000000">
      <w:r>
        <w:rPr>
          <w:rFonts w:cs="Calibri"/>
          <w:szCs w:val="22"/>
        </w:rPr>
        <w:t>Prior to issuance, this Notice undergoes review against the prohibited elements list. Any detected prohibited element triggers revision. No prohibited element appears in the final issued version of this Notice.</w:t>
      </w:r>
    </w:p>
    <w:p w14:paraId="2898866C" w14:textId="77777777" w:rsidR="001E0D0B" w:rsidRDefault="001E0D0B">
      <w:pPr>
        <w:sectPr w:rsidR="001E0D0B">
          <w:headerReference w:type="default" r:id="rId7"/>
          <w:footerReference w:type="default" r:id="rId8"/>
          <w:pgSz w:w="11906" w:h="16838"/>
          <w:pgMar w:top="1800" w:right="1440" w:bottom="1440" w:left="1440" w:header="720" w:footer="720" w:gutter="0"/>
          <w:cols w:space="720"/>
        </w:sectPr>
      </w:pPr>
    </w:p>
    <w:p w14:paraId="7E69A383" w14:textId="77777777" w:rsidR="001E0D0B" w:rsidRDefault="00000000">
      <w:pPr>
        <w:spacing w:before="5500"/>
        <w:jc w:val="center"/>
      </w:pPr>
      <w:r>
        <w:rPr>
          <w:rFonts w:cs="Calibri"/>
          <w:b/>
          <w:color w:val="0D2B3E"/>
          <w:sz w:val="44"/>
          <w:szCs w:val="44"/>
        </w:rPr>
        <w:lastRenderedPageBreak/>
        <w:t>Ports and Maritime Organization of Iran</w:t>
      </w:r>
    </w:p>
    <w:p w14:paraId="35B2E754" w14:textId="77777777" w:rsidR="001E0D0B" w:rsidRDefault="00000000">
      <w:pPr>
        <w:spacing w:before="400"/>
        <w:jc w:val="center"/>
      </w:pPr>
      <w:r>
        <w:rPr>
          <w:rFonts w:cs="Calibri"/>
          <w:color w:val="1A4A5E"/>
          <w:sz w:val="24"/>
        </w:rPr>
        <w:t>Navigation Safety Department</w:t>
      </w:r>
    </w:p>
    <w:p w14:paraId="2B615C68" w14:textId="77777777" w:rsidR="001E0D0B" w:rsidRDefault="00000000">
      <w:pPr>
        <w:spacing w:before="600"/>
        <w:jc w:val="center"/>
      </w:pPr>
      <w:r>
        <w:rPr>
          <w:rFonts w:cs="Calibri"/>
          <w:color w:val="3D4F5F"/>
          <w:sz w:val="20"/>
          <w:szCs w:val="20"/>
        </w:rPr>
        <w:t>PMO/NOTMAR/2026-07-11/HORMUZ-01</w:t>
      </w:r>
    </w:p>
    <w:p w14:paraId="5122C1EB" w14:textId="77777777" w:rsidR="001E0D0B" w:rsidRDefault="00000000">
      <w:pPr>
        <w:spacing w:before="2000"/>
        <w:jc w:val="center"/>
      </w:pPr>
      <w:r>
        <w:rPr>
          <w:rFonts w:cs="Calibri"/>
          <w:color w:val="7A8B99"/>
          <w:sz w:val="18"/>
          <w:szCs w:val="18"/>
        </w:rPr>
        <w:t>Filed with the International Maritime Organization (IMO)</w:t>
      </w:r>
    </w:p>
    <w:p w14:paraId="3D7640CB" w14:textId="77777777" w:rsidR="001E0D0B" w:rsidRDefault="00000000">
      <w:pPr>
        <w:spacing w:before="100"/>
        <w:jc w:val="center"/>
      </w:pPr>
      <w:r>
        <w:rPr>
          <w:rFonts w:cs="Calibri"/>
          <w:color w:val="7A8B99"/>
          <w:sz w:val="18"/>
          <w:szCs w:val="18"/>
        </w:rPr>
        <w:t xml:space="preserve">Available through NAVTEX and </w:t>
      </w:r>
      <w:proofErr w:type="spellStart"/>
      <w:r>
        <w:rPr>
          <w:rFonts w:cs="Calibri"/>
          <w:color w:val="7A8B99"/>
          <w:sz w:val="18"/>
          <w:szCs w:val="18"/>
        </w:rPr>
        <w:t>SafetyNET</w:t>
      </w:r>
      <w:proofErr w:type="spellEnd"/>
      <w:r>
        <w:rPr>
          <w:rFonts w:cs="Calibri"/>
          <w:color w:val="7A8B99"/>
          <w:sz w:val="18"/>
          <w:szCs w:val="18"/>
        </w:rPr>
        <w:t xml:space="preserve"> systems</w:t>
      </w:r>
    </w:p>
    <w:p w14:paraId="7CA07F36" w14:textId="77777777" w:rsidR="001E0D0B" w:rsidRDefault="00000000">
      <w:pPr>
        <w:spacing w:before="200"/>
        <w:jc w:val="center"/>
      </w:pPr>
      <w:r>
        <w:rPr>
          <w:rFonts w:cs="Calibri"/>
          <w:color w:val="7A8B99"/>
          <w:sz w:val="16"/>
          <w:szCs w:val="16"/>
        </w:rPr>
        <w:t>Copy retained by Sultanate of Oman (for verification)</w:t>
      </w:r>
    </w:p>
    <w:p w14:paraId="343D4828" w14:textId="77777777" w:rsidR="001E0D0B" w:rsidRDefault="00000000">
      <w:pPr>
        <w:spacing w:before="1200"/>
        <w:jc w:val="center"/>
      </w:pPr>
      <w:r>
        <w:rPr>
          <w:rFonts w:cs="Calibri"/>
          <w:color w:val="7A8B99"/>
          <w:sz w:val="16"/>
          <w:szCs w:val="16"/>
        </w:rPr>
        <w:t>Islamic Republic of Iran | July 2026</w:t>
      </w:r>
    </w:p>
    <w:sectPr w:rsidR="001E0D0B">
      <w:pgSz w:w="11906" w:h="16838"/>
      <w:pgMar w:top="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E5518" w14:textId="77777777" w:rsidR="00DD562E" w:rsidRDefault="00DD562E">
      <w:pPr>
        <w:spacing w:after="0" w:line="240" w:lineRule="auto"/>
      </w:pPr>
      <w:r>
        <w:separator/>
      </w:r>
    </w:p>
  </w:endnote>
  <w:endnote w:type="continuationSeparator" w:id="0">
    <w:p w14:paraId="325B5E4A" w14:textId="77777777" w:rsidR="00DD562E" w:rsidRDefault="00DD56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A38F" w14:textId="77777777" w:rsidR="001E0D0B" w:rsidRDefault="00000000">
    <w:pPr>
      <w:jc w:val="center"/>
    </w:pPr>
    <w:r>
      <w:rPr>
        <w:color w:val="7A8B99"/>
        <w:sz w:val="18"/>
      </w:rPr>
      <w:fldChar w:fldCharType="begin"/>
    </w:r>
    <w:r>
      <w:rPr>
        <w:color w:val="7A8B99"/>
        <w:sz w:val="18"/>
      </w:rPr>
      <w:instrText xml:space="preserve"> PAGE </w:instrText>
    </w:r>
    <w:r>
      <w:rPr>
        <w:color w:val="7A8B99"/>
        <w:sz w:val="18"/>
      </w:rPr>
      <w:fldChar w:fldCharType="separate"/>
    </w:r>
    <w:r>
      <w:rPr>
        <w:color w:val="7A8B99"/>
        <w:sz w:val="18"/>
      </w:rPr>
      <w:t>1</w:t>
    </w:r>
    <w:r>
      <w:rPr>
        <w:color w:val="7A8B99"/>
        <w:sz w:val="18"/>
      </w:rPr>
      <w:fldChar w:fldCharType="end"/>
    </w:r>
    <w:r>
      <w:rPr>
        <w:color w:val="7A8B99"/>
        <w:sz w:val="18"/>
      </w:rPr>
      <w:t xml:space="preserve"> / </w:t>
    </w:r>
    <w:r>
      <w:rPr>
        <w:color w:val="7A8B99"/>
        <w:sz w:val="18"/>
      </w:rPr>
      <w:fldChar w:fldCharType="begin"/>
    </w:r>
    <w:r>
      <w:rPr>
        <w:color w:val="7A8B99"/>
        <w:sz w:val="18"/>
      </w:rPr>
      <w:instrText xml:space="preserve"> NUMPAGES </w:instrText>
    </w:r>
    <w:r>
      <w:rPr>
        <w:color w:val="7A8B99"/>
        <w:sz w:val="18"/>
      </w:rPr>
      <w:fldChar w:fldCharType="separate"/>
    </w:r>
    <w:r>
      <w:rPr>
        <w:color w:val="7A8B99"/>
        <w:sz w:val="18"/>
      </w:rPr>
      <w:t>1</w:t>
    </w:r>
    <w:r>
      <w:rPr>
        <w:color w:val="7A8B9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0740B6" w14:textId="77777777" w:rsidR="00DD562E" w:rsidRDefault="00DD562E">
      <w:pPr>
        <w:spacing w:after="0" w:line="240" w:lineRule="auto"/>
      </w:pPr>
      <w:r>
        <w:separator/>
      </w:r>
    </w:p>
  </w:footnote>
  <w:footnote w:type="continuationSeparator" w:id="0">
    <w:p w14:paraId="270FC98A" w14:textId="77777777" w:rsidR="00DD562E" w:rsidRDefault="00DD56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6480E" w14:textId="77777777" w:rsidR="001E0D0B" w:rsidRDefault="00000000">
    <w:pPr>
      <w:jc w:val="right"/>
    </w:pPr>
    <w:r>
      <w:rPr>
        <w:rFonts w:cs="Calibri"/>
        <w:color w:val="7A8B99"/>
        <w:sz w:val="16"/>
        <w:szCs w:val="16"/>
      </w:rPr>
      <w:t>PMO/NOTMAR/2026-07-11/HORMUZ-01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1C6960"/>
    <w:multiLevelType w:val="multilevel"/>
    <w:tmpl w:val="E424D26E"/>
    <w:lvl w:ilvl="0">
      <w:numFmt w:val="bullet"/>
      <w:lvlText w:val="•"/>
      <w:lvlJc w:val="left"/>
      <w:pPr>
        <w:ind w:left="720" w:hanging="360"/>
      </w:pPr>
      <w:rPr>
        <w:rFonts w:ascii="Symbol" w:hAnsi="Symbol"/>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6156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1E0D0B"/>
    <w:rsid w:val="001E0D0B"/>
    <w:rsid w:val="00485C02"/>
    <w:rsid w:val="004C28C7"/>
    <w:rsid w:val="006321A3"/>
    <w:rsid w:val="00DD562E"/>
    <w:rsid w:val="00EA379C"/>
    <w:rsid w:val="00F04AB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1C39"/>
  <w15:docId w15:val="{BA2BD434-F7AC-4F15-9741-79D9F352F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rPr>
      <w:rFonts w:ascii="Calibri" w:eastAsia="Microsoft YaHei" w:hAnsi="Calibri"/>
      <w:color w:val="1A1A2E"/>
      <w:sz w:val="22"/>
    </w:rPr>
  </w:style>
  <w:style w:type="paragraph" w:styleId="Heading1">
    <w:name w:val="heading 1"/>
    <w:basedOn w:val="Normal"/>
    <w:uiPriority w:val="9"/>
    <w:qFormat/>
    <w:pPr>
      <w:keepNext/>
      <w:keepLines/>
      <w:spacing w:before="480" w:after="200"/>
      <w:outlineLvl w:val="0"/>
    </w:pPr>
    <w:rPr>
      <w:b/>
      <w:color w:val="0D2B3E"/>
      <w:sz w:val="32"/>
    </w:rPr>
  </w:style>
  <w:style w:type="paragraph" w:styleId="Heading2">
    <w:name w:val="heading 2"/>
    <w:basedOn w:val="Normal"/>
    <w:uiPriority w:val="9"/>
    <w:unhideWhenUsed/>
    <w:qFormat/>
    <w:pPr>
      <w:keepNext/>
      <w:keepLines/>
      <w:spacing w:before="360" w:after="140"/>
      <w:outlineLvl w:val="1"/>
    </w:pPr>
    <w:rPr>
      <w:b/>
      <w:color w:val="1A4A5E"/>
      <w:sz w:val="26"/>
    </w:rPr>
  </w:style>
  <w:style w:type="paragraph" w:styleId="Heading3">
    <w:name w:val="heading 3"/>
    <w:basedOn w:val="Normal"/>
    <w:uiPriority w:val="9"/>
    <w:unhideWhenUsed/>
    <w:qFormat/>
    <w:pPr>
      <w:keepNext/>
      <w:keepLines/>
      <w:spacing w:before="240" w:after="100"/>
      <w:outlineLvl w:val="2"/>
    </w:pPr>
    <w:rPr>
      <w:b/>
      <w:color w:val="3D4F5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pPr>
      <w:spacing w:before="60" w:after="240"/>
      <w:jc w:val="center"/>
    </w:pPr>
    <w:rPr>
      <w:color w:val="7A8B99"/>
      <w:sz w:val="20"/>
    </w:rPr>
  </w:style>
  <w:style w:type="paragraph" w:styleId="TOC1">
    <w:name w:val="toc 1"/>
    <w:basedOn w:val="Normal"/>
    <w:pPr>
      <w:tabs>
        <w:tab w:val="right" w:leader="dot" w:pos="9350"/>
      </w:tabs>
      <w:spacing w:before="120" w:after="40"/>
    </w:pPr>
    <w:rPr>
      <w:b/>
    </w:rPr>
  </w:style>
  <w:style w:type="paragraph" w:styleId="TOC2">
    <w:name w:val="toc 2"/>
    <w:basedOn w:val="Normal"/>
    <w:pPr>
      <w:tabs>
        <w:tab w:val="right" w:leader="dot" w:pos="9350"/>
      </w:tabs>
      <w:spacing w:before="60" w:after="40"/>
      <w:ind w:left="360"/>
    </w:pPr>
    <w:rPr>
      <w:color w:val="3D4F5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2040</Words>
  <Characters>12571</Characters>
  <Application>Microsoft Office Word</Application>
  <DocSecurity>0</DocSecurity>
  <Lines>292</Lines>
  <Paragraphs>265</Paragraphs>
  <ScaleCrop>false</ScaleCrop>
  <Company/>
  <LinksUpToDate>false</LinksUpToDate>
  <CharactersWithSpaces>14346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Heather Leblanc</cp:lastModifiedBy>
  <cp:revision>3</cp:revision>
  <dcterms:created xsi:type="dcterms:W3CDTF">2026-07-12T02:35:00Z</dcterms:created>
  <dcterms:modified xsi:type="dcterms:W3CDTF">2026-07-12T02:37:00Z</dcterms:modified>
</cp:coreProperties>
</file>