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26c6c62430344613"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df18b281617c4143"/>
                    <a:stretch>
                      <a:fillRect/>
                    </a:stretch>
                  </pic:blipFill>
                  <pic:spPr>
                    <a:xfrm>
                      <a:off x="0" y="0"/>
                      <a:ext cx="7560000" cy="10692000"/>
                    </a:xfrm>
                    <a:prstGeom prst="rect"/>
                  </pic:spPr>
                </pic:pic>
              </a:graphicData>
            </a:graphic>
          </wp:anchor>
        </w:drawing>
      </w:r>
    </w:p>
    <w:p>
      <w:pPr>
        <w:spacing w:before="2200"/>
      </w:pPr>
      <w:r/>
    </w:p>
    <w:p>
      <w:pPr>
        <w:spacing w:after="400"/>
        <w:jc w:val="center"/>
      </w:pPr>
      <w:r>
        <w:rPr>
          <w:b/>
          <w:color w:val="c9a84c"/>
          <w:spacing w:val="80"/>
          <w:sz w:val="26"/>
        </w:rPr>
        <w:t>DRAFT — FOR CONSULTATION</w:t>
      </w:r>
    </w:p>
    <w:p>
      <w:pPr>
        <w:spacing w:before="600" w:after="200"/>
        <w:jc w:val="center"/>
      </w:pPr>
      <w:r>
        <w:rPr>
          <w:b/>
          <w:color w:val="e8e2d4"/>
          <w:spacing w:val="40"/>
          <w:sz w:val="48"/>
        </w:rPr>
        <w:t>OMAN'S MoU</w:t>
      </w:r>
    </w:p>
    <w:p>
      <w:pPr>
        <w:spacing w:after="400"/>
        <w:jc w:val="center"/>
      </w:pPr>
      <w:r>
        <w:rPr>
          <w:b/>
          <w:color w:val="e8e2d4"/>
          <w:spacing w:val="40"/>
          <w:sz w:val="48"/>
        </w:rPr>
        <w:t>TECHNICAL ANNEX</w:t>
      </w:r>
    </w:p>
    <w:p>
      <w:pPr>
        <w:spacing w:before="200" w:after="800"/>
        <w:jc w:val="center"/>
      </w:pPr>
      <w:r>
        <w:rPr>
          <w:i/>
          <w:color w:val="d4b76a"/>
          <w:sz w:val="24"/>
        </w:rPr>
        <w:t>Technical Annex to the Oman-Iran Memorandum of Understanding</w:t>
      </w:r>
    </w:p>
    <w:p>
      <w:pPr>
        <w:spacing w:after="200"/>
        <w:jc w:val="center"/>
      </w:pPr>
      <w:r>
        <w:rPr>
          <w:color w:val="c8c2b4"/>
          <w:sz w:val="22"/>
        </w:rPr>
        <w:t>Reference: MOU-OMAN/2026-07-11/ANNEX-A</w:t>
      </w:r>
    </w:p>
    <w:p>
      <w:pPr>
        <w:spacing w:after="1600"/>
        <w:jc w:val="center"/>
      </w:pPr>
      <w:r>
        <w:rPr>
          <w:color w:val="c8c2b4"/>
          <w:sz w:val="22"/>
        </w:rPr>
        <w:t>July 11, 2026</w:t>
      </w:r>
    </w:p>
    <w:p>
      <w:pPr>
        <w:spacing w:after="100"/>
        <w:jc w:val="center"/>
      </w:pPr>
      <w:r>
        <w:rPr>
          <w:color w:val="c8c2b4"/>
          <w:sz w:val="20"/>
        </w:rPr>
        <w:t>Sultanate of Oman  |  Islamic Republic of Iran</w:t>
      </w:r>
    </w:p>
    <w:p>
      <w:pPr>
        <w:jc w:val="center"/>
      </w:pPr>
      <w:r>
        <w:rPr>
          <w:i/>
          <w:color w:val="c8c2b4"/>
          <w:sz w:val="20"/>
        </w:rPr>
        <w:t>With U.S. Acknowledgment</w:t>
      </w:r>
    </w:p>
    <w:p>
      <w:pPr>
        <w:sectPr>
          <w:type w:val="nextPage"/>
          <w:pgSz w:w="11906" w:h="16838"/>
          <w:pgMar w:top="0" w:right="0" w:bottom="0" w:left="0" w:header="0" w:footer="0"/>
          <w:titlePg/>
        </w:sectPr>
      </w:pPr>
    </w:p>
    <w:p>
      <w:pPr>
        <w:pStyle w:val="Heading1"/>
      </w:pPr>
      <w:r>
        <w:t>1. DOCUMENT HEADER</w:t>
      </w:r>
    </w:p>
    <w:p>
      <w:pPr>
        <w:pStyle w:val="Heading2"/>
      </w:pPr>
      <w:r>
        <w:t>Reference, Status, and Parties</w:t>
      </w:r>
    </w:p>
    <w:p>
      <w:pPr>
        <w:jc w:val="both"/>
      </w:pPr>
      <w:r>
        <w:t>This Technical Annex is established pursuant to Article 5 of the Islamabad Memorandum of Understanding, which calls upon the Islamic Republic of Iran to coordinate with the Sultanate of Oman on restoring normal shipping arrangements through the Strait of Hormuz. The annex formalizes the joint working group structure agreed on June 23, 2026, and provides the operational framework for maritime safety coordination.</w:t>
      </w:r>
    </w:p>
    <w:tbl>
      <w:tblPr>
        <w:tblW w:w="5000" w:type="pct"/>
        <w:tblBorders>
          <w:top w:val="single" w:color="1a5f6a" w:sz="8"/>
          <w:left w:val="nil"/>
          <w:bottom w:val="single" w:color="1a5f6a" w:sz="8"/>
          <w:right w:val="nil"/>
          <w:insideH w:val="single" w:color="2a5a60" w:sz="4"/>
          <w:insideV w:val="nil"/>
        </w:tblBorders>
      </w:tblPr>
      <w:tblGrid>
        <w:gridCol w:w="3000"/>
        <w:gridCol w:w="6200"/>
      </w:tblGrid>
      <w:tr>
        <w:trPr>
          <w:tblHeader/>
        </w:trPr>
        <w:tc>
          <w:tcPr>
            <w:tcW w:w="3000" w:type="dxa"/>
            <w:shd w:val="clear" w:fill="edf3f4"/>
          </w:tcPr>
          <w:p>
            <w:pPr>
              <w:spacing w:before="40" w:after="40"/>
            </w:pPr>
            <w:r>
              <w:rPr>
                <w:b/>
                <w:color w:val="0d3d45"/>
                <w:sz w:val="20"/>
              </w:rPr>
              <w:t>Field</w:t>
            </w:r>
          </w:p>
        </w:tc>
        <w:tc>
          <w:tcPr>
            <w:tcW w:w="6200" w:type="dxa"/>
            <w:shd w:val="clear" w:fill="edf3f4"/>
          </w:tcPr>
          <w:p>
            <w:pPr>
              <w:spacing w:before="40" w:after="40"/>
            </w:pPr>
            <w:r>
              <w:rPr>
                <w:b/>
                <w:color w:val="0d3d45"/>
                <w:sz w:val="20"/>
              </w:rPr>
              <w:t>Specification</w:t>
            </w:r>
          </w:p>
        </w:tc>
      </w:tr>
      <w:tr>
        <w:tc>
          <w:tcPr>
            <w:tcW w:w="3000" w:type="dxa"/>
          </w:tcPr>
          <w:p>
            <w:pPr>
              <w:spacing w:before="40" w:after="40"/>
            </w:pPr>
            <w:r>
              <w:rPr>
                <w:color w:val="1e2a2e"/>
                <w:sz w:val="20"/>
              </w:rPr>
              <w:t>Reference</w:t>
            </w:r>
          </w:p>
        </w:tc>
        <w:tc>
          <w:tcPr>
            <w:tcW w:w="6200" w:type="dxa"/>
          </w:tcPr>
          <w:p>
            <w:pPr>
              <w:spacing w:before="40" w:after="40"/>
            </w:pPr>
            <w:r>
              <w:rPr>
                <w:color w:val="1e2a2e"/>
                <w:sz w:val="20"/>
              </w:rPr>
              <w:t>MOU-OMAN/2026-07-11/ANNEX-A</w:t>
            </w:r>
          </w:p>
        </w:tc>
      </w:tr>
      <w:tr>
        <w:tc>
          <w:tcPr>
            <w:tcW w:w="3000" w:type="dxa"/>
          </w:tcPr>
          <w:p>
            <w:pPr>
              <w:spacing w:before="40" w:after="40"/>
            </w:pPr>
            <w:r>
              <w:rPr>
                <w:color w:val="1e2a2e"/>
                <w:sz w:val="20"/>
              </w:rPr>
              <w:t>Status</w:t>
            </w:r>
          </w:p>
        </w:tc>
        <w:tc>
          <w:tcPr>
            <w:tcW w:w="6200" w:type="dxa"/>
          </w:tcPr>
          <w:p>
            <w:pPr>
              <w:spacing w:before="40" w:after="40"/>
            </w:pPr>
            <w:r>
              <w:rPr>
                <w:color w:val="1e2a2e"/>
                <w:sz w:val="20"/>
              </w:rPr>
              <w:t>DRAFT — For Consultation</w:t>
            </w:r>
          </w:p>
        </w:tc>
      </w:tr>
      <w:tr>
        <w:tc>
          <w:tcPr>
            <w:tcW w:w="3000" w:type="dxa"/>
          </w:tcPr>
          <w:p>
            <w:pPr>
              <w:spacing w:before="40" w:after="40"/>
            </w:pPr>
            <w:r>
              <w:rPr>
                <w:color w:val="1e2a2e"/>
                <w:sz w:val="20"/>
              </w:rPr>
              <w:t>Parties</w:t>
            </w:r>
          </w:p>
        </w:tc>
        <w:tc>
          <w:tcPr>
            <w:tcW w:w="6200" w:type="dxa"/>
          </w:tcPr>
          <w:p>
            <w:pPr>
              <w:spacing w:before="40" w:after="40"/>
            </w:pPr>
            <w:r>
              <w:rPr>
                <w:color w:val="1e2a2e"/>
                <w:sz w:val="20"/>
              </w:rPr>
              <w:t>Sultanate of Oman; Islamic Republic of Iran (with U.S. Acknowledgment)</w:t>
            </w:r>
          </w:p>
        </w:tc>
      </w:tr>
      <w:tr>
        <w:tc>
          <w:tcPr>
            <w:tcW w:w="3000" w:type="dxa"/>
          </w:tcPr>
          <w:p>
            <w:pPr>
              <w:spacing w:before="40" w:after="40"/>
            </w:pPr>
            <w:r>
              <w:rPr>
                <w:color w:val="1e2a2e"/>
                <w:sz w:val="20"/>
              </w:rPr>
              <w:t>Category</w:t>
            </w:r>
          </w:p>
        </w:tc>
        <w:tc>
          <w:tcPr>
            <w:tcW w:w="6200" w:type="dxa"/>
          </w:tcPr>
          <w:p>
            <w:pPr>
              <w:spacing w:before="40" w:after="40"/>
            </w:pPr>
            <w:r>
              <w:rPr>
                <w:color w:val="1e2a2e"/>
                <w:sz w:val="20"/>
              </w:rPr>
              <w:t>Technical Annex to the Oman-Iran Memorandum of Understanding</w:t>
            </w:r>
          </w:p>
        </w:tc>
      </w:tr>
      <w:tr>
        <w:tc>
          <w:tcPr>
            <w:tcW w:w="3000" w:type="dxa"/>
          </w:tcPr>
          <w:p>
            <w:pPr>
              <w:spacing w:before="40" w:after="40"/>
            </w:pPr>
            <w:r>
              <w:rPr>
                <w:color w:val="1e2a2e"/>
                <w:sz w:val="20"/>
              </w:rPr>
              <w:t>Date</w:t>
            </w:r>
          </w:p>
        </w:tc>
        <w:tc>
          <w:tcPr>
            <w:tcW w:w="6200" w:type="dxa"/>
          </w:tcPr>
          <w:p>
            <w:pPr>
              <w:spacing w:before="40" w:after="40"/>
            </w:pPr>
            <w:r>
              <w:rPr>
                <w:color w:val="1e2a2e"/>
                <w:sz w:val="20"/>
              </w:rPr>
              <w:t>July 11, 2026</w:t>
            </w:r>
          </w:p>
        </w:tc>
      </w:tr>
    </w:tbl>
    <w:p>
      <w:pPr>
        <w:jc w:val="both"/>
      </w:pPr>
      <w:r>
        <w:t>The designation of this document as a Technical Annex reflects its operational character. It is not a political agreement, nor does it constitute a treaty or legally binding instrument. This framing preserves the ability of all parties to characterize their participation in technical rather than political terms.</w:t>
      </w:r>
    </w:p>
    <w:p>
      <w:pPr>
        <w:jc w:val="both"/>
      </w:pPr>
      <w:r>
        <w:t>The formulation "With U.S. Acknowledgment" is the critical diplomatic construction for this document. The United States does not sign this annex; it acknowledges it. This preserves the bilateral Iran-Oman framework established under the Islamabad MoU while providing the United States with a formal role in the verification and oversight architecture.</w:t>
      </w:r>
    </w:p>
    <w:p>
      <w:pPr>
        <w:pageBreakBefore/>
      </w:pPr>
    </w:p>
    <w:p>
      <w:pPr>
        <w:pStyle w:val="Heading1"/>
      </w:pPr>
      <w:r>
        <w:t>2. PREAMBLE</w:t>
      </w:r>
    </w:p>
    <w:p>
      <w:pPr>
        <w:pStyle w:val="Heading2"/>
      </w:pPr>
      <w:r>
        <w:t>Purpose and Framing</w:t>
      </w:r>
    </w:p>
    <w:p>
      <w:pPr>
        <w:pStyle w:val="Heading3"/>
      </w:pPr>
      <w:r>
        <w:t>2.1 Neutral Facilitation Role</w:t>
      </w:r>
    </w:p>
    <w:p>
      <w:pPr>
        <w:jc w:val="both"/>
      </w:pPr>
      <w:r>
        <w:rPr>
          <w:b/>
        </w:rPr>
        <w:t>Provision: </w:t>
      </w:r>
      <w:r>
        <w:t>The Sultanate of Oman affirms its role as a neutral facilitator in maritime safety discussions, serving as a channel for communication and verification between all concerned parties.</w:t>
      </w:r>
    </w:p>
    <w:p>
      <w:pPr>
        <w:jc w:val="both"/>
      </w:pPr>
      <w:r>
        <w:t>Oman's neutrality is the foundational premise of this annex. The Sultanate does not adjudicate disputes, enforce compliance, or bind any party to particular interpretations of events. Oman's function is strictly facilitative: to receive communications, verify observations, transmit information, and convene consultations as requested.</w:t>
      </w:r>
    </w:p>
    <w:p>
      <w:pPr>
        <w:jc w:val="both"/>
      </w:pPr>
      <w:r>
        <w:t>This neutral role is critical for maintaining Omani credibility with all stakeholders. Any perception that Oman has abandoned its neutrality would undermine the entire framework and risk collapse of the communication channels established herein.</w:t>
      </w:r>
    </w:p>
    <w:p>
      <w:pPr>
        <w:pStyle w:val="Heading3"/>
      </w:pPr>
      <w:r>
        <w:t>2.2 Technical Purpose</w:t>
      </w:r>
    </w:p>
    <w:p>
      <w:pPr>
        <w:jc w:val="both"/>
      </w:pPr>
      <w:r>
        <w:rPr>
          <w:b/>
        </w:rPr>
        <w:t>Provision: </w:t>
      </w:r>
      <w:r>
        <w:t>This Annex is established for the exclusive purpose of enhancing maritime safety, navigation security, and risk reduction in the Strait of Hormuz. It is issued pursuant to Article 5 of the Islamabad Memorandum of Understanding, which calls for Iran to coordinate with Oman on restoring normal shipping arrangements.</w:t>
      </w:r>
    </w:p>
    <w:p>
      <w:pPr>
        <w:jc w:val="both"/>
      </w:pPr>
      <w:r>
        <w:t>The exclusive purpose of this annex is technical and operational. It is not a political declaration, nor does it address matters of state sovereignty, territorial claims, or diplomatic recognition. All parties participate in this framework for the limited purpose of reducing maritime risk and ensuring safe passage for commercial shipping.</w:t>
      </w:r>
    </w:p>
    <w:p>
      <w:pPr>
        <w:jc w:val="both"/>
      </w:pPr>
      <w:r>
        <w:t>Reference to Article 5 of the Islamabad MoU grounds this annex in the existing diplomatic framework. The MoU established the foundational commitment to coordinate on strait management, and this annex operationalizes that commitment through detailed procedures, protocols, and institutional arrangements.</w:t>
      </w:r>
    </w:p>
    <w:p>
      <w:pPr>
        <w:pStyle w:val="Heading3"/>
      </w:pPr>
      <w:r>
        <w:t>2.3 Bilateral Coordination Framework</w:t>
      </w:r>
    </w:p>
    <w:p>
      <w:pPr>
        <w:jc w:val="both"/>
      </w:pPr>
      <w:r>
        <w:rPr>
          <w:b/>
        </w:rPr>
        <w:t>Provision: </w:t>
      </w:r>
      <w:r>
        <w:t>The Islamic Republic of Iran and the Sultanate of Oman, as the two coastal states bordering the Strait of Hormuz, affirm their commitment to ensuring safe passage through the waterway in accordance with international law, while emphasizing their sovereignty and sovereign rights over their territorial waters.</w:t>
      </w:r>
    </w:p>
    <w:p>
      <w:pPr>
        <w:jc w:val="both"/>
      </w:pPr>
      <w:r>
        <w:t>The bilateral framework between Iran and Oman is the core institutional arrangement of this annex. Both nations, as the littoral states of the Strait of Hormuz, bear particular responsibility for ensuring the safety and security of maritime navigation through these waters.</w:t>
      </w:r>
    </w:p>
    <w:p>
      <w:pPr>
        <w:jc w:val="both"/>
      </w:pPr>
      <w:r>
        <w:t>The reference to sovereignty and sovereign rights directly addresses the position consistently articulated by the Islamic Republic of Iran. The Parliament of Iran has emphasized that sovereign rights in maritime domains are non-negotiable and must be preserved in all circumstances. This annex affirms that commitment while establishing practical arrangements for maritime safety cooperation.</w:t>
      </w:r>
    </w:p>
    <w:p>
      <w:pPr>
        <w:pageBreakBefore/>
      </w:pPr>
    </w:p>
    <w:p>
      <w:pPr>
        <w:pStyle w:val="Heading1"/>
      </w:pPr>
      <w:r>
        <w:t>3. INCORPORATION OF EXISTING DOCUMENTS</w:t>
      </w:r>
    </w:p>
    <w:p>
      <w:pPr>
        <w:jc w:val="both"/>
      </w:pPr>
      <w:r>
        <w:t>The following documents are incorporated into this Technical Annex by reference and shall form part of the operational framework:</w:t>
      </w:r>
    </w:p>
    <w:p>
      <w:pPr>
        <w:pStyle w:val="Heading3"/>
      </w:pPr>
      <w:r>
        <w:t>3.1 Iranian Maritime Notice</w:t>
      </w:r>
    </w:p>
    <w:p>
      <w:pPr>
        <w:jc w:val="both"/>
      </w:pPr>
      <w:r>
        <w:rPr>
          <w:b/>
        </w:rPr>
        <w:t>Provision: </w:t>
      </w:r>
      <w:r>
        <w:t>The Islamic Republic of Iran's Notice to Mariners (PMO/NOTMAR/2026-07-11/HORMUZ-01) is incorporated into this Annex and forms the operational basis for maritime safety protocols.</w:t>
      </w:r>
    </w:p>
    <w:p>
      <w:pPr>
        <w:jc w:val="both"/>
      </w:pPr>
      <w:r>
        <w:t>The Iranian Notice to Mariners establishes the specific navigational parameters, routing guidelines, and safety protocols that commercial vessels shall observe when transiting the Strait of Hormuz. All parties shall treat the provisions of this Notice as binding operational directives for the duration of this annex.</w:t>
      </w:r>
    </w:p>
    <w:p>
      <w:pPr>
        <w:pStyle w:val="Heading3"/>
      </w:pPr>
      <w:r>
        <w:t>3.2 Private Assurances</w:t>
      </w:r>
    </w:p>
    <w:p>
      <w:pPr>
        <w:jc w:val="both"/>
      </w:pPr>
      <w:r>
        <w:rPr>
          <w:b/>
        </w:rPr>
        <w:t>Provision: </w:t>
      </w:r>
      <w:r>
        <w:t>The confidential assurances provided by Iran to Oman on July 11, 2026, are incorporated by reference and shall guide verification procedures.</w:t>
      </w:r>
    </w:p>
    <w:p>
      <w:pPr>
        <w:jc w:val="both"/>
      </w:pPr>
      <w:r>
        <w:t>The private assurances referred to herein are contained in the confidential communication between the Islamic Republic of Iran and the Sultanate of Oman dated July 11, 2026. These assurances are not reproduced in this annex in order to preserve their confidential character. The Sultanate of Oman shall use these assurances as the benchmark against which to assess Iranian compliance.</w:t>
      </w:r>
    </w:p>
    <w:p>
      <w:pPr>
        <w:jc w:val="both"/>
      </w:pPr>
      <w:r>
        <w:t>The incorporation by reference of these private assurances binds this annex to the commitments contained therein without disclosing their specific contents to parties that are not direct recipients of the original communication.</w:t>
      </w:r>
    </w:p>
    <w:p>
      <w:pPr>
        <w:pStyle w:val="Heading3"/>
      </w:pPr>
      <w:r>
        <w:t>3.3 Islamabad Memorandum of Understanding</w:t>
      </w:r>
    </w:p>
    <w:p>
      <w:pPr>
        <w:jc w:val="both"/>
      </w:pPr>
      <w:r>
        <w:rPr>
          <w:b/>
        </w:rPr>
        <w:t>Provision: </w:t>
      </w:r>
      <w:r>
        <w:t>The provisions of Article 5 of the Islamabad Memorandum of Understanding, including the commitment to safe and toll-free passage for 60 days and mine-clearing operations within 30 days, are incorporated as the foundational framework.</w:t>
      </w:r>
    </w:p>
    <w:p>
      <w:pPr>
        <w:jc w:val="both"/>
      </w:pPr>
      <w:r>
        <w:t>The Islamabad MoU provides the diplomatic foundation for all arrangements contained in this annex. Specifically, Article 5 establishes the obligation for Iran to coordinate with Oman on restoring normal shipping arrangements and includes the following key commitments:</w:t>
      </w:r>
    </w:p>
    <w:p>
      <w:pPr>
        <w:ind w:left="720" w:hanging="360"/>
        <w:jc w:val="both"/>
      </w:pPr>
      <w:r>
        <w:t>•  Safe and toll-free passage for commercial vessels for a period of 60 days from the date of the MoU;</w:t>
      </w:r>
    </w:p>
    <w:p>
      <w:pPr>
        <w:ind w:left="720" w:hanging="360"/>
        <w:jc w:val="both"/>
      </w:pPr>
      <w:r>
        <w:t>•  Mine-clearing operations to commence within 30 days and proceed with all due diligence;</w:t>
      </w:r>
    </w:p>
    <w:p>
      <w:pPr>
        <w:ind w:left="720" w:hanging="360"/>
        <w:jc w:val="both"/>
      </w:pPr>
      <w:r>
        <w:t>•  Establishment of a joint Iran-Oman working group to coordinate implementation and address operational matters.</w:t>
      </w:r>
    </w:p>
    <w:p>
      <w:pPr>
        <w:jc w:val="both"/>
      </w:pPr>
      <w:r>
        <w:t>These commitments are incorporated herein as binding obligations upon the parties and shall remain in effect for the duration specified in the MoU unless extended or modified by mutual agreement.</w:t>
      </w:r>
    </w:p>
    <w:p>
      <w:pPr>
        <w:pageBreakBefore/>
      </w:pPr>
    </w:p>
    <w:p>
      <w:pPr>
        <w:pStyle w:val="Heading1"/>
      </w:pPr>
      <w:r>
        <w:t>4. VERIFICATION PROCEDURES</w:t>
      </w:r>
    </w:p>
    <w:p>
      <w:pPr>
        <w:pStyle w:val="Heading2"/>
      </w:pPr>
      <w:r>
        <w:t>Oman's Oversight Role</w:t>
      </w:r>
    </w:p>
    <w:p>
      <w:pPr>
        <w:pStyle w:val="Heading3"/>
      </w:pPr>
      <w:r>
        <w:t>4.1 Omani Monitoring</w:t>
      </w:r>
    </w:p>
    <w:p>
      <w:pPr>
        <w:jc w:val="both"/>
      </w:pPr>
      <w:r>
        <w:t>The Sultanate of Oman shall perform the following monitoring and verification functions:</w:t>
      </w:r>
    </w:p>
    <w:p>
      <w:pPr>
        <w:ind w:left="720" w:hanging="360"/>
        <w:jc w:val="both"/>
      </w:pPr>
      <w:r>
        <w:t>•  Monitor Iranian compliance with the provisions of the Iranian Maritime Notice (PMO/NOTMAR/2026-07-11/HORMUZ-01);</w:t>
      </w:r>
    </w:p>
    <w:p>
      <w:pPr>
        <w:ind w:left="720" w:hanging="360"/>
        <w:jc w:val="both"/>
      </w:pPr>
      <w:r>
        <w:t>•  Receive and process Iranian reports of unusual or unscheduled maritime activity;</w:t>
      </w:r>
    </w:p>
    <w:p>
      <w:pPr>
        <w:ind w:left="720" w:hanging="360"/>
        <w:jc w:val="both"/>
      </w:pPr>
      <w:r>
        <w:t>•  Confirm compliance through direct communication with designated Iranian authorities;</w:t>
      </w:r>
    </w:p>
    <w:p>
      <w:pPr>
        <w:ind w:left="720" w:hanging="360"/>
        <w:jc w:val="both"/>
      </w:pPr>
      <w:r>
        <w:t>•  Provide verification reports to U.S. authorities through designated secure channels.</w:t>
      </w:r>
    </w:p>
    <w:p>
      <w:pPr>
        <w:jc w:val="both"/>
      </w:pPr>
      <w:r>
        <w:t>Oman's monitoring function is observational and reporting in character. It does not include enforcement authority or the ability to compel Iranian action. Oman's role is to observe, record, verify, and report on maritime activities within the Strait of Hormuz.</w:t>
      </w:r>
    </w:p>
    <w:p>
      <w:pPr>
        <w:pStyle w:val="Heading3"/>
      </w:pPr>
      <w:r>
        <w:t>4.2 Joint Working Group</w:t>
      </w:r>
    </w:p>
    <w:p>
      <w:pPr>
        <w:jc w:val="both"/>
      </w:pPr>
      <w:r>
        <w:t>The Iran-Oman Joint Working Group, formally established on June 23, 2026, shall serve as the primary institutional forum for discussing implementation, verification, and dispute resolution under this annex. The Working Group held its inaugural meeting in Muscat on June 29, 2026, and shall continue to meet on a regular schedule as determined by mutual consent.</w:t>
      </w:r>
    </w:p>
    <w:p>
      <w:pPr>
        <w:jc w:val="both"/>
      </w:pPr>
      <w:r>
        <w:t>The composition of the Joint Working Group is as follows:</w:t>
      </w:r>
    </w:p>
    <w:tbl>
      <w:tblPr>
        <w:tblW w:w="5000" w:type="pct"/>
        <w:tblBorders>
          <w:top w:val="single" w:color="1a5f6a" w:sz="8"/>
          <w:left w:val="nil"/>
          <w:bottom w:val="single" w:color="1a5f6a" w:sz="8"/>
          <w:right w:val="nil"/>
          <w:insideH w:val="single" w:color="2a5a60" w:sz="4"/>
          <w:insideV w:val="nil"/>
        </w:tblBorders>
      </w:tblPr>
      <w:tblGrid>
        <w:gridCol w:w="2000"/>
        <w:gridCol w:w="7000"/>
      </w:tblGrid>
      <w:tr>
        <w:trPr>
          <w:tblHeader/>
        </w:trPr>
        <w:tc>
          <w:tcPr>
            <w:tcW w:w="2000" w:type="dxa"/>
            <w:shd w:val="clear" w:fill="edf3f4"/>
          </w:tcPr>
          <w:p>
            <w:pPr>
              <w:spacing w:before="40" w:after="40"/>
            </w:pPr>
            <w:r>
              <w:rPr>
                <w:b/>
                <w:color w:val="0d3d45"/>
                <w:sz w:val="20"/>
              </w:rPr>
              <w:t>Delegation</w:t>
            </w:r>
          </w:p>
        </w:tc>
        <w:tc>
          <w:tcPr>
            <w:tcW w:w="7000" w:type="dxa"/>
            <w:shd w:val="clear" w:fill="edf3f4"/>
          </w:tcPr>
          <w:p>
            <w:pPr>
              <w:spacing w:before="40" w:after="40"/>
            </w:pPr>
            <w:r>
              <w:rPr>
                <w:b/>
                <w:color w:val="0d3d45"/>
                <w:sz w:val="20"/>
              </w:rPr>
              <w:t>Leadership</w:t>
            </w:r>
          </w:p>
        </w:tc>
      </w:tr>
      <w:tr>
        <w:tc>
          <w:tcPr>
            <w:tcW w:w="2000" w:type="dxa"/>
          </w:tcPr>
          <w:p>
            <w:pPr>
              <w:spacing w:before="40" w:after="40"/>
            </w:pPr>
            <w:r>
              <w:rPr>
                <w:color w:val="1e2a2e"/>
                <w:sz w:val="20"/>
              </w:rPr>
              <w:t>Iranian</w:t>
            </w:r>
          </w:p>
        </w:tc>
        <w:tc>
          <w:tcPr>
            <w:tcW w:w="7000" w:type="dxa"/>
          </w:tcPr>
          <w:p>
            <w:pPr>
              <w:spacing w:before="40" w:after="40"/>
            </w:pPr>
            <w:r>
              <w:rPr>
                <w:color w:val="1e2a2e"/>
                <w:sz w:val="20"/>
              </w:rPr>
              <w:t>Deputy Foreign Minister for Legal and International Affairs Kazem Gharibabadi</w:t>
            </w:r>
          </w:p>
        </w:tc>
      </w:tr>
      <w:tr>
        <w:tc>
          <w:tcPr>
            <w:tcW w:w="2000" w:type="dxa"/>
          </w:tcPr>
          <w:p>
            <w:pPr>
              <w:spacing w:before="40" w:after="40"/>
            </w:pPr>
            <w:r>
              <w:rPr>
                <w:color w:val="1e2a2e"/>
                <w:sz w:val="20"/>
              </w:rPr>
              <w:t>Omani</w:t>
            </w:r>
          </w:p>
        </w:tc>
        <w:tc>
          <w:tcPr>
            <w:tcW w:w="7000" w:type="dxa"/>
          </w:tcPr>
          <w:p>
            <w:pPr>
              <w:spacing w:before="40" w:after="40"/>
            </w:pPr>
            <w:r>
              <w:rPr>
                <w:color w:val="1e2a2e"/>
                <w:sz w:val="20"/>
              </w:rPr>
              <w:t>Ambassador Sheikh Abdulaziz bin Abdullah bin Zaher Al-Hinai</w:t>
            </w:r>
          </w:p>
        </w:tc>
      </w:tr>
    </w:tbl>
    <w:p>
      <w:pPr>
        <w:jc w:val="both"/>
      </w:pPr>
      <w:r>
        <w:t>The Working Group may establish sub-committees, technical panels, or expert working groups as necessary to address specific operational matters. All such subsidiary bodies shall report to the main Working Group and shall operate under its authority.</w:t>
      </w:r>
    </w:p>
    <w:p>
      <w:pPr>
        <w:pStyle w:val="Heading3"/>
      </w:pPr>
      <w:r>
        <w:t>4.3 Compliance Assessment</w:t>
      </w:r>
    </w:p>
    <w:p>
      <w:pPr>
        <w:jc w:val="both"/>
      </w:pPr>
      <w:r>
        <w:t>The Sultanate of Oman shall provide compliance assessments in accordance with the following schedule:</w:t>
      </w:r>
    </w:p>
    <w:p>
      <w:pPr>
        <w:ind w:left="720" w:hanging="360"/>
        <w:jc w:val="both"/>
      </w:pPr>
      <w:r>
        <w:t>•  Daily compliance summaries shall be provided to both Iran and the United States for the first 30 days following the entry into force of this annex;</w:t>
      </w:r>
    </w:p>
    <w:p>
      <w:pPr>
        <w:ind w:left="720" w:hanging="360"/>
        <w:jc w:val="both"/>
      </w:pPr>
      <w:r>
        <w:t>•  Following the initial 30-day period, compliance summaries shall transition to a weekly basis;</w:t>
      </w:r>
    </w:p>
    <w:p>
      <w:pPr>
        <w:ind w:left="720" w:hanging="360"/>
        <w:jc w:val="both"/>
      </w:pPr>
      <w:r>
        <w:t>•  The transition from daily to weekly summaries shall be subject to renewal by mutual consent of all parties;</w:t>
      </w:r>
    </w:p>
    <w:p>
      <w:pPr>
        <w:ind w:left="720" w:hanging="360"/>
        <w:jc w:val="both"/>
      </w:pPr>
      <w:r>
        <w:t>•  Any party may request an extraordinary compliance assessment at any time, and such request shall be honored within 24 hours.</w:t>
      </w:r>
    </w:p>
    <w:p>
      <w:pPr>
        <w:jc w:val="both"/>
      </w:pPr>
      <w:r>
        <w:t>The 30-day daily reporting period corresponds to the mine-clearing timeline established under the Islamabad MoU, providing enhanced monitoring during this critical phase. The escalating verification frequency creates a natural review point at which parties may assess progress and adjust arrangements as appropriate.</w:t>
      </w:r>
    </w:p>
    <w:p>
      <w:pPr>
        <w:pageBreakBefore/>
      </w:pPr>
    </w:p>
    <w:p>
      <w:pPr>
        <w:pStyle w:val="Heading1"/>
      </w:pPr>
      <w:r>
        <w:t>5. COMMUNICATION CHANNELS AND PROTOCOLS</w:t>
      </w:r>
    </w:p>
    <w:p>
      <w:pPr>
        <w:pStyle w:val="Heading3"/>
      </w:pPr>
      <w:r>
        <w:t>5.1 Primary Channel</w:t>
      </w:r>
    </w:p>
    <w:p>
      <w:pPr>
        <w:jc w:val="both"/>
      </w:pPr>
      <w:r>
        <w:rPr>
          <w:b/>
        </w:rPr>
        <w:t>Channel: </w:t>
      </w:r>
      <w:r>
        <w:t>Iranian-Omani Maritime Safety Hotline (24/7 operational)</w:t>
      </w:r>
    </w:p>
    <w:p>
      <w:pPr>
        <w:jc w:val="both"/>
      </w:pPr>
      <w:r>
        <w:t>The Iranian-Omani Maritime Safety Hotline is the primary communication channel for all operational matters under this annex. The Hotline shall be staffed continuously by trained personnel from both parties and shall be maintained in good working order at all times.</w:t>
      </w:r>
    </w:p>
    <w:p>
      <w:pPr>
        <w:jc w:val="both"/>
      </w:pPr>
      <w:r>
        <w:t>The Hotline is established and maintained by the Joint Working Group, which shall ensure adequate staffing, training, and technical support for its continuous operation.</w:t>
      </w:r>
    </w:p>
    <w:p>
      <w:pPr>
        <w:pStyle w:val="Heading3"/>
      </w:pPr>
      <w:r>
        <w:t>5.2 Secondary Channel</w:t>
      </w:r>
    </w:p>
    <w:p>
      <w:pPr>
        <w:jc w:val="both"/>
      </w:pPr>
      <w:r>
        <w:rPr>
          <w:b/>
        </w:rPr>
        <w:t>Channel: </w:t>
      </w:r>
      <w:r>
        <w:t>U.S.-Omani Verification Channel for compliance confirmation</w:t>
      </w:r>
    </w:p>
    <w:p>
      <w:pPr>
        <w:jc w:val="both"/>
      </w:pPr>
      <w:r>
        <w:t>The U.S.-Omani Verification Channel is a secure, encrypted communication line established for the purpose of transmitting compliance verification data from Oman to U.S. authorities. This channel operates under the protocols established in Document 4 (U.S. Conditional Pause on Strikes) and shall be maintained with the highest standards of information security.</w:t>
      </w:r>
    </w:p>
    <w:p>
      <w:pPr>
        <w:jc w:val="both"/>
      </w:pPr>
      <w:r>
        <w:t>The United States communicates with Oman, not Iran, through this channel. This preserves the bilateral Iran-Oman framework while ensuring that the United States receives timely and accurate verification information.</w:t>
      </w:r>
    </w:p>
    <w:p>
      <w:pPr>
        <w:pStyle w:val="Heading3"/>
      </w:pPr>
      <w:r>
        <w:t>5.3 Emergency Frequencies</w:t>
      </w:r>
    </w:p>
    <w:tbl>
      <w:tblPr>
        <w:tblW w:w="5000" w:type="pct"/>
        <w:tblBorders>
          <w:top w:val="single" w:color="1a5f6a" w:sz="8"/>
          <w:left w:val="nil"/>
          <w:bottom w:val="single" w:color="1a5f6a" w:sz="8"/>
          <w:right w:val="nil"/>
          <w:insideH w:val="single" w:color="2a5a60" w:sz="4"/>
          <w:insideV w:val="nil"/>
        </w:tblBorders>
      </w:tblPr>
      <w:tblGrid>
        <w:gridCol w:w="2500"/>
        <w:gridCol w:w="6500"/>
      </w:tblGrid>
      <w:tr>
        <w:trPr>
          <w:tblHeader/>
        </w:trPr>
        <w:tc>
          <w:tcPr>
            <w:tcW w:w="2500" w:type="dxa"/>
            <w:shd w:val="clear" w:fill="edf3f4"/>
          </w:tcPr>
          <w:p>
            <w:pPr>
              <w:spacing w:before="40" w:after="40"/>
            </w:pPr>
            <w:r>
              <w:rPr>
                <w:b/>
                <w:color w:val="0d3d45"/>
                <w:sz w:val="20"/>
              </w:rPr>
              <w:t>Channel Type</w:t>
            </w:r>
          </w:p>
        </w:tc>
        <w:tc>
          <w:tcPr>
            <w:tcW w:w="6500" w:type="dxa"/>
            <w:shd w:val="clear" w:fill="edf3f4"/>
          </w:tcPr>
          <w:p>
            <w:pPr>
              <w:spacing w:before="40" w:after="40"/>
            </w:pPr>
            <w:r>
              <w:rPr>
                <w:b/>
                <w:color w:val="0d3d45"/>
                <w:sz w:val="20"/>
              </w:rPr>
              <w:t>Details</w:t>
            </w:r>
          </w:p>
        </w:tc>
      </w:tr>
      <w:tr>
        <w:tc>
          <w:tcPr>
            <w:tcW w:w="2500" w:type="dxa"/>
          </w:tcPr>
          <w:p>
            <w:pPr>
              <w:spacing w:before="40" w:after="40"/>
            </w:pPr>
            <w:r>
              <w:rPr>
                <w:color w:val="1e2a2e"/>
                <w:sz w:val="20"/>
              </w:rPr>
              <w:t>Primary</w:t>
            </w:r>
          </w:p>
        </w:tc>
        <w:tc>
          <w:tcPr>
            <w:tcW w:w="6500" w:type="dxa"/>
          </w:tcPr>
          <w:p>
            <w:pPr>
              <w:spacing w:before="40" w:after="40"/>
            </w:pPr>
            <w:r>
              <w:rPr>
                <w:color w:val="1e2a2e"/>
                <w:sz w:val="20"/>
              </w:rPr>
              <w:t>VHF Channel 16 (156.800 MHz) — International maritime distress and calling frequency</w:t>
            </w:r>
          </w:p>
        </w:tc>
      </w:tr>
      <w:tr>
        <w:tc>
          <w:tcPr>
            <w:tcW w:w="2500" w:type="dxa"/>
          </w:tcPr>
          <w:p>
            <w:pPr>
              <w:spacing w:before="40" w:after="40"/>
            </w:pPr>
            <w:r>
              <w:rPr>
                <w:color w:val="1e2a2e"/>
                <w:sz w:val="20"/>
              </w:rPr>
              <w:t>Backup</w:t>
            </w:r>
          </w:p>
        </w:tc>
        <w:tc>
          <w:tcPr>
            <w:tcW w:w="6500" w:type="dxa"/>
          </w:tcPr>
          <w:p>
            <w:pPr>
              <w:spacing w:before="40" w:after="40"/>
            </w:pPr>
            <w:r>
              <w:rPr>
                <w:color w:val="1e2a2e"/>
                <w:sz w:val="20"/>
              </w:rPr>
              <w:t>VHF Channel 70 (156.525 MHz) — DSC (Digital Selective Calling)</w:t>
            </w:r>
          </w:p>
        </w:tc>
      </w:tr>
    </w:tbl>
    <w:p>
      <w:pPr>
        <w:pStyle w:val="Heading3"/>
      </w:pPr>
      <w:r>
        <w:t>5.4 Scheduled Coordination Calls</w:t>
      </w:r>
    </w:p>
    <w:p>
      <w:pPr>
        <w:jc w:val="both"/>
      </w:pPr>
      <w:r>
        <w:t>Regular coordination calls shall be conducted in accordance with the following schedule:</w:t>
      </w:r>
    </w:p>
    <w:tbl>
      <w:tblPr>
        <w:tblW w:w="5000" w:type="pct"/>
        <w:tblBorders>
          <w:top w:val="single" w:color="1a5f6a" w:sz="8"/>
          <w:left w:val="nil"/>
          <w:bottom w:val="single" w:color="1a5f6a" w:sz="8"/>
          <w:right w:val="nil"/>
          <w:insideH w:val="single" w:color="2a5a60" w:sz="4"/>
          <w:insideV w:val="nil"/>
        </w:tblBorders>
      </w:tblPr>
      <w:tblGrid>
        <w:gridCol w:w="3000"/>
        <w:gridCol w:w="6000"/>
      </w:tblGrid>
      <w:tr>
        <w:trPr>
          <w:tblHeader/>
        </w:trPr>
        <w:tc>
          <w:tcPr>
            <w:tcW w:w="3000" w:type="dxa"/>
            <w:shd w:val="clear" w:fill="edf3f4"/>
          </w:tcPr>
          <w:p>
            <w:pPr>
              <w:spacing w:before="40" w:after="40"/>
            </w:pPr>
            <w:r>
              <w:rPr>
                <w:b/>
                <w:color w:val="0d3d45"/>
                <w:sz w:val="20"/>
              </w:rPr>
              <w:t>Participants</w:t>
            </w:r>
          </w:p>
        </w:tc>
        <w:tc>
          <w:tcPr>
            <w:tcW w:w="6000" w:type="dxa"/>
            <w:shd w:val="clear" w:fill="edf3f4"/>
          </w:tcPr>
          <w:p>
            <w:pPr>
              <w:spacing w:before="40" w:after="40"/>
            </w:pPr>
            <w:r>
              <w:rPr>
                <w:b/>
                <w:color w:val="0d3d45"/>
                <w:sz w:val="20"/>
              </w:rPr>
              <w:t>Schedule</w:t>
            </w:r>
          </w:p>
        </w:tc>
      </w:tr>
      <w:tr>
        <w:tc>
          <w:tcPr>
            <w:tcW w:w="3000" w:type="dxa"/>
          </w:tcPr>
          <w:p>
            <w:pPr>
              <w:spacing w:before="40" w:after="40"/>
            </w:pPr>
            <w:r>
              <w:rPr>
                <w:color w:val="1e2a2e"/>
                <w:sz w:val="20"/>
              </w:rPr>
              <w:t>Iran — Oman</w:t>
            </w:r>
          </w:p>
        </w:tc>
        <w:tc>
          <w:tcPr>
            <w:tcW w:w="6000" w:type="dxa"/>
          </w:tcPr>
          <w:p>
            <w:pPr>
              <w:spacing w:before="40" w:after="40"/>
            </w:pPr>
            <w:r>
              <w:rPr>
                <w:color w:val="1e2a2e"/>
                <w:sz w:val="20"/>
              </w:rPr>
              <w:t>0800 and 2000 local time daily (operational coordination)</w:t>
            </w:r>
          </w:p>
        </w:tc>
      </w:tr>
      <w:tr>
        <w:tc>
          <w:tcPr>
            <w:tcW w:w="3000" w:type="dxa"/>
          </w:tcPr>
          <w:p>
            <w:pPr>
              <w:spacing w:before="40" w:after="40"/>
            </w:pPr>
            <w:r>
              <w:rPr>
                <w:color w:val="1e2a2e"/>
                <w:sz w:val="20"/>
              </w:rPr>
              <w:t>Oman — U.S.</w:t>
            </w:r>
          </w:p>
        </w:tc>
        <w:tc>
          <w:tcPr>
            <w:tcW w:w="6000" w:type="dxa"/>
          </w:tcPr>
          <w:p>
            <w:pPr>
              <w:spacing w:before="40" w:after="40"/>
            </w:pPr>
            <w:r>
              <w:rPr>
                <w:color w:val="1e2a2e"/>
                <w:sz w:val="20"/>
              </w:rPr>
              <w:t>1000 local time daily (verification summary)</w:t>
            </w:r>
          </w:p>
        </w:tc>
      </w:tr>
    </w:tbl>
    <w:p>
      <w:pPr>
        <w:pStyle w:val="Heading3"/>
      </w:pPr>
      <w:r>
        <w:t>5.5 Response Protocol</w:t>
      </w:r>
    </w:p>
    <w:p>
      <w:pPr>
        <w:jc w:val="both"/>
      </w:pPr>
      <w:r>
        <w:t>All parties shall acknowledge receipt of transmissions within 15 minutes of receipt. Failure to acknowledge within this timeframe shall trigger escalation procedures as determined by the Joint Working Group.</w:t>
      </w:r>
    </w:p>
    <w:p>
      <w:pPr>
        <w:pageBreakBefore/>
      </w:pPr>
    </w:p>
    <w:p>
      <w:pPr>
        <w:pStyle w:val="Heading1"/>
      </w:pPr>
      <w:r>
        <w:t>6. VESSEL ROUTING FRAMEWORK</w:t>
      </w:r>
    </w:p>
    <w:p>
      <w:pPr>
        <w:pStyle w:val="Heading2"/>
      </w:pPr>
      <w:r>
        <w:t>The Dual-Corridor Solution</w:t>
      </w:r>
    </w:p>
    <w:p>
      <w:pPr>
        <w:pStyle w:val="Heading3"/>
      </w:pPr>
      <w:r>
        <w:t>6.1 Dual-Corridor Approach</w:t>
      </w:r>
    </w:p>
    <w:p>
      <w:pPr>
        <w:jc w:val="both"/>
      </w:pPr>
      <w:r>
        <w:t>Oman and Iran have agreed to a dual-corridor routing framework for the Strait of Hormuz. This framework establishes separate navigation corridors within the respective territorial waters of each coastal state, providing clear routing guidelines for commercial shipping.</w:t>
      </w:r>
    </w:p>
    <w:p>
      <w:pPr>
        <w:jc w:val="both"/>
      </w:pPr>
      <w:r>
        <w:t>The dual-corridor framework consists of the following elements:</w:t>
      </w:r>
    </w:p>
    <w:p>
      <w:pPr>
        <w:jc w:val="both"/>
      </w:pPr>
      <w:r>
        <w:rPr>
          <w:b/>
        </w:rPr>
        <w:t>Southern Corridor (Omani Territorial Waters): </w:t>
      </w:r>
      <w:r>
        <w:t>Vessels navigating through the Southern Corridor shall be permitted to transit freely under pre-war conditions without requiring Iranian permission. This corridor is established within Omani territorial waters and is subject to Omani authority and coordination.</w:t>
      </w:r>
    </w:p>
    <w:p>
      <w:pPr>
        <w:jc w:val="both"/>
      </w:pPr>
      <w:r>
        <w:rPr>
          <w:b/>
        </w:rPr>
        <w:t>Northern Corridor (Iranian Territorial Waters): </w:t>
      </w:r>
      <w:r>
        <w:t>Vessels transiting the Northern Corridor shall coordinate with Iranian authorities in accordance with the procedures set forth in the Iranian Maritime Notice. This corridor is established within Iranian territorial waters and is subject to Iranian authority and coordination.</w:t>
      </w:r>
    </w:p>
    <w:p>
      <w:pPr>
        <w:jc w:val="both"/>
      </w:pPr>
      <w:r>
        <w:rPr>
          <w:b/>
        </w:rPr>
        <w:t>Separation Zone: </w:t>
      </w:r>
      <w:r>
        <w:t>A neutral transit corridor shall be maintained between the Southern and Northern Corridors, as defined in the Iranian Maritime Notice (PMO/NOTMAR/2026-07-11/HORMUZ-01). The Separation Zone provides a buffer between the two corridors to prevent inadvertent conflict and ensure safe navigation.</w:t>
      </w:r>
    </w:p>
    <w:p>
      <w:pPr>
        <w:pStyle w:val="Heading3"/>
      </w:pPr>
      <w:r>
        <w:t>6.2 Median Lane</w:t>
      </w:r>
    </w:p>
    <w:p>
      <w:pPr>
        <w:jc w:val="both"/>
      </w:pPr>
      <w:r>
        <w:t>A "median lane" for free and full movement is under discussion between the Islamic Republic of Iran and the Sultanate of Oman and may be established by mutual consent of both parties. The median lane, if established, would provide an additional transit route through the central portion of the Strait, enhancing capacity and reducing congestion in the primary corridors.</w:t>
      </w:r>
    </w:p>
    <w:p>
      <w:pPr>
        <w:jc w:val="both"/>
      </w:pPr>
      <w:r>
        <w:t>The establishment of a median lane is contingent upon agreement between Iran and Oman on its precise coordinates, navigational parameters, and operational procedures. Until such agreement is reached, the median lane shall be considered a prospective arrangement only.</w:t>
      </w:r>
    </w:p>
    <w:p>
      <w:pPr>
        <w:pStyle w:val="Heading3"/>
      </w:pPr>
      <w:r>
        <w:t>6.3 Transit Groups</w:t>
      </w:r>
    </w:p>
    <w:p>
      <w:pPr>
        <w:jc w:val="both"/>
      </w:pPr>
      <w:r>
        <w:t>Vessel movements through the Strait of Hormuz shall be organized into designated transit groups to enhance safety, improve coordination, and facilitate monitoring. The procedures for transit group organization shall be developed by the Joint Working Group within 14 days of the entry into force of this annex.</w:t>
      </w:r>
    </w:p>
    <w:p>
      <w:pPr>
        <w:pStyle w:val="Heading3"/>
      </w:pPr>
      <w:r>
        <w:t>6.4 Vessel Routing Guidelines</w:t>
      </w:r>
    </w:p>
    <w:p>
      <w:pPr>
        <w:jc w:val="both"/>
      </w:pPr>
      <w:r>
        <w:t>All commercial vessels transiting the Strait of Hormuz shall adhere to the following routing guidelines:</w:t>
      </w:r>
    </w:p>
    <w:p>
      <w:pPr>
        <w:ind w:left="720" w:hanging="360"/>
        <w:jc w:val="both"/>
      </w:pPr>
      <w:r>
        <w:t>•  Primary shipping lanes shall be as designated in the Iranian Maritime Notice (PMO/NOTMAR/2026-07-11/HORMUZ-01);</w:t>
      </w:r>
    </w:p>
    <w:p>
      <w:pPr>
        <w:ind w:left="720" w:hanging="360"/>
        <w:jc w:val="both"/>
      </w:pPr>
      <w:r>
        <w:t>•  Iranian coastal buffer zone: [REDACTED] nautical miles from the Iranian coastline;</w:t>
      </w:r>
    </w:p>
    <w:p>
      <w:pPr>
        <w:ind w:left="720" w:hanging="360"/>
        <w:jc w:val="both"/>
      </w:pPr>
      <w:r>
        <w:t>•  No mandatory Iranian escort or boarding of commercial vessels is required;</w:t>
      </w:r>
    </w:p>
    <w:p>
      <w:pPr>
        <w:ind w:left="720" w:hanging="360"/>
        <w:jc w:val="both"/>
      </w:pPr>
      <w:r>
        <w:t>•  Commercial vessels may transit freely through designated lanes without prior authorization, subject to the notification requirements set forth in this annex.</w:t>
      </w:r>
    </w:p>
    <w:p>
      <w:pPr>
        <w:pageBreakBefore/>
      </w:pPr>
    </w:p>
    <w:p>
      <w:pPr>
        <w:pStyle w:val="Heading1"/>
      </w:pPr>
      <w:r>
        <w:t>7. DECONFLICTION AND INCIDENT REPORTING</w:t>
      </w:r>
    </w:p>
    <w:p>
      <w:pPr>
        <w:pStyle w:val="Heading3"/>
      </w:pPr>
      <w:r>
        <w:t>7.1 Naval-Commercial Deconfliction</w:t>
      </w:r>
    </w:p>
    <w:p>
      <w:pPr>
        <w:jc w:val="both"/>
      </w:pPr>
      <w:r>
        <w:t>The following deconfliction protocols shall govern interactions between naval and commercial vessels in the Strait of Hormuz:</w:t>
      </w:r>
    </w:p>
    <w:p>
      <w:pPr>
        <w:ind w:left="720" w:hanging="360"/>
        <w:jc w:val="both"/>
      </w:pPr>
      <w:r>
        <w:t>•  Iranian naval vessels shall maintain a minimum distance of [REDACTED] nautical miles from designated commercial shipping lanes except when transiting;</w:t>
      </w:r>
    </w:p>
    <w:p>
      <w:pPr>
        <w:ind w:left="720" w:hanging="360"/>
        <w:jc w:val="both"/>
      </w:pPr>
      <w:r>
        <w:t>•  Naval vessels shall not execute maneuvers across commercial shipping lanes unless operationally necessary;</w:t>
      </w:r>
    </w:p>
    <w:p>
      <w:pPr>
        <w:ind w:left="720" w:hanging="360"/>
        <w:jc w:val="both"/>
      </w:pPr>
      <w:r>
        <w:t>•  Advance notification of any unscheduled naval movements shall be provided to Oman no less than 12 hours in advance;</w:t>
      </w:r>
    </w:p>
    <w:p>
      <w:pPr>
        <w:ind w:left="720" w:hanging="360"/>
        <w:jc w:val="both"/>
      </w:pPr>
      <w:r>
        <w:t>•  All naval vessels operating in the vicinity of commercial shipping lanes shall maintain active AIS transponders and monitor VHF Channel 16.</w:t>
      </w:r>
    </w:p>
    <w:p>
      <w:pPr>
        <w:pStyle w:val="Heading3"/>
      </w:pPr>
      <w:r>
        <w:t>7.2 Incident Classification</w:t>
      </w:r>
    </w:p>
    <w:p>
      <w:pPr>
        <w:jc w:val="both"/>
      </w:pPr>
      <w:r>
        <w:t>All incidents occurring within the operational area of the Strait of Hormuz shall be classified according to the following three-tier system:</w:t>
      </w:r>
    </w:p>
    <w:tbl>
      <w:tblPr>
        <w:tblW w:w="5000" w:type="pct"/>
        <w:tblBorders>
          <w:top w:val="single" w:color="1a5f6a" w:sz="8"/>
          <w:left w:val="nil"/>
          <w:bottom w:val="single" w:color="1a5f6a" w:sz="8"/>
          <w:right w:val="nil"/>
          <w:insideH w:val="single" w:color="2a5a60" w:sz="4"/>
          <w:insideV w:val="nil"/>
        </w:tblBorders>
      </w:tblPr>
      <w:tblGrid>
        <w:gridCol w:w="2000"/>
        <w:gridCol w:w="3500"/>
        <w:gridCol w:w="3700"/>
      </w:tblGrid>
      <w:tr>
        <w:trPr>
          <w:tblHeader/>
        </w:trPr>
        <w:tc>
          <w:tcPr>
            <w:tcW w:w="2000" w:type="dxa"/>
            <w:shd w:val="clear" w:fill="edf3f4"/>
          </w:tcPr>
          <w:p>
            <w:pPr>
              <w:spacing w:before="40" w:after="40"/>
            </w:pPr>
            <w:r>
              <w:rPr>
                <w:b/>
                <w:color w:val="0d3d45"/>
                <w:sz w:val="20"/>
              </w:rPr>
              <w:t>Category</w:t>
            </w:r>
          </w:p>
        </w:tc>
        <w:tc>
          <w:tcPr>
            <w:tcW w:w="3500" w:type="dxa"/>
            <w:shd w:val="clear" w:fill="edf3f4"/>
          </w:tcPr>
          <w:p>
            <w:pPr>
              <w:spacing w:before="40" w:after="40"/>
            </w:pPr>
            <w:r>
              <w:rPr>
                <w:b/>
                <w:color w:val="0d3d45"/>
                <w:sz w:val="20"/>
              </w:rPr>
              <w:t>Description</w:t>
            </w:r>
          </w:p>
        </w:tc>
        <w:tc>
          <w:tcPr>
            <w:tcW w:w="3700" w:type="dxa"/>
            <w:shd w:val="clear" w:fill="edf3f4"/>
          </w:tcPr>
          <w:p>
            <w:pPr>
              <w:spacing w:before="40" w:after="40"/>
            </w:pPr>
            <w:r>
              <w:rPr>
                <w:b/>
                <w:color w:val="0d3d45"/>
                <w:sz w:val="20"/>
              </w:rPr>
              <w:t>Reporting Timeframe</w:t>
            </w:r>
          </w:p>
        </w:tc>
      </w:tr>
      <w:tr>
        <w:tc>
          <w:tcPr>
            <w:tcW w:w="2000" w:type="dxa"/>
          </w:tcPr>
          <w:p>
            <w:pPr>
              <w:spacing w:before="40" w:after="40"/>
            </w:pPr>
            <w:r>
              <w:rPr>
                <w:color w:val="1e2a2e"/>
                <w:sz w:val="20"/>
              </w:rPr>
              <w:t>A (Immediate)</w:t>
            </w:r>
          </w:p>
        </w:tc>
        <w:tc>
          <w:tcPr>
            <w:tcW w:w="3500" w:type="dxa"/>
          </w:tcPr>
          <w:p>
            <w:pPr>
              <w:spacing w:before="40" w:after="40"/>
            </w:pPr>
            <w:r>
              <w:rPr>
                <w:color w:val="1e2a2e"/>
                <w:sz w:val="20"/>
              </w:rPr>
              <w:t>Life-threatening incidents, attacks, seizures</w:t>
            </w:r>
          </w:p>
        </w:tc>
        <w:tc>
          <w:tcPr>
            <w:tcW w:w="3700" w:type="dxa"/>
          </w:tcPr>
          <w:p>
            <w:pPr>
              <w:spacing w:before="40" w:after="40"/>
            </w:pPr>
            <w:r>
              <w:rPr>
                <w:color w:val="1e2a2e"/>
                <w:sz w:val="20"/>
              </w:rPr>
              <w:t>Immediate</w:t>
            </w:r>
          </w:p>
        </w:tc>
      </w:tr>
      <w:tr>
        <w:tc>
          <w:tcPr>
            <w:tcW w:w="2000" w:type="dxa"/>
          </w:tcPr>
          <w:p>
            <w:pPr>
              <w:spacing w:before="40" w:after="40"/>
            </w:pPr>
            <w:r>
              <w:rPr>
                <w:color w:val="1e2a2e"/>
                <w:sz w:val="20"/>
              </w:rPr>
              <w:t>B (Urgent)</w:t>
            </w:r>
          </w:p>
        </w:tc>
        <w:tc>
          <w:tcPr>
            <w:tcW w:w="3500" w:type="dxa"/>
          </w:tcPr>
          <w:p>
            <w:pPr>
              <w:spacing w:before="40" w:after="40"/>
            </w:pPr>
            <w:r>
              <w:rPr>
                <w:color w:val="1e2a2e"/>
                <w:sz w:val="20"/>
              </w:rPr>
              <w:t>Non-life-threatening incidents, near-misses</w:t>
            </w:r>
          </w:p>
        </w:tc>
        <w:tc>
          <w:tcPr>
            <w:tcW w:w="3700" w:type="dxa"/>
          </w:tcPr>
          <w:p>
            <w:pPr>
              <w:spacing w:before="40" w:after="40"/>
            </w:pPr>
            <w:r>
              <w:rPr>
                <w:color w:val="1e2a2e"/>
                <w:sz w:val="20"/>
              </w:rPr>
              <w:t>Within 1 hour</w:t>
            </w:r>
          </w:p>
        </w:tc>
      </w:tr>
      <w:tr>
        <w:tc>
          <w:tcPr>
            <w:tcW w:w="2000" w:type="dxa"/>
          </w:tcPr>
          <w:p>
            <w:pPr>
              <w:spacing w:before="40" w:after="40"/>
            </w:pPr>
            <w:r>
              <w:rPr>
                <w:color w:val="1e2a2e"/>
                <w:sz w:val="20"/>
              </w:rPr>
              <w:t>C (Routine)</w:t>
            </w:r>
          </w:p>
        </w:tc>
        <w:tc>
          <w:tcPr>
            <w:tcW w:w="3500" w:type="dxa"/>
          </w:tcPr>
          <w:p>
            <w:pPr>
              <w:spacing w:before="40" w:after="40"/>
            </w:pPr>
            <w:r>
              <w:rPr>
                <w:color w:val="1e2a2e"/>
                <w:sz w:val="20"/>
              </w:rPr>
              <w:t>Minor deviations, schedule changes</w:t>
            </w:r>
          </w:p>
        </w:tc>
        <w:tc>
          <w:tcPr>
            <w:tcW w:w="3700" w:type="dxa"/>
          </w:tcPr>
          <w:p>
            <w:pPr>
              <w:spacing w:before="40" w:after="40"/>
            </w:pPr>
            <w:r>
              <w:rPr>
                <w:color w:val="1e2a2e"/>
                <w:sz w:val="20"/>
              </w:rPr>
              <w:t>Within 12 hours</w:t>
            </w:r>
          </w:p>
        </w:tc>
      </w:tr>
    </w:tbl>
    <w:p>
      <w:pPr>
        <w:pStyle w:val="Heading3"/>
      </w:pPr>
      <w:r>
        <w:t>7.3 Reporting Protocol</w:t>
      </w:r>
    </w:p>
    <w:p>
      <w:pPr>
        <w:jc w:val="both"/>
      </w:pPr>
      <w:r>
        <w:t>The following reporting protocol shall apply to all incidents:</w:t>
      </w:r>
    </w:p>
    <w:tbl>
      <w:tblPr>
        <w:tblW w:w="5000" w:type="pct"/>
        <w:tblBorders>
          <w:top w:val="single" w:color="1a5f6a" w:sz="8"/>
          <w:left w:val="nil"/>
          <w:bottom w:val="single" w:color="1a5f6a" w:sz="8"/>
          <w:right w:val="nil"/>
          <w:insideH w:val="single" w:color="2a5a60" w:sz="4"/>
          <w:insideV w:val="nil"/>
        </w:tblBorders>
      </w:tblPr>
      <w:tblGrid>
        <w:gridCol w:w="500"/>
        <w:gridCol w:w="3500"/>
        <w:gridCol w:w="5200"/>
      </w:tblGrid>
      <w:tr>
        <w:trPr>
          <w:tblHeader/>
        </w:trPr>
        <w:tc>
          <w:tcPr>
            <w:tcW w:w="500" w:type="dxa"/>
            <w:shd w:val="clear" w:fill="edf3f4"/>
          </w:tcPr>
          <w:p>
            <w:pPr>
              <w:spacing w:before="40" w:after="40"/>
            </w:pPr>
            <w:r>
              <w:rPr>
                <w:b/>
                <w:color w:val="0d3d45"/>
                <w:sz w:val="20"/>
              </w:rPr>
              <w:t>Step</w:t>
            </w:r>
          </w:p>
        </w:tc>
        <w:tc>
          <w:tcPr>
            <w:tcW w:w="3500" w:type="dxa"/>
            <w:shd w:val="clear" w:fill="edf3f4"/>
          </w:tcPr>
          <w:p>
            <w:pPr>
              <w:spacing w:before="40" w:after="40"/>
            </w:pPr>
            <w:r>
              <w:rPr>
                <w:b/>
                <w:color w:val="0d3d45"/>
                <w:sz w:val="20"/>
              </w:rPr>
              <w:t>Action</w:t>
            </w:r>
          </w:p>
        </w:tc>
        <w:tc>
          <w:tcPr>
            <w:tcW w:w="5200" w:type="dxa"/>
            <w:shd w:val="clear" w:fill="edf3f4"/>
          </w:tcPr>
          <w:p>
            <w:pPr>
              <w:spacing w:before="40" w:after="40"/>
            </w:pPr>
            <w:r>
              <w:rPr>
                <w:b/>
                <w:color w:val="0d3d45"/>
                <w:sz w:val="20"/>
              </w:rPr>
              <w:t>Responsible Party</w:t>
            </w:r>
          </w:p>
        </w:tc>
      </w:tr>
      <w:tr>
        <w:tc>
          <w:tcPr>
            <w:tcW w:w="500" w:type="dxa"/>
          </w:tcPr>
          <w:p>
            <w:pPr>
              <w:spacing w:before="40" w:after="40"/>
            </w:pPr>
            <w:r>
              <w:rPr>
                <w:color w:val="1e2a2e"/>
                <w:sz w:val="20"/>
              </w:rPr>
              <w:t>1</w:t>
            </w:r>
          </w:p>
        </w:tc>
        <w:tc>
          <w:tcPr>
            <w:tcW w:w="3500" w:type="dxa"/>
          </w:tcPr>
          <w:p>
            <w:pPr>
              <w:spacing w:before="40" w:after="40"/>
            </w:pPr>
            <w:r>
              <w:rPr>
                <w:color w:val="1e2a2e"/>
                <w:sz w:val="20"/>
              </w:rPr>
              <w:t>Incident reported to Oman</w:t>
            </w:r>
          </w:p>
        </w:tc>
        <w:tc>
          <w:tcPr>
            <w:tcW w:w="5200" w:type="dxa"/>
          </w:tcPr>
          <w:p>
            <w:pPr>
              <w:spacing w:before="40" w:after="40"/>
            </w:pPr>
            <w:r>
              <w:rPr>
                <w:color w:val="1e2a2e"/>
                <w:sz w:val="20"/>
              </w:rPr>
              <w:t>Iran / Affected Party</w:t>
            </w:r>
          </w:p>
        </w:tc>
      </w:tr>
      <w:tr>
        <w:tc>
          <w:tcPr>
            <w:tcW w:w="500" w:type="dxa"/>
          </w:tcPr>
          <w:p>
            <w:pPr>
              <w:spacing w:before="40" w:after="40"/>
            </w:pPr>
            <w:r>
              <w:rPr>
                <w:color w:val="1e2a2e"/>
                <w:sz w:val="20"/>
              </w:rPr>
              <w:t>2</w:t>
            </w:r>
          </w:p>
        </w:tc>
        <w:tc>
          <w:tcPr>
            <w:tcW w:w="3500" w:type="dxa"/>
          </w:tcPr>
          <w:p>
            <w:pPr>
              <w:spacing w:before="40" w:after="40"/>
            </w:pPr>
            <w:r>
              <w:rPr>
                <w:color w:val="1e2a2e"/>
                <w:sz w:val="20"/>
              </w:rPr>
              <w:t>Oman confirms receipt to Iran (15 minutes)</w:t>
            </w:r>
          </w:p>
        </w:tc>
        <w:tc>
          <w:tcPr>
            <w:tcW w:w="5200" w:type="dxa"/>
          </w:tcPr>
          <w:p>
            <w:pPr>
              <w:spacing w:before="40" w:after="40"/>
            </w:pPr>
            <w:r>
              <w:rPr>
                <w:color w:val="1e2a2e"/>
                <w:sz w:val="20"/>
              </w:rPr>
              <w:t>Oman</w:t>
            </w:r>
          </w:p>
        </w:tc>
      </w:tr>
      <w:tr>
        <w:tc>
          <w:tcPr>
            <w:tcW w:w="500" w:type="dxa"/>
          </w:tcPr>
          <w:p>
            <w:pPr>
              <w:spacing w:before="40" w:after="40"/>
            </w:pPr>
            <w:r>
              <w:rPr>
                <w:color w:val="1e2a2e"/>
                <w:sz w:val="20"/>
              </w:rPr>
              <w:t>3</w:t>
            </w:r>
          </w:p>
        </w:tc>
        <w:tc>
          <w:tcPr>
            <w:tcW w:w="3500" w:type="dxa"/>
          </w:tcPr>
          <w:p>
            <w:pPr>
              <w:spacing w:before="40" w:after="40"/>
            </w:pPr>
            <w:r>
              <w:rPr>
                <w:color w:val="1e2a2e"/>
                <w:sz w:val="20"/>
              </w:rPr>
              <w:t>Oman validates against monitoring data (AIS, radar)</w:t>
            </w:r>
          </w:p>
        </w:tc>
        <w:tc>
          <w:tcPr>
            <w:tcW w:w="5200" w:type="dxa"/>
          </w:tcPr>
          <w:p>
            <w:pPr>
              <w:spacing w:before="40" w:after="40"/>
            </w:pPr>
            <w:r>
              <w:rPr>
                <w:color w:val="1e2a2e"/>
                <w:sz w:val="20"/>
              </w:rPr>
              <w:t>Oman</w:t>
            </w:r>
          </w:p>
        </w:tc>
      </w:tr>
      <w:tr>
        <w:tc>
          <w:tcPr>
            <w:tcW w:w="500" w:type="dxa"/>
          </w:tcPr>
          <w:p>
            <w:pPr>
              <w:spacing w:before="40" w:after="40"/>
            </w:pPr>
            <w:r>
              <w:rPr>
                <w:color w:val="1e2a2e"/>
                <w:sz w:val="20"/>
              </w:rPr>
              <w:t>4</w:t>
            </w:r>
          </w:p>
        </w:tc>
        <w:tc>
          <w:tcPr>
            <w:tcW w:w="3500" w:type="dxa"/>
          </w:tcPr>
          <w:p>
            <w:pPr>
              <w:spacing w:before="40" w:after="40"/>
            </w:pPr>
            <w:r>
              <w:rPr>
                <w:color w:val="1e2a2e"/>
                <w:sz w:val="20"/>
              </w:rPr>
              <w:t>Oman communicates verified report to U.S. (1hr Cat A, 4hr Cat B)</w:t>
            </w:r>
          </w:p>
        </w:tc>
        <w:tc>
          <w:tcPr>
            <w:tcW w:w="5200" w:type="dxa"/>
          </w:tcPr>
          <w:p>
            <w:pPr>
              <w:spacing w:before="40" w:after="40"/>
            </w:pPr>
            <w:r>
              <w:rPr>
                <w:color w:val="1e2a2e"/>
                <w:sz w:val="20"/>
              </w:rPr>
              <w:t>Oman</w:t>
            </w:r>
          </w:p>
        </w:tc>
      </w:tr>
      <w:tr>
        <w:tc>
          <w:tcPr>
            <w:tcW w:w="500" w:type="dxa"/>
          </w:tcPr>
          <w:p>
            <w:pPr>
              <w:spacing w:before="40" w:after="40"/>
            </w:pPr>
            <w:r>
              <w:rPr>
                <w:color w:val="1e2a2e"/>
                <w:sz w:val="20"/>
              </w:rPr>
              <w:t>5</w:t>
            </w:r>
          </w:p>
        </w:tc>
        <w:tc>
          <w:tcPr>
            <w:tcW w:w="3500" w:type="dxa"/>
          </w:tcPr>
          <w:p>
            <w:pPr>
              <w:spacing w:before="40" w:after="40"/>
            </w:pPr>
            <w:r>
              <w:rPr>
                <w:color w:val="1e2a2e"/>
                <w:sz w:val="20"/>
              </w:rPr>
              <w:t>U.S. acknowledges receipt (30 minutes)</w:t>
            </w:r>
          </w:p>
        </w:tc>
        <w:tc>
          <w:tcPr>
            <w:tcW w:w="5200" w:type="dxa"/>
          </w:tcPr>
          <w:p>
            <w:pPr>
              <w:spacing w:before="40" w:after="40"/>
            </w:pPr>
            <w:r>
              <w:rPr>
                <w:color w:val="1e2a2e"/>
                <w:sz w:val="20"/>
              </w:rPr>
              <w:t>United States</w:t>
            </w:r>
          </w:p>
        </w:tc>
      </w:tr>
    </w:tbl>
    <w:p>
      <w:pPr>
        <w:pStyle w:val="Heading3"/>
      </w:pPr>
      <w:r>
        <w:t>7.4 Dispute Resolution</w:t>
      </w:r>
    </w:p>
    <w:p>
      <w:pPr>
        <w:jc w:val="both"/>
      </w:pPr>
      <w:r>
        <w:t>The following procedures shall govern the resolution of disputed incidents:</w:t>
      </w:r>
    </w:p>
    <w:p>
      <w:pPr>
        <w:ind w:left="720" w:hanging="360"/>
        <w:jc w:val="both"/>
      </w:pPr>
      <w:r>
        <w:t>•  Any party may refer a disputed incident to the Joint Working Group for consultation;</w:t>
      </w:r>
    </w:p>
    <w:p>
      <w:pPr>
        <w:ind w:left="720" w:hanging="360"/>
        <w:jc w:val="both"/>
      </w:pPr>
      <w:r>
        <w:t>•  Upon receipt of a referral, the Joint Working Group shall convene within 48 hours to review the available evidence;</w:t>
      </w:r>
    </w:p>
    <w:p>
      <w:pPr>
        <w:ind w:left="720" w:hanging="360"/>
        <w:jc w:val="both"/>
      </w:pPr>
      <w:r>
        <w:t>•  All parties to the dispute may present additional evidence, witness testimony, or technical data for the Working Group's consideration;</w:t>
      </w:r>
    </w:p>
    <w:p>
      <w:pPr>
        <w:ind w:left="720" w:hanging="360"/>
        <w:jc w:val="both"/>
      </w:pPr>
      <w:r>
        <w:t>•  The Working Group shall provide a non-binding assessment of the incident, including findings of fact and recommendations;</w:t>
      </w:r>
    </w:p>
    <w:p>
      <w:pPr>
        <w:ind w:left="720" w:hanging="360"/>
        <w:jc w:val="both"/>
      </w:pPr>
      <w:r>
        <w:t>•  The assessment of the Working Group is non-binding and advisory in character. All parties retain independent judgment regarding the interpretation and significance of any incident.</w:t>
      </w:r>
    </w:p>
    <w:p>
      <w:pPr>
        <w:jc w:val="both"/>
      </w:pPr>
      <w:r>
        <w:t>The non-binding character of the Working Group's assessments is essential to preserving Omani neutrality and ensuring that no party is bound by interpretations with which it disagrees. Each party may draw its own conclusions from the available evidence and respond accordingly.</w:t>
      </w:r>
    </w:p>
    <w:p>
      <w:pPr>
        <w:pageBreakBefore/>
      </w:pPr>
    </w:p>
    <w:p>
      <w:pPr>
        <w:pStyle w:val="Heading1"/>
      </w:pPr>
      <w:r>
        <w:t>8. TEMPORARY CLOSURES AND EMERGENCY RESPONSE</w:t>
      </w:r>
    </w:p>
    <w:p>
      <w:pPr>
        <w:pStyle w:val="Heading2"/>
      </w:pPr>
      <w:r>
        <w:t>8.1 Temporary Closures</w:t>
      </w:r>
    </w:p>
    <w:p>
      <w:pPr>
        <w:jc w:val="both"/>
      </w:pPr>
      <w:r>
        <w:t>Any temporary closure of designated shipping lanes shall be subject to the following conditions:</w:t>
      </w:r>
    </w:p>
    <w:p>
      <w:pPr>
        <w:ind w:left="720" w:hanging="360"/>
        <w:jc w:val="both"/>
      </w:pPr>
      <w:r>
        <w:t>•  Closure of any shipping lane requires the prior concurrence of the Sultanate of Oman;</w:t>
      </w:r>
    </w:p>
    <w:p>
      <w:pPr>
        <w:ind w:left="720" w:hanging="360"/>
        <w:jc w:val="both"/>
      </w:pPr>
      <w:r>
        <w:t>•  Closures shall be limited to [REDACTED] hours unless renewed by mutual agreement;</w:t>
      </w:r>
    </w:p>
    <w:p>
      <w:pPr>
        <w:ind w:left="720" w:hanging="360"/>
        <w:jc w:val="both"/>
      </w:pPr>
      <w:r>
        <w:t>•  Advance notification of any planned closure shall be provided to all affected parties no less than 24 hours in advance;</w:t>
      </w:r>
    </w:p>
    <w:p>
      <w:pPr>
        <w:ind w:left="720" w:hanging="360"/>
        <w:jc w:val="both"/>
      </w:pPr>
      <w:r>
        <w:t>•  Emergency closures due to imminent safety threats may be implemented with immediate notification to all parties;</w:t>
      </w:r>
    </w:p>
    <w:p>
      <w:pPr>
        <w:ind w:left="720" w:hanging="360"/>
        <w:jc w:val="both"/>
      </w:pPr>
      <w:r>
        <w:t>•  Oman shall coordinate with relevant maritime authorities to ensure appropriate Notices to Mariners are issued for all closures.</w:t>
      </w:r>
    </w:p>
    <w:p>
      <w:pPr>
        <w:jc w:val="both"/>
      </w:pPr>
      <w:r>
        <w:t>The requirement for Omani concurrence ensures that no party may unilaterally close the Strait of Hormuz or any portion thereof. This provision serves as a critical check on unilateral action and preserves the free flow of maritime commerce.</w:t>
      </w:r>
    </w:p>
    <w:p>
      <w:pPr>
        <w:pStyle w:val="Heading2"/>
      </w:pPr>
      <w:r>
        <w:t>8.2 Emergency Response</w:t>
      </w:r>
    </w:p>
    <w:p>
      <w:pPr>
        <w:jc w:val="both"/>
      </w:pPr>
      <w:r>
        <w:t>The following emergency response procedures shall apply:</w:t>
      </w:r>
    </w:p>
    <w:p>
      <w:pPr>
        <w:ind w:left="720" w:hanging="360"/>
        <w:jc w:val="both"/>
      </w:pPr>
      <w:r>
        <w:t>•  The Sultanate of Oman shall coordinate search and rescue operations within the operational area;</w:t>
      </w:r>
    </w:p>
    <w:p>
      <w:pPr>
        <w:ind w:left="720" w:hanging="360"/>
        <w:jc w:val="both"/>
      </w:pPr>
      <w:r>
        <w:t>•  Emergency communications shall be prioritized over all routine traffic on all designated channels;</w:t>
      </w:r>
    </w:p>
    <w:p>
      <w:pPr>
        <w:ind w:left="720" w:hanging="360"/>
        <w:jc w:val="both"/>
      </w:pPr>
      <w:r>
        <w:t>•  Rapid notification protocols shall be activated for any hostile incident, accident, or safety emergency;</w:t>
      </w:r>
    </w:p>
    <w:p>
      <w:pPr>
        <w:ind w:left="720" w:hanging="360"/>
        <w:jc w:val="both"/>
      </w:pPr>
      <w:r>
        <w:t>•  Joint Iran-Oman emergency response procedures shall be developed by the Joint Working Group within 30 days of the entry into force of this annex.</w:t>
      </w:r>
    </w:p>
    <w:p>
      <w:pPr>
        <w:jc w:val="both"/>
      </w:pPr>
      <w:r>
        <w:t>The development of joint emergency response procedures institutionalizes future cooperation and mirrors the commitment to expert and technical talks on routing arrangements that Iran has agreed to under the Islamabad MoU framework.</w:t>
      </w:r>
    </w:p>
    <w:p>
      <w:pPr>
        <w:pageBreakBefore/>
      </w:pPr>
    </w:p>
    <w:p>
      <w:pPr>
        <w:pStyle w:val="Heading1"/>
      </w:pPr>
      <w:r>
        <w:t>9. DATA SHARING AND MARITIME SERVICES</w:t>
      </w:r>
    </w:p>
    <w:p>
      <w:pPr>
        <w:pStyle w:val="Heading2"/>
      </w:pPr>
      <w:r>
        <w:t>9.1 Data Sharing</w:t>
      </w:r>
    </w:p>
    <w:p>
      <w:pPr>
        <w:jc w:val="both"/>
      </w:pPr>
      <w:r>
        <w:t>The following data sharing arrangements shall apply among the parties:</w:t>
      </w:r>
    </w:p>
    <w:p>
      <w:pPr>
        <w:ind w:left="720" w:hanging="360"/>
        <w:jc w:val="both"/>
      </w:pPr>
      <w:r>
        <w:t>•  Automatic Identification System (AIS) data shall be shared among all parties for safety purposes only;</w:t>
      </w:r>
    </w:p>
    <w:p>
      <w:pPr>
        <w:ind w:left="720" w:hanging="360"/>
        <w:jc w:val="both"/>
      </w:pPr>
      <w:r>
        <w:t>•  Radar data from Omani coastal stations shall be made available to the Joint Working Group for monitoring and verification purposes;</w:t>
      </w:r>
    </w:p>
    <w:p>
      <w:pPr>
        <w:ind w:left="720" w:hanging="360"/>
        <w:jc w:val="both"/>
      </w:pPr>
      <w:r>
        <w:t>•  No classified or national security data shall be shared under this annex;</w:t>
      </w:r>
    </w:p>
    <w:p>
      <w:pPr>
        <w:ind w:left="720" w:hanging="360"/>
        <w:jc w:val="both"/>
      </w:pPr>
      <w:r>
        <w:t>•  All shared data shall be retained for [REDACTED] days for incident review and analysis purposes;</w:t>
      </w:r>
    </w:p>
    <w:p>
      <w:pPr>
        <w:ind w:left="720" w:hanging="360"/>
        <w:jc w:val="both"/>
      </w:pPr>
      <w:r>
        <w:t>•  Data sharing is strictly limited to maritime safety purposes and shall not be used for intelligence collection, military targeting, or any other purpose without the express consent of the originating party.</w:t>
      </w:r>
    </w:p>
    <w:p>
      <w:pPr>
        <w:jc w:val="both"/>
      </w:pPr>
      <w:r>
        <w:t>The limitation of data sharing to safety purposes is essential for addressing potential intelligence collection concerns and ensuring that all parties can participate without compromising their national security interests.</w:t>
      </w:r>
    </w:p>
    <w:p>
      <w:pPr>
        <w:pStyle w:val="Heading2"/>
      </w:pPr>
      <w:r>
        <w:t>9.2 Maritime Services</w:t>
      </w:r>
    </w:p>
    <w:p>
      <w:pPr>
        <w:jc w:val="both"/>
      </w:pPr>
      <w:r>
        <w:t>The Islamic Republic of Iran and the Sultanate of Oman shall coordinate on the provision of maritime services for commercial shipping transiting the Strait of Hormuz.</w:t>
      </w:r>
    </w:p>
    <w:p>
      <w:pPr>
        <w:jc w:val="both"/>
      </w:pPr>
      <w:r>
        <w:t>Services to be provided include:</w:t>
      </w:r>
    </w:p>
    <w:p>
      <w:pPr>
        <w:ind w:left="720" w:hanging="360"/>
        <w:jc w:val="both"/>
      </w:pPr>
      <w:r>
        <w:t>•  Navigation aids, including buoy maintenance, lighthouse operation, and chart updates;</w:t>
      </w:r>
    </w:p>
    <w:p>
      <w:pPr>
        <w:ind w:left="720" w:hanging="360"/>
        <w:jc w:val="both"/>
      </w:pPr>
      <w:r>
        <w:t>•  Communication support, including VHF coverage, distress monitoring, and coordination services;</w:t>
      </w:r>
    </w:p>
    <w:p>
      <w:pPr>
        <w:ind w:left="720" w:hanging="360"/>
        <w:jc w:val="both"/>
      </w:pPr>
      <w:r>
        <w:t>•  Emergency response, including search and rescue, medical evacuation, and pollution control.</w:t>
      </w:r>
    </w:p>
    <w:p>
      <w:pPr>
        <w:jc w:val="both"/>
      </w:pPr>
      <w:r>
        <w:rPr>
          <w:b/>
        </w:rPr>
        <w:t>Transitional Period: </w:t>
      </w:r>
      <w:r>
        <w:t>No fees or tolls shall be imposed on commercial vessels for maritime services during the 60-day transitional period established under the Islamabad MoU. This commitment to toll-free passage applies to all commercial vessels transiting the Strait of Hormuz, regardless of flag state or cargo.</w:t>
      </w:r>
    </w:p>
    <w:p>
      <w:pPr>
        <w:jc w:val="both"/>
      </w:pPr>
      <w:r>
        <w:t>Future service fee arrangements may be discussed by the Joint Working Group following the expiration of the 60-day transitional period. Any such discussions shall be conducted in good faith and with due regard for the interests of all stakeholders, including the international shipping community.</w:t>
      </w:r>
    </w:p>
    <w:p>
      <w:pPr>
        <w:pageBreakBefore/>
      </w:pPr>
    </w:p>
    <w:p>
      <w:pPr>
        <w:pStyle w:val="Heading1"/>
      </w:pPr>
      <w:r>
        <w:t>10. SOVEREIGNTY AND SUSPENSION CLAUSES</w:t>
      </w:r>
    </w:p>
    <w:p>
      <w:pPr>
        <w:pStyle w:val="Heading2"/>
      </w:pPr>
      <w:r>
        <w:t>10.1 Sovereignty Clause</w:t>
      </w:r>
    </w:p>
    <w:p>
      <w:pPr>
        <w:jc w:val="both"/>
      </w:pPr>
      <w:r>
        <w:t>This Annex does not:</w:t>
      </w:r>
    </w:p>
    <w:p>
      <w:pPr>
        <w:ind w:left="720" w:hanging="360"/>
        <w:jc w:val="both"/>
      </w:pPr>
      <w:r>
        <w:t>•  Alter Iran's sovereign claims over its territorial waters, exclusive economic zone, or continental shelf;</w:t>
      </w:r>
    </w:p>
    <w:p>
      <w:pPr>
        <w:ind w:left="720" w:hanging="360"/>
        <w:jc w:val="both"/>
      </w:pPr>
      <w:r>
        <w:t>•  Change the legal positions of the United States regarding the Strait of Hormuz;</w:t>
      </w:r>
    </w:p>
    <w:p>
      <w:pPr>
        <w:ind w:left="720" w:hanging="360"/>
        <w:jc w:val="both"/>
      </w:pPr>
      <w:r>
        <w:t>•  Affect the territorial integrity or sovereign rights of the Sultanate of Oman;</w:t>
      </w:r>
    </w:p>
    <w:p>
      <w:pPr>
        <w:ind w:left="720" w:hanging="360"/>
        <w:jc w:val="both"/>
      </w:pPr>
      <w:r>
        <w:t>•  Prejudice the rights of any party under international law.</w:t>
      </w:r>
    </w:p>
    <w:p>
      <w:pPr>
        <w:jc w:val="both"/>
      </w:pPr>
      <w:r>
        <w:t>This sovereignty clause is a mirror provision reflecting the face-saving mechanism contained in the Iranian Private Written Commitment. It ensures that participation in this technical framework does not constitute recognition of, or acquiescence in, any position regarding the legal status of the Strait of Hormuz that is inconsistent with a party's established legal positions.</w:t>
      </w:r>
    </w:p>
    <w:p>
      <w:pPr>
        <w:jc w:val="both"/>
      </w:pPr>
      <w:r>
        <w:t>The United States does not acknowledge Iran's sovereignty claims over the Strait of Hormuz. This clause preserves that position while allowing the U.S. to acknowledge the operational arrangements contained in this annex.</w:t>
      </w:r>
    </w:p>
    <w:p>
      <w:pPr>
        <w:pStyle w:val="Heading2"/>
      </w:pPr>
      <w:r>
        <w:t>10.2 Suspension Clause</w:t>
      </w:r>
    </w:p>
    <w:p>
      <w:pPr>
        <w:jc w:val="both"/>
      </w:pPr>
      <w:r>
        <w:t>This Annex may be suspended under the following circumstances:</w:t>
      </w:r>
    </w:p>
    <w:tbl>
      <w:tblPr>
        <w:tblW w:w="5000" w:type="pct"/>
        <w:tblBorders>
          <w:top w:val="single" w:color="1a5f6a" w:sz="8"/>
          <w:left w:val="nil"/>
          <w:bottom w:val="single" w:color="1a5f6a" w:sz="8"/>
          <w:right w:val="nil"/>
          <w:insideH w:val="single" w:color="2a5a60" w:sz="4"/>
          <w:insideV w:val="nil"/>
        </w:tblBorders>
      </w:tblPr>
      <w:tblGrid>
        <w:gridCol w:w="3500"/>
        <w:gridCol w:w="5700"/>
      </w:tblGrid>
      <w:tr>
        <w:trPr>
          <w:tblHeader/>
        </w:trPr>
        <w:tc>
          <w:tcPr>
            <w:tcW w:w="3500" w:type="dxa"/>
            <w:shd w:val="clear" w:fill="edf3f4"/>
          </w:tcPr>
          <w:p>
            <w:pPr>
              <w:spacing w:before="40" w:after="40"/>
            </w:pPr>
            <w:r>
              <w:rPr>
                <w:b/>
                <w:color w:val="0d3d45"/>
                <w:sz w:val="20"/>
              </w:rPr>
              <w:t>Trigger</w:t>
            </w:r>
          </w:p>
        </w:tc>
        <w:tc>
          <w:tcPr>
            <w:tcW w:w="5700" w:type="dxa"/>
            <w:shd w:val="clear" w:fill="edf3f4"/>
          </w:tcPr>
          <w:p>
            <w:pPr>
              <w:spacing w:before="40" w:after="40"/>
            </w:pPr>
            <w:r>
              <w:rPr>
                <w:b/>
                <w:color w:val="0d3d45"/>
                <w:sz w:val="20"/>
              </w:rPr>
              <w:t>Notice Required</w:t>
            </w:r>
          </w:p>
        </w:tc>
      </w:tr>
      <w:tr>
        <w:tc>
          <w:tcPr>
            <w:tcW w:w="3500" w:type="dxa"/>
          </w:tcPr>
          <w:p>
            <w:pPr>
              <w:spacing w:before="40" w:after="40"/>
            </w:pPr>
            <w:r>
              <w:rPr>
                <w:color w:val="1e2a2e"/>
                <w:sz w:val="20"/>
              </w:rPr>
              <w:t>Formal notification by any party</w:t>
            </w:r>
          </w:p>
        </w:tc>
        <w:tc>
          <w:tcPr>
            <w:tcW w:w="5700" w:type="dxa"/>
          </w:tcPr>
          <w:p>
            <w:pPr>
              <w:spacing w:before="40" w:after="40"/>
            </w:pPr>
            <w:r>
              <w:rPr>
                <w:color w:val="1e2a2e"/>
                <w:sz w:val="20"/>
              </w:rPr>
              <w:t>72 hours to all parties</w:t>
            </w:r>
          </w:p>
        </w:tc>
      </w:tr>
      <w:tr>
        <w:tc>
          <w:tcPr>
            <w:tcW w:w="3500" w:type="dxa"/>
          </w:tcPr>
          <w:p>
            <w:pPr>
              <w:spacing w:before="40" w:after="40"/>
            </w:pPr>
            <w:r>
              <w:rPr>
                <w:color w:val="1e2a2e"/>
                <w:sz w:val="20"/>
              </w:rPr>
              <w:t>Resumption of hostilities in the Strait</w:t>
            </w:r>
          </w:p>
        </w:tc>
        <w:tc>
          <w:tcPr>
            <w:tcW w:w="5700" w:type="dxa"/>
          </w:tcPr>
          <w:p>
            <w:pPr>
              <w:spacing w:before="40" w:after="40"/>
            </w:pPr>
            <w:r>
              <w:rPr>
                <w:color w:val="1e2a2e"/>
                <w:sz w:val="20"/>
              </w:rPr>
              <w:t>Immediate (effective upon occurrence)</w:t>
            </w:r>
          </w:p>
        </w:tc>
      </w:tr>
      <w:tr>
        <w:tc>
          <w:tcPr>
            <w:tcW w:w="3500" w:type="dxa"/>
          </w:tcPr>
          <w:p>
            <w:pPr>
              <w:spacing w:before="40" w:after="40"/>
            </w:pPr>
            <w:r>
              <w:rPr>
                <w:color w:val="1e2a2e"/>
                <w:sz w:val="20"/>
              </w:rPr>
              <w:t>Material breach by any party</w:t>
            </w:r>
          </w:p>
        </w:tc>
        <w:tc>
          <w:tcPr>
            <w:tcW w:w="5700" w:type="dxa"/>
          </w:tcPr>
          <w:p>
            <w:pPr>
              <w:spacing w:before="40" w:after="40"/>
            </w:pPr>
            <w:r>
              <w:rPr>
                <w:color w:val="1e2a2e"/>
                <w:sz w:val="20"/>
              </w:rPr>
              <w:t>24 hours to all parties</w:t>
            </w:r>
          </w:p>
        </w:tc>
      </w:tr>
      <w:tr>
        <w:tc>
          <w:tcPr>
            <w:tcW w:w="3500" w:type="dxa"/>
          </w:tcPr>
          <w:p>
            <w:pPr>
              <w:spacing w:before="40" w:after="40"/>
            </w:pPr>
            <w:r>
              <w:rPr>
                <w:color w:val="1e2a2e"/>
                <w:sz w:val="20"/>
              </w:rPr>
              <w:t>Mutual agreement of all parties</w:t>
            </w:r>
          </w:p>
        </w:tc>
        <w:tc>
          <w:tcPr>
            <w:tcW w:w="5700" w:type="dxa"/>
          </w:tcPr>
          <w:p>
            <w:pPr>
              <w:spacing w:before="40" w:after="40"/>
            </w:pPr>
            <w:r>
              <w:rPr>
                <w:color w:val="1e2a2e"/>
                <w:sz w:val="20"/>
              </w:rPr>
              <w:t>Immediate upon signature of suspension instrument</w:t>
            </w:r>
          </w:p>
        </w:tc>
      </w:tr>
    </w:tbl>
    <w:p>
      <w:pPr>
        <w:jc w:val="both"/>
      </w:pPr>
      <w:r>
        <w:t>The 72-hour suspension notice period prevents immediate unilateral termination while allowing any party a meaningful exit from the framework. The provision for immediate suspension in the event of resumed hostilities recognizes that continued cooperation may be impossible during active military operations.</w:t>
      </w:r>
    </w:p>
    <w:p>
      <w:pPr>
        <w:jc w:val="both"/>
      </w:pPr>
      <w:r>
        <w:t>The material breach provision provides the primary enforcement mechanism for this annex. A material breach by any party entitles the other parties to suspend their obligations with 24 hours' notice, creating a strong incentive for compliance.</w:t>
      </w:r>
    </w:p>
    <w:p>
      <w:pPr>
        <w:pageBreakBefore/>
      </w:pPr>
    </w:p>
    <w:p>
      <w:pPr>
        <w:pStyle w:val="Heading1"/>
      </w:pPr>
      <w:r>
        <w:t>11. FINAL PROVISIONS</w:t>
      </w:r>
    </w:p>
    <w:p>
      <w:pPr>
        <w:pStyle w:val="Heading2"/>
      </w:pPr>
      <w:r>
        <w:t>11.1 Entry into Force</w:t>
      </w:r>
    </w:p>
    <w:p>
      <w:pPr>
        <w:jc w:val="both"/>
      </w:pPr>
      <w:r>
        <w:t>This Technical Annex shall enter into force upon signature by duly authorized representatives of the Sultanate of Oman and the Islamic Republic of Iran, and acknowledgment by the United States of America.</w:t>
      </w:r>
    </w:p>
    <w:p>
      <w:pPr>
        <w:pStyle w:val="Heading2"/>
      </w:pPr>
      <w:r>
        <w:t>11.2 Duration</w:t>
      </w:r>
    </w:p>
    <w:p>
      <w:pPr>
        <w:jc w:val="both"/>
      </w:pPr>
      <w:r>
        <w:t>This Technical Annex shall remain in force for an initial period of 60 days from the date of entry into force, coterminous with the toll-free passage commitment established under the Islamabad MoU. The Annex may be extended by mutual agreement of all parties.</w:t>
      </w:r>
    </w:p>
    <w:p>
      <w:pPr>
        <w:pStyle w:val="Heading2"/>
      </w:pPr>
      <w:r>
        <w:t>11.3 Amendment</w:t>
      </w:r>
    </w:p>
    <w:p>
      <w:pPr>
        <w:jc w:val="both"/>
      </w:pPr>
      <w:r>
        <w:t>This Technical Annex may be amended only by written agreement of all parties. Any amendment shall be documented through an exchange of diplomatic notes and shall enter into force in accordance with the procedures set forth in Section 11.1.</w:t>
      </w:r>
    </w:p>
    <w:p>
      <w:pPr>
        <w:pStyle w:val="Heading2"/>
      </w:pPr>
      <w:r>
        <w:t>11.4 Interpretation</w:t>
      </w:r>
    </w:p>
    <w:p>
      <w:pPr>
        <w:jc w:val="both"/>
      </w:pPr>
      <w:r>
        <w:t>In the event of any discrepancy or ambiguity in the interpretation of this Technical Annex, the Joint Working Group shall convene to address the matter. The Working Group shall seek to resolve interpretive disputes through consultation and consensus. Failing consensus, each party retains the right to interpret the Annex in accordance with its own understanding.</w:t>
      </w:r>
    </w:p>
    <w:p>
      <w:pPr>
        <w:pStyle w:val="Heading2"/>
      </w:pPr>
      <w:r>
        <w:t>11.5 Language</w:t>
      </w:r>
    </w:p>
    <w:p>
      <w:pPr>
        <w:jc w:val="both"/>
      </w:pPr>
      <w:r>
        <w:t>This Technical Annex is executed in the English language. In the event of any translation, the English text shall prevail for purposes of interpretation.</w:t>
      </w:r>
    </w:p>
    <w:p>
      <w:pPr>
        <w:pageBreakBefore/>
      </w:pPr>
    </w:p>
    <w:p>
      <w:pPr>
        <w:pStyle w:val="Heading1"/>
      </w:pPr>
      <w:r>
        <w:t>SIGNATURE BLOCK</w:t>
      </w:r>
    </w:p>
    <w:p>
      <w:pPr>
        <w:jc w:val="both"/>
      </w:pPr>
      <w:r>
        <w:t>This Technical Annex is executed in triplicate, with original copies retained by each party.</w:t>
      </w:r>
    </w:p>
    <w:p>
      <w:pPr>
        <w:jc w:val="both"/>
      </w:pPr>
      <w:r>
        <w:t/>
      </w:r>
    </w:p>
    <w:tbl>
      <w:tblPr>
        <w:tblW w:w="5000" w:type="pct"/>
        <w:tblBorders>
          <w:top w:val="single" w:color="1a5f6a" w:sz="8"/>
          <w:left w:val="nil"/>
          <w:bottom w:val="single" w:color="1a5f6a" w:sz="8"/>
          <w:right w:val="nil"/>
          <w:insideH w:val="single" w:color="2a5a60" w:sz="4"/>
          <w:insideV w:val="nil"/>
        </w:tblBorders>
      </w:tblPr>
      <w:tblGrid>
        <w:gridCol w:w="3000"/>
        <w:gridCol w:w="3000"/>
        <w:gridCol w:w="3000"/>
      </w:tblGrid>
      <w:tr>
        <w:trPr>
          <w:tblHeader/>
        </w:trPr>
        <w:tc>
          <w:tcPr>
            <w:tcW w:w="3000" w:type="dxa"/>
            <w:shd w:val="clear" w:fill="edf3f4"/>
          </w:tcPr>
          <w:p>
            <w:pPr>
              <w:spacing w:before="40" w:after="40"/>
            </w:pPr>
            <w:r>
              <w:rPr>
                <w:b/>
                <w:color w:val="0d3d45"/>
                <w:sz w:val="20"/>
              </w:rPr>
              <w:t>SULTANATE OF OMAN</w:t>
            </w:r>
          </w:p>
        </w:tc>
        <w:tc>
          <w:tcPr>
            <w:tcW w:w="3000" w:type="dxa"/>
            <w:shd w:val="clear" w:fill="edf3f4"/>
          </w:tcPr>
          <w:p>
            <w:pPr>
              <w:spacing w:before="40" w:after="40"/>
            </w:pPr>
            <w:r>
              <w:rPr>
                <w:b/>
                <w:color w:val="0d3d45"/>
                <w:sz w:val="20"/>
              </w:rPr>
              <w:t>ISLAMIC REPUBLIC OF IRAN</w:t>
            </w:r>
          </w:p>
        </w:tc>
        <w:tc>
          <w:tcPr>
            <w:tcW w:w="3000" w:type="dxa"/>
            <w:shd w:val="clear" w:fill="edf3f4"/>
          </w:tcPr>
          <w:p>
            <w:pPr>
              <w:spacing w:before="40" w:after="40"/>
            </w:pPr>
            <w:r>
              <w:rPr>
                <w:b/>
                <w:color w:val="0d3d45"/>
                <w:sz w:val="20"/>
              </w:rPr>
              <w:t>UNITED STATES OF AMERICA</w:t>
            </w:r>
          </w:p>
        </w:tc>
      </w:tr>
      <w:tr>
        <w:tc>
          <w:tcPr>
            <w:tcW w:w="3000" w:type="dxa"/>
          </w:tcPr>
          <w:p>
            <w:pPr>
              <w:spacing w:before="40" w:after="40"/>
            </w:pPr>
            <w:r>
              <w:rPr>
                <w:color w:val="1e2a2e"/>
                <w:sz w:val="20"/>
              </w:rPr>
              <w:t/>
            </w:r>
          </w:p>
        </w:tc>
        <w:tc>
          <w:tcPr>
            <w:tcW w:w="3000" w:type="dxa"/>
          </w:tcPr>
          <w:p>
            <w:pPr>
              <w:spacing w:before="40" w:after="40"/>
            </w:pPr>
            <w:r>
              <w:rPr>
                <w:color w:val="1e2a2e"/>
                <w:sz w:val="20"/>
              </w:rPr>
              <w:t/>
            </w:r>
          </w:p>
        </w:tc>
        <w:tc>
          <w:tcPr>
            <w:tcW w:w="3000" w:type="dxa"/>
          </w:tcPr>
          <w:p>
            <w:pPr>
              <w:spacing w:before="40" w:after="40"/>
            </w:pPr>
            <w:r>
              <w:rPr>
                <w:color w:val="1e2a2e"/>
                <w:sz w:val="20"/>
              </w:rPr>
              <w:t/>
            </w:r>
          </w:p>
        </w:tc>
      </w:tr>
      <w:tr>
        <w:tc>
          <w:tcPr>
            <w:tcW w:w="3000" w:type="dxa"/>
          </w:tcPr>
          <w:p>
            <w:pPr>
              <w:spacing w:before="40" w:after="40"/>
            </w:pPr>
            <w:r>
              <w:rPr>
                <w:color w:val="1e2a2e"/>
                <w:sz w:val="20"/>
              </w:rPr>
              <w:t>Signed: ____________________</w:t>
            </w:r>
          </w:p>
        </w:tc>
        <w:tc>
          <w:tcPr>
            <w:tcW w:w="3000" w:type="dxa"/>
          </w:tcPr>
          <w:p>
            <w:pPr>
              <w:spacing w:before="40" w:after="40"/>
            </w:pPr>
            <w:r>
              <w:rPr>
                <w:color w:val="1e2a2e"/>
                <w:sz w:val="20"/>
              </w:rPr>
              <w:t>Signed: ____________________</w:t>
            </w:r>
          </w:p>
        </w:tc>
        <w:tc>
          <w:tcPr>
            <w:tcW w:w="3000" w:type="dxa"/>
          </w:tcPr>
          <w:p>
            <w:pPr>
              <w:spacing w:before="40" w:after="40"/>
            </w:pPr>
            <w:r>
              <w:rPr>
                <w:color w:val="1e2a2e"/>
                <w:sz w:val="20"/>
              </w:rPr>
              <w:t>Acknowledged: ____________________</w:t>
            </w:r>
          </w:p>
        </w:tc>
      </w:tr>
      <w:tr>
        <w:tc>
          <w:tcPr>
            <w:tcW w:w="3000" w:type="dxa"/>
          </w:tcPr>
          <w:p>
            <w:pPr>
              <w:spacing w:before="40" w:after="40"/>
            </w:pPr>
            <w:r>
              <w:rPr>
                <w:color w:val="1e2a2e"/>
                <w:sz w:val="20"/>
              </w:rPr>
              <w:t/>
            </w:r>
          </w:p>
        </w:tc>
        <w:tc>
          <w:tcPr>
            <w:tcW w:w="3000" w:type="dxa"/>
          </w:tcPr>
          <w:p>
            <w:pPr>
              <w:spacing w:before="40" w:after="40"/>
            </w:pPr>
            <w:r>
              <w:rPr>
                <w:color w:val="1e2a2e"/>
                <w:sz w:val="20"/>
              </w:rPr>
              <w:t/>
            </w:r>
          </w:p>
        </w:tc>
        <w:tc>
          <w:tcPr>
            <w:tcW w:w="3000" w:type="dxa"/>
          </w:tcPr>
          <w:p>
            <w:pPr>
              <w:spacing w:before="40" w:after="40"/>
            </w:pPr>
            <w:r>
              <w:rPr>
                <w:color w:val="1e2a2e"/>
                <w:sz w:val="20"/>
              </w:rPr>
              <w:t/>
            </w:r>
          </w:p>
        </w:tc>
      </w:tr>
      <w:tr>
        <w:tc>
          <w:tcPr>
            <w:tcW w:w="3000" w:type="dxa"/>
          </w:tcPr>
          <w:p>
            <w:pPr>
              <w:spacing w:before="40" w:after="40"/>
            </w:pPr>
            <w:r>
              <w:rPr>
                <w:color w:val="1e2a2e"/>
                <w:sz w:val="20"/>
              </w:rPr>
              <w:t>[Name]</w:t>
            </w:r>
          </w:p>
        </w:tc>
        <w:tc>
          <w:tcPr>
            <w:tcW w:w="3000" w:type="dxa"/>
          </w:tcPr>
          <w:p>
            <w:pPr>
              <w:spacing w:before="40" w:after="40"/>
            </w:pPr>
            <w:r>
              <w:rPr>
                <w:color w:val="1e2a2e"/>
                <w:sz w:val="20"/>
              </w:rPr>
              <w:t>[Name]</w:t>
            </w:r>
          </w:p>
        </w:tc>
        <w:tc>
          <w:tcPr>
            <w:tcW w:w="3000" w:type="dxa"/>
          </w:tcPr>
          <w:p>
            <w:pPr>
              <w:spacing w:before="40" w:after="40"/>
            </w:pPr>
            <w:r>
              <w:rPr>
                <w:color w:val="1e2a2e"/>
                <w:sz w:val="20"/>
              </w:rPr>
              <w:t>[Name]</w:t>
            </w:r>
          </w:p>
        </w:tc>
      </w:tr>
      <w:tr>
        <w:tc>
          <w:tcPr>
            <w:tcW w:w="3000" w:type="dxa"/>
          </w:tcPr>
          <w:p>
            <w:pPr>
              <w:spacing w:before="40" w:after="40"/>
            </w:pPr>
            <w:r>
              <w:rPr>
                <w:color w:val="1e2a2e"/>
                <w:sz w:val="20"/>
              </w:rPr>
              <w:t>Ministry of Foreign Affairs</w:t>
            </w:r>
          </w:p>
        </w:tc>
        <w:tc>
          <w:tcPr>
            <w:tcW w:w="3000" w:type="dxa"/>
          </w:tcPr>
          <w:p>
            <w:pPr>
              <w:spacing w:before="40" w:after="40"/>
            </w:pPr>
            <w:r>
              <w:rPr>
                <w:color w:val="1e2a2e"/>
                <w:sz w:val="20"/>
              </w:rPr>
              <w:t>Deputy Minister</w:t>
            </w:r>
          </w:p>
        </w:tc>
        <w:tc>
          <w:tcPr>
            <w:tcW w:w="3000" w:type="dxa"/>
          </w:tcPr>
          <w:p>
            <w:pPr>
              <w:spacing w:before="40" w:after="40"/>
            </w:pPr>
            <w:r>
              <w:rPr>
                <w:color w:val="1e2a2e"/>
                <w:sz w:val="20"/>
              </w:rPr>
              <w:t>Department of State</w:t>
            </w:r>
          </w:p>
        </w:tc>
      </w:tr>
      <w:tr>
        <w:tc>
          <w:tcPr>
            <w:tcW w:w="3000" w:type="dxa"/>
          </w:tcPr>
          <w:p>
            <w:pPr>
              <w:spacing w:before="40" w:after="40"/>
            </w:pPr>
            <w:r>
              <w:rPr>
                <w:color w:val="1e2a2e"/>
                <w:sz w:val="20"/>
              </w:rPr>
              <w:t>Sultanate of Oman</w:t>
            </w:r>
          </w:p>
        </w:tc>
        <w:tc>
          <w:tcPr>
            <w:tcW w:w="3000" w:type="dxa"/>
          </w:tcPr>
          <w:p>
            <w:pPr>
              <w:spacing w:before="40" w:after="40"/>
            </w:pPr>
            <w:r>
              <w:rPr>
                <w:color w:val="1e2a2e"/>
                <w:sz w:val="20"/>
              </w:rPr>
              <w:t>Ministry of Foreign Affairs</w:t>
            </w:r>
          </w:p>
        </w:tc>
        <w:tc>
          <w:tcPr>
            <w:tcW w:w="3000" w:type="dxa"/>
          </w:tcPr>
          <w:p>
            <w:pPr>
              <w:spacing w:before="40" w:after="40"/>
            </w:pPr>
            <w:r>
              <w:rPr>
                <w:color w:val="1e2a2e"/>
                <w:sz w:val="20"/>
              </w:rPr>
              <w:t>United States of America</w:t>
            </w:r>
          </w:p>
        </w:tc>
      </w:tr>
      <w:tr>
        <w:tc>
          <w:tcPr>
            <w:tcW w:w="3000" w:type="dxa"/>
          </w:tcPr>
          <w:p>
            <w:pPr>
              <w:spacing w:before="40" w:after="40"/>
            </w:pPr>
            <w:r>
              <w:rPr>
                <w:color w:val="1e2a2e"/>
                <w:sz w:val="20"/>
              </w:rPr>
              <w:t/>
            </w:r>
          </w:p>
        </w:tc>
        <w:tc>
          <w:tcPr>
            <w:tcW w:w="3000" w:type="dxa"/>
          </w:tcPr>
          <w:p>
            <w:pPr>
              <w:spacing w:before="40" w:after="40"/>
            </w:pPr>
            <w:r>
              <w:rPr>
                <w:color w:val="1e2a2e"/>
                <w:sz w:val="20"/>
              </w:rPr>
              <w:t/>
            </w:r>
          </w:p>
        </w:tc>
        <w:tc>
          <w:tcPr>
            <w:tcW w:w="3000" w:type="dxa"/>
          </w:tcPr>
          <w:p>
            <w:pPr>
              <w:spacing w:before="40" w:after="40"/>
            </w:pPr>
            <w:r>
              <w:rPr>
                <w:color w:val="1e2a2e"/>
                <w:sz w:val="20"/>
              </w:rPr>
              <w:t/>
            </w:r>
          </w:p>
        </w:tc>
      </w:tr>
      <w:tr>
        <w:tc>
          <w:tcPr>
            <w:tcW w:w="3000" w:type="dxa"/>
          </w:tcPr>
          <w:p>
            <w:pPr>
              <w:spacing w:before="40" w:after="40"/>
            </w:pPr>
            <w:r>
              <w:rPr>
                <w:color w:val="1e2a2e"/>
                <w:sz w:val="20"/>
              </w:rPr>
              <w:t>Date: July 11, 2026</w:t>
            </w:r>
          </w:p>
        </w:tc>
        <w:tc>
          <w:tcPr>
            <w:tcW w:w="3000" w:type="dxa"/>
          </w:tcPr>
          <w:p>
            <w:pPr>
              <w:spacing w:before="40" w:after="40"/>
            </w:pPr>
            <w:r>
              <w:rPr>
                <w:color w:val="1e2a2e"/>
                <w:sz w:val="20"/>
              </w:rPr>
              <w:t>Date: July 11, 2026</w:t>
            </w:r>
          </w:p>
        </w:tc>
        <w:tc>
          <w:tcPr>
            <w:tcW w:w="3000" w:type="dxa"/>
          </w:tcPr>
          <w:p>
            <w:pPr>
              <w:spacing w:before="40" w:after="40"/>
            </w:pPr>
            <w:r>
              <w:rPr>
                <w:color w:val="1e2a2e"/>
                <w:sz w:val="20"/>
              </w:rPr>
              <w:t>Date: July 11, 2026</w:t>
            </w:r>
          </w:p>
        </w:tc>
      </w:tr>
      <w:tr>
        <w:tc>
          <w:tcPr>
            <w:tcW w:w="3000" w:type="dxa"/>
          </w:tcPr>
          <w:p>
            <w:pPr>
              <w:spacing w:before="40" w:after="40"/>
            </w:pPr>
            <w:r>
              <w:rPr>
                <w:color w:val="1e2a2e"/>
                <w:sz w:val="20"/>
              </w:rPr>
              <w:t>Seal:</w:t>
            </w:r>
          </w:p>
        </w:tc>
        <w:tc>
          <w:tcPr>
            <w:tcW w:w="3000" w:type="dxa"/>
          </w:tcPr>
          <w:p>
            <w:pPr>
              <w:spacing w:before="40" w:after="40"/>
            </w:pPr>
            <w:r>
              <w:rPr>
                <w:color w:val="1e2a2e"/>
                <w:sz w:val="20"/>
              </w:rPr>
              <w:t>Seal:</w:t>
            </w:r>
          </w:p>
        </w:tc>
        <w:tc>
          <w:tcPr>
            <w:tcW w:w="3000" w:type="dxa"/>
          </w:tcPr>
          <w:p>
            <w:pPr>
              <w:spacing w:before="40" w:after="40"/>
            </w:pPr>
            <w:r>
              <w:rPr>
                <w:color w:val="1e2a2e"/>
                <w:sz w:val="20"/>
              </w:rPr>
              <w:t/>
            </w:r>
          </w:p>
        </w:tc>
      </w:tr>
      <w:tr>
        <w:tc>
          <w:tcPr>
            <w:tcW w:w="3000" w:type="dxa"/>
          </w:tcPr>
          <w:p>
            <w:pPr>
              <w:spacing w:before="40" w:after="40"/>
            </w:pPr>
            <w:r>
              <w:rPr>
                <w:color w:val="1e2a2e"/>
                <w:sz w:val="20"/>
              </w:rPr>
              <w:t>[Official Seal of Oman]</w:t>
            </w:r>
          </w:p>
        </w:tc>
        <w:tc>
          <w:tcPr>
            <w:tcW w:w="3000" w:type="dxa"/>
          </w:tcPr>
          <w:p>
            <w:pPr>
              <w:spacing w:before="40" w:after="40"/>
            </w:pPr>
            <w:r>
              <w:rPr>
                <w:color w:val="1e2a2e"/>
                <w:sz w:val="20"/>
              </w:rPr>
              <w:t>[Official Seal of Iran]</w:t>
            </w:r>
          </w:p>
        </w:tc>
        <w:tc>
          <w:tcPr>
            <w:tcW w:w="3000" w:type="dxa"/>
          </w:tcPr>
          <w:p>
            <w:pPr>
              <w:spacing w:before="40" w:after="40"/>
            </w:pPr>
            <w:r>
              <w:rPr>
                <w:color w:val="1e2a2e"/>
                <w:sz w:val="20"/>
              </w:rPr>
              <w:t/>
            </w:r>
          </w:p>
        </w:tc>
      </w:tr>
    </w:tbl>
    <w:p>
      <w:pPr>
        <w:sectPr>
          <w:headerReference w:type="default" r:id="R0c3383b38eea4fe0"/>
          <w:footerReference w:type="default" r:id="R74e4d7025b65461f"/>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c069658a2ab14b01"/>
                    <a:stretch>
                      <a:fillRect/>
                    </a:stretch>
                  </pic:blipFill>
                  <pic:spPr>
                    <a:xfrm>
                      <a:off x="0" y="0"/>
                      <a:ext cx="7560000" cy="10692000"/>
                    </a:xfrm>
                    <a:prstGeom prst="rect"/>
                  </pic:spPr>
                </pic:pic>
              </a:graphicData>
            </a:graphic>
          </wp:anchor>
        </w:drawing>
      </w:r>
    </w:p>
    <w:p>
      <w:pPr>
        <w:spacing w:before="5000"/>
      </w:pPr>
      <w:r/>
    </w:p>
    <w:p>
      <w:pPr>
        <w:spacing w:after="400"/>
        <w:jc w:val="center"/>
      </w:pPr>
      <w:r>
        <w:rPr>
          <w:b/>
          <w:color w:val="e8e2d4"/>
          <w:spacing w:val="40"/>
          <w:sz w:val="36"/>
        </w:rPr>
        <w:t>DRAFT — FOR CONSULTATION</w:t>
      </w:r>
    </w:p>
    <w:p>
      <w:pPr>
        <w:spacing w:after="600"/>
        <w:jc w:val="center"/>
      </w:pPr>
      <w:r>
        <w:rPr>
          <w:i/>
          <w:color w:val="c8c2b4"/>
          <w:sz w:val="22"/>
        </w:rPr>
        <w:t>MOU-OMAN/2026-07-11/ANNEX-A</w:t>
      </w:r>
    </w:p>
    <w:p>
      <w:pPr>
        <w:spacing w:after="200"/>
        <w:jc w:val="center"/>
      </w:pPr>
      <w:r>
        <w:rPr>
          <w:color w:val="c8c2b4"/>
          <w:sz w:val="20"/>
        </w:rPr>
        <w:t>Distribution: Not for further distribution without consent of all parties.</w:t>
      </w:r>
    </w:p>
    <w:p>
      <w:pPr>
        <w:spacing w:after="200"/>
        <w:jc w:val="center"/>
      </w:pPr>
      <w:r>
        <w:rPr>
          <w:color w:val="c8c2b4"/>
          <w:sz w:val="20"/>
        </w:rPr>
        <w:t>Original held by: Sultanate of Oman</w:t>
      </w:r>
    </w:p>
    <w:p>
      <w:pPr>
        <w:spacing w:after="200"/>
        <w:jc w:val="center"/>
      </w:pPr>
      <w:r>
        <w:rPr>
          <w:color w:val="c8c2b4"/>
          <w:sz w:val="20"/>
        </w:rPr>
        <w:t>Copy retained by: Islamic Republic of Iran</w:t>
      </w:r>
    </w:p>
    <w:p>
      <w:pPr>
        <w:jc w:val="center"/>
      </w:pPr>
      <w:r>
        <w:rPr>
          <w:color w:val="c8c2b4"/>
          <w:sz w:val="20"/>
        </w:rPr>
        <w:t>Copy acknowledged by: United States of America</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8a8e"/>
        <w:sz w:val="18"/>
      </w:rPr>
      <w:t xml:space="preserve">Page </w:t>
    </w:r>
    <w:r>
      <w:rPr>
        <w:color w:val="7a8a8e"/>
        <w:sz w:val="18"/>
      </w:rPr>
      <w:fldChar w:fldCharType="begin"/>
    </w:r>
    <w:r>
      <w:rPr>
        <w:color w:val="7a8a8e"/>
        <w:sz w:val="18"/>
      </w:rPr>
      <w:instrText xml:space="preserve"> PAGE </w:instrText>
    </w:r>
    <w:r>
      <w:rPr>
        <w:color w:val="7a8a8e"/>
        <w:sz w:val="18"/>
      </w:rPr>
      <w:fldChar w:fldCharType="separate"/>
    </w:r>
    <w:r>
      <w:rPr>
        <w:color w:val="7a8a8e"/>
        <w:sz w:val="18"/>
      </w:rPr>
      <w:t>1</w:t>
    </w:r>
    <w:r>
      <w:rPr>
        <w:color w:val="7a8a8e"/>
        <w:sz w:val="18"/>
      </w:rPr>
      <w:fldChar w:fldCharType="end"/>
    </w:r>
    <w:r>
      <w:rPr>
        <w:color w:val="7a8a8e"/>
        <w:sz w:val="18"/>
      </w:rPr>
      <w:t xml:space="preserve"> of </w:t>
    </w:r>
    <w:r>
      <w:rPr>
        <w:color w:val="7a8a8e"/>
        <w:sz w:val="18"/>
      </w:rPr>
      <w:fldChar w:fldCharType="begin"/>
    </w:r>
    <w:r>
      <w:rPr>
        <w:color w:val="7a8a8e"/>
        <w:sz w:val="18"/>
      </w:rPr>
      <w:instrText xml:space="preserve"> NUMPAGES </w:instrText>
    </w:r>
    <w:r>
      <w:rPr>
        <w:color w:val="7a8a8e"/>
        <w:sz w:val="18"/>
      </w:rPr>
      <w:fldChar w:fldCharType="separate"/>
    </w:r>
    <w:r>
      <w:rPr>
        <w:color w:val="7a8a8e"/>
        <w:sz w:val="18"/>
      </w:rPr>
      <w:t>1</w:t>
    </w:r>
    <w:r>
      <w:rPr>
        <w:color w:val="7a8a8e"/>
        <w:sz w:val="18"/>
      </w:rPr>
      <w:fldChar w:fldCharType="end"/>
    </w:r>
  </w:p>
</w:ftr>
</file>

<file path=word/header1.xml><?xml version="1.0" encoding="utf-8"?>
<w:hdr xmlns:w="http://schemas.openxmlformats.org/wordprocessingml/2006/main">
  <w:p>
    <w:pPr>
      <w:pBdr>
        <w:bottom w:val="single" w:color="c9a84c" w:sz="4" w:space="1"/>
      </w:pBdr>
      <w:jc w:val="center"/>
    </w:pPr>
    <w:r>
      <w:rPr>
        <w:i/>
        <w:color w:val="7a8a8e"/>
        <w:sz w:val="18"/>
      </w:rPr>
      <w:t>Technical Annex | MOU-OMAN/2026-07-11/ANNEX-A | DRAFT</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276" w:lineRule="auto"/>
    </w:pPr>
    <w:rPr>
      <w:rFonts w:ascii="Garamond" w:hAnsi="Garamond" w:eastAsia="SimSun"/>
      <w:color w:val="1e2a2e"/>
      <w:sz w:val="22"/>
    </w:rPr>
  </w:style>
  <w:style w:type="paragraph" w:styleId="Heading1">
    <w:name w:val="heading 1"/>
    <w:basedOn w:val="Normal"/>
    <w:pPr>
      <w:keepNext/>
      <w:keepLines/>
      <w:spacing w:before="360" w:after="180"/>
      <w:outlineLvl w:val="0"/>
    </w:pPr>
    <w:rPr>
      <w:rFonts w:ascii="Garamond" w:hAnsi="Garamond"/>
      <w:b/>
      <w:color w:val="0d3d45"/>
      <w:sz w:val="28"/>
    </w:rPr>
  </w:style>
  <w:style w:type="paragraph" w:styleId="Heading2">
    <w:name w:val="heading 2"/>
    <w:basedOn w:val="Normal"/>
    <w:pPr>
      <w:keepNext/>
      <w:keepLines/>
      <w:spacing w:before="280" w:after="140"/>
      <w:outlineLvl w:val="1"/>
    </w:pPr>
    <w:rPr>
      <w:rFonts w:ascii="Garamond" w:hAnsi="Garamond"/>
      <w:b/>
      <w:color w:val="1a5f6a"/>
      <w:sz w:val="24"/>
    </w:rPr>
  </w:style>
  <w:style w:type="paragraph" w:styleId="Heading3">
    <w:name w:val="heading 3"/>
    <w:basedOn w:val="Normal"/>
    <w:pPr>
      <w:keepNext/>
      <w:keepLines/>
      <w:spacing w:before="200" w:after="100"/>
      <w:outlineLvl w:val="2"/>
    </w:pPr>
    <w:rPr>
      <w:rFonts w:ascii="Garamond" w:hAnsi="Garamond"/>
      <w:b/>
      <w:color w:val="4a5a5e"/>
      <w:sz w:val="22"/>
    </w:rPr>
  </w:style>
</w:styles>
</file>

<file path=word/_rels/document.xml.rels><?xml version='1.0' encoding='UTF-8'?>
<Relationships xmlns="http://schemas.openxmlformats.org/package/2006/relationships"><Relationship Type="http://schemas.openxmlformats.org/officeDocument/2006/relationships/styles" Target="styles.xml" Id="Rd5cc33b0839b40b8" /><Relationship Type="http://schemas.openxmlformats.org/officeDocument/2006/relationships/image" Target="media/image.png" Id="Rdf18b281617c4143" /><Relationship Type="http://schemas.openxmlformats.org/officeDocument/2006/relationships/image" Target="media/image2.png" Id="Rc069658a2ab14b01" /><Relationship Type="http://schemas.openxmlformats.org/officeDocument/2006/relationships/header" Target="header1.xml" Id="R0c3383b38eea4fe0" /><Relationship Type="http://schemas.openxmlformats.org/officeDocument/2006/relationships/footer" Target="footer1.xml" Id="R74e4d7025b65461f" /><Relationship Type="http://schemas.openxmlformats.org/officeDocument/2006/relationships/settings" Target="settings.xml" Id="R4c6ed65037cc4f18" /></Relationships>
</file>