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003325a9a51347d2"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49a50e7dbe04487f"/>
                    <a:stretch>
                      <a:fillRect/>
                    </a:stretch>
                  </pic:blipFill>
                  <pic:spPr>
                    <a:xfrm>
                      <a:off x="0" y="0"/>
                      <a:ext cx="7560000" cy="10692000"/>
                    </a:xfrm>
                    <a:prstGeom prst="rect"/>
                  </pic:spPr>
                </pic:pic>
              </a:graphicData>
            </a:graphic>
          </wp:anchor>
        </w:drawing>
      </w:r>
    </w:p>
    <w:p>
      <w:pPr>
        <w:spacing w:before="5000"/>
      </w:pPr>
      <w:r/>
    </w:p>
    <w:p>
      <w:pPr>
        <w:jc w:val="left"/>
        <w:ind w:left="1200" w:right="1200"/>
        <w:spacing w:after="120"/>
      </w:pPr>
      <w:r>
        <w:rPr>
          <w:sz w:val="24"/>
          <w:color w:val="c9a96e"/>
          <w:spacing w:val="60"/>
        </w:rPr>
        <w:t>ANNEX 1AC</w:t>
      </w:r>
    </w:p>
    <w:p>
      <w:pPr>
        <w:jc w:val="left"/>
        <w:ind w:left="1200" w:right="1200"/>
        <w:spacing w:after="200"/>
      </w:pPr>
      <w:r>
        <w:rPr>
          <w:sz w:val="52"/>
          <w:b/>
          <w:color w:val="e8dcc8"/>
          <w:spacing w:val="30"/>
        </w:rPr>
        <w:t>TRANSIT FACILITATION</w:t>
      </w:r>
      <w:r>
        <w:rPr>
          <w:sz w:val="52"/>
          <w:b/>
          <w:color w:val="e8dcc8"/>
          <w:spacing w:val="30"/>
        </w:rPr>
        <w:t> &amp; SERVICE FEES</w:t>
      </w:r>
    </w:p>
    <w:p>
      <w:pPr>
        <w:jc w:val="left"/>
        <w:ind w:left="1200" w:right="1200"/>
        <w:spacing w:after="400"/>
      </w:pPr>
      <w:r>
        <w:rPr>
          <w:sz w:val="22"/>
          <w:color w:val="c9a96e"/>
        </w:rPr>
        <w:t>To the Hormuz Standardization Understanding (HSU)</w:t>
      </w:r>
    </w:p>
    <w:p>
      <w:pPr>
        <w:jc w:val="left"/>
        <w:ind w:left="1200" w:right="1200"/>
        <w:spacing w:after="60"/>
      </w:pPr>
      <w:r>
        <w:rPr>
          <w:sz w:val="20"/>
          <w:color w:val="8a95a5"/>
        </w:rPr>
        <w:t>Effective Date: July 2026</w:t>
      </w:r>
    </w:p>
    <w:p>
      <w:pPr>
        <w:jc w:val="left"/>
        <w:ind w:left="1200" w:right="1200"/>
        <w:spacing w:after="60"/>
      </w:pPr>
      <w:r>
        <w:rPr>
          <w:sz w:val="20"/>
          <w:color w:val="8a95a5"/>
        </w:rPr>
        <w:t>Fee Implementation Date: Mid-September 2026</w:t>
      </w:r>
    </w:p>
    <w:p>
      <w:pPr>
        <w:jc w:val="left"/>
        <w:ind w:left="1200" w:right="1200"/>
        <w:spacing w:after="60"/>
      </w:pPr>
      <w:r>
        <w:rPr>
          <w:sz w:val="20"/>
          <w:color w:val="8a95a5"/>
        </w:rPr>
        <w:t>Review Cycle: Annual (Financial) / Quarterly (Operational)</w:t>
      </w:r>
    </w:p>
    <w:p>
      <w:pPr>
        <w:jc w:val="left"/>
        <w:ind w:left="1200" w:right="1200"/>
      </w:pPr>
      <w:r>
        <w:rPr>
          <w:sz w:val="20"/>
          <w:color w:val="8a95a5"/>
        </w:rPr>
        <w:t>Classification: AUTHORIZED NEGOTIATORS ONLY</w:t>
      </w:r>
    </w:p>
    <w:p>
      <w:pPr>
        <w:sectPr>
          <w:titlePg/>
          <w:type w:val="nextPage"/>
          <w:pgSz w:w="11906" w:h="16838"/>
          <w:pgMar w:top="0" w:right="0" w:bottom="0" w:left="0" w:header="0" w:footer="0"/>
        </w:sectPr>
      </w:pPr>
    </w:p>
    <w:p>
      <w:pPr>
        <w:pStyle w:val="Heading1"/>
      </w:pPr>
      <w:r>
        <w:t>Table of Contents</w:t>
      </w:r>
    </w:p>
    <w:p>
      <w:pPr>
        <w:spacing w:after="240"/>
      </w:pPr>
      <w:r>
        <w:rPr>
          <w:color w:val="8a95a5"/>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1</w:t>
      </w:r>
    </w:p>
    <w:p>
      <w:pPr>
        <w:pStyle w:val="TOC1"/>
      </w:pPr>
      <w:r>
        <w:t>Article 1: Sovereignty Disclaimer &amp; General Principles</w:t>
      </w:r>
      <w:r>
        <w:tab/>
      </w:r>
      <w:r>
        <w:t>2</w:t>
      </w:r>
    </w:p>
    <w:p>
      <w:pPr>
        <w:pStyle w:val="TOC2"/>
      </w:pPr>
      <w:r>
        <w:t>1.1 Sovereignty Disclaimer</w:t>
      </w:r>
      <w:r>
        <w:tab/>
      </w:r>
      <w:r>
        <w:t>2</w:t>
      </w:r>
    </w:p>
    <w:p>
      <w:pPr>
        <w:pStyle w:val="TOC2"/>
      </w:pPr>
      <w:r>
        <w:t>1.2 General Principles</w:t>
      </w:r>
      <w:r>
        <w:tab/>
      </w:r>
      <w:r>
        <w:t>3</w:t>
      </w:r>
    </w:p>
    <w:p>
      <w:pPr>
        <w:pStyle w:val="TOC1"/>
      </w:pPr>
      <w:r>
        <w:t>Article 2: Establishment of the Hormuz Service Corporation (HSC)</w:t>
      </w:r>
      <w:r>
        <w:tab/>
      </w:r>
      <w:r>
        <w:t>4</w:t>
      </w:r>
    </w:p>
    <w:p>
      <w:pPr>
        <w:pStyle w:val="TOC2"/>
      </w:pPr>
      <w:r>
        <w:t>2.1 Legal Status and Governance</w:t>
      </w:r>
      <w:r>
        <w:tab/>
      </w:r>
      <w:r>
        <w:t>4</w:t>
      </w:r>
    </w:p>
    <w:p>
      <w:pPr>
        <w:pStyle w:val="TOC2"/>
      </w:pPr>
      <w:r>
        <w:t>2.2 Board of Directors</w:t>
      </w:r>
      <w:r>
        <w:tab/>
      </w:r>
      <w:r>
        <w:t>5</w:t>
      </w:r>
    </w:p>
    <w:p>
      <w:pPr>
        <w:pStyle w:val="TOC2"/>
      </w:pPr>
      <w:r>
        <w:t>2.3 HSC Mandate and Functions</w:t>
      </w:r>
      <w:r>
        <w:tab/>
      </w:r>
      <w:r>
        <w:t>6</w:t>
      </w:r>
    </w:p>
    <w:p>
      <w:pPr>
        <w:pStyle w:val="TOC2"/>
      </w:pPr>
      <w:r>
        <w:t>2.4 HSC Staff and Operations</w:t>
      </w:r>
      <w:r>
        <w:tab/>
      </w:r>
      <w:r>
        <w:t>7</w:t>
      </w:r>
    </w:p>
    <w:p>
      <w:pPr>
        <w:pStyle w:val="TOC1"/>
      </w:pPr>
      <w:r>
        <w:t>Article 3: Fee Structure and Collection Mechanism</w:t>
      </w:r>
      <w:r>
        <w:tab/>
      </w:r>
      <w:r>
        <w:t>8</w:t>
      </w:r>
    </w:p>
    <w:p>
      <w:pPr>
        <w:pStyle w:val="TOC2"/>
      </w:pPr>
      <w:r>
        <w:t>3.1 Eligible Services and Fee Schedule</w:t>
      </w:r>
      <w:r>
        <w:tab/>
      </w:r>
      <w:r>
        <w:t>8</w:t>
      </w:r>
    </w:p>
    <w:p>
      <w:pPr>
        <w:pStyle w:val="TOC2"/>
      </w:pPr>
      <w:r>
        <w:t>3.2 Collection Mechanism</w:t>
      </w:r>
      <w:r>
        <w:tab/>
      </w:r>
      <w:r>
        <w:t>10</w:t>
      </w:r>
    </w:p>
    <w:p>
      <w:pPr>
        <w:pStyle w:val="TOC2"/>
      </w:pPr>
      <w:r>
        <w:t>3.3 Fee Revenue Projection and Escrow</w:t>
      </w:r>
      <w:r>
        <w:tab/>
      </w:r>
      <w:r>
        <w:t>11</w:t>
      </w:r>
    </w:p>
    <w:p>
      <w:pPr>
        <w:pStyle w:val="TOC1"/>
      </w:pPr>
      <w:r>
        <w:t>Article 4: IMO Audit and Financial Transparency</w:t>
      </w:r>
      <w:r>
        <w:tab/>
      </w:r>
      <w:r>
        <w:t>12</w:t>
      </w:r>
    </w:p>
    <w:p>
      <w:pPr>
        <w:pStyle w:val="TOC2"/>
      </w:pPr>
      <w:r>
        <w:t>4.1 IMO Audit Mandate</w:t>
      </w:r>
      <w:r>
        <w:tab/>
      </w:r>
      <w:r>
        <w:t>12</w:t>
      </w:r>
    </w:p>
    <w:p>
      <w:pPr>
        <w:pStyle w:val="TOC2"/>
      </w:pPr>
      <w:r>
        <w:t>4.2 Transparency and Reporting</w:t>
      </w:r>
      <w:r>
        <w:tab/>
      </w:r>
      <w:r>
        <w:t>13</w:t>
      </w:r>
    </w:p>
    <w:p>
      <w:pPr>
        <w:pStyle w:val="TOC1"/>
      </w:pPr>
      <w:r>
        <w:t>Article 5: Disbursements and Compliance Conditionality</w:t>
      </w:r>
      <w:r>
        <w:tab/>
      </w:r>
      <w:r>
        <w:t>14</w:t>
      </w:r>
    </w:p>
    <w:p>
      <w:pPr>
        <w:pStyle w:val="TOC2"/>
      </w:pPr>
      <w:r>
        <w:t>5.1 Revenue Distribution Formula</w:t>
      </w:r>
      <w:r>
        <w:tab/>
      </w:r>
      <w:r>
        <w:t>14</w:t>
      </w:r>
    </w:p>
    <w:p>
      <w:pPr>
        <w:pStyle w:val="TOC2"/>
      </w:pPr>
      <w:r>
        <w:t>5.2 Compliance Conditionality</w:t>
      </w:r>
      <w:r>
        <w:tab/>
      </w:r>
      <w:r>
        <w:t>15</w:t>
      </w:r>
    </w:p>
    <w:p>
      <w:pPr>
        <w:pStyle w:val="TOC2"/>
      </w:pPr>
      <w:r>
        <w:t>5.3 Audit Trail and Accountability</w:t>
      </w:r>
      <w:r>
        <w:tab/>
      </w:r>
      <w:r>
        <w:t>16</w:t>
      </w:r>
    </w:p>
    <w:p>
      <w:pPr>
        <w:pStyle w:val="TOC1"/>
      </w:pPr>
      <w:r>
        <w:t>Article 6: Dispute Resolution</w:t>
      </w:r>
      <w:r>
        <w:tab/>
      </w:r>
      <w:r>
        <w:t>17</w:t>
      </w:r>
    </w:p>
    <w:p>
      <w:pPr>
        <w:pStyle w:val="TOC2"/>
      </w:pPr>
      <w:r>
        <w:t>6.1 HSC-Level Disputes</w:t>
      </w:r>
      <w:r>
        <w:tab/>
      </w:r>
      <w:r>
        <w:t>17</w:t>
      </w:r>
    </w:p>
    <w:p>
      <w:pPr>
        <w:pStyle w:val="TOC2"/>
      </w:pPr>
      <w:r>
        <w:t>6.2 Interstate Disputes</w:t>
      </w:r>
      <w:r>
        <w:tab/>
      </w:r>
      <w:r>
        <w:t>18</w:t>
      </w:r>
    </w:p>
    <w:p>
      <w:pPr>
        <w:pStyle w:val="TOC1"/>
      </w:pPr>
      <w:r>
        <w:t>Article 7: Technical Review and Amendments</w:t>
      </w:r>
      <w:r>
        <w:tab/>
      </w:r>
      <w:r>
        <w:t>19</w:t>
      </w:r>
    </w:p>
    <w:p>
      <w:pPr>
        <w:pStyle w:val="TOC2"/>
      </w:pPr>
      <w:r>
        <w:t>7.1 Annual Financial Review</w:t>
      </w:r>
      <w:r>
        <w:tab/>
      </w:r>
      <w:r>
        <w:t>19</w:t>
      </w:r>
    </w:p>
    <w:p>
      <w:pPr>
        <w:pStyle w:val="TOC2"/>
      </w:pPr>
      <w:r>
        <w:t>7.2 Amendments</w:t>
      </w:r>
      <w:r>
        <w:tab/>
      </w:r>
      <w:r>
        <w:t>20</w:t>
      </w:r>
    </w:p>
    <w:p>
      <w:pPr>
        <w:pStyle w:val="TOC1"/>
      </w:pPr>
      <w:r>
        <w:t>Article 8: Final Provisions</w:t>
      </w:r>
      <w:r>
        <w:tab/>
      </w:r>
      <w:r>
        <w:t>21</w:t>
      </w:r>
    </w:p>
    <w:p>
      <w:pPr>
        <w:pStyle w:val="TOC2"/>
      </w:pPr>
      <w:r>
        <w:t>8.1 Duration and Termination</w:t>
      </w:r>
      <w:r>
        <w:tab/>
      </w:r>
      <w:r>
        <w:t>21</w:t>
      </w:r>
    </w:p>
    <w:p>
      <w:pPr>
        <w:pStyle w:val="TOC2"/>
      </w:pPr>
      <w:r>
        <w:t>8.2 Relationship to Other Annexes</w:t>
      </w:r>
      <w:r>
        <w:tab/>
      </w:r>
      <w:r>
        <w:t>22</w:t>
      </w:r>
    </w:p>
    <w:p>
      <w:pPr>
        <w:pStyle w:val="TOC1"/>
      </w:pPr>
      <w:r>
        <w:t>Signature Pages</w:t>
      </w:r>
      <w:r>
        <w:tab/>
      </w:r>
      <w:r>
        <w:t>23</w:t>
      </w:r>
    </w:p>
    <w:p>
      <w:pPr>
        <w:pStyle w:val="TOC1"/>
      </w:pPr>
      <w:r>
        <w:t>Annex 1AC Negotiator's Annotations</w:t>
      </w:r>
      <w:r>
        <w:tab/>
      </w:r>
      <w:r>
        <w:t>25</w:t>
      </w:r>
    </w:p>
    <w:p>
      <w:r>
        <w:fldChar w:fldCharType="end"/>
      </w:r>
    </w:p>
    <w:p>
      <w:pPr>
        <w:sectPr>
          <w:type w:val="nextPage"/>
          <w:pgSz w:w="11906" w:h="16838"/>
          <w:pgMar w:top="1800" w:right="1440" w:bottom="1440" w:left="1440" w:header="720" w:footer="720"/>
        </w:sectPr>
      </w:pPr>
    </w:p>
    <w:p>
      <w:pPr>
        <w:jc w:val="center"/>
        <w:spacing w:after="120"/>
      </w:pPr>
      <w:r>
        <w:rPr>
          <w:b/>
          <w:sz w:val="28"/>
          <w:color w:val="1a2744"/>
        </w:rPr>
        <w:t xml:space="preserve">ANNEX 1AC: TRANSIT FACILITATION &amp; SERVICE FEES</w:t>
      </w:r>
    </w:p>
    <w:p>
      <w:pPr>
        <w:jc w:val="center"/>
        <w:spacing w:after="60"/>
      </w:pPr>
      <w:r>
        <w:rPr>
          <w:sz w:val="22"/>
          <w:color w:val="4a5568"/>
        </w:rPr>
        <w:t xml:space="preserve">To the Hormuz Standardization Understanding (HSU)</w:t>
      </w:r>
    </w:p>
    <w:p>
      <w:pPr>
        <w:jc w:val="center"/>
        <w:spacing w:after="60"/>
      </w:pPr>
      <w:r>
        <w:rPr>
          <w:sz w:val="20"/>
          <w:color w:val="8a95a5"/>
        </w:rPr>
        <w:t xml:space="preserve">Effective Date: July 2026  |  Fee Implementation Date: Mid-September 2026</w:t>
      </w:r>
    </w:p>
    <w:p>
      <w:pPr>
        <w:jc w:val="center"/>
        <w:spacing w:after="200"/>
      </w:pPr>
      <w:r>
        <w:rPr>
          <w:sz w:val="20"/>
          <w:color w:val="8a95a5"/>
        </w:rPr>
        <w:t xml:space="preserve">Review Cycle: Annual (Financial) / Quarterly (Operational)</w:t>
      </w:r>
    </w:p>
    <w:p>
      <w:pPr>
        <w:jc w:val="center"/>
        <w:spacing w:after="360"/>
      </w:pPr>
      <w:r>
        <w:rPr>
          <w:sz w:val="20"/>
          <w:color w:val="8a95a5"/>
        </w:rPr>
        <w:t xml:space="preserve">Primary Implementing Bodies: Hormuz Service Corporation (HSC), Joint Implementation Commission (JIC), International Maritime Organization (IMO - Audit)</w:t>
      </w:r>
    </w:p>
    <w:p>
      <w:pPr>
        <w:pStyle w:val="Heading1"/>
      </w:pPr>
      <w:r>
        <w:t>Preamble</w:t>
      </w:r>
    </w:p>
    <w:p>
      <w:r>
        <w:rPr/>
        <w:t xml:space="preserve">The Parties to the Hormuz Standardization Understanding (HSU) adopt this Annex 1AC as an integral component of the HSU framework. This Annex establishes the financial architecture for transparent, conditional, internationally audited service fees for navigational services rendered to Commercial Vessels transiting the Strait of Hormuz.</w:t>
      </w:r>
    </w:p>
    <w:p>
      <w:r>
        <w:rPr/>
        <w:t xml:space="preserve">This Annex achieves the following purposes:</w:t>
      </w:r>
    </w:p>
    <w:p>
      <w:pPr>
        <w:spacing w:after="120"/>
        <w:ind w:left="720" w:hanging="360"/>
      </w:pPr>
      <w:r>
        <w:rPr>
          <w:color w:val="c9a96e"/>
        </w:rPr>
        <w:t xml:space="preserve">•  </w:t>
      </w:r>
      <w:r>
        <w:t xml:space="preserve">It transforms the aspiration for tolls into a transparent service fee structure tied to identifiable, quantifiable navigational services.</w:t>
      </w:r>
    </w:p>
    <w:p>
      <w:pPr>
        <w:spacing w:after="120"/>
        <w:ind w:left="720" w:hanging="360"/>
      </w:pPr>
      <w:r>
        <w:rPr>
          <w:color w:val="c9a96e"/>
        </w:rPr>
        <w:t xml:space="preserve">•  </w:t>
      </w:r>
      <w:r>
        <w:t xml:space="preserve">It establishes the Hormuz Service Corporation (HSC) as the sole fee-collecting and service-procuring body, operating on a non-profit basis under international oversight.</w:t>
      </w:r>
    </w:p>
    <w:p>
      <w:pPr>
        <w:spacing w:after="120"/>
        <w:ind w:left="720" w:hanging="360"/>
      </w:pPr>
      <w:r>
        <w:rPr>
          <w:color w:val="c9a96e"/>
        </w:rPr>
        <w:t xml:space="preserve">•  </w:t>
      </w:r>
      <w:r>
        <w:t xml:space="preserve">It creates an escrow mechanism that provides material leverage over compliance, linking financial disbursements to verified behavioral standards.</w:t>
      </w:r>
    </w:p>
    <w:p>
      <w:pPr>
        <w:spacing w:after="120"/>
        <w:ind w:left="720" w:hanging="360"/>
      </w:pPr>
      <w:r>
        <w:rPr>
          <w:color w:val="c9a96e"/>
        </w:rPr>
        <w:t xml:space="preserve">•  </w:t>
      </w:r>
      <w:r>
        <w:t xml:space="preserve">It embeds a sovereignty disclaimer at the foundational level, ensuring that no fee payment, disbursement, or audit finding constitutes recognition of sovereign authority over the Strait.</w:t>
      </w:r>
    </w:p>
    <w:p>
      <w:pPr>
        <w:spacing w:after="120"/>
        <w:ind w:left="720" w:hanging="360"/>
      </w:pPr>
      <w:r>
        <w:rPr>
          <w:color w:val="c9a96e"/>
        </w:rPr>
        <w:t xml:space="preserve">•  </w:t>
      </w:r>
      <w:r>
        <w:t xml:space="preserve">It institutes an IMO-led audit and transparency regime that meets international standards for financial accountability.</w:t>
      </w:r>
    </w:p>
    <w:p>
      <w:r>
        <w:rPr/>
        <w:t xml:space="preserve">This Annex enters into force simultaneously with the HSU. The fee collection provisions activate upon expiration of the 60-day toll-free period established under HSU Article 4.1.</w:t>
      </w:r>
    </w:p>
    <w:p>
      <w:pPr>
        <w:pStyle w:val="Heading1"/>
      </w:pPr>
      <w:r>
        <w:t>Article 1: Sovereignty Disclaimer &amp; General Principles</w:t>
      </w:r>
    </w:p>
    <w:p>
      <w:pPr>
        <w:pStyle w:val="Heading2"/>
      </w:pPr>
      <w:r>
        <w:t>1.1 Sovereignty Disclaimer</w:t>
      </w:r>
    </w:p>
    <w:p>
      <w:pPr>
        <w:pStyle w:val="Heading3"/>
      </w:pPr>
      <w:r>
        <w:t>1.1.1 Non-Prejudice Clause</w:t>
      </w:r>
    </w:p>
    <w:p>
      <w:r>
        <w:rPr/>
        <w:t xml:space="preserve">Nothing in this Annex, nor in any implementing regulation, fee schedule, or disbursement made thereunder, constitutes any of the following:</w:t>
      </w:r>
    </w:p>
    <w:p>
      <w:pPr>
        <w:spacing w:after="120"/>
        <w:ind w:left="720" w:hanging="360"/>
      </w:pPr>
      <w:r>
        <w:rPr>
          <w:b/>
          <w:color w:val="1a2744"/>
        </w:rPr>
        <w:t xml:space="preserve">(a) </w:t>
      </w:r>
      <w:r>
        <w:t xml:space="preserve">Recognition by any Party of the sovereign authority, exclusive jurisdiction, or administrative control of any other Party over the Strait of Hormuz or any part thereof.</w:t>
      </w:r>
    </w:p>
    <w:p>
      <w:pPr>
        <w:spacing w:after="120"/>
        <w:ind w:left="720" w:hanging="360"/>
      </w:pPr>
      <w:r>
        <w:rPr>
          <w:b/>
          <w:color w:val="1a2744"/>
        </w:rPr>
        <w:t xml:space="preserve">(b) </w:t>
      </w:r>
      <w:r>
        <w:t xml:space="preserve">A waiver of any legal arguments, claims, or positions held by any Party regarding the legal status of the Strait under international law.</w:t>
      </w:r>
    </w:p>
    <w:p>
      <w:pPr>
        <w:spacing w:after="120"/>
        <w:ind w:left="720" w:hanging="360"/>
      </w:pPr>
      <w:r>
        <w:rPr>
          <w:b/>
          <w:color w:val="1a2744"/>
        </w:rPr>
        <w:t xml:space="preserve">(c) </w:t>
      </w:r>
      <w:r>
        <w:t xml:space="preserve">A precedent for the governance, tolling, or administration of any other international strait, chokepoint, or waterway.</w:t>
      </w:r>
    </w:p>
    <w:p>
      <w:pPr>
        <w:spacing w:after="120"/>
        <w:ind w:left="720" w:hanging="360"/>
      </w:pPr>
      <w:r>
        <w:rPr>
          <w:b/>
          <w:color w:val="1a2744"/>
        </w:rPr>
        <w:t xml:space="preserve">(d) </w:t>
      </w:r>
      <w:r>
        <w:t xml:space="preserve">An acknowledgment by any Party that the Strait of Hormuz is subject to the territorial sovereignty of any single state.</w:t>
      </w:r>
    </w:p>
    <w:p>
      <w:pPr>
        <w:pStyle w:val="Heading3"/>
      </w:pPr>
      <w:r>
        <w:t>1.1.2 Purpose of Fees</w:t>
      </w:r>
    </w:p>
    <w:p>
      <w:r>
        <w:rPr/>
        <w:t xml:space="preserve">The fees established under this Annex are service fees for specific, identifiable navigational services rendered. They are not tolls, taxes, or sovereign levies. The fees possess the following characteristics:</w:t>
      </w:r>
    </w:p>
    <w:p>
      <w:pPr>
        <w:spacing w:after="120"/>
        <w:ind w:left="720" w:hanging="360"/>
      </w:pPr>
      <w:r>
        <w:rPr>
          <w:b/>
          <w:color w:val="1a2744"/>
        </w:rPr>
        <w:t xml:space="preserve">(a) </w:t>
      </w:r>
      <w:r>
        <w:t xml:space="preserve">Voluntary Nature: Vessels elect to utilize the services or arrange their own equivalent services. No vessel is compelled to use HSC-procured services.</w:t>
      </w:r>
    </w:p>
    <w:p>
      <w:pPr>
        <w:spacing w:after="120"/>
        <w:ind w:left="720" w:hanging="360"/>
      </w:pPr>
      <w:r>
        <w:rPr>
          <w:b/>
          <w:color w:val="1a2744"/>
        </w:rPr>
        <w:t xml:space="preserve">(b) </w:t>
      </w:r>
      <w:r>
        <w:t xml:space="preserve">Service Linkage: Each fee component ties directly to a quantifiable service provided by or through the HSC.</w:t>
      </w:r>
    </w:p>
    <w:p>
      <w:pPr>
        <w:spacing w:after="120"/>
        <w:ind w:left="720" w:hanging="360"/>
      </w:pPr>
      <w:r>
        <w:rPr>
          <w:b/>
          <w:color w:val="1a2744"/>
        </w:rPr>
        <w:t xml:space="preserve">(c) </w:t>
      </w:r>
      <w:r>
        <w:t xml:space="preserve">Non-Discrimination: The fee structure applies uniformly regardless of vessel flag, cargo type, or destination port.</w:t>
      </w:r>
    </w:p>
    <w:p>
      <w:pPr>
        <w:spacing w:after="120"/>
        <w:ind w:left="720" w:hanging="360"/>
      </w:pPr>
      <w:r>
        <w:rPr>
          <w:b/>
          <w:color w:val="1a2744"/>
        </w:rPr>
        <w:t xml:space="preserve">(d) </w:t>
      </w:r>
      <w:r>
        <w:t xml:space="preserve">Audit Transparency: All fee revenue, disbursements, and reserves are subject to international audit by the IMO.</w:t>
      </w:r>
    </w:p>
    <w:p>
      <w:pPr>
        <w:pStyle w:val="Heading2"/>
      </w:pPr>
      <w:r>
        <w:t>1.2 General Principles</w:t>
      </w:r>
    </w:p>
    <w:p>
      <w:pPr>
        <w:pStyle w:val="Heading3"/>
      </w:pPr>
      <w:r>
        <w:t>1.2.1 User-Pays Principle</w:t>
      </w:r>
    </w:p>
    <w:p>
      <w:r>
        <w:rPr/>
        <w:t xml:space="preserve">The framework architecture assesses fees exclusively on a user-pays basis. Only vessels utilizing the services provided by the HSC are subject to fees. Vessels that independently procure equivalent services and demonstrate equivalent compliance bear no obligation to pay HSC fees.</w:t>
      </w:r>
    </w:p>
    <w:p>
      <w:pPr>
        <w:pStyle w:val="Heading3"/>
      </w:pPr>
      <w:r>
        <w:t>1.2.2 Non-Discrimination</w:t>
      </w:r>
    </w:p>
    <w:p>
      <w:r>
        <w:rPr/>
        <w:t xml:space="preserve">The fee structure adheres to the following non-discrimination standards:</w:t>
      </w:r>
    </w:p>
    <w:p>
      <w:pPr>
        <w:spacing w:after="120"/>
        <w:ind w:left="720" w:hanging="360"/>
      </w:pPr>
      <w:r>
        <w:rPr>
          <w:b/>
          <w:color w:val="1a2744"/>
        </w:rPr>
        <w:t xml:space="preserve">(a) </w:t>
      </w:r>
      <w:r>
        <w:t xml:space="preserve">The framework applies uniform rates to all Commercial Vessels regardless of flag, ownership, cargo, or destination.</w:t>
      </w:r>
    </w:p>
    <w:p>
      <w:pPr>
        <w:spacing w:after="120"/>
        <w:ind w:left="720" w:hanging="360"/>
      </w:pPr>
      <w:r>
        <w:rPr>
          <w:b/>
          <w:color w:val="1a2744"/>
        </w:rPr>
        <w:t xml:space="preserve">(b) </w:t>
      </w:r>
      <w:r>
        <w:t xml:space="preserve">The HSC publishes the complete fee schedule publicly and transparently at least 30 days prior to implementation.</w:t>
      </w:r>
    </w:p>
    <w:p>
      <w:pPr>
        <w:spacing w:after="120"/>
        <w:ind w:left="720" w:hanging="360"/>
      </w:pPr>
      <w:r>
        <w:rPr>
          <w:b/>
          <w:color w:val="1a2744"/>
        </w:rPr>
        <w:t xml:space="preserve">(c) </w:t>
      </w:r>
      <w:r>
        <w:t xml:space="preserve">The framework applies equal rates to vessels transiting both the Northern Corridor and the Southern Corridor.</w:t>
      </w:r>
    </w:p>
    <w:p>
      <w:pPr>
        <w:pStyle w:val="Heading3"/>
      </w:pPr>
      <w:r>
        <w:t>1.2.3 Cost-Recovery Basis</w:t>
      </w:r>
    </w:p>
    <w:p>
      <w:r>
        <w:rPr/>
        <w:t xml:space="preserve">Fee levels reflect the following cost-recovery parameters:</w:t>
      </w:r>
    </w:p>
    <w:p>
      <w:pPr>
        <w:spacing w:after="120"/>
        <w:ind w:left="720" w:hanging="360"/>
      </w:pPr>
      <w:r>
        <w:rPr>
          <w:b/>
          <w:color w:val="1a2744"/>
        </w:rPr>
        <w:t xml:space="preserve">(a) </w:t>
      </w:r>
      <w:r>
        <w:t xml:space="preserve">Actual Costs: Fees recover the verified costs of providing navigational services, including pilotage, VTS operations, emergency response readiness, hydrographic services, and navigational aids maintenance.</w:t>
      </w:r>
    </w:p>
    <w:p>
      <w:pPr>
        <w:spacing w:after="120"/>
        <w:ind w:left="720" w:hanging="360"/>
      </w:pPr>
      <w:r>
        <w:rPr>
          <w:b/>
          <w:color w:val="1a2744"/>
        </w:rPr>
        <w:t xml:space="preserve">(b) </w:t>
      </w:r>
      <w:r>
        <w:t xml:space="preserve">Reserve Fund: Fees maintain a contingency reserve fund for emergency response, oil spill containment, and mine-clearance operations.</w:t>
      </w:r>
    </w:p>
    <w:p>
      <w:pPr>
        <w:spacing w:after="120"/>
        <w:ind w:left="720" w:hanging="360"/>
      </w:pPr>
      <w:r>
        <w:rPr>
          <w:b/>
          <w:color w:val="1a2744"/>
        </w:rPr>
        <w:t xml:space="preserve">(c) </w:t>
      </w:r>
      <w:r>
        <w:t xml:space="preserve">Environmental Remediation: Fees fund environmental remediation and safety improvement projects in both corridors.</w:t>
      </w:r>
    </w:p>
    <w:p>
      <w:pPr>
        <w:spacing w:after="120"/>
        <w:ind w:left="720" w:hanging="360"/>
      </w:pPr>
      <w:r>
        <w:rPr>
          <w:b/>
          <w:color w:val="1a2744"/>
        </w:rPr>
        <w:t xml:space="preserve">(d) </w:t>
      </w:r>
      <w:r>
        <w:t xml:space="preserve">Reasonable Return: Fees provide a reasonable, audited return to service providers. This return does not exceed 5 percent of verified operating costs.</w:t>
      </w:r>
    </w:p>
    <w:p>
      <w:pPr>
        <w:pStyle w:val="Heading3"/>
      </w:pPr>
      <w:r>
        <w:t>1.2.4 No Profit Motive</w:t>
      </w:r>
    </w:p>
    <w:p>
      <w:r>
        <w:rPr/>
        <w:t xml:space="preserve">The HSC operates on a strict non-profit basis. The following rules govern surplus revenues:</w:t>
      </w:r>
    </w:p>
    <w:p>
      <w:pPr>
        <w:spacing w:after="120"/>
        <w:ind w:left="720" w:hanging="360"/>
      </w:pPr>
      <w:r>
        <w:rPr>
          <w:b/>
          <w:color w:val="1a2744"/>
        </w:rPr>
        <w:t xml:space="preserve">(a) </w:t>
      </w:r>
      <w:r>
        <w:t xml:space="preserve">Surplus Application: Any surplus revenue at the end of a fiscal year applies to fee reduction in the subsequent year.</w:t>
      </w:r>
    </w:p>
    <w:p>
      <w:pPr>
        <w:spacing w:after="120"/>
        <w:ind w:left="720" w:hanging="360"/>
      </w:pPr>
      <w:r>
        <w:rPr>
          <w:b/>
          <w:color w:val="1a2744"/>
        </w:rPr>
        <w:t xml:space="preserve">(b) </w:t>
      </w:r>
      <w:r>
        <w:t xml:space="preserve">Reserve Allocation: Surplus revenue alternatively directs to the reserve fund for infrastructure improvements.</w:t>
      </w:r>
    </w:p>
    <w:p>
      <w:pPr>
        <w:spacing w:after="120"/>
        <w:ind w:left="720" w:hanging="360"/>
      </w:pPr>
      <w:r>
        <w:rPr>
          <w:b/>
          <w:color w:val="1a2744"/>
        </w:rPr>
        <w:t xml:space="preserve">(c) </w:t>
      </w:r>
      <w:r>
        <w:t xml:space="preserve">Cost Reimbursement: Surplus revenue distributes to Parties as audited cost reimbursements. These reimbursements are not dividends, profit shares, or equity returns.</w:t>
      </w:r>
    </w:p>
    <w:p>
      <w:pPr>
        <w:pStyle w:val="Heading1"/>
      </w:pPr>
      <w:r>
        <w:t>Article 2: Establishment of the Hormuz Service Corporation (HSC)</w:t>
      </w:r>
    </w:p>
    <w:p>
      <w:pPr>
        <w:pStyle w:val="Heading2"/>
      </w:pPr>
      <w:r>
        <w:t>2.1 Legal Status and Governance</w:t>
      </w:r>
    </w:p>
    <w:p>
      <w:pPr>
        <w:pStyle w:val="Heading3"/>
      </w:pPr>
      <w:r>
        <w:t>2.1.1 Establishment</w:t>
      </w:r>
    </w:p>
    <w:p>
      <w:r>
        <w:rPr/>
        <w:t xml:space="preserve">The Hormuz Service Corporation (HSC) is a non-profit corporation established under this Annex. The HSC possesses the following legal characteristics: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Charter: The HSC charters in the Sultanate of Oman under Omani commercial law.</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IMO Registration: The HSC registers with the IMO as a recognized maritime service provider.</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Tax Status: The HSC is tax-exempt in all signatory states for revenues generated under this Annex.</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Oversight: The JIC exercises direct oversight of the HSC. The IMO conducts annual audits of HSC operations.</w:t>
      </w:r>
    </w:p>
    <w:p>
      <w:pPr>
        <w:pStyle w:val="Heading3"/>
      </w:pPr>
      <w:r>
        <w:rPr>
          <w:b/>
          <w:sz w:val="24"/>
          <w:rFonts w:ascii="Calibri" w:hAnsi="Calibri" w:eastAsia="Microsoft YaHei" w:cs="Calibri"/>
          <w:color w:val="4A5568"/>
          <w:szCs w:val="24"/>
        </w:rPr>
        <w:t>2.1.2 Legal Personality</w:t>
      </w:r>
    </w:p>
    <w:p>
      <w:pPr>
        <w:pStyle w:val="Normal"/>
      </w:pPr>
      <w:r>
        <w:rPr>
          <w:rFonts w:ascii="Calibri" w:hAnsi="Calibri" w:eastAsia="Microsoft YaHei" w:cs="Calibri"/>
          <w:sz w:val="22"/>
          <w:color w:val="1E1E1E"/>
          <w:szCs w:val="22"/>
        </w:rPr>
        <w:t>The HSC possesses full legal personality. This personality encompasses the following capacities: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Contractual Authority: The HSC enters into contracts for services, including pilotage, towage, VTS operations, hydrographic surveying, and environmental monitoring.</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Financial Management: The HSC holds and manages financial assets in escrow accounts administered by a neutral international financial institution.</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Employment Authority: The HSC employs staff and engages contractors for operational functions.</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Legal Standing: The HSC sues and is sued in Omani courts. All Parties waive sovereign immunity claims in proceedings involving the HSC.</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Invoicing Authority: The HSC issues invoices, collects fees, and makes disbursements in accordance with this Annex.</w:t>
      </w:r>
    </w:p>
    <w:p>
      <w:pPr>
        <w:pStyle w:val="Heading2"/>
      </w:pPr>
      <w:r>
        <w:rPr>
          <w:b/>
          <w:sz w:val="26"/>
          <w:rFonts w:ascii="Calibri" w:hAnsi="Calibri" w:eastAsia="Microsoft YaHei" w:cs="Calibri"/>
          <w:color w:val="1E1E1E"/>
          <w:szCs w:val="26"/>
        </w:rPr>
        <w:t>2.2 Board of Directors</w:t>
      </w:r>
    </w:p>
    <w:p>
      <w:pPr>
        <w:pStyle w:val="Heading3"/>
      </w:pPr>
      <w:r>
        <w:rPr>
          <w:b/>
          <w:sz w:val="24"/>
          <w:rFonts w:ascii="Calibri" w:hAnsi="Calibri" w:eastAsia="Microsoft YaHei" w:cs="Calibri"/>
          <w:color w:val="4A5568"/>
          <w:szCs w:val="24"/>
        </w:rPr>
        <w:t>2.2.1 Composition</w:t>
      </w:r>
    </w:p>
    <w:p>
      <w:pPr>
        <w:pStyle w:val="Normal"/>
      </w:pPr>
      <w:r>
        <w:rPr>
          <w:rFonts w:ascii="Calibri" w:hAnsi="Calibri" w:eastAsia="Microsoft YaHei" w:cs="Calibri"/>
          <w:sz w:val="22"/>
          <w:color w:val="1E1E1E"/>
          <w:szCs w:val="22"/>
        </w:rPr>
        <w:t>The HSC Board of Directors consists of the following members: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Iranian Representatives: Two representatives appointed by Iran. One representative comes from the Ports and Maritime Organization. The second representative comes from the Ministry of Petroleum. Neither representative maintains affiliation with military or intelligence services.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United States Representatives: Two representatives appointed by the United States. One representative comes from the Department of State. The second representative comes from the Department of the Treasury.</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Omani Representative: One representative appointed by Oman from the Maritime Security Centre. This representative serves as Chair of the Board.</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UAE Representative: One representative appointed by the UAE from the Federal Transport Authority.</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IMO Technical Advisor: One independent technical expert appointed by the IMO. This advisor possesses no voting authority and serves in a technical advisory capacity.</w:t>
      </w:r>
    </w:p>
    <w:p>
      <w:pPr>
        <w:pStyle w:val="Normal"/>
        <w:spacing w:after="120"/>
        <w:ind w:left="720" w:hanging="360"/>
      </w:pPr>
      <w:r>
        <w:rPr>
          <w:b/>
          <w:color w:val="1A2744"/>
          <w:rFonts w:ascii="Calibri" w:hAnsi="Calibri" w:eastAsia="Microsoft YaHei" w:cs="Calibri"/>
          <w:sz w:val="22"/>
          <w:szCs w:val="22"/>
        </w:rPr>
        <w:t xml:space="preserve">(f) </w:t>
      </w:r>
      <w:r>
        <w:rPr>
          <w:rFonts w:ascii="Calibri" w:hAnsi="Calibri" w:eastAsia="Microsoft YaHei" w:cs="Calibri"/>
          <w:sz w:val="22"/>
          <w:color w:val="1E1E1E"/>
          <w:szCs w:val="22"/>
        </w:rPr>
        <w:t>Financial Advisor: One independent financial expert appointed jointly by the Parties. This advisor possesses no voting authority and serves in an audit advisory capacity.</w:t>
      </w:r>
    </w:p>
    <w:p>
      <w:pPr>
        <w:pStyle w:val="Heading3"/>
      </w:pPr>
      <w:r>
        <w:rPr>
          <w:b/>
          <w:sz w:val="24"/>
          <w:rFonts w:ascii="Calibri" w:hAnsi="Calibri" w:eastAsia="Microsoft YaHei" w:cs="Calibri"/>
          <w:color w:val="4A5568"/>
          <w:szCs w:val="24"/>
        </w:rPr>
        <w:t>2.2.2 Chair and Vice-Chair</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The Omani representative serves as Chair of the Board for a 2-year term.</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The Vice-Chair position rotates annually between Iran and the United States.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The Chair possesses a tie-breaking vote in the event of deadlock among voting members.</w:t>
      </w:r>
    </w:p>
    <w:p>
      <w:pPr>
        <w:pStyle w:val="Heading3"/>
      </w:pPr>
      <w:r>
        <w:rPr>
          <w:b/>
          <w:sz w:val="24"/>
          <w:rFonts w:ascii="Calibri" w:hAnsi="Calibri" w:eastAsia="Microsoft YaHei" w:cs="Calibri"/>
          <w:color w:val="4A5568"/>
          <w:szCs w:val="24"/>
        </w:rPr>
        <w:t>2.2.3 Decision-Making</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Consensus Standard: The Board strives for consensus on all decisions.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General Majority: In the absence of consensus, decisions require a two-thirds majority of voting members.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Financial Majority: Financial decisions, including budget approval, fee adjustments, and disbursements, require a three-fourths majority of voting members.</w:t>
      </w:r>
    </w:p>
    <w:tbl>
      <w:tblPr>
        <w:tblW w:w="5000" w:type="pct"/>
        <w:tblBorders>
          <w:top w:val="single" w:color="1a2744" w:sz="12"/>
          <w:bottom w:val="single" w:color="1a2744" w:sz="12"/>
          <w:left w:val="nil"/>
          <w:right w:val="nil"/>
          <w:insideH w:val="single" w:color="d1d5db" w:sz="4"/>
          <w:insideV w:val="nil"/>
        </w:tblBorders>
      </w:tblPr>
      <w:tblGrid>
        <w:gridCol w:w="2500"/>
        <w:gridCol w:w="2500"/>
        <w:gridCol w:w="2500"/>
        <w:gridCol w:w="2500"/>
      </w:tblGrid>
      <w:tr>
        <w:trPr>
          <w:tblHeader w:val="1"/>
        </w:trPr>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Position</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Appointing Party</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Voting Status</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Term</w:t>
            </w:r>
          </w:p>
        </w:tc>
      </w:tr>
      <w:tr>
        <w:tc>
          <w:tcPr>
            <w:tcW w:w="2500" w:type="auto"/>
          </w:tcPr>
          <w:p>
            <w:pPr>
              <w:pStyle w:val="Normal"/>
              <w:spacing w:before="40" w:after="40"/>
              <w:jc w:val="left"/>
            </w:pPr>
            <w:r>
              <w:rPr>
                <w:sz w:val="20"/>
                <w:color w:val="1E1E1E"/>
                <w:rFonts w:ascii="Calibri" w:hAnsi="Calibri" w:eastAsia="Microsoft YaHei" w:cs="Calibri"/>
                <w:szCs w:val="20"/>
              </w:rPr>
              <w:t>Chair (Oman)</w:t>
            </w:r>
          </w:p>
        </w:tc>
        <w:tc>
          <w:tcPr>
            <w:tcW w:w="2500" w:type="auto"/>
          </w:tcPr>
          <w:p>
            <w:pPr>
              <w:pStyle w:val="Normal"/>
              <w:spacing w:before="40" w:after="40"/>
              <w:jc w:val="left"/>
            </w:pPr>
            <w:r>
              <w:rPr>
                <w:sz w:val="20"/>
                <w:color w:val="1E1E1E"/>
                <w:rFonts w:ascii="Calibri" w:hAnsi="Calibri" w:eastAsia="Microsoft YaHei" w:cs="Calibri"/>
                <w:szCs w:val="20"/>
              </w:rPr>
              <w:t>Sultanate of Oman</w:t>
            </w:r>
          </w:p>
        </w:tc>
        <w:tc>
          <w:tcPr>
            <w:tcW w:w="2500" w:type="auto"/>
          </w:tcPr>
          <w:p>
            <w:pPr>
              <w:pStyle w:val="Normal"/>
              <w:spacing w:before="40" w:after="40"/>
              <w:jc w:val="left"/>
            </w:pPr>
            <w:r>
              <w:rPr>
                <w:sz w:val="20"/>
                <w:color w:val="1E1E1E"/>
                <w:rFonts w:ascii="Calibri" w:hAnsi="Calibri" w:eastAsia="Microsoft YaHei" w:cs="Calibri"/>
                <w:szCs w:val="20"/>
              </w:rPr>
              <w:t>Voting + tie-break</w:t>
            </w:r>
          </w:p>
        </w:tc>
        <w:tc>
          <w:tcPr>
            <w:tcW w:w="2500" w:type="auto"/>
          </w:tcPr>
          <w:p>
            <w:pPr>
              <w:pStyle w:val="Normal"/>
              <w:spacing w:before="40" w:after="40"/>
              <w:jc w:val="left"/>
            </w:pPr>
            <w:r>
              <w:rPr>
                <w:sz w:val="20"/>
                <w:color w:val="1E1E1E"/>
                <w:rFonts w:ascii="Calibri" w:hAnsi="Calibri" w:eastAsia="Microsoft YaHei" w:cs="Calibri"/>
                <w:szCs w:val="20"/>
              </w:rPr>
              <w:t>2 years</w:t>
            </w:r>
          </w:p>
        </w:tc>
      </w:tr>
      <w:tr>
        <w:tc>
          <w:tcPr>
            <w:tcW w:w="2500" w:type="auto"/>
          </w:tcPr>
          <w:p>
            <w:pPr>
              <w:pStyle w:val="Normal"/>
              <w:spacing w:before="40" w:after="40"/>
              <w:jc w:val="left"/>
            </w:pPr>
            <w:r>
              <w:rPr>
                <w:sz w:val="20"/>
                <w:color w:val="1E1E1E"/>
                <w:rFonts w:ascii="Calibri" w:hAnsi="Calibri" w:eastAsia="Microsoft YaHei" w:cs="Calibri"/>
                <w:szCs w:val="20"/>
              </w:rPr>
              <w:t>Representative 1</w:t>
            </w:r>
          </w:p>
        </w:tc>
        <w:tc>
          <w:tcPr>
            <w:tcW w:w="2500" w:type="auto"/>
          </w:tcPr>
          <w:p>
            <w:pPr>
              <w:pStyle w:val="Normal"/>
              <w:spacing w:before="40" w:after="40"/>
              <w:jc w:val="left"/>
            </w:pPr>
            <w:r>
              <w:rPr>
                <w:sz w:val="20"/>
                <w:color w:val="1E1E1E"/>
                <w:rFonts w:ascii="Calibri" w:hAnsi="Calibri" w:eastAsia="Microsoft YaHei" w:cs="Calibri"/>
                <w:szCs w:val="20"/>
              </w:rPr>
              <w:t>Islamic Republic of Iran</w:t>
            </w:r>
          </w:p>
        </w:tc>
        <w:tc>
          <w:tcPr>
            <w:tcW w:w="2500" w:type="auto"/>
          </w:tcPr>
          <w:p>
            <w:pPr>
              <w:pStyle w:val="Normal"/>
              <w:spacing w:before="40" w:after="40"/>
              <w:jc w:val="left"/>
            </w:pPr>
            <w:r>
              <w:rPr>
                <w:sz w:val="20"/>
                <w:color w:val="1E1E1E"/>
                <w:rFonts w:ascii="Calibri" w:hAnsi="Calibri" w:eastAsia="Microsoft YaHei" w:cs="Calibri"/>
                <w:szCs w:val="20"/>
              </w:rPr>
              <w:t>Voting</w:t>
            </w:r>
          </w:p>
        </w:tc>
        <w:tc>
          <w:tcPr>
            <w:tcW w:w="2500" w:type="auto"/>
          </w:tcPr>
          <w:p>
            <w:pPr>
              <w:pStyle w:val="Normal"/>
              <w:spacing w:before="40" w:after="40"/>
              <w:jc w:val="left"/>
            </w:pPr>
            <w:r>
              <w:rPr>
                <w:sz w:val="20"/>
                <w:color w:val="1E1E1E"/>
                <w:rFonts w:ascii="Calibri" w:hAnsi="Calibri" w:eastAsia="Microsoft YaHei" w:cs="Calibri"/>
                <w:szCs w:val="20"/>
              </w:rPr>
              <w:t>2 years, renewable</w:t>
            </w:r>
          </w:p>
        </w:tc>
      </w:tr>
      <w:tr>
        <w:tc>
          <w:tcPr>
            <w:tcW w:w="2500" w:type="auto"/>
          </w:tcPr>
          <w:p>
            <w:pPr>
              <w:pStyle w:val="Normal"/>
              <w:spacing w:before="40" w:after="40"/>
              <w:jc w:val="left"/>
            </w:pPr>
            <w:r>
              <w:rPr>
                <w:sz w:val="20"/>
                <w:color w:val="1E1E1E"/>
                <w:rFonts w:ascii="Calibri" w:hAnsi="Calibri" w:eastAsia="Microsoft YaHei" w:cs="Calibri"/>
                <w:szCs w:val="20"/>
              </w:rPr>
              <w:t>Representative 2</w:t>
            </w:r>
          </w:p>
        </w:tc>
        <w:tc>
          <w:tcPr>
            <w:tcW w:w="2500" w:type="auto"/>
          </w:tcPr>
          <w:p>
            <w:pPr>
              <w:pStyle w:val="Normal"/>
              <w:spacing w:before="40" w:after="40"/>
              <w:jc w:val="left"/>
            </w:pPr>
            <w:r>
              <w:rPr>
                <w:sz w:val="20"/>
                <w:color w:val="1E1E1E"/>
                <w:rFonts w:ascii="Calibri" w:hAnsi="Calibri" w:eastAsia="Microsoft YaHei" w:cs="Calibri"/>
                <w:szCs w:val="20"/>
              </w:rPr>
              <w:t>Islamic Republic of Iran</w:t>
            </w:r>
          </w:p>
        </w:tc>
        <w:tc>
          <w:tcPr>
            <w:tcW w:w="2500" w:type="auto"/>
          </w:tcPr>
          <w:p>
            <w:pPr>
              <w:pStyle w:val="Normal"/>
              <w:spacing w:before="40" w:after="40"/>
              <w:jc w:val="left"/>
            </w:pPr>
            <w:r>
              <w:rPr>
                <w:sz w:val="20"/>
                <w:color w:val="1E1E1E"/>
                <w:rFonts w:ascii="Calibri" w:hAnsi="Calibri" w:eastAsia="Microsoft YaHei" w:cs="Calibri"/>
                <w:szCs w:val="20"/>
              </w:rPr>
              <w:t>Voting</w:t>
            </w:r>
          </w:p>
        </w:tc>
        <w:tc>
          <w:tcPr>
            <w:tcW w:w="2500" w:type="auto"/>
          </w:tcPr>
          <w:p>
            <w:pPr>
              <w:pStyle w:val="Normal"/>
              <w:spacing w:before="40" w:after="40"/>
              <w:jc w:val="left"/>
            </w:pPr>
            <w:r>
              <w:rPr>
                <w:sz w:val="20"/>
                <w:color w:val="1E1E1E"/>
                <w:rFonts w:ascii="Calibri" w:hAnsi="Calibri" w:eastAsia="Microsoft YaHei" w:cs="Calibri"/>
                <w:szCs w:val="20"/>
              </w:rPr>
              <w:t>2 years, renewable</w:t>
            </w:r>
          </w:p>
        </w:tc>
      </w:tr>
      <w:tr>
        <w:tc>
          <w:tcPr>
            <w:tcW w:w="2500" w:type="auto"/>
          </w:tcPr>
          <w:p>
            <w:pPr>
              <w:pStyle w:val="Normal"/>
              <w:spacing w:before="40" w:after="40"/>
              <w:jc w:val="left"/>
            </w:pPr>
            <w:r>
              <w:rPr>
                <w:sz w:val="20"/>
                <w:color w:val="1E1E1E"/>
                <w:rFonts w:ascii="Calibri" w:hAnsi="Calibri" w:eastAsia="Microsoft YaHei" w:cs="Calibri"/>
                <w:szCs w:val="20"/>
              </w:rPr>
              <w:t>Representative 1</w:t>
            </w:r>
          </w:p>
        </w:tc>
        <w:tc>
          <w:tcPr>
            <w:tcW w:w="2500" w:type="auto"/>
          </w:tcPr>
          <w:p>
            <w:pPr>
              <w:pStyle w:val="Normal"/>
              <w:spacing w:before="40" w:after="40"/>
              <w:jc w:val="left"/>
            </w:pPr>
            <w:r>
              <w:rPr>
                <w:sz w:val="20"/>
                <w:color w:val="1E1E1E"/>
                <w:rFonts w:ascii="Calibri" w:hAnsi="Calibri" w:eastAsia="Microsoft YaHei" w:cs="Calibri"/>
                <w:szCs w:val="20"/>
              </w:rPr>
              <w:t>United States of America</w:t>
            </w:r>
          </w:p>
        </w:tc>
        <w:tc>
          <w:tcPr>
            <w:tcW w:w="2500" w:type="auto"/>
          </w:tcPr>
          <w:p>
            <w:pPr>
              <w:pStyle w:val="Normal"/>
              <w:spacing w:before="40" w:after="40"/>
              <w:jc w:val="left"/>
            </w:pPr>
            <w:r>
              <w:rPr>
                <w:sz w:val="20"/>
                <w:color w:val="1E1E1E"/>
                <w:rFonts w:ascii="Calibri" w:hAnsi="Calibri" w:eastAsia="Microsoft YaHei" w:cs="Calibri"/>
                <w:szCs w:val="20"/>
              </w:rPr>
              <w:t>Voting</w:t>
            </w:r>
          </w:p>
        </w:tc>
        <w:tc>
          <w:tcPr>
            <w:tcW w:w="2500" w:type="auto"/>
          </w:tcPr>
          <w:p>
            <w:pPr>
              <w:pStyle w:val="Normal"/>
              <w:spacing w:before="40" w:after="40"/>
              <w:jc w:val="left"/>
            </w:pPr>
            <w:r>
              <w:rPr>
                <w:sz w:val="20"/>
                <w:color w:val="1E1E1E"/>
                <w:rFonts w:ascii="Calibri" w:hAnsi="Calibri" w:eastAsia="Microsoft YaHei" w:cs="Calibri"/>
                <w:szCs w:val="20"/>
              </w:rPr>
              <w:t>2 years, renewable</w:t>
            </w:r>
          </w:p>
        </w:tc>
      </w:tr>
      <w:tr>
        <w:tc>
          <w:tcPr>
            <w:tcW w:w="2500" w:type="auto"/>
          </w:tcPr>
          <w:p>
            <w:pPr>
              <w:pStyle w:val="Normal"/>
              <w:spacing w:before="40" w:after="40"/>
              <w:jc w:val="left"/>
            </w:pPr>
            <w:r>
              <w:rPr>
                <w:sz w:val="20"/>
                <w:color w:val="1E1E1E"/>
                <w:rFonts w:ascii="Calibri" w:hAnsi="Calibri" w:eastAsia="Microsoft YaHei" w:cs="Calibri"/>
                <w:szCs w:val="20"/>
              </w:rPr>
              <w:t>Representative 2</w:t>
            </w:r>
          </w:p>
        </w:tc>
        <w:tc>
          <w:tcPr>
            <w:tcW w:w="2500" w:type="auto"/>
          </w:tcPr>
          <w:p>
            <w:pPr>
              <w:pStyle w:val="Normal"/>
              <w:spacing w:before="40" w:after="40"/>
              <w:jc w:val="left"/>
            </w:pPr>
            <w:r>
              <w:rPr>
                <w:sz w:val="20"/>
                <w:color w:val="1E1E1E"/>
                <w:rFonts w:ascii="Calibri" w:hAnsi="Calibri" w:eastAsia="Microsoft YaHei" w:cs="Calibri"/>
                <w:szCs w:val="20"/>
              </w:rPr>
              <w:t>United States of America</w:t>
            </w:r>
          </w:p>
        </w:tc>
        <w:tc>
          <w:tcPr>
            <w:tcW w:w="2500" w:type="auto"/>
          </w:tcPr>
          <w:p>
            <w:pPr>
              <w:pStyle w:val="Normal"/>
              <w:spacing w:before="40" w:after="40"/>
              <w:jc w:val="left"/>
            </w:pPr>
            <w:r>
              <w:rPr>
                <w:sz w:val="20"/>
                <w:color w:val="1E1E1E"/>
                <w:rFonts w:ascii="Calibri" w:hAnsi="Calibri" w:eastAsia="Microsoft YaHei" w:cs="Calibri"/>
                <w:szCs w:val="20"/>
              </w:rPr>
              <w:t>Voting</w:t>
            </w:r>
          </w:p>
        </w:tc>
        <w:tc>
          <w:tcPr>
            <w:tcW w:w="2500" w:type="auto"/>
          </w:tcPr>
          <w:p>
            <w:pPr>
              <w:pStyle w:val="Normal"/>
              <w:spacing w:before="40" w:after="40"/>
              <w:jc w:val="left"/>
            </w:pPr>
            <w:r>
              <w:rPr>
                <w:sz w:val="20"/>
                <w:color w:val="1E1E1E"/>
                <w:rFonts w:ascii="Calibri" w:hAnsi="Calibri" w:eastAsia="Microsoft YaHei" w:cs="Calibri"/>
                <w:szCs w:val="20"/>
              </w:rPr>
              <w:t>2 years, renewable</w:t>
            </w:r>
          </w:p>
        </w:tc>
      </w:tr>
      <w:tr>
        <w:tc>
          <w:tcPr>
            <w:tcW w:w="2500" w:type="auto"/>
          </w:tcPr>
          <w:p>
            <w:pPr>
              <w:pStyle w:val="Normal"/>
              <w:spacing w:before="40" w:after="40"/>
              <w:jc w:val="left"/>
            </w:pPr>
            <w:r>
              <w:rPr>
                <w:sz w:val="20"/>
                <w:color w:val="1E1E1E"/>
                <w:rFonts w:ascii="Calibri" w:hAnsi="Calibri" w:eastAsia="Microsoft YaHei" w:cs="Calibri"/>
                <w:szCs w:val="20"/>
              </w:rPr>
              <w:t>Representative</w:t>
            </w:r>
          </w:p>
        </w:tc>
        <w:tc>
          <w:tcPr>
            <w:tcW w:w="2500" w:type="auto"/>
          </w:tcPr>
          <w:p>
            <w:pPr>
              <w:pStyle w:val="Normal"/>
              <w:spacing w:before="40" w:after="40"/>
              <w:jc w:val="left"/>
            </w:pPr>
            <w:r>
              <w:rPr>
                <w:sz w:val="20"/>
                <w:color w:val="1E1E1E"/>
                <w:rFonts w:ascii="Calibri" w:hAnsi="Calibri" w:eastAsia="Microsoft YaHei" w:cs="Calibri"/>
                <w:szCs w:val="20"/>
              </w:rPr>
              <w:t>United Arab Emirates</w:t>
            </w:r>
          </w:p>
        </w:tc>
        <w:tc>
          <w:tcPr>
            <w:tcW w:w="2500" w:type="auto"/>
          </w:tcPr>
          <w:p>
            <w:pPr>
              <w:pStyle w:val="Normal"/>
              <w:spacing w:before="40" w:after="40"/>
              <w:jc w:val="left"/>
            </w:pPr>
            <w:r>
              <w:rPr>
                <w:sz w:val="20"/>
                <w:color w:val="1E1E1E"/>
                <w:rFonts w:ascii="Calibri" w:hAnsi="Calibri" w:eastAsia="Microsoft YaHei" w:cs="Calibri"/>
                <w:szCs w:val="20"/>
              </w:rPr>
              <w:t>Voting</w:t>
            </w:r>
          </w:p>
        </w:tc>
        <w:tc>
          <w:tcPr>
            <w:tcW w:w="2500" w:type="auto"/>
          </w:tcPr>
          <w:p>
            <w:pPr>
              <w:pStyle w:val="Normal"/>
              <w:spacing w:before="40" w:after="40"/>
              <w:jc w:val="left"/>
            </w:pPr>
            <w:r>
              <w:rPr>
                <w:sz w:val="20"/>
                <w:color w:val="1E1E1E"/>
                <w:rFonts w:ascii="Calibri" w:hAnsi="Calibri" w:eastAsia="Microsoft YaHei" w:cs="Calibri"/>
                <w:szCs w:val="20"/>
              </w:rPr>
              <w:t>2 years, renewable</w:t>
            </w:r>
          </w:p>
        </w:tc>
      </w:tr>
      <w:tr>
        <w:tc>
          <w:tcPr>
            <w:tcW w:w="2500" w:type="auto"/>
          </w:tcPr>
          <w:p>
            <w:pPr>
              <w:pStyle w:val="Normal"/>
              <w:spacing w:before="40" w:after="40"/>
              <w:jc w:val="left"/>
            </w:pPr>
            <w:r>
              <w:rPr>
                <w:sz w:val="20"/>
                <w:color w:val="1E1E1E"/>
                <w:rFonts w:ascii="Calibri" w:hAnsi="Calibri" w:eastAsia="Microsoft YaHei" w:cs="Calibri"/>
                <w:szCs w:val="20"/>
              </w:rPr>
              <w:t>Technical Advisor</w:t>
            </w:r>
          </w:p>
        </w:tc>
        <w:tc>
          <w:tcPr>
            <w:tcW w:w="2500" w:type="auto"/>
          </w:tcPr>
          <w:p>
            <w:pPr>
              <w:pStyle w:val="Normal"/>
              <w:spacing w:before="40" w:after="40"/>
              <w:jc w:val="left"/>
            </w:pPr>
            <w:r>
              <w:rPr>
                <w:sz w:val="20"/>
                <w:color w:val="1E1E1E"/>
                <w:rFonts w:ascii="Calibri" w:hAnsi="Calibri" w:eastAsia="Microsoft YaHei" w:cs="Calibri"/>
                <w:szCs w:val="20"/>
              </w:rPr>
              <w:t>IMO</w:t>
            </w:r>
          </w:p>
        </w:tc>
        <w:tc>
          <w:tcPr>
            <w:tcW w:w="2500" w:type="auto"/>
          </w:tcPr>
          <w:p>
            <w:pPr>
              <w:pStyle w:val="Normal"/>
              <w:spacing w:before="40" w:after="40"/>
              <w:jc w:val="left"/>
            </w:pPr>
            <w:r>
              <w:rPr>
                <w:sz w:val="20"/>
                <w:color w:val="1E1E1E"/>
                <w:rFonts w:ascii="Calibri" w:hAnsi="Calibri" w:eastAsia="Microsoft YaHei" w:cs="Calibri"/>
                <w:szCs w:val="20"/>
              </w:rPr>
              <w:t>Non-voting</w:t>
            </w:r>
          </w:p>
        </w:tc>
        <w:tc>
          <w:tcPr>
            <w:tcW w:w="2500" w:type="auto"/>
          </w:tcPr>
          <w:p>
            <w:pPr>
              <w:pStyle w:val="Normal"/>
              <w:spacing w:before="40" w:after="40"/>
              <w:jc w:val="left"/>
            </w:pPr>
            <w:r>
              <w:rPr>
                <w:sz w:val="20"/>
                <w:color w:val="1E1E1E"/>
                <w:rFonts w:ascii="Calibri" w:hAnsi="Calibri" w:eastAsia="Microsoft YaHei" w:cs="Calibri"/>
                <w:szCs w:val="20"/>
              </w:rPr>
              <w:t>2 years, renewable</w:t>
            </w:r>
          </w:p>
        </w:tc>
      </w:tr>
      <w:tr>
        <w:tc>
          <w:tcPr>
            <w:tcW w:w="2500" w:type="auto"/>
          </w:tcPr>
          <w:p>
            <w:pPr>
              <w:pStyle w:val="Normal"/>
              <w:spacing w:before="40" w:after="40"/>
              <w:jc w:val="left"/>
            </w:pPr>
            <w:r>
              <w:rPr>
                <w:sz w:val="20"/>
                <w:color w:val="1E1E1E"/>
                <w:rFonts w:ascii="Calibri" w:hAnsi="Calibri" w:eastAsia="Microsoft YaHei" w:cs="Calibri"/>
                <w:szCs w:val="20"/>
              </w:rPr>
              <w:t>Financial Advisor</w:t>
            </w:r>
          </w:p>
        </w:tc>
        <w:tc>
          <w:tcPr>
            <w:tcW w:w="2500" w:type="auto"/>
          </w:tcPr>
          <w:p>
            <w:pPr>
              <w:pStyle w:val="Normal"/>
              <w:spacing w:before="40" w:after="40"/>
              <w:jc w:val="left"/>
            </w:pPr>
            <w:r>
              <w:rPr>
                <w:sz w:val="20"/>
                <w:color w:val="1E1E1E"/>
                <w:rFonts w:ascii="Calibri" w:hAnsi="Calibri" w:eastAsia="Microsoft YaHei" w:cs="Calibri"/>
                <w:szCs w:val="20"/>
              </w:rPr>
              <w:t>Joint appointment</w:t>
            </w:r>
          </w:p>
        </w:tc>
        <w:tc>
          <w:tcPr>
            <w:tcW w:w="2500" w:type="auto"/>
          </w:tcPr>
          <w:p>
            <w:pPr>
              <w:pStyle w:val="Normal"/>
              <w:spacing w:before="40" w:after="40"/>
              <w:jc w:val="left"/>
            </w:pPr>
            <w:r>
              <w:rPr>
                <w:sz w:val="20"/>
                <w:color w:val="1E1E1E"/>
                <w:rFonts w:ascii="Calibri" w:hAnsi="Calibri" w:eastAsia="Microsoft YaHei" w:cs="Calibri"/>
                <w:szCs w:val="20"/>
              </w:rPr>
              <w:t>Non-voting</w:t>
            </w:r>
          </w:p>
        </w:tc>
        <w:tc>
          <w:tcPr>
            <w:tcW w:w="2500" w:type="auto"/>
          </w:tcPr>
          <w:p>
            <w:pPr>
              <w:pStyle w:val="Normal"/>
              <w:spacing w:before="40" w:after="40"/>
              <w:jc w:val="left"/>
            </w:pPr>
            <w:r>
              <w:rPr>
                <w:sz w:val="20"/>
                <w:color w:val="1E1E1E"/>
                <w:rFonts w:ascii="Calibri" w:hAnsi="Calibri" w:eastAsia="Microsoft YaHei" w:cs="Calibri"/>
                <w:szCs w:val="20"/>
              </w:rPr>
              <w:t>2 years, renewable</w:t>
            </w:r>
          </w:p>
        </w:tc>
      </w:tr>
    </w:tbl>
    <w:p>
      <w:pPr>
        <w:pStyle w:val="Heading2"/>
      </w:pPr>
      <w:r>
        <w:rPr>
          <w:b/>
          <w:sz w:val="26"/>
          <w:rFonts w:ascii="Calibri" w:hAnsi="Calibri" w:eastAsia="Microsoft YaHei" w:cs="Calibri"/>
          <w:color w:val="1E1E1E"/>
          <w:szCs w:val="26"/>
        </w:rPr>
        <w:t>2.3 HSC Mandate and Functions</w:t>
      </w:r>
    </w:p>
    <w:p>
      <w:pPr>
        <w:pStyle w:val="Heading3"/>
      </w:pPr>
      <w:r>
        <w:rPr>
          <w:b/>
          <w:sz w:val="24"/>
          <w:rFonts w:ascii="Calibri" w:hAnsi="Calibri" w:eastAsia="Microsoft YaHei" w:cs="Calibri"/>
          <w:color w:val="4A5568"/>
          <w:szCs w:val="24"/>
        </w:rPr>
        <w:t>2.3.1 Primary Functions</w:t>
      </w:r>
    </w:p>
    <w:p>
      <w:pPr>
        <w:pStyle w:val="Normal"/>
      </w:pPr>
      <w:r>
        <w:rPr>
          <w:rFonts w:ascii="Calibri" w:hAnsi="Calibri" w:eastAsia="Microsoft YaHei" w:cs="Calibri"/>
          <w:sz w:val="22"/>
          <w:color w:val="1E1E1E"/>
          <w:szCs w:val="22"/>
        </w:rPr>
        <w:t>The HSC performs the following primary functions: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Fee Collection: The HSC assesses, invoices, and collects service fees from Commercial Vessels transiting the Strait.</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Escrow Management: The HSC holds all fee revenues in a secure escrow account administered by a neutral international financial institution.</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Service Procurement: The HSC contracts with service providers for the following services: (i) Pilotage services in both corridors; (ii) Towage and emergency response services; (iii) VTS operations and maintenance; (iv) Aids to navigation, including buoys, beacons, and lights; (v) Hydrographic surveying and charting; (vi) Environmental monitoring and oil spill response.</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Disbursement: The HSC distributes funds to service providers and Parties in accordance with Article 5 of this Annex.</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Record Maintenance: The HSC maintains comprehensive financial and operational records. These records are subject to IMO audit at all times.</w:t>
      </w:r>
    </w:p>
    <w:p>
      <w:pPr>
        <w:pStyle w:val="Normal"/>
        <w:spacing w:after="120"/>
        <w:ind w:left="720" w:hanging="360"/>
      </w:pPr>
      <w:r>
        <w:rPr>
          <w:b/>
          <w:color w:val="1A2744"/>
          <w:rFonts w:ascii="Calibri" w:hAnsi="Calibri" w:eastAsia="Microsoft YaHei" w:cs="Calibri"/>
          <w:sz w:val="22"/>
          <w:szCs w:val="22"/>
        </w:rPr>
        <w:t xml:space="preserve">(f) </w:t>
      </w:r>
      <w:r>
        <w:rPr>
          <w:rFonts w:ascii="Calibri" w:hAnsi="Calibri" w:eastAsia="Microsoft YaHei" w:cs="Calibri"/>
          <w:sz w:val="22"/>
          <w:color w:val="1E1E1E"/>
          <w:szCs w:val="22"/>
        </w:rPr>
        <w:t>Reporting: The HSC publishes quarterly financial statements and annual audited reports.</w:t>
      </w:r>
    </w:p>
    <w:p>
      <w:pPr>
        <w:pStyle w:val="Heading3"/>
      </w:pPr>
      <w:r>
        <w:rPr>
          <w:b/>
          <w:sz w:val="24"/>
          <w:rFonts w:ascii="Calibri" w:hAnsi="Calibri" w:eastAsia="Microsoft YaHei" w:cs="Calibri"/>
          <w:color w:val="4A5568"/>
          <w:szCs w:val="24"/>
        </w:rPr>
        <w:t>2.3.2 Prohibited Activities</w:t>
      </w:r>
    </w:p>
    <w:p>
      <w:pPr>
        <w:pStyle w:val="Normal"/>
      </w:pPr>
      <w:r>
        <w:rPr>
          <w:rFonts w:ascii="Calibri" w:hAnsi="Calibri" w:eastAsia="Microsoft YaHei" w:cs="Calibri"/>
          <w:sz w:val="22"/>
          <w:color w:val="1E1E1E"/>
          <w:szCs w:val="22"/>
        </w:rPr>
        <w:t>The framework architecture excludes the following activities: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The framework architecture excludes political advocacy or lobbying by the HSC or its staff.</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The framework architecture excludes the imposition of sanctions, boycotts, or discriminatory measures against any vessel, flag state, or operator.</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The framework architecture excludes denial of services to any Commercial Vessel on political grounds.</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The framework architecture excludes the use of HSC funds for military, intelligence, or security purposes.</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The framework architecture excludes loans, credit, or financial assistance to any Party or contractor beyond normal commercial terms.</w:t>
      </w:r>
    </w:p>
    <w:p>
      <w:pPr>
        <w:pStyle w:val="Heading3"/>
      </w:pPr>
      <w:r>
        <w:rPr>
          <w:b/>
          <w:sz w:val="24"/>
          <w:rFonts w:ascii="Calibri" w:hAnsi="Calibri" w:eastAsia="Microsoft YaHei" w:cs="Calibri"/>
          <w:color w:val="4A5568"/>
          <w:szCs w:val="24"/>
        </w:rPr>
        <w:t>2.3.3 Anti-Corruption Provisions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Bribery and Kickbacks: No HSC employee, Board member, or contractor offers, solicits, or accepts bribes, kickbacks, or improper payments.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Conflict of Interest: No HSC employee, Board member, or contractor participates in decisions where they have a personal or financial interest.</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Procurement Integrity: The HSC awards all procurement contracts through open, competitive bidding; sole-source contracts are subject to JIC approval.</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Gift and Hospitality Policy: No HSC employee accepts gifts or hospitality worth more than $100 from any contractor or vendor.</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Whistleblower Protection: HSC employees report suspected corruption or misconduct anonymously to the JIC; the framework protects whistleblowers from retaliation.</w:t>
      </w:r>
    </w:p>
    <w:p>
      <w:pPr>
        <w:pStyle w:val="Heading3"/>
      </w:pPr>
      <w:r>
        <w:rPr>
          <w:b/>
          <w:sz w:val="24"/>
          <w:rFonts w:ascii="Calibri" w:hAnsi="Calibri" w:eastAsia="Microsoft YaHei" w:cs="Calibri"/>
          <w:color w:val="4A5568"/>
          <w:szCs w:val="24"/>
        </w:rPr>
        <w:t>2.3.4 Transparency Provisions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Contract Publication: The HSC publishes all service contracts on its website within 30 days of award.</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Board Minutes: The HSC publishes all Board minutes within 14 days of the meeting, with sensitive operational details redacted.</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Financial Statements: The HSC publishes quarterly financial statements within 30 days of the quarter's end.</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Audit Findings: The HSC publishes all audit findings, including corrective actions, within 30 days of the audit's completion.</w:t>
      </w:r>
    </w:p>
    <w:p>
      <w:pPr>
        <w:pStyle w:val="Heading3"/>
      </w:pPr>
      <w:r>
        <w:rPr>
          <w:b/>
          <w:sz w:val="24"/>
          <w:rFonts w:ascii="Calibri" w:hAnsi="Calibri" w:eastAsia="Microsoft YaHei" w:cs="Calibri"/>
          <w:color w:val="4A5568"/>
          <w:szCs w:val="24"/>
        </w:rPr>
        <w:t>2.3.5 Enforcement</w:t>
      </w:r>
    </w:p>
    <w:p>
      <w:pPr>
        <w:pStyle w:val="Normal"/>
        <w:spacing w:after="120"/>
        <w:ind w:left="720" w:hanging="360"/>
      </w:pPr>
      <w:r>
        <w:rPr>
          <w:rFonts w:ascii="Calibri" w:hAnsi="Calibri" w:eastAsia="Microsoft YaHei" w:cs="Calibri"/>
          <w:sz w:val="22"/>
          <w:color w:val="1E1E1E"/>
          <w:szCs w:val="22"/>
        </w:rPr>
        <w:t>Violations of the anti-corruption provisions are subject to: immediate termination of employment or contract; referral to relevant national authorities; financial penalties (recovery of improper payments); blacklisting of contractors involved in corruption.</w:t>
      </w:r>
    </w:p>
    <w:p>
      <w:pPr>
        <w:pStyle w:val="Heading2"/>
      </w:pPr>
      <w:r>
        <w:rPr>
          <w:b/>
          <w:sz w:val="26"/>
          <w:rFonts w:ascii="Calibri" w:hAnsi="Calibri" w:eastAsia="Microsoft YaHei" w:cs="Calibri"/>
          <w:color w:val="1E1E1E"/>
          <w:szCs w:val="26"/>
        </w:rPr>
        <w:t>2.4 HSC Staff and Operations</w:t>
      </w:r>
    </w:p>
    <w:p>
      <w:pPr>
        <w:pStyle w:val="Heading3"/>
      </w:pPr>
      <w:r>
        <w:rPr>
          <w:b/>
          <w:sz w:val="24"/>
          <w:rFonts w:ascii="Calibri" w:hAnsi="Calibri" w:eastAsia="Microsoft YaHei" w:cs="Calibri"/>
          <w:color w:val="4A5568"/>
          <w:szCs w:val="24"/>
        </w:rPr>
        <w:t>2.4.1 Chief Executive Officer (CEO)</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The Board appoints the CEO for a 3-year renewable term.</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The CEO is a neutral professional with demonstrated experience in maritime operations and international finance.</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The CEO is not a national of Iran, the United States, or any Gulf Cooperation Council state. This restriction ensures neutrality.</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The CEO reports to the Board and possesses no voting rights in Board deliberations.</w:t>
      </w:r>
    </w:p>
    <w:p>
      <w:pPr>
        <w:pStyle w:val="Heading3"/>
      </w:pPr>
      <w:r>
        <w:rPr>
          <w:b/>
          <w:sz w:val="24"/>
          <w:rFonts w:ascii="Calibri" w:hAnsi="Calibri" w:eastAsia="Microsoft YaHei" w:cs="Calibri"/>
          <w:color w:val="4A5568"/>
          <w:szCs w:val="24"/>
        </w:rPr>
        <w:t>2.4.2 Operational Staff</w:t>
      </w:r>
    </w:p>
    <w:p>
      <w:pPr>
        <w:pStyle w:val="Normal"/>
      </w:pPr>
      <w:r>
        <w:rPr>
          <w:rFonts w:ascii="Calibri" w:hAnsi="Calibri" w:eastAsia="Microsoft YaHei" w:cs="Calibri"/>
          <w:sz w:val="22"/>
          <w:color w:val="1E1E1E"/>
          <w:szCs w:val="22"/>
        </w:rPr>
        <w:t>The HSC maintains the following operational units: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Finance Unit (Muscat): This unit handles billing, collections, escrow management, and disbursements.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Technical Unit: This unit liaises with service providers and monitors service quality across both corridors.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Compliance Unit: This unit tracks vessel movements, fee obligations, and service utilization. It generates data for IMO audit and JIC oversight.</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Liaison Unit: This unit maintains contact with the JIC, the JERC, and the Hormuz VTS coordination centres.</w:t>
      </w:r>
    </w:p>
    <w:p>
      <w:pPr>
        <w:pStyle w:val="Heading3"/>
      </w:pPr>
      <w:r>
        <w:rPr>
          <w:b/>
          <w:sz w:val="24"/>
          <w:rFonts w:ascii="Calibri" w:hAnsi="Calibri" w:eastAsia="Microsoft YaHei" w:cs="Calibri"/>
          <w:color w:val="4A5568"/>
          <w:szCs w:val="24"/>
        </w:rPr>
        <w:t>2.4.3 Office Locations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Headquarters: Muscat, Sultanate of Oman.</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Liaison Office: Bandar Abbas, Iran. This office coordinates Northern Corridor operations.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Liaison Office: Dubai, UAE. This office coordinates Southern Corridor operations.</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Representative Office: London, UK. This office maintains liaison with the IMO and international shipping industry bodies.</w:t>
      </w:r>
    </w:p>
    <w:p>
      <w:pPr>
        <w:pStyle w:val="Heading1"/>
      </w:pPr>
      <w:r>
        <w:rPr>
          <w:b/>
          <w:sz w:val="32"/>
          <w:rFonts w:ascii="Calibri" w:hAnsi="Calibri" w:eastAsia="Microsoft YaHei" w:cs="Calibri"/>
          <w:color w:val="1A2744"/>
          <w:szCs w:val="32"/>
        </w:rPr>
        <w:t>Article 3: Fee Structure and Collection Mechanism</w:t>
      </w:r>
    </w:p>
    <w:p>
      <w:pPr>
        <w:pStyle w:val="Heading2"/>
      </w:pPr>
      <w:r>
        <w:rPr>
          <w:b/>
          <w:sz w:val="26"/>
          <w:rFonts w:ascii="Calibri" w:hAnsi="Calibri" w:eastAsia="Microsoft YaHei" w:cs="Calibri"/>
          <w:color w:val="1E1E1E"/>
          <w:szCs w:val="26"/>
        </w:rPr>
        <w:t>3.1 Eligible Services and Fee Schedule</w:t>
      </w:r>
    </w:p>
    <w:p>
      <w:pPr>
        <w:pStyle w:val="Heading3"/>
      </w:pPr>
      <w:r>
        <w:rPr>
          <w:b/>
          <w:sz w:val="24"/>
          <w:rFonts w:ascii="Calibri" w:hAnsi="Calibri" w:eastAsia="Microsoft YaHei" w:cs="Calibri"/>
          <w:color w:val="4A5568"/>
          <w:szCs w:val="24"/>
        </w:rPr>
        <w:t>3.1.1 Covered Services</w:t>
      </w:r>
    </w:p>
    <w:p>
      <w:pPr>
        <w:pStyle w:val="Normal"/>
      </w:pPr>
      <w:r>
        <w:rPr>
          <w:rFonts w:ascii="Calibri" w:hAnsi="Calibri" w:eastAsia="Microsoft YaHei" w:cs="Calibri"/>
          <w:sz w:val="22"/>
          <w:color w:val="1E1E1E"/>
          <w:szCs w:val="22"/>
        </w:rPr>
        <w:t>The HSC assesses fees for the following identifiable navigational services: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VTS Monitoring Service: Continuous radar, AIS, and communications monitoring covering the full transit corridor from Point Alpha to Point Omega.</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Pilotage Service: Provision of licensed, IMO-certified pilots for vessels requesting pilotage in either the Northern Corridor or the Southern Corridor.</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Emergency Response Availability: Standby towage, firefighting, and oil spill response capability maintained 24 hours per day, 7 days per week.</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Navigational Aids Maintenance: Maintenance of buoys, beacons, channel lighting, and marker systems in both corridors.</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Hydrographic Services: Regular chart updates, depth soundings, seabed surveys, and real-time navigational warnings.</w:t>
      </w:r>
    </w:p>
    <w:p>
      <w:pPr>
        <w:pStyle w:val="Heading3"/>
      </w:pPr>
      <w:r>
        <w:rPr>
          <w:b/>
          <w:sz w:val="24"/>
          <w:rFonts w:ascii="Calibri" w:hAnsi="Calibri" w:eastAsia="Microsoft YaHei" w:cs="Calibri"/>
          <w:color w:val="4A5568"/>
          <w:szCs w:val="24"/>
        </w:rPr>
        <w:t>3.1.2 Fee Structure</w:t>
      </w:r>
    </w:p>
    <w:p>
      <w:pPr>
        <w:pStyle w:val="Normal"/>
      </w:pPr>
      <w:r>
        <w:rPr>
          <w:rFonts w:ascii="Calibri" w:hAnsi="Calibri" w:eastAsia="Microsoft YaHei" w:cs="Calibri"/>
          <w:sz w:val="22"/>
          <w:color w:val="1E1E1E"/>
          <w:szCs w:val="22"/>
        </w:rPr>
        <w:t>The HSC applies the following per-transit fee schedule:</w:t>
      </w:r>
    </w:p>
    <w:tbl>
      <w:tblPr>
        <w:tblW w:w="5000" w:type="pct"/>
        <w:tblBorders>
          <w:top w:val="single" w:color="1a2744" w:sz="12"/>
          <w:bottom w:val="single" w:color="1a2744" w:sz="12"/>
          <w:left w:val="nil"/>
          <w:right w:val="nil"/>
          <w:insideH w:val="single" w:color="d1d5db" w:sz="4"/>
          <w:insideV w:val="nil"/>
        </w:tblBorders>
      </w:tblPr>
      <w:tblGrid>
        <w:gridCol w:w="2500"/>
        <w:gridCol w:w="2500"/>
        <w:gridCol w:w="2500"/>
      </w:tblGrid>
      <w:tr>
        <w:trPr>
          <w:tblHeader w:val="1"/>
        </w:trPr>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Vessel Size (Gross Tons)</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Fee Rate</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Fee Cap</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300 - 50,000 GT</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$0.18/GT</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$9,000</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50,001 - 100,000 GT</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$0.16/GT</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$16,000</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100,001 - 200,000 GT</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$0.14/GT</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$28,000</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200,001+ GT</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$0.12/GT</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$36,000</w:t>
            </w:r>
          </w:p>
        </w:tc>
      </w:tr>
    </w:tbl>
    <w:p>
      <w:pPr>
        <w:pStyle w:val="Normal"/>
      </w:pPr>
      <w:r>
        <w:rPr>
          <w:rFonts w:ascii="Calibri" w:hAnsi="Calibri" w:eastAsia="Microsoft YaHei" w:cs="Calibri"/>
          <w:sz w:val="22"/>
          <w:color w:val="1E1E1E"/>
          <w:szCs w:val="22"/>
        </w:rPr>
        <w:t>Total Fee Cap: No vessel pays more than $36,000 per transit, regardless of gross tonnage.</w:t>
      </w:r>
    </w:p>
    <w:p>
      <w:pPr>
        <w:pStyle w:val="Normal"/>
      </w:pPr>
      <w:r>
        <w:rPr>
          <w:rFonts w:ascii="Calibri" w:hAnsi="Calibri" w:eastAsia="Microsoft YaHei" w:cs="Calibri"/>
          <w:sz w:val="22"/>
          <w:color w:val="1E1E1E"/>
          <w:szCs w:val="22"/>
        </w:rPr>
        <w:t>Annual Review: The Board reviews this structure annually and adjusts it for inflation using the IMO-published Maritime Cost Index. Any adjustment requires a three-fourths majority vote of the Board and JIC approval.</w:t>
      </w:r>
    </w:p>
    <w:p>
      <w:pPr>
        <w:pStyle w:val="Heading3"/>
      </w:pPr>
      <w:r>
        <w:rPr>
          <w:b/>
          <w:sz w:val="24"/>
          <w:rFonts w:ascii="Calibri" w:hAnsi="Calibri" w:eastAsia="Microsoft YaHei" w:cs="Calibri"/>
          <w:color w:val="4A5568"/>
          <w:szCs w:val="24"/>
        </w:rPr>
        <w:t>3.1.3 Exemptions and Discounts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Small Vessel Exemption: Vessels under 300 gross tons are exempt from all fees.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Transshipment Discount: Vessels transiting the Strait multiple times within a 30-day period receive a 50 percent discount on all subsequent transits.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Humanitarian Discount: Vessels carrying humanitarian cargo certified by the United Nations receive a 50 percent discount.</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Environmental Discount: Vessels with an Energy Efficiency Design Index (EEDI) rating of "A" receive a 10 percent discount. The HSC offsets revenue losses from this discount through the Reserve Fund during the first year of operation.</w:t>
      </w:r>
    </w:p>
    <w:p>
      <w:pPr>
        <w:pStyle w:val="Heading2"/>
      </w:pPr>
      <w:r>
        <w:rPr>
          <w:b/>
          <w:sz w:val="26"/>
          <w:rFonts w:ascii="Calibri" w:hAnsi="Calibri" w:eastAsia="Microsoft YaHei" w:cs="Calibri"/>
          <w:color w:val="1E1E1E"/>
          <w:szCs w:val="26"/>
        </w:rPr>
        <w:t>3.2 Collection Mechanism</w:t>
      </w:r>
    </w:p>
    <w:p>
      <w:pPr>
        <w:pStyle w:val="Heading3"/>
      </w:pPr>
      <w:r>
        <w:rPr>
          <w:b/>
          <w:sz w:val="24"/>
          <w:rFonts w:ascii="Calibri" w:hAnsi="Calibri" w:eastAsia="Microsoft YaHei" w:cs="Calibri"/>
          <w:color w:val="4A5568"/>
          <w:szCs w:val="24"/>
        </w:rPr>
        <w:t>3.2.1 Pre-Transit Registration</w:t>
      </w:r>
    </w:p>
    <w:p>
      <w:pPr>
        <w:pStyle w:val="Normal"/>
      </w:pPr>
      <w:r>
        <w:rPr>
          <w:rFonts w:ascii="Calibri" w:hAnsi="Calibri" w:eastAsia="Microsoft YaHei" w:cs="Calibri"/>
          <w:sz w:val="22"/>
          <w:color w:val="1E1E1E"/>
          <w:szCs w:val="22"/>
        </w:rPr>
        <w:t>All Commercial Vessels intending to transit the Strait complete the following registration process: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The vessel operator registers with the HSC through a secure online portal no less than 12 hours prior to transit.</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The registration provides: vessel name, IMO number, flag state, gross tonnage, cargo type, and estimated time of arrival at Point Alpha or Point Omega.</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Upon registration, the HSC issues a Transit Authorization Number (TAN) and an invoice for applicable fees.</w:t>
      </w:r>
    </w:p>
    <w:p>
      <w:pPr>
        <w:pStyle w:val="Heading3"/>
      </w:pPr>
      <w:r>
        <w:rPr>
          <w:b/>
          <w:sz w:val="24"/>
          <w:rFonts w:ascii="Calibri" w:hAnsi="Calibri" w:eastAsia="Microsoft YaHei" w:cs="Calibri"/>
          <w:color w:val="4A5568"/>
          <w:szCs w:val="24"/>
        </w:rPr>
        <w:t>3.2.2 Payment Options</w:t>
      </w:r>
    </w:p>
    <w:p>
      <w:pPr>
        <w:pStyle w:val="Normal"/>
      </w:pPr>
      <w:r>
        <w:rPr>
          <w:rFonts w:ascii="Calibri" w:hAnsi="Calibri" w:eastAsia="Microsoft YaHei" w:cs="Calibri"/>
          <w:sz w:val="22"/>
          <w:color w:val="1E1E1E"/>
          <w:szCs w:val="22"/>
        </w:rPr>
        <w:t>The HSC accepts fee payment through the following methods: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Advance Payment: Wire transfer to the HSC escrow account prior to transit. This is the preferred method.</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Port Payment: Payment upon arrival at a designated port within the region (Iran, Oman, UAE, or Qatar).</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Account Payment: Qualifying shipping companies with pre-established accounts and credit guarantees pay on a monthly billing cycle.</w:t>
      </w:r>
    </w:p>
    <w:p>
      <w:pPr>
        <w:pStyle w:val="Heading3"/>
      </w:pPr>
      <w:r>
        <w:rPr>
          <w:b/>
          <w:sz w:val="24"/>
          <w:rFonts w:ascii="Calibri" w:hAnsi="Calibri" w:eastAsia="Microsoft YaHei" w:cs="Calibri"/>
          <w:color w:val="4A5568"/>
          <w:szCs w:val="24"/>
        </w:rPr>
        <w:t>3.2.3 Proof of Payment</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Upon receipt of payment, the HSC issues a digital Transit Clearance Certificate (TCC) to the vessel.</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The vessel presents the TCC upon request to authorities in either corridor.</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Vessels without a valid TCC are subject to a late fee of 25 percent of the assessed fee and potential denial of HSC-procured services until payment is complete.</w:t>
      </w:r>
    </w:p>
    <w:p>
      <w:pPr>
        <w:pStyle w:val="Heading3"/>
      </w:pPr>
      <w:r>
        <w:rPr>
          <w:b/>
          <w:sz w:val="24"/>
          <w:rFonts w:ascii="Calibri" w:hAnsi="Calibri" w:eastAsia="Microsoft YaHei" w:cs="Calibri"/>
          <w:color w:val="4A5568"/>
          <w:szCs w:val="24"/>
        </w:rPr>
        <w:t>3.2.4 Non-Payment Consequences</w:t>
      </w:r>
    </w:p>
    <w:p>
      <w:pPr>
        <w:pStyle w:val="Heading3"/>
      </w:pPr>
      <w:r>
        <w:rPr>
          <w:b/>
          <w:sz w:val="24"/>
          <w:rFonts w:ascii="Calibri" w:hAnsi="Calibri" w:eastAsia="Microsoft YaHei" w:cs="Calibri"/>
          <w:color w:val="4A5568"/>
          <w:szCs w:val="24"/>
        </w:rPr>
        <w:t>3.2.4(a) First Offense</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HSC denies future registration until payment is made;</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HSC refers the outstanding amount to the vessel's flag state for collection;</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Interest accrues at 8 percent per annum on overdue amounts;</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The vessel's operator receives a private Notice of Concern from the JIC.</w:t>
      </w:r>
    </w:p>
    <w:p>
      <w:pPr>
        <w:pStyle w:val="Heading3"/>
      </w:pPr>
      <w:r>
        <w:rPr>
          <w:b/>
          <w:sz w:val="24"/>
          <w:rFonts w:ascii="Calibri" w:hAnsi="Calibri" w:eastAsia="Microsoft YaHei" w:cs="Calibri"/>
          <w:color w:val="4A5568"/>
          <w:szCs w:val="24"/>
        </w:rPr>
        <w:t>3.2.4(b) Second Offense (within 12 months)</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All First Offense consequences apply;</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vessel's operator is placed on a watch list shared with all Parties;</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vessel is subject to enhanced inspection at all ports in the region;</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The HSC seizes the vessel's Transit Authorization Number (TAN) for 6 months.</w:t>
      </w:r>
    </w:p>
    <w:p>
      <w:pPr>
        <w:pStyle w:val="Heading3"/>
      </w:pPr>
      <w:r>
        <w:rPr>
          <w:b/>
          <w:sz w:val="24"/>
          <w:rFonts w:ascii="Calibri" w:hAnsi="Calibri" w:eastAsia="Microsoft YaHei" w:cs="Calibri"/>
          <w:color w:val="4A5568"/>
          <w:szCs w:val="24"/>
        </w:rPr>
        <w:t>3.2.4(c) Third Offense (within 24 months)</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All First and Second Offense consequences apply;</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vessel's operator is permanently banned from using HSC-procured services;</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JIC refers the matter to the vessel's flag state for administrative action;</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The JIC publishes the operator's name in the annual Compliance Report.</w:t>
      </w:r>
    </w:p>
    <w:p>
      <w:pPr>
        <w:pStyle w:val="Heading3"/>
      </w:pPr>
      <w:r>
        <w:rPr>
          <w:b/>
          <w:sz w:val="24"/>
          <w:rFonts w:ascii="Calibri" w:hAnsi="Calibri" w:eastAsia="Microsoft YaHei" w:cs="Calibri"/>
          <w:color w:val="4A5568"/>
          <w:szCs w:val="24"/>
        </w:rPr>
        <w:t>3.2.4(d) Flag State Accountability</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If a flag state has three or more vessels with non-payment offenses in a 12-month period, the flag state receives a Notice of Concern from the JIC.</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If a flag state has five or more vessels with non-payment offenses in a 24-month period, the JIC refers the matter to the IMO for review.</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IMO recommends flag state sanctions or port state control measures.</w:t>
      </w:r>
    </w:p>
    <w:p>
      <w:pPr>
        <w:pStyle w:val="Heading3"/>
      </w:pPr>
      <w:r>
        <w:rPr>
          <w:b/>
          <w:sz w:val="24"/>
          <w:rFonts w:ascii="Calibri" w:hAnsi="Calibri" w:eastAsia="Microsoft YaHei" w:cs="Calibri"/>
          <w:color w:val="4A5568"/>
          <w:szCs w:val="24"/>
        </w:rPr>
        <w:t>3.2.4(e) Humanitarian Exemption</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Vessels carrying humanitarian cargo certified by the United Nations are exempt from non-payment consequences.</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vessel's operator provides proof of UN certification to the HSC.</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exemption applies only to the humanitarian voyage, not to subsequent commercial voyages.</w:t>
      </w:r>
    </w:p>
    <w:p>
      <w:pPr>
        <w:pStyle w:val="Heading2"/>
      </w:pPr>
      <w:r>
        <w:rPr>
          <w:b/>
          <w:sz w:val="26"/>
          <w:rFonts w:ascii="Calibri" w:hAnsi="Calibri" w:eastAsia="Microsoft YaHei" w:cs="Calibri"/>
          <w:color w:val="1E1E1E"/>
          <w:szCs w:val="26"/>
        </w:rPr>
        <w:t>3.3 Fee Revenue Projection and Escrow</w:t>
      </w:r>
    </w:p>
    <w:p>
      <w:pPr>
        <w:pStyle w:val="Heading3"/>
      </w:pPr>
      <w:r>
        <w:rPr>
          <w:b/>
          <w:sz w:val="24"/>
          <w:rFonts w:ascii="Calibri" w:hAnsi="Calibri" w:eastAsia="Microsoft YaHei" w:cs="Calibri"/>
          <w:color w:val="4A5568"/>
          <w:szCs w:val="24"/>
        </w:rPr>
        <w:t>3.3.1 Projected Annual Revenue</w:t>
      </w:r>
    </w:p>
    <w:p>
      <w:pPr>
        <w:pStyle w:val="Normal"/>
      </w:pPr>
      <w:r>
        <w:rPr>
          <w:rFonts w:ascii="Calibri" w:hAnsi="Calibri" w:eastAsia="Microsoft YaHei" w:cs="Calibri"/>
          <w:sz w:val="22"/>
          <w:color w:val="1E1E1E"/>
          <w:szCs w:val="22"/>
        </w:rPr>
        <w:t>Based on an average of 15,000 commercial transits per year at $0.18 per gross ton, projected annual gross revenue is estimated at approximately $270 million. Actual revenue varies with traffic volume, vessel size distribution, and utilization of optional services.</w:t>
      </w:r>
    </w:p>
    <w:p>
      <w:pPr>
        <w:pStyle w:val="Heading3"/>
      </w:pPr>
      <w:r>
        <w:rPr>
          <w:b/>
          <w:sz w:val="24"/>
          <w:rFonts w:ascii="Calibri" w:hAnsi="Calibri" w:eastAsia="Microsoft YaHei" w:cs="Calibri"/>
          <w:color w:val="4A5568"/>
          <w:szCs w:val="24"/>
        </w:rPr>
        <w:t>3.3.2 Escrow Account Structure</w:t>
      </w:r>
    </w:p>
    <w:p>
      <w:pPr>
        <w:pStyle w:val="Heading3"/>
      </w:pPr>
      <w:r>
        <w:rPr>
          <w:b/>
          <w:sz w:val="24"/>
          <w:rFonts w:ascii="Calibri" w:hAnsi="Calibri" w:eastAsia="Microsoft YaHei" w:cs="Calibri"/>
          <w:color w:val="4A5568"/>
          <w:szCs w:val="24"/>
        </w:rPr>
        <w:t>3.3.2(a) Qualification Standards</w:t>
      </w:r>
    </w:p>
    <w:p>
      <w:pPr>
        <w:pStyle w:val="Normal"/>
      </w:pPr>
      <w:r>
        <w:rPr>
          <w:rFonts w:ascii="Calibri" w:hAnsi="Calibri" w:eastAsia="Microsoft YaHei" w:cs="Calibri"/>
          <w:sz w:val="22"/>
          <w:color w:val="1E1E1E"/>
          <w:szCs w:val="22"/>
        </w:rPr>
        <w:t>The escrow bank meets the following objective qualification standards:</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bank carries a rating of A- or higher by Standard and Poor's or A3 or higher by Moody's.</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bank holds licensing to operate in all signatory states (Iran, U.S., Oman, UAE).</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No sanctions apply to the bank from any signatory state.</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The bank shows no money laundering or terrorist financing violations in the preceding 5 years.</w:t>
      </w:r>
    </w:p>
    <w:p>
      <w:pPr>
        <w:pStyle w:val="Normal"/>
        <w:spacing w:after="120"/>
        <w:ind w:left="720" w:hanging="360"/>
      </w:pPr>
      <w:r>
        <w:rPr>
          <w:b/>
          <w:color w:val="1A2744"/>
          <w:rFonts w:ascii="Calibri" w:hAnsi="Calibri" w:eastAsia="Microsoft YaHei" w:cs="Calibri"/>
          <w:sz w:val="22"/>
          <w:szCs w:val="22"/>
        </w:rPr>
        <w:t xml:space="preserve">(v) </w:t>
      </w:r>
      <w:r>
        <w:rPr>
          <w:rFonts w:ascii="Calibri" w:hAnsi="Calibri" w:eastAsia="Microsoft YaHei" w:cs="Calibri"/>
          <w:sz w:val="22"/>
          <w:color w:val="1E1E1E"/>
          <w:szCs w:val="22"/>
        </w:rPr>
        <w:t>The bank demonstrates experience managing escrow accounts for maritime or infrastructure projects.</w:t>
      </w:r>
    </w:p>
    <w:p>
      <w:pPr>
        <w:pStyle w:val="Normal"/>
        <w:spacing w:after="120"/>
        <w:ind w:left="720" w:hanging="360"/>
      </w:pPr>
      <w:r>
        <w:rPr>
          <w:b/>
          <w:color w:val="1A2744"/>
          <w:rFonts w:ascii="Calibri" w:hAnsi="Calibri" w:eastAsia="Microsoft YaHei" w:cs="Calibri"/>
          <w:sz w:val="22"/>
          <w:szCs w:val="22"/>
        </w:rPr>
        <w:t xml:space="preserve">(vi) </w:t>
      </w:r>
      <w:r>
        <w:rPr>
          <w:rFonts w:ascii="Calibri" w:hAnsi="Calibri" w:eastAsia="Microsoft YaHei" w:cs="Calibri"/>
          <w:sz w:val="22"/>
          <w:color w:val="1E1E1E"/>
          <w:szCs w:val="22"/>
        </w:rPr>
        <w:t>The bank maintains multinational ownership (not controlled by any single state).</w:t>
      </w:r>
    </w:p>
    <w:p>
      <w:pPr>
        <w:pStyle w:val="Heading3"/>
      </w:pPr>
      <w:r>
        <w:rPr>
          <w:b/>
          <w:sz w:val="24"/>
          <w:rFonts w:ascii="Calibri" w:hAnsi="Calibri" w:eastAsia="Microsoft YaHei" w:cs="Calibri"/>
          <w:color w:val="4A5568"/>
          <w:szCs w:val="24"/>
        </w:rPr>
        <w:t>3.3.2(b) Selection Process</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Board issues a Request for Proposals (RFP) to qualified banks.</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Board evaluates proposals based on objective criteria (fees, services, expertise).</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Board selects the bank by three-fourths majority vote.</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If the Board cannot agree, the IMO Secretary-General appoints the bank.</w:t>
      </w:r>
    </w:p>
    <w:p>
      <w:pPr>
        <w:pStyle w:val="Heading3"/>
      </w:pPr>
      <w:r>
        <w:rPr>
          <w:b/>
          <w:sz w:val="24"/>
          <w:rFonts w:ascii="Calibri" w:hAnsi="Calibri" w:eastAsia="Microsoft YaHei" w:cs="Calibri"/>
          <w:color w:val="4A5568"/>
          <w:szCs w:val="24"/>
        </w:rPr>
        <w:t>3.3.2(c) Qualified Banks (Initial List)</w:t>
      </w:r>
    </w:p>
    <w:p>
      <w:pPr>
        <w:pStyle w:val="Normal"/>
      </w:pPr>
      <w:r>
        <w:rPr>
          <w:rFonts w:ascii="Calibri" w:hAnsi="Calibri" w:eastAsia="Microsoft YaHei" w:cs="Calibri"/>
          <w:sz w:val="22"/>
          <w:color w:val="1E1E1E"/>
          <w:szCs w:val="22"/>
        </w:rPr>
        <w:t>The following banks are pre-qualified for the escrow role:</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Credit Suisse (Switzerland)</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UBS (Switzerland)</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HSBC (UK)</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Qatar National Bank (Qatar)</w:t>
      </w:r>
    </w:p>
    <w:p>
      <w:pPr>
        <w:pStyle w:val="Normal"/>
        <w:spacing w:after="120"/>
        <w:ind w:left="720" w:hanging="360"/>
      </w:pPr>
      <w:r>
        <w:rPr>
          <w:b/>
          <w:color w:val="1A2744"/>
          <w:rFonts w:ascii="Calibri" w:hAnsi="Calibri" w:eastAsia="Microsoft YaHei" w:cs="Calibri"/>
          <w:sz w:val="22"/>
          <w:szCs w:val="22"/>
        </w:rPr>
        <w:t xml:space="preserve">(v) </w:t>
      </w:r>
      <w:r>
        <w:rPr>
          <w:rFonts w:ascii="Calibri" w:hAnsi="Calibri" w:eastAsia="Microsoft YaHei" w:cs="Calibri"/>
          <w:sz w:val="22"/>
          <w:color w:val="1E1E1E"/>
          <w:szCs w:val="22"/>
        </w:rPr>
        <w:t>Standard Chartered (UK)</w:t>
      </w:r>
    </w:p>
    <w:p>
      <w:pPr>
        <w:pStyle w:val="Heading3"/>
      </w:pPr>
      <w:r>
        <w:rPr>
          <w:b/>
          <w:sz w:val="24"/>
          <w:rFonts w:ascii="Calibri" w:hAnsi="Calibri" w:eastAsia="Microsoft YaHei" w:cs="Calibri"/>
          <w:color w:val="4A5568"/>
          <w:szCs w:val="24"/>
        </w:rPr>
        <w:t>3.3.2(d) Account Structure</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Operating Account: This account holds 30% of monthly collections for operational expenses, staff costs, and service provider payments.</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Reserve Account: This account holds 20% of collections as a contingency fund. The target balance is $50 million. The Reserve Fund covers: emergency response (search and rescue, firefighting); oil spill containment and cleanup; mine-clearance operations; environmental remediation; emergency towage and salvage.</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Distribution Account: This account holds 50% of collections pending monthly disbursement under Article 5.</w:t>
      </w:r>
    </w:p>
    <w:p>
      <w:pPr>
        <w:pStyle w:val="Heading3"/>
      </w:pPr>
      <w:r>
        <w:rPr>
          <w:b/>
          <w:sz w:val="24"/>
          <w:rFonts w:ascii="Calibri" w:hAnsi="Calibri" w:eastAsia="Microsoft YaHei" w:cs="Calibri"/>
          <w:color w:val="4A5568"/>
          <w:szCs w:val="24"/>
        </w:rPr>
        <w:t>3.3.2(e) Reserve Fund Escrow Protection</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Reserve Account is held in escrow with the same bank as the Operating Account.</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Reserve Account is not subject to attachment, seizure, or garnishment by any Party or third party.</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Reserve Account is not subject to sanctions imposed by any Party or by any international body.</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The Reserve Account is immune from legal process under the laws of all signatory states.</w:t>
      </w:r>
    </w:p>
    <w:p>
      <w:pPr>
        <w:pStyle w:val="Normal"/>
        <w:spacing w:after="120"/>
        <w:ind w:left="720" w:hanging="360"/>
      </w:pPr>
      <w:r>
        <w:rPr>
          <w:b/>
          <w:color w:val="1A2744"/>
          <w:rFonts w:ascii="Calibri" w:hAnsi="Calibri" w:eastAsia="Microsoft YaHei" w:cs="Calibri"/>
          <w:sz w:val="22"/>
          <w:szCs w:val="22"/>
        </w:rPr>
        <w:t xml:space="preserve">(v) </w:t>
      </w:r>
      <w:r>
        <w:rPr>
          <w:rFonts w:ascii="Calibri" w:hAnsi="Calibri" w:eastAsia="Microsoft YaHei" w:cs="Calibri"/>
          <w:sz w:val="22"/>
          <w:color w:val="1E1E1E"/>
          <w:szCs w:val="22"/>
        </w:rPr>
        <w:t>The Reserve Account's funds are released only upon joint authorization of: the JIC Chair (Oman); one U.S. representative; one Iranian representative. The joint authorization is required for any withdrawal from the Reserve Account.</w:t>
      </w:r>
    </w:p>
    <w:p>
      <w:pPr>
        <w:pStyle w:val="Heading3"/>
      </w:pPr>
      <w:r>
        <w:rPr>
          <w:b/>
          <w:sz w:val="24"/>
          <w:rFonts w:ascii="Calibri" w:hAnsi="Calibri" w:eastAsia="Microsoft YaHei" w:cs="Calibri"/>
          <w:color w:val="4A5568"/>
          <w:szCs w:val="24"/>
        </w:rPr>
        <w:t>3.3.2(f) Reserve Fund Review</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Board reviews the Reserve Fund annually to ensure adequacy.</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If the balance exceeds $75 million, the HSC transfers the excess to the Distribution Account.</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If the balance falls below $25 million, the Board increases the Reserve Account allocation from 20% to 25% until the target is reached.</w:t>
      </w:r>
    </w:p>
    <w:p>
      <w:pPr>
        <w:pStyle w:val="Heading3"/>
      </w:pPr>
      <w:r>
        <w:rPr>
          <w:b/>
          <w:sz w:val="24"/>
          <w:rFonts w:ascii="Calibri" w:hAnsi="Calibri" w:eastAsia="Microsoft YaHei" w:cs="Calibri"/>
          <w:color w:val="4A5568"/>
          <w:szCs w:val="24"/>
        </w:rPr>
        <w:t>3.3.2(g) Interest on Escrow Balances</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All escrow account balances earn interest at the Omani central bank rate.</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Interest is calculated daily and credited monthly.</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Interest earned is distributed as follows: Reserve Account interest is added to the Reserve Fund; Operating Account interest is retained by the HSC for operational expenses; Distribution Account interest is distributed to recipients pro rata based on their percentage of the Distribution Account balance at month-end.</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The HSC tracks and reports interest in the monthly financial statements.</w:t>
      </w:r>
    </w:p>
    <w:p>
      <w:pPr>
        <w:pStyle w:val="Heading3"/>
      </w:pPr>
      <w:r>
        <w:rPr>
          <w:b/>
          <w:sz w:val="24"/>
          <w:rFonts w:ascii="Calibri" w:hAnsi="Calibri" w:eastAsia="Microsoft YaHei" w:cs="Calibri"/>
          <w:color w:val="4A5568"/>
          <w:szCs w:val="24"/>
        </w:rPr>
        <w:t>3.3.2(h) Pending-Release Sub-Account</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If a disbursement is delayed pending verification, the HSC holds funds in a pending-release sub-account.</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sub-account earns interest at the Omani central bank rate.</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HSC distributes interest on the pending-release sub-account to the intended recipient at the time of disbursement.</w:t>
      </w:r>
    </w:p>
    <w:p>
      <w:pPr>
        <w:pStyle w:val="Heading3"/>
      </w:pPr>
      <w:r>
        <w:rPr>
          <w:b/>
          <w:sz w:val="24"/>
          <w:rFonts w:ascii="Calibri" w:hAnsi="Calibri" w:eastAsia="Microsoft YaHei" w:cs="Calibri"/>
          <w:color w:val="4A5568"/>
          <w:szCs w:val="24"/>
        </w:rPr>
        <w:t>3.3.2(i) Anti-Sanctions Shield</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escrow account is not subject to sanctions imposed by any Party or by any international body.</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escrow account is immunized from: asset freezes or seizures; economic sanctions or trade embargoes; legal attachments or garnishments; administrative or regulatory actions.</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escrow account carries designation as a humanitarian and safety-related account under all applicable sanctions regimes.</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The escrow bank is immunized from liability for acting in accordance with this Annex.</w:t>
      </w:r>
    </w:p>
    <w:p>
      <w:pPr>
        <w:pStyle w:val="Heading3"/>
      </w:pPr>
      <w:r>
        <w:rPr>
          <w:b/>
          <w:sz w:val="24"/>
          <w:rFonts w:ascii="Calibri" w:hAnsi="Calibri" w:eastAsia="Microsoft YaHei" w:cs="Calibri"/>
          <w:color w:val="4A5568"/>
          <w:szCs w:val="24"/>
        </w:rPr>
        <w:t>3.3.2(j) Sanctions-Busting Protection</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No Party blocks, delays, or interferes with: the receipt of funds into the escrow account; the disbursement of funds from the escrow account; the operation of the escrow account by the bank.</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Violation of this provision is treated as a Level 3 (Serious) violation under HSU Article 8.</w:t>
      </w:r>
    </w:p>
    <w:p>
      <w:pPr>
        <w:pStyle w:val="Heading3"/>
      </w:pPr>
      <w:r>
        <w:rPr>
          <w:b/>
          <w:sz w:val="24"/>
          <w:rFonts w:ascii="Calibri" w:hAnsi="Calibri" w:eastAsia="Microsoft YaHei" w:cs="Calibri"/>
          <w:color w:val="4A5568"/>
          <w:szCs w:val="24"/>
        </w:rPr>
        <w:t>3.3.2(k) Sovereign Immunity</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escrow account is immune from legal process under the laws of all signatory states.</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escrow account's funds are immune from attachment, seizure, or garnishment.</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escrow account's funds are immune from claims by creditors of any Party.</w:t>
      </w:r>
    </w:p>
    <w:p>
      <w:pPr>
        <w:pStyle w:val="Heading3"/>
      </w:pPr>
      <w:r>
        <w:rPr>
          <w:b/>
          <w:sz w:val="24"/>
          <w:rFonts w:ascii="Calibri" w:hAnsi="Calibri" w:eastAsia="Microsoft YaHei" w:cs="Calibri"/>
          <w:color w:val="4A5568"/>
          <w:szCs w:val="24"/>
        </w:rPr>
        <w:t>3.3.2(l) Anti-Sanctions Enforcement</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If any Party violates the anti-sanctions shield, the JIC convenes an emergency session within 48 hours.</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violating Party is subject to: Level 3 (Serious) classification under HSU Article 8; a 60-day financial freeze of its own disbursements; mandatory remedial action within 30 days.</w:t>
      </w:r>
    </w:p>
    <w:p>
      <w:pPr>
        <w:pStyle w:val="Heading3"/>
      </w:pPr>
      <w:r>
        <w:rPr>
          <w:b/>
          <w:sz w:val="24"/>
          <w:rFonts w:ascii="Calibri" w:hAnsi="Calibri" w:eastAsia="Microsoft YaHei" w:cs="Calibri"/>
          <w:color w:val="4A5568"/>
          <w:szCs w:val="24"/>
        </w:rPr>
        <w:t>3.3.3 Account Signatories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Two authorized signatories come from the HSC Finance Unit.</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One authorized signatory comes from the Omani Chair.</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All disbursements require two signatures, including at least one HSC signatory and the Omani Chair signatory.</w:t>
      </w:r>
    </w:p>
    <w:p>
      <w:pPr>
        <w:pStyle w:val="Heading1"/>
      </w:pPr>
      <w:r>
        <w:rPr>
          <w:b/>
          <w:sz w:val="32"/>
          <w:rFonts w:ascii="Calibri" w:hAnsi="Calibri" w:eastAsia="Microsoft YaHei" w:cs="Calibri"/>
          <w:color w:val="1A2744"/>
          <w:szCs w:val="32"/>
        </w:rPr>
        <w:t>Article 4: IMO Audit and Financial Transparency</w:t>
      </w:r>
    </w:p>
    <w:p>
      <w:pPr>
        <w:pStyle w:val="Heading2"/>
      </w:pPr>
      <w:r>
        <w:rPr>
          <w:b/>
          <w:sz w:val="26"/>
          <w:rFonts w:ascii="Calibri" w:hAnsi="Calibri" w:eastAsia="Microsoft YaHei" w:cs="Calibri"/>
          <w:color w:val="1E1E1E"/>
          <w:szCs w:val="26"/>
        </w:rPr>
        <w:t>4.1 IMO Audit Mandate and Enforcement</w:t>
      </w:r>
    </w:p>
    <w:p>
      <w:pPr>
        <w:pStyle w:val="Heading3"/>
      </w:pPr>
      <w:r>
        <w:rPr>
          <w:b/>
          <w:sz w:val="24"/>
          <w:rFonts w:ascii="Calibri" w:hAnsi="Calibri" w:eastAsia="Microsoft YaHei" w:cs="Calibri"/>
          <w:color w:val="4A5568"/>
          <w:szCs w:val="24"/>
        </w:rPr>
        <w:t>4.1.1 Appointment of Auditor</w:t>
      </w:r>
    </w:p>
    <w:p>
      <w:pPr>
        <w:pStyle w:val="Normal"/>
      </w:pPr>
      <w:r>
        <w:rPr>
          <w:rFonts w:ascii="Calibri" w:hAnsi="Calibri" w:eastAsia="Microsoft YaHei" w:cs="Calibri"/>
          <w:sz w:val="22"/>
          <w:color w:val="1E1E1E"/>
          <w:szCs w:val="22"/>
        </w:rPr>
        <w:t>The IMO appoints an independent, internationally recognized auditing firm to conduct the following audit functions: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Annual Financial Audit: Comprehensive review of the HSC's accounts, disbursements, reserve management, and financial controls.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Performance Audit: Assessment of the quality and cost-effectiveness of services provided by HSC-contracted service providers.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Compliance Audit: Verification that the HSC adheres to the terms of this Annex, including the non-discrimination, cost-recovery, and non-profit principles.</w:t>
      </w:r>
    </w:p>
    <w:p>
      <w:pPr>
        <w:pStyle w:val="Heading3"/>
      </w:pPr>
      <w:r>
        <w:rPr>
          <w:b/>
          <w:sz w:val="24"/>
          <w:rFonts w:ascii="Calibri" w:hAnsi="Calibri" w:eastAsia="Microsoft YaHei" w:cs="Calibri"/>
          <w:color w:val="4A5568"/>
          <w:szCs w:val="24"/>
        </w:rPr>
        <w:t>4.1.3 Audit Frequency</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Annual Full Audit: Comprehensive review of all financial statements and operations; the IMO delivers the report within 90 days of the fiscal year end.</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Quarterly Spot Audits: Random, unannounced reviews of specific transactions or service contracts.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Special Audits: Any Party or the JIC requests a special audit with 30 days notice; the IMO appoints auditors within 14 days of the request.</w:t>
      </w:r>
    </w:p>
    <w:p>
      <w:pPr>
        <w:pStyle w:val="Heading3"/>
      </w:pPr>
      <w:r>
        <w:rPr>
          <w:b/>
          <w:sz w:val="24"/>
          <w:rFonts w:ascii="Calibri" w:hAnsi="Calibri" w:eastAsia="Microsoft YaHei" w:cs="Calibri"/>
          <w:color w:val="4A5568"/>
          <w:szCs w:val="24"/>
        </w:rPr>
        <w:t>4.1.4 Audit Enforcement</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If the audit identifies material financial irregularities, the JIC convenes an emergency session within 14 days.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If the audit identifies fraud, corruption, or embezzlement, the matter proceeds to the relevant national authorities and the IMO.</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If the audit identifies non-compliance with cost-recovery or non-profit principles, the HSC Board corrects the non-compliance within 30 days and submits a corrective action plan to the JIC.</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If the non-compliance persists beyond 90 days, the JIC replaces the Board.</w:t>
      </w:r>
    </w:p>
    <w:p>
      <w:pPr>
        <w:pStyle w:val="Heading3"/>
      </w:pPr>
      <w:r>
        <w:rPr>
          <w:b/>
          <w:sz w:val="24"/>
          <w:rFonts w:ascii="Calibri" w:hAnsi="Calibri" w:eastAsia="Microsoft YaHei" w:cs="Calibri"/>
          <w:color w:val="4A5568"/>
          <w:szCs w:val="24"/>
        </w:rPr>
        <w:t>4.1.5 Audit Publication</w:t>
      </w:r>
    </w:p>
    <w:p>
      <w:pPr>
        <w:pStyle w:val="Normal"/>
        <w:spacing w:after="120"/>
        <w:ind w:left="720" w:hanging="360"/>
      </w:pPr>
      <w:r>
        <w:rPr>
          <w:rFonts w:ascii="Calibri" w:hAnsi="Calibri" w:eastAsia="Microsoft YaHei" w:cs="Calibri"/>
          <w:sz w:val="22"/>
          <w:color w:val="1E1E1E"/>
          <w:szCs w:val="22"/>
        </w:rPr>
        <w:t>The annual audit report is published publicly within 30 days of completion. The report is submitted to the JIC, all Parties, and the IMO. The report is posted on the HSC website in English, Farsi, and Arabic.</w:t>
      </w:r>
    </w:p>
    <w:p>
      <w:pPr>
        <w:pStyle w:val="Heading3"/>
      </w:pPr>
      <w:r>
        <w:rPr>
          <w:b/>
          <w:sz w:val="24"/>
          <w:rFonts w:ascii="Calibri" w:hAnsi="Calibri" w:eastAsia="Microsoft YaHei" w:cs="Calibri"/>
          <w:color w:val="4A5568"/>
          <w:szCs w:val="24"/>
        </w:rPr>
        <w:t>4.1.3 Audit Frequency</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Annual Full Audit: Comprehensive review of all financial statements and operations. The IMO delivers the annual audit report within 90 days of the fiscal year end.</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Quarterly Spot Audits: Random, unannounced reviews of specific transactions or service contracts.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Special Audits: Any Party or the JIC requests a special audit with 30 days notice. The IMO appoints auditors within 14 days of the request.</w:t>
      </w:r>
    </w:p>
    <w:p>
      <w:pPr>
        <w:pStyle w:val="Heading2"/>
      </w:pPr>
      <w:r>
        <w:rPr>
          <w:b/>
          <w:sz w:val="26"/>
          <w:rFonts w:ascii="Calibri" w:hAnsi="Calibri" w:eastAsia="Microsoft YaHei" w:cs="Calibri"/>
          <w:color w:val="1E1E1E"/>
          <w:szCs w:val="26"/>
        </w:rPr>
        <w:t>4.2 Transparency and Reporting</w:t>
      </w:r>
    </w:p>
    <w:p>
      <w:pPr>
        <w:pStyle w:val="Heading3"/>
      </w:pPr>
      <w:r>
        <w:rPr>
          <w:b/>
          <w:sz w:val="24"/>
          <w:rFonts w:ascii="Calibri" w:hAnsi="Calibri" w:eastAsia="Microsoft YaHei" w:cs="Calibri"/>
          <w:color w:val="4A5568"/>
          <w:szCs w:val="24"/>
        </w:rPr>
        <w:t>4.2.1 Annual Report</w:t>
      </w:r>
    </w:p>
    <w:p>
      <w:pPr>
        <w:pStyle w:val="Normal"/>
      </w:pPr>
      <w:r>
        <w:rPr>
          <w:rFonts w:ascii="Calibri" w:hAnsi="Calibri" w:eastAsia="Microsoft YaHei" w:cs="Calibri"/>
          <w:sz w:val="22"/>
          <w:color w:val="1E1E1E"/>
          <w:szCs w:val="22"/>
        </w:rPr>
        <w:t>The HSC publishes an Annual Report containing the following elements: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Audited financial statements prepared in accordance with International Financial Reporting Standards (IFRS).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Breakdown of fee revenues by corridor and vessel type.</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Breakdown of disbursements to each Party and service provider.</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Evaluation of service quality and cost-effectiveness.</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Recommendations for fee adjustments or operational improvements.</w:t>
      </w:r>
    </w:p>
    <w:p>
      <w:pPr>
        <w:pStyle w:val="Heading3"/>
      </w:pPr>
      <w:r>
        <w:rPr>
          <w:b/>
          <w:sz w:val="24"/>
          <w:rFonts w:ascii="Calibri" w:hAnsi="Calibri" w:eastAsia="Microsoft YaHei" w:cs="Calibri"/>
          <w:color w:val="4A5568"/>
          <w:szCs w:val="24"/>
        </w:rPr>
        <w:t>4.2.2 Quarterly Transparency Report</w:t>
      </w:r>
    </w:p>
    <w:p>
      <w:pPr>
        <w:pStyle w:val="Normal"/>
      </w:pPr>
      <w:r>
        <w:rPr>
          <w:rFonts w:ascii="Calibri" w:hAnsi="Calibri" w:eastAsia="Microsoft YaHei" w:cs="Calibri"/>
          <w:sz w:val="22"/>
          <w:color w:val="1E1E1E"/>
          <w:szCs w:val="22"/>
        </w:rPr>
        <w:t>The HSC publishes a Quarterly Transparency Report containing the following data:</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Total revenues collected during the quarter.</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Total disbursements made during the quarter.</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Current reserve fund balance.</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Number of vessels transiting, categorized by corridor.</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Any significant incidents, compliance issues, or service disruptions.</w:t>
      </w:r>
    </w:p>
    <w:p>
      <w:pPr>
        <w:pStyle w:val="Heading3"/>
      </w:pPr>
      <w:r>
        <w:rPr>
          <w:b/>
          <w:sz w:val="24"/>
          <w:rFonts w:ascii="Calibri" w:hAnsi="Calibri" w:eastAsia="Microsoft YaHei" w:cs="Calibri"/>
          <w:color w:val="4A5568"/>
          <w:szCs w:val="24"/>
        </w:rPr>
        <w:t>4.2.3 Public Access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All reports are published on a publicly accessible HSC website. The website operates in English, Farsi, and Arabic.</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All reports are submitted to the IMO for inclusion in its official records.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All reports are shared with the JIC and all Parties no later than 15 days after completion.</w:t>
      </w:r>
    </w:p>
    <w:p>
      <w:pPr>
        <w:pStyle w:val="Heading1"/>
      </w:pPr>
      <w:r>
        <w:rPr>
          <w:b/>
          <w:sz w:val="32"/>
          <w:rFonts w:ascii="Calibri" w:hAnsi="Calibri" w:eastAsia="Microsoft YaHei" w:cs="Calibri"/>
          <w:color w:val="1A2744"/>
          <w:szCs w:val="32"/>
        </w:rPr>
        <w:t>Article 5: Disbursements and Compliance Conditionality</w:t>
      </w:r>
    </w:p>
    <w:p>
      <w:pPr>
        <w:pStyle w:val="Heading2"/>
      </w:pPr>
      <w:r>
        <w:rPr>
          <w:b/>
          <w:sz w:val="26"/>
          <w:rFonts w:ascii="Calibri" w:hAnsi="Calibri" w:eastAsia="Microsoft YaHei" w:cs="Calibri"/>
          <w:color w:val="1E1E1E"/>
          <w:szCs w:val="26"/>
        </w:rPr>
        <w:t>5.1 Revenue Distribution Formula</w:t>
      </w:r>
    </w:p>
    <w:p>
      <w:pPr>
        <w:pStyle w:val="Heading3"/>
      </w:pPr>
      <w:r>
        <w:rPr>
          <w:b/>
          <w:sz w:val="24"/>
          <w:rFonts w:ascii="Calibri" w:hAnsi="Calibri" w:eastAsia="Microsoft YaHei" w:cs="Calibri"/>
          <w:color w:val="4A5568"/>
          <w:szCs w:val="24"/>
        </w:rPr>
        <w:t>5.1.1 Disbursement Allocation</w:t>
      </w:r>
    </w:p>
    <w:p>
      <w:pPr>
        <w:pStyle w:val="Normal"/>
      </w:pPr>
      <w:r>
        <w:rPr>
          <w:rFonts w:ascii="Calibri" w:hAnsi="Calibri" w:eastAsia="Microsoft YaHei" w:cs="Calibri"/>
          <w:sz w:val="22"/>
          <w:color w:val="1E1E1E"/>
          <w:szCs w:val="22"/>
        </w:rPr>
        <w:t>Net revenues, calculated as total fees collected less HSC operating costs and reserve fund contributions, disburse monthly according to the following allocation:</w:t>
      </w:r>
    </w:p>
    <w:tbl>
      <w:tblPr>
        <w:tblW w:w="5000" w:type="pct"/>
        <w:tblBorders>
          <w:top w:val="single" w:color="1a2744" w:sz="12"/>
          <w:bottom w:val="single" w:color="1a2744" w:sz="12"/>
          <w:left w:val="nil"/>
          <w:right w:val="nil"/>
          <w:insideH w:val="single" w:color="d1d5db" w:sz="4"/>
          <w:insideV w:val="nil"/>
        </w:tblBorders>
      </w:tblPr>
      <w:tblGrid>
        <w:gridCol w:w="3333"/>
        <w:gridCol w:w="3333"/>
        <w:gridCol w:w="3333"/>
      </w:tblGrid>
      <w:tr>
        <w:trPr>
          <w:tblHeader w:val="1"/>
        </w:trPr>
        <w:tc>
          <w:tcPr>
            <w:shd w:val="clear" w:fill="F1F2F4" w:color="auto"/>
            <w:tcW w:w="3333" w:type="auto"/>
          </w:tcPr>
          <w:p>
            <w:pPr>
              <w:pStyle w:val="Normal"/>
              <w:spacing w:before="60" w:after="60"/>
              <w:jc w:val="center"/>
            </w:pPr>
            <w:r>
              <w:rPr>
                <w:b/>
                <w:sz w:val="20"/>
                <w:color w:val="1E1E1E"/>
                <w:rFonts w:ascii="Calibri" w:hAnsi="Calibri" w:eastAsia="Microsoft YaHei" w:cs="Calibri"/>
                <w:szCs w:val="20"/>
              </w:rPr>
              <w:t>Recipient</w:t>
            </w:r>
          </w:p>
        </w:tc>
        <w:tc>
          <w:tcPr>
            <w:shd w:val="clear" w:fill="F1F2F4" w:color="auto"/>
            <w:tcW w:w="3333" w:type="auto"/>
          </w:tcPr>
          <w:p>
            <w:pPr>
              <w:pStyle w:val="Normal"/>
              <w:spacing w:before="60" w:after="60"/>
              <w:jc w:val="center"/>
            </w:pPr>
            <w:r>
              <w:rPr>
                <w:b/>
                <w:sz w:val="20"/>
                <w:color w:val="1E1E1E"/>
                <w:rFonts w:ascii="Calibri" w:hAnsi="Calibri" w:eastAsia="Microsoft YaHei" w:cs="Calibri"/>
                <w:szCs w:val="20"/>
              </w:rPr>
              <w:t>Percentage</w:t>
            </w:r>
          </w:p>
        </w:tc>
        <w:tc>
          <w:tcPr>
            <w:shd w:val="clear" w:fill="F1F2F4" w:color="auto"/>
            <w:tcW w:w="3333" w:type="auto"/>
          </w:tcPr>
          <w:p>
            <w:pPr>
              <w:pStyle w:val="Normal"/>
              <w:spacing w:before="60" w:after="60"/>
              <w:jc w:val="center"/>
            </w:pPr>
            <w:r>
              <w:rPr>
                <w:b/>
                <w:sz w:val="20"/>
                <w:color w:val="1E1E1E"/>
                <w:rFonts w:ascii="Calibri" w:hAnsi="Calibri" w:eastAsia="Microsoft YaHei" w:cs="Calibri"/>
                <w:szCs w:val="20"/>
              </w:rPr>
              <w:t>Purpose</w:t>
            </w:r>
          </w:p>
        </w:tc>
      </w:tr>
      <w:tr>
        <w:tc>
          <w:tcPr>
            <w:tcW w:w="3333" w:type="auto"/>
          </w:tcPr>
          <w:p>
            <w:pPr>
              <w:pStyle w:val="Normal"/>
              <w:spacing w:before="40" w:after="40"/>
              <w:jc w:val="left"/>
            </w:pPr>
            <w:r>
              <w:rPr>
                <w:sz w:val="20"/>
                <w:color w:val="1E1E1E"/>
                <w:rFonts w:ascii="Calibri" w:hAnsi="Calibri" w:eastAsia="Microsoft YaHei" w:cs="Calibri"/>
                <w:szCs w:val="20"/>
              </w:rPr>
              <w:t>Iran</w:t>
            </w:r>
          </w:p>
        </w:tc>
        <w:tc>
          <w:tcPr>
            <w:tcW w:w="3333" w:type="auto"/>
          </w:tcPr>
          <w:p>
            <w:pPr>
              <w:pStyle w:val="Normal"/>
              <w:spacing w:before="40" w:after="40"/>
              <w:jc w:val="left"/>
            </w:pPr>
            <w:r>
              <w:rPr>
                <w:sz w:val="20"/>
                <w:color w:val="1E1E1E"/>
                <w:rFonts w:ascii="Calibri" w:hAnsi="Calibri" w:eastAsia="Microsoft YaHei" w:cs="Calibri"/>
                <w:szCs w:val="20"/>
              </w:rPr>
              <w:t>50%</w:t>
            </w:r>
          </w:p>
        </w:tc>
        <w:tc>
          <w:tcPr>
            <w:tcW w:w="3333" w:type="auto"/>
          </w:tcPr>
          <w:p>
            <w:pPr>
              <w:pStyle w:val="Normal"/>
              <w:spacing w:before="40" w:after="40"/>
              <w:jc w:val="left"/>
            </w:pPr>
            <w:r>
              <w:rPr>
                <w:sz w:val="20"/>
                <w:color w:val="1E1E1E"/>
                <w:rFonts w:ascii="Calibri" w:hAnsi="Calibri" w:eastAsia="Microsoft YaHei" w:cs="Calibri"/>
                <w:szCs w:val="20"/>
              </w:rPr>
              <w:t>Provision of pilotage, VTS support, and navigational aids in the Northern Corridor</w:t>
            </w:r>
          </w:p>
        </w:tc>
      </w:tr>
      <w:tr>
        <w:tc>
          <w:tcPr>
            <w:tcW w:w="3333" w:type="auto"/>
          </w:tcPr>
          <w:p>
            <w:pPr>
              <w:pStyle w:val="Normal"/>
              <w:spacing w:before="40" w:after="40"/>
              <w:jc w:val="left"/>
            </w:pPr>
            <w:r>
              <w:rPr>
                <w:sz w:val="20"/>
                <w:color w:val="1E1E1E"/>
                <w:rFonts w:ascii="Calibri" w:hAnsi="Calibri" w:eastAsia="Microsoft YaHei" w:cs="Calibri"/>
                <w:szCs w:val="20"/>
              </w:rPr>
              <w:t>Oman</w:t>
            </w:r>
          </w:p>
        </w:tc>
        <w:tc>
          <w:tcPr>
            <w:tcW w:w="3333" w:type="auto"/>
          </w:tcPr>
          <w:p>
            <w:pPr>
              <w:pStyle w:val="Normal"/>
              <w:spacing w:before="40" w:after="40"/>
              <w:jc w:val="left"/>
            </w:pPr>
            <w:r>
              <w:rPr>
                <w:sz w:val="20"/>
                <w:color w:val="1E1E1E"/>
                <w:rFonts w:ascii="Calibri" w:hAnsi="Calibri" w:eastAsia="Microsoft YaHei" w:cs="Calibri"/>
                <w:szCs w:val="20"/>
              </w:rPr>
              <w:t>30%</w:t>
            </w:r>
          </w:p>
        </w:tc>
        <w:tc>
          <w:tcPr>
            <w:tcW w:w="3333" w:type="auto"/>
          </w:tcPr>
          <w:p>
            <w:pPr>
              <w:pStyle w:val="Normal"/>
              <w:spacing w:before="40" w:after="40"/>
              <w:jc w:val="left"/>
            </w:pPr>
            <w:r>
              <w:rPr>
                <w:sz w:val="20"/>
                <w:color w:val="1E1E1E"/>
                <w:rFonts w:ascii="Calibri" w:hAnsi="Calibri" w:eastAsia="Microsoft YaHei" w:cs="Calibri"/>
                <w:szCs w:val="20"/>
              </w:rPr>
              <w:t>Administrative support, VTS Coordination Hub operations, JIC and JERC facility costs, emergency response coordination</w:t>
            </w:r>
          </w:p>
        </w:tc>
      </w:tr>
      <w:tr>
        <w:tc>
          <w:tcPr>
            <w:tcW w:w="3333" w:type="auto"/>
          </w:tcPr>
          <w:p>
            <w:pPr>
              <w:pStyle w:val="Normal"/>
              <w:spacing w:before="40" w:after="40"/>
              <w:jc w:val="left"/>
            </w:pPr>
            <w:r>
              <w:rPr>
                <w:sz w:val="20"/>
                <w:color w:val="1E1E1E"/>
                <w:rFonts w:ascii="Calibri" w:hAnsi="Calibri" w:eastAsia="Microsoft YaHei" w:cs="Calibri"/>
                <w:szCs w:val="20"/>
              </w:rPr>
              <w:t>Reserve Fund</w:t>
            </w:r>
          </w:p>
        </w:tc>
        <w:tc>
          <w:tcPr>
            <w:tcW w:w="3333" w:type="auto"/>
          </w:tcPr>
          <w:p>
            <w:pPr>
              <w:pStyle w:val="Normal"/>
              <w:spacing w:before="40" w:after="40"/>
              <w:jc w:val="left"/>
            </w:pPr>
            <w:r>
              <w:rPr>
                <w:sz w:val="20"/>
                <w:color w:val="1E1E1E"/>
                <w:rFonts w:ascii="Calibri" w:hAnsi="Calibri" w:eastAsia="Microsoft YaHei" w:cs="Calibri"/>
                <w:szCs w:val="20"/>
              </w:rPr>
              <w:t>15%</w:t>
            </w:r>
          </w:p>
        </w:tc>
        <w:tc>
          <w:tcPr>
            <w:tcW w:w="3333" w:type="auto"/>
          </w:tcPr>
          <w:p>
            <w:pPr>
              <w:pStyle w:val="Normal"/>
              <w:spacing w:before="40" w:after="40"/>
              <w:jc w:val="left"/>
            </w:pPr>
            <w:r>
              <w:rPr>
                <w:sz w:val="20"/>
                <w:color w:val="1E1E1E"/>
                <w:rFonts w:ascii="Calibri" w:hAnsi="Calibri" w:eastAsia="Microsoft YaHei" w:cs="Calibri"/>
                <w:szCs w:val="20"/>
              </w:rPr>
              <w:t>Emergency response, oil spill containment, mine-clearance, environmental remediation</w:t>
            </w:r>
          </w:p>
        </w:tc>
      </w:tr>
      <w:tr>
        <w:tc>
          <w:tcPr>
            <w:tcW w:w="3333" w:type="auto"/>
          </w:tcPr>
          <w:p>
            <w:pPr>
              <w:pStyle w:val="Normal"/>
              <w:spacing w:before="40" w:after="40"/>
              <w:jc w:val="left"/>
            </w:pPr>
            <w:r>
              <w:rPr>
                <w:sz w:val="20"/>
                <w:color w:val="1E1E1E"/>
                <w:rFonts w:ascii="Calibri" w:hAnsi="Calibri" w:eastAsia="Microsoft YaHei" w:cs="Calibri"/>
                <w:szCs w:val="20"/>
              </w:rPr>
              <w:t>HSC Operating Costs</w:t>
            </w:r>
          </w:p>
        </w:tc>
        <w:tc>
          <w:tcPr>
            <w:tcW w:w="3333" w:type="auto"/>
          </w:tcPr>
          <w:p>
            <w:pPr>
              <w:pStyle w:val="Normal"/>
              <w:spacing w:before="40" w:after="40"/>
              <w:jc w:val="left"/>
            </w:pPr>
            <w:r>
              <w:rPr>
                <w:sz w:val="20"/>
                <w:color w:val="1E1E1E"/>
                <w:rFonts w:ascii="Calibri" w:hAnsi="Calibri" w:eastAsia="Microsoft YaHei" w:cs="Calibri"/>
                <w:szCs w:val="20"/>
              </w:rPr>
              <w:t>5%</w:t>
            </w:r>
          </w:p>
        </w:tc>
        <w:tc>
          <w:tcPr>
            <w:tcW w:w="3333" w:type="auto"/>
          </w:tcPr>
          <w:p>
            <w:pPr>
              <w:pStyle w:val="Normal"/>
              <w:spacing w:before="40" w:after="40"/>
              <w:jc w:val="left"/>
            </w:pPr>
            <w:r>
              <w:rPr>
                <w:sz w:val="20"/>
                <w:color w:val="1E1E1E"/>
                <w:rFonts w:ascii="Calibri" w:hAnsi="Calibri" w:eastAsia="Microsoft YaHei" w:cs="Calibri"/>
                <w:szCs w:val="20"/>
              </w:rPr>
              <w:t>Staff, IT systems, audit, legal, and administrative overhead</w:t>
            </w:r>
          </w:p>
        </w:tc>
      </w:tr>
    </w:tbl>
    <w:p>
      <w:pPr>
        <w:pStyle w:val="Normal"/>
      </w:pPr>
      <w:r>
        <w:rPr>
          <w:rFonts w:ascii="Calibri" w:hAnsi="Calibri" w:eastAsia="Microsoft YaHei" w:cs="Calibri"/>
          <w:sz w:val="22"/>
          <w:color w:val="1E1E1E"/>
          <w:szCs w:val="22"/>
        </w:rPr>
        <w:t>Note: These percentages align with HSU Article 4.3. The Board reviews percentages annually and adjusts them by a three-fourths majority vote.</w:t>
      </w:r>
    </w:p>
    <w:p>
      <w:pPr>
        <w:pStyle w:val="Heading3"/>
      </w:pPr>
      <w:r>
        <w:rPr>
          <w:b/>
          <w:sz w:val="24"/>
          <w:rFonts w:ascii="Calibri" w:hAnsi="Calibri" w:eastAsia="Microsoft YaHei" w:cs="Calibri"/>
          <w:color w:val="4A5568"/>
          <w:szCs w:val="24"/>
        </w:rPr>
        <w:t>5.1.2 Disbursement Mechanism</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Automatic Disbursement: On the 5th business day of each month, the HSC performs the following actions automatically: (i) the HSC calculates net revenues for the preceding month based on verified transit data; (ii) the HSC makes disbursements to each recipient via wire transfer to designated accounts; (iii) the HSC provides each recipient with a detailed statement of the calculation methodology.</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Verification Window: The Technical Working Group verifies transit data no later than the 3rd business day of each month. If verification delays beyond the 3rd business day, the HSC uses the prior month's data as a provisional basis. The HSC reconciles the difference in the following month's disbursement.</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Automatic Escrow Release: The escrow bank releases funds automatically on the 5th business day. No human intervention is required for routine disbursements. The escrow bank receives a standing instruction from the HSC Board.</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Suspension Override: The automatic disbursement suspends only if the JIC issues a valid Suspension Notice under Article 5.2. The Suspension Notice specifies: (i) the specific compliance failure; (ii) the metric that failed; (iii) the evidence supporting the determination. The Suspension Notice remains effective for 60 days unless the JIC renews it.</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Interest on Delays: If any disbursement delays beyond the 5th business day, interest accrues at the Omani central bank rate. The HSC pays interest to the recipient on the delayed amount.</w:t>
      </w:r>
    </w:p>
    <w:p>
      <w:pPr>
        <w:pStyle w:val="Normal"/>
        <w:spacing w:after="120"/>
        <w:ind w:left="720" w:hanging="360"/>
      </w:pPr>
      <w:r>
        <w:rPr>
          <w:b/>
          <w:color w:val="1A2744"/>
          <w:rFonts w:ascii="Calibri" w:hAnsi="Calibri" w:eastAsia="Microsoft YaHei" w:cs="Calibri"/>
          <w:sz w:val="22"/>
          <w:szCs w:val="22"/>
        </w:rPr>
        <w:t xml:space="preserve">(f) </w:t>
      </w:r>
      <w:r>
        <w:rPr>
          <w:rFonts w:ascii="Calibri" w:hAnsi="Calibri" w:eastAsia="Microsoft YaHei" w:cs="Calibri"/>
          <w:sz w:val="22"/>
          <w:color w:val="1E1E1E"/>
          <w:szCs w:val="22"/>
        </w:rPr>
        <w:t>Iran's disbursement goes to a designated account at the Central Bank of Iran or a Qatari bank holding frozen Iranian assets, as agreed between the Parties.</w:t>
      </w:r>
    </w:p>
    <w:p>
      <w:pPr>
        <w:pStyle w:val="Heading2"/>
      </w:pPr>
      <w:r>
        <w:rPr>
          <w:b/>
          <w:sz w:val="26"/>
          <w:rFonts w:ascii="Calibri" w:hAnsi="Calibri" w:eastAsia="Microsoft YaHei" w:cs="Calibri"/>
          <w:color w:val="1E1E1E"/>
          <w:szCs w:val="26"/>
        </w:rPr>
        <w:t>5.2 Compliance Conditionality</w:t>
      </w:r>
    </w:p>
    <w:p>
      <w:pPr>
        <w:pStyle w:val="Heading3"/>
      </w:pPr>
      <w:r>
        <w:rPr>
          <w:b/>
          <w:sz w:val="24"/>
          <w:rFonts w:ascii="Calibri" w:hAnsi="Calibri" w:eastAsia="Microsoft YaHei" w:cs="Calibri"/>
          <w:color w:val="4A5568"/>
          <w:szCs w:val="24"/>
        </w:rPr>
        <w:t>5.2.1 Core Principle</w:t>
      </w:r>
    </w:p>
    <w:p>
      <w:pPr>
        <w:pStyle w:val="Normal"/>
      </w:pPr>
      <w:r>
        <w:rPr>
          <w:rFonts w:ascii="Calibri" w:hAnsi="Calibri" w:eastAsia="Microsoft YaHei" w:cs="Calibri"/>
          <w:sz w:val="22"/>
          <w:color w:val="1E1E1E"/>
          <w:szCs w:val="22"/>
        </w:rPr>
        <w:t>Disbursements to Iran under Article 5.1(a) are expressly conditioned upon Iran's compliance with Annex 1AB (Navigation Safety and Deconfliction Protocol).</w:t>
      </w:r>
    </w:p>
    <w:p>
      <w:pPr>
        <w:pStyle w:val="Heading3"/>
      </w:pPr>
      <w:r>
        <w:rPr>
          <w:b/>
          <w:sz w:val="24"/>
          <w:rFonts w:ascii="Calibri" w:hAnsi="Calibri" w:eastAsia="Microsoft YaHei" w:cs="Calibri"/>
          <w:color w:val="4A5568"/>
          <w:szCs w:val="24"/>
        </w:rPr>
        <w:t>5.2.2 Objective Compliance Metrics</w:t>
      </w:r>
    </w:p>
    <w:p>
      <w:pPr>
        <w:pStyle w:val="Normal"/>
      </w:pPr>
      <w:r>
        <w:rPr>
          <w:rFonts w:ascii="Calibri" w:hAnsi="Calibri" w:eastAsia="Microsoft YaHei" w:cs="Calibri"/>
          <w:sz w:val="22"/>
          <w:color w:val="1E1E1E"/>
          <w:szCs w:val="22"/>
        </w:rPr>
        <w:t>The JIC determines compliance by reference to the following objective, measurable metrics, verified by at least two independent monitoring sources:</w:t>
      </w:r>
    </w:p>
    <w:tbl>
      <w:tblPr>
        <w:tblW w:w="5000" w:type="pct"/>
        <w:tblBorders>
          <w:top w:val="single" w:color="1a2744" w:sz="12"/>
          <w:bottom w:val="single" w:color="1a2744" w:sz="12"/>
          <w:left w:val="nil"/>
          <w:right w:val="nil"/>
          <w:insideH w:val="single" w:color="d1d5db" w:sz="4"/>
          <w:insideV w:val="nil"/>
        </w:tblBorders>
      </w:tblPr>
      <w:tblGrid>
        <w:gridCol w:w="2500"/>
        <w:gridCol w:w="2500"/>
        <w:gridCol w:w="2500"/>
        <w:gridCol w:w="2500"/>
      </w:tblGrid>
      <w:tr>
        <w:trPr>
          <w:tblHeader w:val="1"/>
        </w:trPr>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Metric</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Standard</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Measurement Period</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Failure Threshold</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Standoff Compliance</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At least 95% of transits maintain 1 NM standoff</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Quarterly</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More than 2 violations per quarter</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No-Go Zone Compliance</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100% compliance with Zone A/B/C/D</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Quarterly</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Any violation</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Hotline Responsiveness</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Response within 15 minutes</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Quarterly</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More than 2 missed responses per quarter</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Exercise Notification</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72-hour pre-notification</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Quarterly</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Any missed notification</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Incident Reporting</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Within 72 hours</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Quarterly</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More than 1 late report per quarter</w:t>
            </w:r>
          </w:p>
        </w:tc>
      </w:tr>
    </w:tbl>
    <w:p>
      <w:pPr>
        <w:pStyle w:val="Heading3"/>
      </w:pPr>
      <w:r>
        <w:rPr>
          <w:b/>
          <w:sz w:val="24"/>
          <w:rFonts w:ascii="Calibri" w:hAnsi="Calibri" w:eastAsia="Microsoft YaHei" w:cs="Calibri"/>
          <w:color w:val="4A5568"/>
          <w:szCs w:val="24"/>
        </w:rPr>
        <w:t>5.2.3 Compliance Determination</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The JIC determines compliance quarterly, based on the preceding 90-day period.</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Compliance determination operates by majority vote of the JIC (not unanimity).</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If the JIC determines that any of the five metrics failed more than the threshold in Article 5.2.2, Iran is not compliant for that quarter.</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If the JIC determines that all five metrics passed at or above the threshold in Article 5.2.2, Iran is compliant for that quarter.</w:t>
      </w:r>
    </w:p>
    <w:p>
      <w:pPr>
        <w:pStyle w:val="Heading3"/>
      </w:pPr>
      <w:r>
        <w:rPr>
          <w:b/>
          <w:sz w:val="24"/>
          <w:rFonts w:ascii="Calibri" w:hAnsi="Calibri" w:eastAsia="Microsoft YaHei" w:cs="Calibri"/>
          <w:color w:val="4A5568"/>
          <w:szCs w:val="24"/>
        </w:rPr>
        <w:t>5.2.5 Escrow During Dispute</w:t>
      </w:r>
    </w:p>
    <w:p>
      <w:pPr>
        <w:pStyle w:val="Normal"/>
      </w:pPr>
      <w:r>
        <w:rPr>
          <w:rFonts w:ascii="Calibri" w:hAnsi="Calibri" w:eastAsia="Microsoft YaHei" w:cs="Calibri"/>
          <w:sz w:val="22"/>
          <w:color w:val="1E1E1E"/>
          <w:szCs w:val="22"/>
        </w:rPr>
        <w:t>The following escrow provisions apply during the dispute resolution period:</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During the dispute resolution period, the HSC releases 50% of the disputed amount to Iran.</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The HSC holds the remaining 50% in escrow pending resolution.</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If Iran prevails, the HSC releases the remaining 50%.</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If the JIC prevails, the HSC allocates the remaining 50% to the Reserve Fund.</w:t>
      </w:r>
    </w:p>
    <w:p>
      <w:pPr>
        <w:pStyle w:val="Heading3"/>
      </w:pPr>
      <w:r>
        <w:rPr>
          <w:b/>
          <w:sz w:val="24"/>
          <w:rFonts w:ascii="Calibri" w:hAnsi="Calibri" w:eastAsia="Microsoft YaHei" w:cs="Calibri"/>
          <w:color w:val="4A5568"/>
          <w:szCs w:val="24"/>
        </w:rPr>
        <w:t>5.2.5 Non-Compliance Consequences</w:t>
      </w:r>
    </w:p>
    <w:p>
      <w:pPr>
        <w:pStyle w:val="Normal"/>
      </w:pPr>
      <w:r>
        <w:rPr>
          <w:rFonts w:ascii="Calibri" w:hAnsi="Calibri" w:eastAsia="Microsoft YaHei" w:cs="Calibri"/>
          <w:sz w:val="22"/>
          <w:color w:val="1E1E1E"/>
          <w:szCs w:val="22"/>
        </w:rPr>
        <w:t>The framework architecture applies the following graduated consequences based on the JIC's compliance determination:</w:t>
      </w:r>
    </w:p>
    <w:tbl>
      <w:tblPr>
        <w:tblW w:w="5000" w:type="pct"/>
        <w:tblBorders>
          <w:top w:val="single" w:color="1a2744" w:sz="12"/>
          <w:bottom w:val="single" w:color="1a2744" w:sz="12"/>
          <w:left w:val="nil"/>
          <w:right w:val="nil"/>
          <w:insideH w:val="single" w:color="d1d5db" w:sz="4"/>
          <w:insideV w:val="nil"/>
        </w:tblBorders>
      </w:tblPr>
      <w:tblGrid>
        <w:gridCol w:w="2500"/>
        <w:gridCol w:w="2500"/>
        <w:gridCol w:w="2500"/>
        <w:gridCol w:w="2500"/>
      </w:tblGrid>
      <w:tr>
        <w:trPr>
          <w:tblHeader w:val="1"/>
        </w:trPr>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Level</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Designation</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Trigger</w:t>
            </w:r>
          </w:p>
        </w:tc>
        <w:tc>
          <w:tcPr>
            <w:shd w:val="clear" w:fill="F1F2F4" w:color="auto"/>
            <w:tcW w:w="2500" w:type="auto"/>
          </w:tcPr>
          <w:p>
            <w:pPr>
              <w:pStyle w:val="Normal"/>
              <w:spacing w:before="60" w:after="60"/>
              <w:jc w:val="center"/>
            </w:pPr>
            <w:r>
              <w:rPr>
                <w:b/>
                <w:sz w:val="20"/>
                <w:color w:val="1E1E1E"/>
                <w:rFonts w:ascii="Calibri" w:hAnsi="Calibri" w:eastAsia="Microsoft YaHei" w:cs="Calibri"/>
                <w:szCs w:val="20"/>
              </w:rPr>
              <w:t>Disbursement Consequence</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Level 1</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Minor</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VHF protocol breach; minor administrative non-compliance</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JIC issues private Notice of Concern; disbursement proceeds as scheduled</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Level 2</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Moderate</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Unauthorized approach within standoff distance; minor interference with a Commercial Vessel</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JIC issues public Compliance Alert; Iran's monthly disbursement reduces by 10% for that month</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Level 3</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Serious</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Unauthorized mine-laying; vessel fired upon (without sinking); coercive boarding; systematic interference with HSC operations</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JIC issues Suspension Notice; all disbursements to Iran freeze for 60 days; mandatory JIC crisis session within 7 days</w:t>
            </w:r>
          </w:p>
        </w:tc>
      </w:tr>
      <w:tr>
        <w:trPr>
          <w:tblHeader w:val="1"/>
        </w:trPr>
        <w:tc>
          <w:tcPr>
            <w:shd w:val="clear" w:fill="F1F2F4" w:color="auto"/>
            <w:tcW w:w="2500" w:type="auto"/>
          </w:tcPr>
          <w:p>
            <w:pPr>
              <w:pStyle w:val="Normal"/>
              <w:spacing w:before="40" w:after="40"/>
              <w:jc w:val="left"/>
            </w:pPr>
            <w:r>
              <w:rPr>
                <w:sz w:val="20"/>
                <w:color w:val="1E1E1E"/>
                <w:rFonts w:ascii="Calibri" w:hAnsi="Calibri" w:eastAsia="Microsoft YaHei" w:cs="Calibri"/>
                <w:szCs w:val="20"/>
              </w:rPr>
              <w:t>Level 4</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Critical</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Closure of the Strait; sinking of a Commercial Vessel; material repudiation of this Annex</w:t>
            </w:r>
          </w:p>
        </w:tc>
        <w:tc>
          <w:tcPr>
            <w:shd w:val="clear" w:fill="F1F2F4" w:color="auto"/>
            <w:tcW w:w="2500" w:type="auto"/>
          </w:tcPr>
          <w:p>
            <w:pPr>
              <w:pStyle w:val="Normal"/>
              <w:spacing w:before="40" w:after="40"/>
              <w:jc w:val="left"/>
            </w:pPr>
            <w:r>
              <w:rPr>
                <w:sz w:val="20"/>
                <w:color w:val="1E1E1E"/>
                <w:rFonts w:ascii="Calibri" w:hAnsi="Calibri" w:eastAsia="Microsoft YaHei" w:cs="Calibri"/>
                <w:szCs w:val="20"/>
              </w:rPr>
              <w:t>HSU Article 8.1 Level 4 triggers; this Understanding suspends for 30 days; all reversible military measures under HSU Annex C automatically reinstate</w:t>
            </w:r>
          </w:p>
        </w:tc>
      </w:tr>
    </w:tbl>
    <w:p>
      <w:pPr>
        <w:pStyle w:val="Normal"/>
      </w:pPr>
      <w:r>
        <w:rPr>
          <w:rFonts w:ascii="Calibri" w:hAnsi="Calibri" w:eastAsia="Microsoft YaHei" w:cs="Calibri"/>
          <w:sz w:val="22"/>
          <w:color w:val="1E1E1E"/>
          <w:szCs w:val="22"/>
        </w:rPr>
        <w:t>Note: These levels align with HSU Article 8.1 (Escalation Ladder). Each level triggers automatically upon verification by at least two independent monitoring sources.</w:t>
      </w:r>
    </w:p>
    <w:p>
      <w:pPr>
        <w:pStyle w:val="Heading3"/>
      </w:pPr>
      <w:r>
        <w:rPr>
          <w:b/>
          <w:sz w:val="24"/>
          <w:rFonts w:ascii="Calibri" w:hAnsi="Calibri" w:eastAsia="Microsoft YaHei" w:cs="Calibri"/>
          <w:color w:val="4A5568"/>
          <w:szCs w:val="24"/>
        </w:rPr>
        <w:t>5.2.6 Release of Suspended Funds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Suspended funds remain in the Distribution Account pending resolution of the compliance issue.</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Upon JIC certification that the compliance issue is resolved, the HSC releases suspended funds to the designated recipient.</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If a compliance issue remains unresolved for more than 90 days, the JIC reallocates suspended funds to the Reserve Fund by majority vote.</w:t>
      </w:r>
    </w:p>
    <w:p>
      <w:pPr>
        <w:pStyle w:val="Heading2"/>
      </w:pPr>
      <w:r>
        <w:rPr>
          <w:b/>
          <w:sz w:val="26"/>
          <w:rFonts w:ascii="Calibri" w:hAnsi="Calibri" w:eastAsia="Microsoft YaHei" w:cs="Calibri"/>
          <w:color w:val="1E1E1E"/>
          <w:szCs w:val="26"/>
        </w:rPr>
        <w:t>5.3 Audit Trail and Accountability</w:t>
      </w:r>
    </w:p>
    <w:p>
      <w:pPr>
        <w:pStyle w:val="Heading3"/>
      </w:pPr>
      <w:r>
        <w:rPr>
          <w:b/>
          <w:sz w:val="24"/>
          <w:rFonts w:ascii="Calibri" w:hAnsi="Calibri" w:eastAsia="Microsoft YaHei" w:cs="Calibri"/>
          <w:color w:val="4A5568"/>
          <w:szCs w:val="24"/>
        </w:rPr>
        <w:t>5.3.1 Iran's Internal Accountability</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Iran maintains separate accounting of all HSC disbursements received.</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Iran submits to annual IMO audit of its use of HSC funds.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Iran provides the JIC with quarterly reports on service delivery in the Northern Corridor.</w:t>
      </w:r>
    </w:p>
    <w:p>
      <w:pPr>
        <w:pStyle w:val="Heading3"/>
      </w:pPr>
      <w:r>
        <w:rPr>
          <w:b/>
          <w:sz w:val="24"/>
          <w:rFonts w:ascii="Calibri" w:hAnsi="Calibri" w:eastAsia="Microsoft YaHei" w:cs="Calibri"/>
          <w:color w:val="4A5568"/>
          <w:szCs w:val="24"/>
        </w:rPr>
        <w:t>5.3.2 Service Provider Accountability</w:t>
      </w:r>
    </w:p>
    <w:p>
      <w:pPr>
        <w:pStyle w:val="Normal"/>
        <w:spacing w:after="120"/>
        <w:ind w:left="720" w:hanging="360"/>
      </w:pPr>
      <w:r>
        <w:rPr>
          <w:rFonts w:ascii="Calibri" w:hAnsi="Calibri" w:eastAsia="Microsoft YaHei" w:cs="Calibri"/>
          <w:sz w:val="22"/>
          <w:color w:val="1E1E1E"/>
          <w:szCs w:val="22"/>
        </w:rPr>
        <w:t>All service providers meet the following minimum performance standards:</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Pilotage: Availability within 2 hours of request; IMO-certified pilots; maximum 5% accident rate.</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Towage: 30-minute readiness status; 24/7 availability; maximum 5% equipment failure rate.</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VTS Operations: 99.9% uptime; position updates every 5 minutes; hazard notifications within 15 minutes.</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Navigational Aids: 99.5% uptime for buoys, beacons, and lights; annual inspection by IMO.</w:t>
      </w:r>
    </w:p>
    <w:p>
      <w:pPr>
        <w:pStyle w:val="Normal"/>
        <w:spacing w:after="120"/>
        <w:ind w:left="720" w:hanging="360"/>
      </w:pPr>
      <w:r>
        <w:rPr>
          <w:b/>
          <w:color w:val="1A2744"/>
          <w:rFonts w:ascii="Calibri" w:hAnsi="Calibri" w:eastAsia="Microsoft YaHei" w:cs="Calibri"/>
          <w:sz w:val="22"/>
          <w:szCs w:val="22"/>
        </w:rPr>
        <w:t xml:space="preserve">(v) </w:t>
      </w:r>
      <w:r>
        <w:rPr>
          <w:rFonts w:ascii="Calibri" w:hAnsi="Calibri" w:eastAsia="Microsoft YaHei" w:cs="Calibri"/>
          <w:sz w:val="22"/>
          <w:color w:val="1E1E1E"/>
          <w:szCs w:val="22"/>
        </w:rPr>
        <w:t>Hydrographic Services: Annual chart updates; depth soundings every 6 months; real-time navigational warnings.</w:t>
      </w:r>
    </w:p>
    <w:p>
      <w:pPr>
        <w:pStyle w:val="Normal"/>
      </w:pPr>
      <w:r>
        <w:rPr>
          <w:rFonts w:ascii="Calibri" w:hAnsi="Calibri" w:eastAsia="Microsoft YaHei" w:cs="Calibri"/>
          <w:sz w:val="22"/>
          <w:color w:val="1E1E1E"/>
          <w:szCs w:val="22"/>
        </w:rPr>
        <w:t>Service providers undergo quarterly evaluation against the performance standards. The Technical Working Group and the IMO auditor verify metrics. Service providers submit quarterly performance reports to the HSC and JIC.</w:t>
      </w:r>
    </w:p>
    <w:p>
      <w:pPr>
        <w:pStyle w:val="Heading3"/>
      </w:pPr>
      <w:r>
        <w:rPr>
          <w:b/>
          <w:sz w:val="24"/>
          <w:rFonts w:ascii="Calibri" w:hAnsi="Calibri" w:eastAsia="Microsoft YaHei" w:cs="Calibri"/>
          <w:color w:val="4A5568"/>
          <w:szCs w:val="24"/>
        </w:rPr>
        <w:t>5.3.3 Performance Consequences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Satisfactory Performance: The service provider receives full payment.</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Minor Deficiency: The service provider receives a private Notice of Concern; corrective action is required within 30 days.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Significant Deficiency: The service provider receives a public Compliance Alert; the HSC reduces payment by 10% until correction.</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Critical Deficiency: The HSC suspends the service provider's contract and procures alternative services.</w:t>
      </w:r>
    </w:p>
    <w:p>
      <w:pPr>
        <w:pStyle w:val="Heading3"/>
      </w:pPr>
      <w:r>
        <w:rPr>
          <w:b/>
          <w:sz w:val="24"/>
          <w:rFonts w:ascii="Calibri" w:hAnsi="Calibri" w:eastAsia="Microsoft YaHei" w:cs="Calibri"/>
          <w:color w:val="4A5568"/>
          <w:szCs w:val="24"/>
        </w:rPr>
        <w:t>5.3.4 Service Provider Audits</w:t>
      </w:r>
    </w:p>
    <w:p>
      <w:pPr>
        <w:pStyle w:val="Normal"/>
        <w:spacing w:after="120"/>
        <w:ind w:left="720" w:hanging="360"/>
      </w:pPr>
      <w:r>
        <w:rPr>
          <w:rFonts w:ascii="Calibri" w:hAnsi="Calibri" w:eastAsia="Microsoft YaHei" w:cs="Calibri"/>
          <w:sz w:val="22"/>
          <w:color w:val="1E1E1E"/>
          <w:szCs w:val="22"/>
        </w:rPr>
        <w:t>All service providers undergo annual IMO audit. Audits assess financial integrity, operational performance, and compliance with service standards. The HSC publishes audit findings in the quarterly Compliance Report.</w:t>
      </w:r>
    </w:p>
    <w:p>
      <w:pPr>
        <w:pStyle w:val="Heading3"/>
      </w:pPr>
      <w:r>
        <w:rPr>
          <w:b/>
          <w:sz w:val="24"/>
          <w:rFonts w:ascii="Calibri" w:hAnsi="Calibri" w:eastAsia="Microsoft YaHei" w:cs="Calibri"/>
          <w:color w:val="4A5568"/>
          <w:szCs w:val="24"/>
        </w:rPr>
        <w:t>5.3.5 Service Provider Grievance</w:t>
      </w:r>
    </w:p>
    <w:p>
      <w:pPr>
        <w:pStyle w:val="Normal"/>
        <w:spacing w:after="120"/>
        <w:ind w:left="720" w:hanging="360"/>
      </w:pPr>
      <w:r>
        <w:rPr>
          <w:rFonts w:ascii="Calibri" w:hAnsi="Calibri" w:eastAsia="Microsoft YaHei" w:cs="Calibri"/>
          <w:sz w:val="22"/>
          <w:color w:val="1E1E1E"/>
          <w:szCs w:val="22"/>
        </w:rPr>
        <w:t>Service providers appeal performance determinations to the JIC. The JIC reviews the appeal and issues a final determination within 30 days. If the JIC finds in the service provider's favor, the HSC reverses the determination and refunds any financial penalty.</w:t>
      </w:r>
    </w:p>
    <w:p>
      <w:pPr>
        <w:pStyle w:val="Heading1"/>
      </w:pPr>
      <w:r>
        <w:rPr>
          <w:b/>
          <w:sz w:val="32"/>
          <w:rFonts w:ascii="Calibri" w:hAnsi="Calibri" w:eastAsia="Microsoft YaHei" w:cs="Calibri"/>
          <w:color w:val="1A2744"/>
          <w:szCs w:val="32"/>
        </w:rPr>
        <w:t>Article 6: Dispute Resolution</w:t>
      </w:r>
    </w:p>
    <w:p>
      <w:pPr>
        <w:pStyle w:val="Heading2"/>
      </w:pPr>
      <w:r>
        <w:rPr>
          <w:b/>
          <w:sz w:val="26"/>
          <w:rFonts w:ascii="Calibri" w:hAnsi="Calibri" w:eastAsia="Microsoft YaHei" w:cs="Calibri"/>
          <w:color w:val="1E1E1E"/>
          <w:szCs w:val="26"/>
        </w:rPr>
        <w:t>6.1 HSC-Level Disputes</w:t>
      </w:r>
    </w:p>
    <w:p>
      <w:pPr>
        <w:pStyle w:val="Heading3"/>
      </w:pPr>
      <w:r>
        <w:rPr>
          <w:b/>
          <w:sz w:val="24"/>
          <w:rFonts w:ascii="Calibri" w:hAnsi="Calibri" w:eastAsia="Microsoft YaHei" w:cs="Calibri"/>
          <w:color w:val="4A5568"/>
          <w:szCs w:val="24"/>
        </w:rPr>
        <w:t>6.1.1 Internal Grievance Mechanism</w:t>
      </w:r>
    </w:p>
    <w:p>
      <w:pPr>
        <w:pStyle w:val="Normal"/>
      </w:pPr>
      <w:r>
        <w:rPr>
          <w:rFonts w:ascii="Calibri" w:hAnsi="Calibri" w:eastAsia="Microsoft YaHei" w:cs="Calibri"/>
          <w:sz w:val="22"/>
          <w:color w:val="1E1E1E"/>
          <w:szCs w:val="22"/>
        </w:rPr>
        <w:t>Any Party, vessel operator, or service provider submits a grievance to the HSC regarding any of the following matters: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Fee assessments or invoicing errors.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Denial of services.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Service quality or safety concerns.</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Disbursement calculations or delays.</w:t>
      </w:r>
    </w:p>
    <w:p>
      <w:pPr>
        <w:pStyle w:val="Normal"/>
      </w:pPr>
      <w:r>
        <w:rPr>
          <w:rFonts w:ascii="Calibri" w:hAnsi="Calibri" w:eastAsia="Microsoft YaHei" w:cs="Calibri"/>
          <w:sz w:val="22"/>
          <w:color w:val="1E1E1E"/>
          <w:szCs w:val="22"/>
        </w:rPr>
        <w:t>The HSC responds to all grievances in writing within 30 days of receipt.</w:t>
      </w:r>
    </w:p>
    <w:p>
      <w:pPr>
        <w:pStyle w:val="Heading3"/>
      </w:pPr>
      <w:r>
        <w:rPr>
          <w:b/>
          <w:sz w:val="24"/>
          <w:rFonts w:ascii="Calibri" w:hAnsi="Calibri" w:eastAsia="Microsoft YaHei" w:cs="Calibri"/>
          <w:color w:val="4A5568"/>
          <w:szCs w:val="24"/>
        </w:rPr>
        <w:t>6.1.2 Appeal to JIC</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If the HSC response does not resolve the grievance, the grievant appeals to the JIC.</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The JIC convenes a dispute resolution panel within 45 days of the appeal.</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The panel consists of one representative from Iran, one representative from the United States, and a neutral chair from Oman.</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The panel's decision is binding on the HSC. The HSC implements the decision within 15 days of issuance.</w:t>
      </w:r>
    </w:p>
    <w:p>
      <w:pPr>
        <w:pStyle w:val="Heading2"/>
      </w:pPr>
      <w:r>
        <w:rPr>
          <w:b/>
          <w:sz w:val="26"/>
          <w:rFonts w:ascii="Calibri" w:hAnsi="Calibri" w:eastAsia="Microsoft YaHei" w:cs="Calibri"/>
          <w:color w:val="1E1E1E"/>
          <w:szCs w:val="26"/>
        </w:rPr>
        <w:t>6.2 Interstate Disputes</w:t>
      </w:r>
    </w:p>
    <w:p>
      <w:pPr>
        <w:pStyle w:val="Heading3"/>
      </w:pPr>
      <w:r>
        <w:rPr>
          <w:b/>
          <w:sz w:val="24"/>
          <w:rFonts w:ascii="Calibri" w:hAnsi="Calibri" w:eastAsia="Microsoft YaHei" w:cs="Calibri"/>
          <w:color w:val="4A5568"/>
          <w:szCs w:val="24"/>
        </w:rPr>
        <w:t>6.2.1 JIC Consultation</w:t>
      </w:r>
    </w:p>
    <w:p>
      <w:pPr>
        <w:pStyle w:val="Normal"/>
      </w:pPr>
      <w:r>
        <w:rPr>
          <w:rFonts w:ascii="Calibri" w:hAnsi="Calibri" w:eastAsia="Microsoft YaHei" w:cs="Calibri"/>
          <w:sz w:val="22"/>
          <w:color w:val="1E1E1E"/>
          <w:szCs w:val="22"/>
        </w:rPr>
        <w:t>Any dispute between Parties regarding the interpretation or implementation of this Annex first goes to the JIC for consultation and resolution. The JIC follows the decision-making procedures set out in HSU Article 7.3.</w:t>
      </w:r>
    </w:p>
    <w:p>
      <w:pPr>
        <w:pStyle w:val="Heading3"/>
      </w:pPr>
      <w:r>
        <w:rPr>
          <w:b/>
          <w:sz w:val="24"/>
          <w:rFonts w:ascii="Calibri" w:hAnsi="Calibri" w:eastAsia="Microsoft YaHei" w:cs="Calibri"/>
          <w:color w:val="4A5568"/>
          <w:szCs w:val="24"/>
        </w:rPr>
        <w:t>6.2.2 Binding Arbitration</w:t>
      </w:r>
    </w:p>
    <w:p>
      <w:pPr>
        <w:pStyle w:val="Normal"/>
      </w:pPr>
      <w:r>
        <w:rPr>
          <w:rFonts w:ascii="Calibri" w:hAnsi="Calibri" w:eastAsia="Microsoft YaHei" w:cs="Calibri"/>
          <w:sz w:val="22"/>
          <w:color w:val="1E1E1E"/>
          <w:szCs w:val="22"/>
        </w:rPr>
        <w:t>If the JIC does not resolve the dispute within 60 days, the dispute proceeds to binding arbitration under the following terms: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Arbitrator Appointment: The Parties jointly appoint the arbitrator. If the Parties cannot agree, the Secretary-General of the IMO appoints the arbitrator.</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Venue: The arbitration takes place in Muscat, Sultanate of Oman. If either Party objects to Muscat, the arbitration moves to Geneva, Switzerland.</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Rules: The arbitration operates under the UNCITRAL Arbitration Rules.</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Language: English serves as the sole language of arbitration.</w:t>
      </w:r>
    </w:p>
    <w:p>
      <w:pPr>
        <w:pStyle w:val="Normal"/>
        <w:spacing w:after="120"/>
        <w:ind w:left="720" w:hanging="360"/>
      </w:pPr>
      <w:r>
        <w:rPr>
          <w:b/>
          <w:color w:val="1A2744"/>
          <w:rFonts w:ascii="Calibri" w:hAnsi="Calibri" w:eastAsia="Microsoft YaHei" w:cs="Calibri"/>
          <w:sz w:val="22"/>
          <w:szCs w:val="22"/>
        </w:rPr>
        <w:t xml:space="preserve">(e) </w:t>
      </w:r>
      <w:r>
        <w:rPr>
          <w:rFonts w:ascii="Calibri" w:hAnsi="Calibri" w:eastAsia="Microsoft YaHei" w:cs="Calibri"/>
          <w:sz w:val="22"/>
          <w:color w:val="1E1E1E"/>
          <w:szCs w:val="22"/>
        </w:rPr>
        <w:t>Decision: The arbitration decision is final and binding on all Parties. No appeal mechanism exists.</w:t>
      </w:r>
    </w:p>
    <w:p>
      <w:pPr>
        <w:pStyle w:val="Normal"/>
        <w:spacing w:after="120"/>
        <w:ind w:left="720" w:hanging="360"/>
      </w:pPr>
      <w:r>
        <w:rPr>
          <w:b/>
          <w:color w:val="1A2744"/>
          <w:rFonts w:ascii="Calibri" w:hAnsi="Calibri" w:eastAsia="Microsoft YaHei" w:cs="Calibri"/>
          <w:sz w:val="22"/>
          <w:szCs w:val="22"/>
        </w:rPr>
        <w:t xml:space="preserve">(f) </w:t>
      </w:r>
      <w:r>
        <w:rPr>
          <w:rFonts w:ascii="Calibri" w:hAnsi="Calibri" w:eastAsia="Microsoft YaHei" w:cs="Calibri"/>
          <w:sz w:val="22"/>
          <w:color w:val="1E1E1E"/>
          <w:szCs w:val="22"/>
        </w:rPr>
        <w:t>Standstill: During the arbitration window, no unilateral coercive action, including military or economic measures, is taken by either Party. All provisions of this Annex remain in full effect. The JIC continues its monitoring and reporting functions without interruption.</w:t>
      </w:r>
    </w:p>
    <w:p>
      <w:pPr>
        <w:pStyle w:val="Heading1"/>
      </w:pPr>
      <w:r>
        <w:rPr>
          <w:b/>
          <w:sz w:val="32"/>
          <w:rFonts w:ascii="Calibri" w:hAnsi="Calibri" w:eastAsia="Microsoft YaHei" w:cs="Calibri"/>
          <w:color w:val="1A2744"/>
          <w:szCs w:val="32"/>
        </w:rPr>
        <w:t>Article 7: Technical Review and Amendments</w:t>
      </w:r>
    </w:p>
    <w:p>
      <w:pPr>
        <w:pStyle w:val="Heading2"/>
      </w:pPr>
      <w:r>
        <w:rPr>
          <w:b/>
          <w:sz w:val="26"/>
          <w:rFonts w:ascii="Calibri" w:hAnsi="Calibri" w:eastAsia="Microsoft YaHei" w:cs="Calibri"/>
          <w:color w:val="1E1E1E"/>
          <w:szCs w:val="26"/>
        </w:rPr>
        <w:t>7.1 Annual Financial Review</w:t>
      </w:r>
    </w:p>
    <w:p>
      <w:pPr>
        <w:pStyle w:val="Heading3"/>
      </w:pPr>
      <w:r>
        <w:rPr>
          <w:b/>
          <w:sz w:val="24"/>
          <w:rFonts w:ascii="Calibri" w:hAnsi="Calibri" w:eastAsia="Microsoft YaHei" w:cs="Calibri"/>
          <w:color w:val="4A5568"/>
          <w:szCs w:val="24"/>
        </w:rPr>
        <w:t>7.1.1 Review Process</w:t>
      </w:r>
    </w:p>
    <w:p>
      <w:pPr>
        <w:pStyle w:val="Normal"/>
      </w:pPr>
      <w:r>
        <w:rPr>
          <w:rFonts w:ascii="Calibri" w:hAnsi="Calibri" w:eastAsia="Microsoft YaHei" w:cs="Calibri"/>
          <w:sz w:val="22"/>
          <w:color w:val="1E1E1E"/>
          <w:szCs w:val="22"/>
        </w:rPr>
        <w:t>The JIC conducts an Annual Financial Review of this Annex. The review encompasses the following elements: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Assessment of fee adequacy and cost-recovery performance.</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Review of compliance conditionality effectiveness.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Evaluation of IMO audit findings and recommendations.</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Identification of necessary adjustments to fee rates and disbursement percentages.</w:t>
      </w:r>
    </w:p>
    <w:p>
      <w:pPr>
        <w:pStyle w:val="Heading3"/>
      </w:pPr>
      <w:r>
        <w:rPr>
          <w:b/>
          <w:sz w:val="24"/>
          <w:rFonts w:ascii="Calibri" w:hAnsi="Calibri" w:eastAsia="Microsoft YaHei" w:cs="Calibri"/>
          <w:color w:val="4A5568"/>
          <w:szCs w:val="24"/>
        </w:rPr>
        <w:t>7.1.2 Adjustments</w:t>
      </w:r>
    </w:p>
    <w:p>
      <w:pPr>
        <w:pStyle w:val="Normal"/>
      </w:pPr>
      <w:r>
        <w:rPr>
          <w:rFonts w:ascii="Calibri" w:hAnsi="Calibri" w:eastAsia="Microsoft YaHei" w:cs="Calibri"/>
          <w:sz w:val="22"/>
          <w:color w:val="1E1E1E"/>
          <w:szCs w:val="22"/>
        </w:rPr>
        <w:t>The Board makes adjustments to fee rates and disbursement percentages by a three-fourths majority vote. All adjustments are subject to JIC approval before implementation.</w:t>
      </w:r>
    </w:p>
    <w:p>
      <w:pPr>
        <w:pStyle w:val="Heading2"/>
      </w:pPr>
      <w:r>
        <w:rPr>
          <w:b/>
          <w:sz w:val="26"/>
          <w:rFonts w:ascii="Calibri" w:hAnsi="Calibri" w:eastAsia="Microsoft YaHei" w:cs="Calibri"/>
          <w:color w:val="1E1E1E"/>
          <w:szCs w:val="26"/>
        </w:rPr>
        <w:t>7.2 Amendments</w:t>
      </w:r>
    </w:p>
    <w:p>
      <w:pPr>
        <w:pStyle w:val="Heading3"/>
      </w:pPr>
      <w:r>
        <w:rPr>
          <w:b/>
          <w:sz w:val="24"/>
          <w:rFonts w:ascii="Calibri" w:hAnsi="Calibri" w:eastAsia="Microsoft YaHei" w:cs="Calibri"/>
          <w:color w:val="4A5568"/>
          <w:szCs w:val="24"/>
        </w:rPr>
        <w:t>7.2.1 Proposed Amendments</w:t>
      </w:r>
    </w:p>
    <w:p>
      <w:pPr>
        <w:pStyle w:val="Normal"/>
      </w:pPr>
      <w:r>
        <w:rPr>
          <w:rFonts w:ascii="Calibri" w:hAnsi="Calibri" w:eastAsia="Microsoft YaHei" w:cs="Calibri"/>
          <w:sz w:val="22"/>
          <w:color w:val="1E1E1E"/>
          <w:szCs w:val="22"/>
        </w:rPr>
        <w:t>Any Party proposes amendments to this Annex by submitting the proposal in writing to the JIC and the HSC Board. The proposal specifies the text of the proposed amendment and the rationale for the change.</w:t>
      </w:r>
    </w:p>
    <w:p>
      <w:pPr>
        <w:pStyle w:val="Heading3"/>
      </w:pPr>
      <w:r>
        <w:rPr>
          <w:b/>
          <w:sz w:val="24"/>
          <w:rFonts w:ascii="Calibri" w:hAnsi="Calibri" w:eastAsia="Microsoft YaHei" w:cs="Calibri"/>
          <w:color w:val="4A5568"/>
          <w:szCs w:val="24"/>
        </w:rPr>
        <w:t>7.2.2 Adoption Process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The Board adopts amendments by consensus where possible.</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If consensus is not achievable, the JIC approves amendments by a two-thirds majority of voting members.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All amendments require written ratification by all Parties to enter into force.</w:t>
      </w:r>
    </w:p>
    <w:p>
      <w:pPr>
        <w:pStyle w:val="Heading3"/>
      </w:pPr>
      <w:r>
        <w:rPr>
          <w:b/>
          <w:sz w:val="24"/>
          <w:rFonts w:ascii="Calibri" w:hAnsi="Calibri" w:eastAsia="Microsoft YaHei" w:cs="Calibri"/>
          <w:color w:val="4A5568"/>
          <w:szCs w:val="24"/>
        </w:rPr>
        <w:t>7.2.3 Emergency Amendments</w:t>
      </w:r>
    </w:p>
    <w:p>
      <w:pPr>
        <w:pStyle w:val="Normal"/>
      </w:pPr>
      <w:r>
        <w:rPr>
          <w:rFonts w:ascii="Calibri" w:hAnsi="Calibri" w:eastAsia="Microsoft YaHei" w:cs="Calibri"/>
          <w:sz w:val="22"/>
          <w:color w:val="1E1E1E"/>
          <w:szCs w:val="22"/>
        </w:rPr>
        <w:t>In the event of a financial crisis, security threat, or significant operational failure:</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The JIC adopts emergency amendments by a three-fourths majority vote.</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Emergency amendments take effect immediately upon adoption.</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The JIC reviews all emergency amendments at its next regular session and either ratifies, modifies, or rescinds them.</w:t>
      </w:r>
    </w:p>
    <w:p>
      <w:pPr>
        <w:pStyle w:val="Heading1"/>
      </w:pPr>
      <w:r>
        <w:rPr>
          <w:b/>
          <w:sz w:val="32"/>
          <w:rFonts w:ascii="Calibri" w:hAnsi="Calibri" w:eastAsia="Microsoft YaHei" w:cs="Calibri"/>
          <w:color w:val="1A2744"/>
          <w:szCs w:val="32"/>
        </w:rPr>
        <w:t>Article 8: Final Provisions</w:t>
      </w:r>
    </w:p>
    <w:p>
      <w:pPr>
        <w:pStyle w:val="Heading2"/>
      </w:pPr>
      <w:r>
        <w:rPr>
          <w:b/>
          <w:sz w:val="26"/>
          <w:rFonts w:ascii="Calibri" w:hAnsi="Calibri" w:eastAsia="Microsoft YaHei" w:cs="Calibri"/>
          <w:color w:val="1E1E1E"/>
          <w:szCs w:val="26"/>
        </w:rPr>
        <w:t>8.1 Duration and Termination</w:t>
      </w:r>
    </w:p>
    <w:p>
      <w:pPr>
        <w:pStyle w:val="Heading3"/>
      </w:pPr>
      <w:r>
        <w:rPr>
          <w:b/>
          <w:sz w:val="24"/>
          <w:rFonts w:ascii="Calibri" w:hAnsi="Calibri" w:eastAsia="Microsoft YaHei" w:cs="Calibri"/>
          <w:color w:val="4A5568"/>
          <w:szCs w:val="24"/>
        </w:rPr>
        <w:t>8.1.1 Duration</w:t>
      </w:r>
    </w:p>
    <w:p>
      <w:pPr>
        <w:pStyle w:val="Normal"/>
      </w:pPr>
      <w:r>
        <w:rPr>
          <w:rFonts w:ascii="Calibri" w:hAnsi="Calibri" w:eastAsia="Microsoft YaHei" w:cs="Calibri"/>
          <w:sz w:val="22"/>
          <w:color w:val="1E1E1E"/>
          <w:szCs w:val="22"/>
        </w:rPr>
        <w:t>This Annex remains in effect for the duration of the HSU (24 months from the date of HSU signing, renewable under HSU Article 9.2).</w:t>
      </w:r>
    </w:p>
    <w:p>
      <w:pPr>
        <w:pStyle w:val="Heading3"/>
      </w:pPr>
      <w:r>
        <w:rPr>
          <w:b/>
          <w:sz w:val="24"/>
          <w:rFonts w:ascii="Calibri" w:hAnsi="Calibri" w:eastAsia="Microsoft YaHei" w:cs="Calibri"/>
          <w:color w:val="4A5568"/>
          <w:szCs w:val="24"/>
        </w:rPr>
        <w:t>8.1.2 Termination</w:t>
      </w:r>
    </w:p>
    <w:p>
      <w:pPr>
        <w:pStyle w:val="Normal"/>
      </w:pPr>
      <w:r>
        <w:rPr>
          <w:rFonts w:ascii="Calibri" w:hAnsi="Calibri" w:eastAsia="Microsoft YaHei" w:cs="Calibri"/>
          <w:sz w:val="22"/>
          <w:color w:val="1E1E1E"/>
          <w:szCs w:val="22"/>
        </w:rPr>
        <w:t>Termination of this Annex follows HSU Article 9.3 (Withdrawal). The following provisions apply upon termination:</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The HSC continues to operate for 6 months after termination. This wind-down period allows for orderly settlement of accounts, completion of pending audits, and final disbursements.</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All funds remaining in the escrow account distribute to Parties and service providers in accordance with Article 5.1, less final administrative costs.</w:t>
      </w:r>
    </w:p>
    <w:p>
      <w:pPr>
        <w:pStyle w:val="Normal"/>
        <w:spacing w:after="120"/>
        <w:ind w:left="720" w:hanging="360"/>
      </w:pPr>
      <w:r>
        <w:rPr>
          <w:b/>
          <w:color w:val="1A2744"/>
          <w:rFonts w:ascii="Calibri" w:hAnsi="Calibri" w:eastAsia="Microsoft YaHei" w:cs="Calibri"/>
          <w:sz w:val="22"/>
          <w:szCs w:val="22"/>
        </w:rPr>
        <w:t xml:space="preserve">(c) </w:t>
      </w:r>
      <w:r>
        <w:rPr>
          <w:rFonts w:ascii="Calibri" w:hAnsi="Calibri" w:eastAsia="Microsoft YaHei" w:cs="Calibri"/>
          <w:sz w:val="22"/>
          <w:color w:val="1E1E1E"/>
          <w:szCs w:val="22"/>
        </w:rPr>
        <w:t>All financial obligations accrued prior to the termination date survive termination.</w:t>
      </w:r>
    </w:p>
    <w:p>
      <w:pPr>
        <w:pStyle w:val="Normal"/>
        <w:spacing w:after="120"/>
        <w:ind w:left="720" w:hanging="360"/>
      </w:pPr>
      <w:r>
        <w:rPr>
          <w:b/>
          <w:color w:val="1A2744"/>
          <w:rFonts w:ascii="Calibri" w:hAnsi="Calibri" w:eastAsia="Microsoft YaHei" w:cs="Calibri"/>
          <w:sz w:val="22"/>
          <w:szCs w:val="22"/>
        </w:rPr>
        <w:t xml:space="preserve">(d) </w:t>
      </w:r>
      <w:r>
        <w:rPr>
          <w:rFonts w:ascii="Calibri" w:hAnsi="Calibri" w:eastAsia="Microsoft YaHei" w:cs="Calibri"/>
          <w:sz w:val="22"/>
          <w:color w:val="1E1E1E"/>
          <w:szCs w:val="22"/>
        </w:rPr>
        <w:t>All data collected during the term of this Annex remains subject to the data sovereignty provisions of HSU Article 6.3.</w:t>
      </w:r>
    </w:p>
    <w:p>
      <w:pPr>
        <w:pStyle w:val="Heading2"/>
      </w:pPr>
      <w:r>
        <w:rPr>
          <w:b/>
          <w:sz w:val="26"/>
          <w:rFonts w:ascii="Calibri" w:hAnsi="Calibri" w:eastAsia="Microsoft YaHei" w:cs="Calibri"/>
          <w:color w:val="1E1E1E"/>
          <w:szCs w:val="26"/>
        </w:rPr>
        <w:t>8.1A Financial Contingency Plan</w:t>
      </w:r>
    </w:p>
    <w:p>
      <w:pPr>
        <w:pStyle w:val="Heading3"/>
      </w:pPr>
      <w:r>
        <w:rPr>
          <w:b/>
          <w:sz w:val="24"/>
          <w:rFonts w:ascii="Calibri" w:hAnsi="Calibri" w:eastAsia="Microsoft YaHei" w:cs="Calibri"/>
          <w:color w:val="4A5568"/>
          <w:szCs w:val="24"/>
        </w:rPr>
        <w:t>8.1A.1 Purpose</w:t>
      </w:r>
    </w:p>
    <w:p>
      <w:pPr>
        <w:pStyle w:val="Normal"/>
      </w:pPr>
      <w:r>
        <w:rPr>
          <w:rFonts w:ascii="Calibri" w:hAnsi="Calibri" w:eastAsia="Microsoft YaHei" w:cs="Calibri"/>
          <w:sz w:val="22"/>
          <w:color w:val="1E1E1E"/>
          <w:szCs w:val="22"/>
        </w:rPr>
        <w:t>This Article establishes the financial contingency plan for the following scenarios:</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HSU suspension (Level 4 violation under HSU Article 8);</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HSU termination (withdrawal under HSU Article 9.3);</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Annex 1AC termination (withdrawal under Article 8.1);</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Escrow bank failure (bankruptcy or sanctions).</w:t>
      </w:r>
    </w:p>
    <w:p>
      <w:pPr>
        <w:pStyle w:val="Heading3"/>
      </w:pPr>
      <w:r>
        <w:rPr>
          <w:b/>
          <w:sz w:val="24"/>
          <w:rFonts w:ascii="Calibri" w:hAnsi="Calibri" w:eastAsia="Microsoft YaHei" w:cs="Calibri"/>
          <w:color w:val="4A5568"/>
          <w:szCs w:val="24"/>
        </w:rPr>
        <w:t>8.1A.2 HSU Suspension (Level 4)</w:t>
      </w:r>
    </w:p>
    <w:p>
      <w:pPr>
        <w:pStyle w:val="Normal"/>
      </w:pPr>
      <w:r>
        <w:rPr>
          <w:rFonts w:ascii="Calibri" w:hAnsi="Calibri" w:eastAsia="Microsoft YaHei" w:cs="Calibri"/>
          <w:sz w:val="22"/>
          <w:color w:val="1E1E1E"/>
          <w:szCs w:val="22"/>
        </w:rPr>
        <w:t>If the HSU suspends under Level 4, the following financial provisions activate:</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framework freezes all disbursements for 30 days;</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Reserve Fund protection activates; no disbursement from the Reserve Fund occurs;</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Operating Account covers operating expenses for the JIC and VTS;</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After 30 days, if the suspension continues, the Board holds an emergency session to determine whether to: (a) continue the freeze; (b) release funds on a prorated basis to service providers; or (c) begin orderly wind-down of the HSC.</w:t>
      </w:r>
    </w:p>
    <w:p>
      <w:pPr>
        <w:pStyle w:val="Heading3"/>
      </w:pPr>
      <w:r>
        <w:rPr>
          <w:b/>
          <w:sz w:val="24"/>
          <w:rFonts w:ascii="Calibri" w:hAnsi="Calibri" w:eastAsia="Microsoft YaHei" w:cs="Calibri"/>
          <w:color w:val="4A5568"/>
          <w:szCs w:val="24"/>
        </w:rPr>
        <w:t>8.1A.3 HSU or Annex 1AC Termination</w:t>
      </w:r>
    </w:p>
    <w:p>
      <w:pPr>
        <w:pStyle w:val="Normal"/>
      </w:pPr>
      <w:r>
        <w:rPr>
          <w:rFonts w:ascii="Calibri" w:hAnsi="Calibri" w:eastAsia="Microsoft YaHei" w:cs="Calibri"/>
          <w:sz w:val="22"/>
          <w:color w:val="1E1E1E"/>
          <w:szCs w:val="22"/>
        </w:rPr>
        <w:t>If the HSU or Annex 1AC terminates, the following financial provisions activate:</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HSC continues to operate for 12 months after termination;</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escrow account distributes all remaining funds in the following priority order: First Priority: outstanding service provider payments; Second Priority: HSC operating costs for the wind-down period; Third Priority: the Reserve Fund liquidates and distributes: 50% to Iran, 30% to Oman, 20% to the IMO for maritime safety programs; Fourth Priority: remaining Distribution Account funds distribute pro rata based on Article 5.1;</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All financial obligations accrued prior to termination survive termination;</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All data collected during the term of this Annex remains subject to data sovereignty provisions.</w:t>
      </w:r>
    </w:p>
    <w:p>
      <w:pPr>
        <w:pStyle w:val="Heading3"/>
      </w:pPr>
      <w:r>
        <w:rPr>
          <w:b/>
          <w:sz w:val="24"/>
          <w:rFonts w:ascii="Calibri" w:hAnsi="Calibri" w:eastAsia="Microsoft YaHei" w:cs="Calibri"/>
          <w:color w:val="4A5568"/>
          <w:szCs w:val="24"/>
        </w:rPr>
        <w:t>8.1A.4 Escrow Bank Failure</w:t>
      </w:r>
    </w:p>
    <w:p>
      <w:pPr>
        <w:pStyle w:val="Normal"/>
      </w:pPr>
      <w:r>
        <w:rPr>
          <w:rFonts w:ascii="Calibri" w:hAnsi="Calibri" w:eastAsia="Microsoft YaHei" w:cs="Calibri"/>
          <w:sz w:val="22"/>
          <w:color w:val="1E1E1E"/>
          <w:szCs w:val="22"/>
        </w:rPr>
        <w:t>If the escrow bank becomes insolvent, bankrupt, or subject to sanctions, the following provisions activate:</w:t>
      </w:r>
    </w:p>
    <w:p>
      <w:pPr>
        <w:pStyle w:val="Normal"/>
        <w:spacing w:after="120"/>
        <w:ind w:left="720" w:hanging="360"/>
      </w:pPr>
      <w:r>
        <w:rPr>
          <w:b/>
          <w:color w:val="1A2744"/>
          <w:rFonts w:ascii="Calibri" w:hAnsi="Calibri" w:eastAsia="Microsoft YaHei" w:cs="Calibri"/>
          <w:sz w:val="22"/>
          <w:szCs w:val="22"/>
        </w:rPr>
        <w:t xml:space="preserve">(i) </w:t>
      </w:r>
      <w:r>
        <w:rPr>
          <w:rFonts w:ascii="Calibri" w:hAnsi="Calibri" w:eastAsia="Microsoft YaHei" w:cs="Calibri"/>
          <w:sz w:val="22"/>
          <w:color w:val="1E1E1E"/>
          <w:szCs w:val="22"/>
        </w:rPr>
        <w:t>The HSC Board convenes an emergency session within 48 hours;</w:t>
      </w:r>
    </w:p>
    <w:p>
      <w:pPr>
        <w:pStyle w:val="Normal"/>
        <w:spacing w:after="120"/>
        <w:ind w:left="720" w:hanging="360"/>
      </w:pPr>
      <w:r>
        <w:rPr>
          <w:b/>
          <w:color w:val="1A2744"/>
          <w:rFonts w:ascii="Calibri" w:hAnsi="Calibri" w:eastAsia="Microsoft YaHei" w:cs="Calibri"/>
          <w:sz w:val="22"/>
          <w:szCs w:val="22"/>
        </w:rPr>
        <w:t xml:space="preserve">(ii) </w:t>
      </w:r>
      <w:r>
        <w:rPr>
          <w:rFonts w:ascii="Calibri" w:hAnsi="Calibri" w:eastAsia="Microsoft YaHei" w:cs="Calibri"/>
          <w:sz w:val="22"/>
          <w:color w:val="1E1E1E"/>
          <w:szCs w:val="22"/>
        </w:rPr>
        <w:t>The Board appoints a replacement bank within 30 days;</w:t>
      </w:r>
    </w:p>
    <w:p>
      <w:pPr>
        <w:pStyle w:val="Normal"/>
        <w:spacing w:after="120"/>
        <w:ind w:left="720" w:hanging="360"/>
      </w:pPr>
      <w:r>
        <w:rPr>
          <w:b/>
          <w:color w:val="1A2744"/>
          <w:rFonts w:ascii="Calibri" w:hAnsi="Calibri" w:eastAsia="Microsoft YaHei" w:cs="Calibri"/>
          <w:sz w:val="22"/>
          <w:szCs w:val="22"/>
        </w:rPr>
        <w:t xml:space="preserve">(iii) </w:t>
      </w:r>
      <w:r>
        <w:rPr>
          <w:rFonts w:ascii="Calibri" w:hAnsi="Calibri" w:eastAsia="Microsoft YaHei" w:cs="Calibri"/>
          <w:sz w:val="22"/>
          <w:color w:val="1E1E1E"/>
          <w:szCs w:val="22"/>
        </w:rPr>
        <w:t>The Board transfers funds to the replacement bank within 14 days;</w:t>
      </w:r>
    </w:p>
    <w:p>
      <w:pPr>
        <w:pStyle w:val="Normal"/>
        <w:spacing w:after="120"/>
        <w:ind w:left="720" w:hanging="360"/>
      </w:pPr>
      <w:r>
        <w:rPr>
          <w:b/>
          <w:color w:val="1A2744"/>
          <w:rFonts w:ascii="Calibri" w:hAnsi="Calibri" w:eastAsia="Microsoft YaHei" w:cs="Calibri"/>
          <w:sz w:val="22"/>
          <w:szCs w:val="22"/>
        </w:rPr>
        <w:t xml:space="preserve">(iv) </w:t>
      </w:r>
      <w:r>
        <w:rPr>
          <w:rFonts w:ascii="Calibri" w:hAnsi="Calibri" w:eastAsia="Microsoft YaHei" w:cs="Calibri"/>
          <w:sz w:val="22"/>
          <w:color w:val="1E1E1E"/>
          <w:szCs w:val="22"/>
        </w:rPr>
        <w:t>The Board authorizes interim measures to ensure uninterrupted operations;</w:t>
      </w:r>
    </w:p>
    <w:p>
      <w:pPr>
        <w:pStyle w:val="Normal"/>
        <w:spacing w:after="120"/>
        <w:ind w:left="720" w:hanging="360"/>
      </w:pPr>
      <w:r>
        <w:rPr>
          <w:b/>
          <w:color w:val="1A2744"/>
          <w:rFonts w:ascii="Calibri" w:hAnsi="Calibri" w:eastAsia="Microsoft YaHei" w:cs="Calibri"/>
          <w:sz w:val="22"/>
          <w:szCs w:val="22"/>
        </w:rPr>
        <w:t xml:space="preserve">(v) </w:t>
      </w:r>
      <w:r>
        <w:rPr>
          <w:rFonts w:ascii="Calibri" w:hAnsi="Calibri" w:eastAsia="Microsoft YaHei" w:cs="Calibri"/>
          <w:sz w:val="22"/>
          <w:color w:val="1E1E1E"/>
          <w:szCs w:val="22"/>
        </w:rPr>
        <w:t>The Reserve Fund covers any losses due to bank failure, up to $10 million.</w:t>
      </w:r>
    </w:p>
    <w:p>
      <w:pPr>
        <w:pStyle w:val="Heading3"/>
      </w:pPr>
      <w:r>
        <w:rPr>
          <w:b/>
          <w:sz w:val="24"/>
          <w:rFonts w:ascii="Calibri" w:hAnsi="Calibri" w:eastAsia="Microsoft YaHei" w:cs="Calibri"/>
          <w:color w:val="4A5568"/>
          <w:szCs w:val="24"/>
        </w:rPr>
        <w:t>8.1A.5 Force Majeure</w:t>
      </w:r>
    </w:p>
    <w:p>
      <w:pPr>
        <w:pStyle w:val="Normal"/>
      </w:pPr>
      <w:r>
        <w:rPr>
          <w:rFonts w:ascii="Calibri" w:hAnsi="Calibri" w:eastAsia="Microsoft YaHei" w:cs="Calibri"/>
          <w:sz w:val="22"/>
          <w:color w:val="1E1E1E"/>
          <w:szCs w:val="22"/>
        </w:rPr>
        <w:t>If a force majeure event prevents the HSC from operating, the JIC convenes an emergency session within 72 hours. The JIC authorizes the release of Reserve Fund funds to maintain essential operations. The JIC suspends fee collection and disbursement until operations resume.</w:t>
      </w:r>
    </w:p>
    <w:p>
      <w:pPr>
        <w:pStyle w:val="Heading3"/>
      </w:pPr>
      <w:r>
        <w:rPr>
          <w:b/>
          <w:sz w:val="24"/>
          <w:rFonts w:ascii="Calibri" w:hAnsi="Calibri" w:eastAsia="Microsoft YaHei" w:cs="Calibri"/>
          <w:color w:val="4A5568"/>
          <w:szCs w:val="24"/>
        </w:rPr>
        <w:t>8.1A.6 Annual Review of Contingency Plan</w:t>
      </w:r>
    </w:p>
    <w:p>
      <w:pPr>
        <w:pStyle w:val="Normal"/>
      </w:pPr>
      <w:r>
        <w:rPr>
          <w:rFonts w:ascii="Calibri" w:hAnsi="Calibri" w:eastAsia="Microsoft YaHei" w:cs="Calibri"/>
          <w:sz w:val="22"/>
          <w:color w:val="1E1E1E"/>
          <w:szCs w:val="22"/>
        </w:rPr>
        <w:t>The Board reviews the contingency plan annually and updates it as needed. Updates require a three-fourths majority vote of the Board. The HSC publishes the contingency plan on its website.</w:t>
      </w:r>
    </w:p>
    <w:p>
      <w:pPr>
        <w:pStyle w:val="Heading2"/>
      </w:pPr>
      <w:r>
        <w:rPr>
          <w:b/>
          <w:sz w:val="26"/>
          <w:rFonts w:ascii="Calibri" w:hAnsi="Calibri" w:eastAsia="Microsoft YaHei" w:cs="Calibri"/>
          <w:color w:val="1E1E1E"/>
          <w:szCs w:val="26"/>
        </w:rPr>
        <w:t>8.2 Relationship to Other Annexes</w:t>
      </w:r>
    </w:p>
    <w:p>
      <w:pPr>
        <w:pStyle w:val="Heading3"/>
      </w:pPr>
      <w:r>
        <w:rPr>
          <w:b/>
          <w:sz w:val="24"/>
          <w:rFonts w:ascii="Calibri" w:hAnsi="Calibri" w:eastAsia="Microsoft YaHei" w:cs="Calibri"/>
          <w:color w:val="4A5568"/>
          <w:szCs w:val="24"/>
        </w:rPr>
        <w:t>8.2.1 Compliance Linkage</w:t>
      </w:r>
    </w:p>
    <w:p>
      <w:pPr>
        <w:pStyle w:val="Normal"/>
      </w:pPr>
      <w:r>
        <w:rPr>
          <w:rFonts w:ascii="Calibri" w:hAnsi="Calibri" w:eastAsia="Microsoft YaHei" w:cs="Calibri"/>
          <w:sz w:val="22"/>
          <w:color w:val="1E1E1E"/>
          <w:szCs w:val="22"/>
        </w:rPr>
        <w:t>Disbursements under this Annex are expressly conditioned upon compliance with the following instruments:</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Annex A of the HSU (Navigation Safety and Deconfliction Protocol), as specified in Article 5.2.1(a) of this Annex.</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This Annex (Annex 1AC), as specified in Article 5.2.1(b) of this Annex.</w:t>
      </w:r>
    </w:p>
    <w:p>
      <w:pPr>
        <w:pStyle w:val="Heading3"/>
      </w:pPr>
      <w:r>
        <w:rPr>
          <w:b/>
          <w:sz w:val="24"/>
          <w:rFonts w:ascii="Calibri" w:hAnsi="Calibri" w:eastAsia="Microsoft YaHei" w:cs="Calibri"/>
          <w:color w:val="4A5568"/>
          <w:szCs w:val="24"/>
        </w:rPr>
        <w:t>8.2.2 Suspension Linkage</w:t>
      </w:r>
    </w:p>
    <w:p>
      <w:pPr>
        <w:pStyle w:val="Normal"/>
      </w:pPr>
      <w:r>
        <w:rPr>
          <w:rFonts w:ascii="Calibri" w:hAnsi="Calibri" w:eastAsia="Microsoft YaHei" w:cs="Calibri"/>
          <w:sz w:val="22"/>
          <w:color w:val="1E1E1E"/>
          <w:szCs w:val="22"/>
        </w:rPr>
        <w:t>A Level 3 or Level 4 violation under Annex A of the HSU automatically triggers the following consequences under this Annex:</w:t>
      </w:r>
    </w:p>
    <w:p>
      <w:pPr>
        <w:pStyle w:val="Normal"/>
        <w:spacing w:after="120"/>
        <w:ind w:left="720" w:hanging="360"/>
      </w:pPr>
      <w:r>
        <w:rPr>
          <w:b/>
          <w:color w:val="1A2744"/>
          <w:rFonts w:ascii="Calibri" w:hAnsi="Calibri" w:eastAsia="Microsoft YaHei" w:cs="Calibri"/>
          <w:sz w:val="22"/>
          <w:szCs w:val="22"/>
        </w:rPr>
        <w:t xml:space="preserve">(a) </w:t>
      </w:r>
      <w:r>
        <w:rPr>
          <w:rFonts w:ascii="Calibri" w:hAnsi="Calibri" w:eastAsia="Microsoft YaHei" w:cs="Calibri"/>
          <w:sz w:val="22"/>
          <w:color w:val="1E1E1E"/>
          <w:szCs w:val="22"/>
        </w:rPr>
        <w:t>A freeze on all disbursements to the non-compliant Party under this Annex.</w:t>
      </w:r>
    </w:p>
    <w:p>
      <w:pPr>
        <w:pStyle w:val="Normal"/>
        <w:spacing w:after="120"/>
        <w:ind w:left="720" w:hanging="360"/>
      </w:pPr>
      <w:r>
        <w:rPr>
          <w:b/>
          <w:color w:val="1A2744"/>
          <w:rFonts w:ascii="Calibri" w:hAnsi="Calibri" w:eastAsia="Microsoft YaHei" w:cs="Calibri"/>
          <w:sz w:val="22"/>
          <w:szCs w:val="22"/>
        </w:rPr>
        <w:t xml:space="preserve">(b) </w:t>
      </w:r>
      <w:r>
        <w:rPr>
          <w:rFonts w:ascii="Calibri" w:hAnsi="Calibri" w:eastAsia="Microsoft YaHei" w:cs="Calibri"/>
          <w:sz w:val="22"/>
          <w:color w:val="1E1E1E"/>
          <w:szCs w:val="22"/>
        </w:rPr>
        <w:t>A mandatory JIC review of both Annex A of the HSU and this Annex.</w:t>
      </w:r>
    </w:p>
    <w:p>
      <w:pPr>
        <w:spacing w:after="120"/>
        <w:ind w:left="720" w:hanging="360"/>
      </w:pPr>
      <w:r>
        <w:rPr>
          <w:b/>
          <w:color w:val="1a2744"/>
        </w:rPr>
        <w:t xml:space="preserve">(c) </w:t>
      </w:r>
      <w:r>
        <w:t xml:space="preserve">Activation of the dispute resolution procedures under Article 6 of this Annex.</w:t>
      </w:r>
    </w:p>
    <w:p>
      <w:pPr>
        <w:pStyle w:val="Heading3"/>
      </w:pPr>
      <w:r>
        <w:t>8.2.3 Supremacy</w:t>
      </w:r>
    </w:p>
    <w:p>
      <w:r>
        <w:rPr/>
        <w:t xml:space="preserve">In the event of inconsistency between this Annex and any other annex to the HSU, the HSU preamble and Article 1.3 (Non-Prejudice Clause) govern. Nothing in this Annex overrides the sovereignty disclaimer embedded in the HSU.</w:t>
      </w:r>
    </w:p>
    <w:p>
      <w:pPr>
        <w:pStyle w:val="Heading2"/>
      </w:pPr>
      <w:r>
        <w:t>8.3 Annex Signatures</w:t>
      </w:r>
    </w:p>
    <w:p>
      <w:r>
        <w:rPr/>
        <w:t xml:space="preserve">This Annex is adopted by the Signatories to the HSU and appended to the HSU as an integral component.</w:t>
      </w:r>
    </w:p>
    <w:p>
      <w:r>
        <w:rPr/>
        <w:t xml:space="preserve">ADOPTED this _____ day of ___________, 2026, in Muscat, Sultanate of Oman.</w:t>
      </w:r>
    </w:p>
    <w:p>
      <w:pPr>
        <w:sectPr>
          <w:headerReference w:type="default" r:id="R09fbedd22bf14017"/>
          <w:footerReference w:type="default" r:id="R88d86dbc35e74854"/>
          <w:type w:val="nextPage"/>
          <w:pgSz w:w="11906" w:h="16838"/>
          <w:pgMar w:top="1800" w:right="1440" w:bottom="1440" w:left="1440" w:header="720" w:footer="720"/>
        </w:sectPr>
      </w:pPr>
    </w:p>
    <w:p>
      <w:pPr>
        <w:pStyle w:val="Heading1"/>
      </w:pPr>
      <w:r>
        <w:t>Signature Pages</w:t>
      </w:r>
    </w:p>
    <w:p>
      <w:r>
        <w:rPr/>
        <w:t xml:space="preserve">FOR THE HORMUZ SERVICE CORPORATION BOARD:</w:t>
      </w:r>
    </w:p>
    <w:p>
      <w:r>
        <w:rPr/>
        <w:t xml:space="preserve"/>
      </w:r>
    </w:p>
    <w:tbl>
      <w:tblPr>
        <w:tblW w:w="5000" w:type="pct"/>
        <w:tblBorders>
          <w:top w:val="nil"/>
          <w:bottom w:val="nil"/>
          <w:left w:val="nil"/>
          <w:right w:val="nil"/>
          <w:insideH w:val="nil"/>
          <w:insideV w:val="nil"/>
        </w:tblBorders>
      </w:tblPr>
      <w:tblGrid>
        <w:gridCol w:w="5000"/>
        <w:gridCol w:w="5000"/>
      </w:tblGrid>
      <w:tr>
        <w:tc>
          <w:tcPr>
            <w:tcW w:w="5000" w:type="pct"/>
          </w:tcPr>
          <w:p>
            <w:pPr>
              <w:spacing w:before="40" w:after="40"/>
            </w:pPr>
            <w:r>
              <w:rPr>
                <w:sz w:val="20"/>
                <w:color w:val="1e1e1e"/>
              </w:rPr>
              <w:t xml:space="preserve">FOR THE UNITED STATES:</w:t>
            </w:r>
          </w:p>
        </w:tc>
        <w:tc>
          <w:tcPr>
            <w:tcW w:w="5000" w:type="pct"/>
          </w:tcPr>
          <w:p>
            <w:pPr>
              <w:spacing w:before="40" w:after="40"/>
            </w:pPr>
            <w:r>
              <w:rPr>
                <w:sz w:val="20"/>
                <w:color w:val="1e1e1e"/>
              </w:rPr>
              <w:t xml:space="preserve">FOR THE ISLAMIC REPUBLIC OF IRAN:</w:t>
            </w:r>
          </w:p>
        </w:tc>
      </w:tr>
      <w:tr>
        <w:tc>
          <w:tcPr>
            <w:tcW w:w="5000" w:type="pct"/>
          </w:tcPr>
          <w:p>
            <w:pPr>
              <w:spacing w:before="40" w:after="40"/>
            </w:pPr>
            <w:r>
              <w:rPr>
                <w:sz w:val="20"/>
                <w:color w:val="1e1e1e"/>
              </w:rPr>
              <w:t xml:space="preserve"/>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Name: _______________________</w:t>
            </w:r>
          </w:p>
        </w:tc>
        <w:tc>
          <w:tcPr>
            <w:tcW w:w="5000" w:type="pct"/>
          </w:tcPr>
          <w:p>
            <w:pPr>
              <w:spacing w:before="40" w:after="40"/>
            </w:pPr>
            <w:r>
              <w:rPr>
                <w:sz w:val="20"/>
                <w:color w:val="1e1e1e"/>
              </w:rPr>
              <w:t xml:space="preserve">Name: _______________________</w:t>
            </w:r>
          </w:p>
        </w:tc>
      </w:tr>
      <w:tr>
        <w:tc>
          <w:tcPr>
            <w:tcW w:w="5000" w:type="pct"/>
          </w:tcPr>
          <w:p>
            <w:pPr>
              <w:spacing w:before="40" w:after="40"/>
            </w:pPr>
            <w:r>
              <w:rPr>
                <w:sz w:val="20"/>
                <w:color w:val="1e1e1e"/>
              </w:rPr>
              <w:t xml:space="preserve">Title: _______________________</w:t>
            </w:r>
          </w:p>
        </w:tc>
        <w:tc>
          <w:tcPr>
            <w:tcW w:w="5000" w:type="pct"/>
          </w:tcPr>
          <w:p>
            <w:pPr>
              <w:spacing w:before="40" w:after="40"/>
            </w:pPr>
            <w:r>
              <w:rPr>
                <w:sz w:val="20"/>
                <w:color w:val="1e1e1e"/>
              </w:rPr>
              <w:t xml:space="preserve">Title: _______________________</w:t>
            </w:r>
          </w:p>
        </w:tc>
      </w:tr>
      <w:tr>
        <w:tc>
          <w:tcPr>
            <w:tcW w:w="5000" w:type="pct"/>
          </w:tcPr>
          <w:p>
            <w:pPr>
              <w:spacing w:before="40" w:after="40"/>
            </w:pPr>
            <w:r>
              <w:rPr>
                <w:sz w:val="20"/>
                <w:color w:val="1e1e1e"/>
              </w:rPr>
              <w:t xml:space="preserve">Date: _______________________</w:t>
            </w:r>
          </w:p>
        </w:tc>
        <w:tc>
          <w:tcPr>
            <w:tcW w:w="5000" w:type="pct"/>
          </w:tcPr>
          <w:p>
            <w:pPr>
              <w:spacing w:before="40" w:after="40"/>
            </w:pPr>
            <w:r>
              <w:rPr>
                <w:sz w:val="20"/>
                <w:color w:val="1e1e1e"/>
              </w:rPr>
              <w:t xml:space="preserve">Date: _______________________</w:t>
            </w:r>
          </w:p>
        </w:tc>
      </w:tr>
      <w:tr>
        <w:tc>
          <w:tcPr>
            <w:tcW w:w="5000" w:type="pct"/>
          </w:tcPr>
          <w:p>
            <w:pPr>
              <w:spacing w:before="40" w:after="40"/>
            </w:pPr>
            <w:r>
              <w:rPr>
                <w:sz w:val="20"/>
                <w:color w:val="1e1e1e"/>
              </w:rPr>
              <w:t xml:space="preserve">Signature: _______________________</w:t>
            </w:r>
          </w:p>
        </w:tc>
        <w:tc>
          <w:tcPr>
            <w:tcW w:w="5000" w:type="pct"/>
          </w:tcPr>
          <w:p>
            <w:pPr>
              <w:spacing w:before="40" w:after="40"/>
            </w:pPr>
            <w:r>
              <w:rPr>
                <w:sz w:val="20"/>
                <w:color w:val="1e1e1e"/>
              </w:rPr>
              <w:t xml:space="preserve">Signature: _______________________</w:t>
            </w:r>
          </w:p>
        </w:tc>
      </w:tr>
      <w:tr>
        <w:tc>
          <w:tcPr>
            <w:tcW w:w="5000" w:type="pct"/>
          </w:tcPr>
          <w:p>
            <w:pPr>
              <w:spacing w:before="40" w:after="40"/>
            </w:pPr>
            <w:r>
              <w:rPr>
                <w:sz w:val="20"/>
                <w:color w:val="1e1e1e"/>
              </w:rPr>
              <w:t xml:space="preserve"/>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FOR THE SULTANATE OF OMAN:</w:t>
            </w:r>
          </w:p>
        </w:tc>
        <w:tc>
          <w:tcPr>
            <w:tcW w:w="5000" w:type="pct"/>
          </w:tcPr>
          <w:p>
            <w:pPr>
              <w:spacing w:before="40" w:after="40"/>
            </w:pPr>
            <w:r>
              <w:rPr>
                <w:sz w:val="20"/>
                <w:color w:val="1e1e1e"/>
              </w:rPr>
              <w:t xml:space="preserve">FOR THE UNITED ARAB EMIRATES:</w:t>
            </w:r>
          </w:p>
        </w:tc>
      </w:tr>
      <w:tr>
        <w:tc>
          <w:tcPr>
            <w:tcW w:w="5000" w:type="pct"/>
          </w:tcPr>
          <w:p>
            <w:pPr>
              <w:spacing w:before="40" w:after="40"/>
            </w:pPr>
            <w:r>
              <w:rPr>
                <w:sz w:val="20"/>
                <w:color w:val="1e1e1e"/>
              </w:rPr>
              <w:t xml:space="preserve"/>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Name: _______________________</w:t>
            </w:r>
          </w:p>
        </w:tc>
        <w:tc>
          <w:tcPr>
            <w:tcW w:w="5000" w:type="pct"/>
          </w:tcPr>
          <w:p>
            <w:pPr>
              <w:spacing w:before="40" w:after="40"/>
            </w:pPr>
            <w:r>
              <w:rPr>
                <w:sz w:val="20"/>
                <w:color w:val="1e1e1e"/>
              </w:rPr>
              <w:t xml:space="preserve">Name: _______________________</w:t>
            </w:r>
          </w:p>
        </w:tc>
      </w:tr>
      <w:tr>
        <w:tc>
          <w:tcPr>
            <w:tcW w:w="5000" w:type="pct"/>
          </w:tcPr>
          <w:p>
            <w:pPr>
              <w:spacing w:before="40" w:after="40"/>
            </w:pPr>
            <w:r>
              <w:rPr>
                <w:sz w:val="20"/>
                <w:color w:val="1e1e1e"/>
              </w:rPr>
              <w:t xml:space="preserve">Title: _______________________</w:t>
            </w:r>
          </w:p>
        </w:tc>
        <w:tc>
          <w:tcPr>
            <w:tcW w:w="5000" w:type="pct"/>
          </w:tcPr>
          <w:p>
            <w:pPr>
              <w:spacing w:before="40" w:after="40"/>
            </w:pPr>
            <w:r>
              <w:rPr>
                <w:sz w:val="20"/>
                <w:color w:val="1e1e1e"/>
              </w:rPr>
              <w:t xml:space="preserve">Title: _______________________</w:t>
            </w:r>
          </w:p>
        </w:tc>
      </w:tr>
      <w:tr>
        <w:tc>
          <w:tcPr>
            <w:tcW w:w="5000" w:type="pct"/>
          </w:tcPr>
          <w:p>
            <w:pPr>
              <w:spacing w:before="40" w:after="40"/>
            </w:pPr>
            <w:r>
              <w:rPr>
                <w:sz w:val="20"/>
                <w:color w:val="1e1e1e"/>
              </w:rPr>
              <w:t xml:space="preserve">Date: _______________________</w:t>
            </w:r>
          </w:p>
        </w:tc>
        <w:tc>
          <w:tcPr>
            <w:tcW w:w="5000" w:type="pct"/>
          </w:tcPr>
          <w:p>
            <w:pPr>
              <w:spacing w:before="40" w:after="40"/>
            </w:pPr>
            <w:r>
              <w:rPr>
                <w:sz w:val="20"/>
                <w:color w:val="1e1e1e"/>
              </w:rPr>
              <w:t xml:space="preserve">Date: _______________________</w:t>
            </w:r>
          </w:p>
        </w:tc>
      </w:tr>
      <w:tr>
        <w:tc>
          <w:tcPr>
            <w:tcW w:w="5000" w:type="pct"/>
          </w:tcPr>
          <w:p>
            <w:pPr>
              <w:spacing w:before="40" w:after="40"/>
            </w:pPr>
            <w:r>
              <w:rPr>
                <w:sz w:val="20"/>
                <w:color w:val="1e1e1e"/>
              </w:rPr>
              <w:t xml:space="preserve">Signature: _______________________</w:t>
            </w:r>
          </w:p>
        </w:tc>
        <w:tc>
          <w:tcPr>
            <w:tcW w:w="5000" w:type="pct"/>
          </w:tcPr>
          <w:p>
            <w:pPr>
              <w:spacing w:before="40" w:after="40"/>
            </w:pPr>
            <w:r>
              <w:rPr>
                <w:sz w:val="20"/>
                <w:color w:val="1e1e1e"/>
              </w:rPr>
              <w:t xml:space="preserve">Signature: _______________________</w:t>
            </w:r>
          </w:p>
        </w:tc>
      </w:tr>
      <w:tr>
        <w:tc>
          <w:tcPr>
            <w:tcW w:w="5000" w:type="pct"/>
          </w:tcPr>
          <w:p>
            <w:pPr>
              <w:spacing w:before="40" w:after="40"/>
            </w:pPr>
            <w:r>
              <w:rPr>
                <w:sz w:val="20"/>
                <w:color w:val="1e1e1e"/>
              </w:rPr>
              <w:t xml:space="preserve"/>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FOR THE IMO (TECHNICAL ADVISOR, NON-VOTING):</w:t>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Name: _______________________</w:t>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Title: _______________________</w:t>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Date: _______________________</w:t>
            </w:r>
          </w:p>
        </w:tc>
        <w:tc>
          <w:tcPr>
            <w:tcW w:w="5000" w:type="pct"/>
          </w:tcPr>
          <w:p>
            <w:pPr>
              <w:spacing w:before="40" w:after="40"/>
            </w:pPr>
            <w:r>
              <w:rPr>
                <w:sz w:val="20"/>
                <w:color w:val="1e1e1e"/>
              </w:rPr>
              <w:t xml:space="preserve"/>
            </w:r>
          </w:p>
        </w:tc>
      </w:tr>
      <w:tr>
        <w:tc>
          <w:tcPr>
            <w:tcW w:w="5000" w:type="pct"/>
          </w:tcPr>
          <w:p>
            <w:pPr>
              <w:spacing w:before="40" w:after="40"/>
            </w:pPr>
            <w:r>
              <w:rPr>
                <w:sz w:val="20"/>
                <w:color w:val="1e1e1e"/>
              </w:rPr>
              <w:t xml:space="preserve">Signature: _______________________</w:t>
            </w:r>
          </w:p>
        </w:tc>
        <w:tc>
          <w:tcPr>
            <w:tcW w:w="5000" w:type="pct"/>
          </w:tcPr>
          <w:p>
            <w:pPr>
              <w:spacing w:before="40" w:after="40"/>
            </w:pPr>
            <w:r>
              <w:rPr>
                <w:sz w:val="20"/>
                <w:color w:val="1e1e1e"/>
              </w:rPr>
              <w:t xml:space="preserve"/>
            </w:r>
          </w:p>
        </w:tc>
      </w:tr>
    </w:tbl>
    <w:p>
      <w:r>
        <w:rPr/>
        <w:t xml:space="preserve"/>
      </w:r>
    </w:p>
    <w:p>
      <w:r>
        <w:rPr/>
        <w:t xml:space="preserve">IMPLEMENTING FINANCIAL INSTITUTION ACKNOWLEDGMENT</w:t>
      </w:r>
    </w:p>
    <w:p>
      <w:r>
        <w:rPr/>
        <w:t xml:space="preserve">The undersigned financial institution acknowledges its role as escrow agent for the Hormuz Service Corporation and commits to administering all accounts in accordance with this Annex:</w:t>
      </w:r>
    </w:p>
    <w:p>
      <w:r>
        <w:rPr/>
        <w:t xml:space="preserve"/>
      </w:r>
    </w:p>
    <w:p>
      <w:r>
        <w:rPr/>
        <w:t xml:space="preserve">FOR _________________________ (Name of Neutral Bank):</w:t>
      </w:r>
    </w:p>
    <w:p>
      <w:r>
        <w:rPr/>
        <w:t xml:space="preserve"/>
      </w:r>
    </w:p>
    <w:p>
      <w:r>
        <w:rPr/>
        <w:t xml:space="preserve">Name: _________________________________</w:t>
      </w:r>
    </w:p>
    <w:p>
      <w:r>
        <w:rPr/>
        <w:t xml:space="preserve">Title: _________________________________</w:t>
      </w:r>
    </w:p>
    <w:p>
      <w:r>
        <w:rPr/>
        <w:t xml:space="preserve">Date: _________________________________</w:t>
      </w:r>
    </w:p>
    <w:p>
      <w:r>
        <w:rPr/>
        <w:t xml:space="preserve">Signature: _________________________________</w:t>
      </w:r>
    </w:p>
    <w:p>
      <w:pPr>
        <w:sectPr>
          <w:headerReference w:type="default" r:id="R09fbedd22bf14017"/>
          <w:footerReference w:type="default" r:id="R88d86dbc35e74854"/>
          <w:type w:val="nextPage"/>
          <w:pgSz w:w="11906" w:h="16838"/>
          <w:pgMar w:top="1800" w:right="1440" w:bottom="1440" w:left="1440" w:header="720" w:footer="720"/>
        </w:sectPr>
      </w:pPr>
    </w:p>
    <w:p>
      <w:pPr>
        <w:pStyle w:val="Heading1"/>
      </w:pPr>
      <w:r>
        <w:t>Annex 1AC Negotiator's Annotations</w:t>
      </w:r>
    </w:p>
    <w:p>
      <w:r>
        <w:rPr/>
        <w:t xml:space="preserve">The following annotations provide guidance for the negotiating teams. These annotations are not part of the official text of this Annex and carry no operative legal force.</w:t>
      </w:r>
    </w:p>
    <w:tbl>
      <w:tblPr>
        <w:tblW w:w="5000" w:type="pct"/>
        <w:tblBorders>
          <w:top w:val="single" w:color="1a2744" w:sz="12"/>
          <w:bottom w:val="single" w:color="1a2744" w:sz="12"/>
          <w:left w:val="nil"/>
          <w:right w:val="nil"/>
          <w:insideH w:val="single" w:color="d1d5db" w:sz="4"/>
          <w:insideV w:val="nil"/>
        </w:tblBorders>
      </w:tblPr>
      <w:tblGrid>
        <w:gridCol w:w="1500"/>
        <w:gridCol w:w="3000"/>
        <w:gridCol w:w="5500"/>
      </w:tblGrid>
      <w:tr>
        <w:trPr>
          <w:tblHeader/>
        </w:trPr>
        <w:tc>
          <w:tcPr>
            <w:shd w:val="clear" w:fill="f1f2f4"/>
            <w:tcW w:w="0" w:type="auto"/>
          </w:tcPr>
          <w:p>
            <w:pPr>
              <w:spacing w:before="60" w:after="60"/>
            </w:pPr>
            <w:r>
              <w:rPr>
                <w:b/>
                <w:sz w:val="20"/>
                <w:color w:val="1e1e1e"/>
              </w:rPr>
              <w:t>Section</w:t>
            </w:r>
          </w:p>
        </w:tc>
        <w:tc>
          <w:tcPr>
            <w:shd w:val="clear" w:fill="f1f2f4"/>
            <w:tcW w:w="0" w:type="auto"/>
          </w:tcPr>
          <w:p>
            <w:pPr>
              <w:spacing w:before="60" w:after="60"/>
            </w:pPr>
            <w:r>
              <w:rPr>
                <w:b/>
                <w:sz w:val="20"/>
                <w:color w:val="1e1e1e"/>
              </w:rPr>
              <w:t>Friction Point</w:t>
            </w:r>
          </w:p>
        </w:tc>
        <w:tc>
          <w:tcPr>
            <w:shd w:val="clear" w:fill="f1f2f4"/>
            <w:tcW w:w="0" w:type="auto"/>
          </w:tcPr>
          <w:p>
            <w:pPr>
              <w:spacing w:before="60" w:after="60"/>
            </w:pPr>
            <w:r>
              <w:rPr>
                <w:b/>
                <w:sz w:val="20"/>
                <w:color w:val="1e1e1e"/>
              </w:rPr>
              <w:t>Fallback Position</w:t>
            </w:r>
          </w:p>
        </w:tc>
      </w:tr>
      <w:tr>
        <w:tc>
          <w:tcPr>
            <w:tcW w:w="0" w:type="auto"/>
          </w:tcPr>
          <w:p>
            <w:pPr>
              <w:spacing w:before="40" w:after="40"/>
            </w:pPr>
            <w:r>
              <w:rPr>
                <w:sz w:val="18"/>
                <w:color w:val="1e1e1e"/>
              </w:rPr>
              <w:t xml:space="preserve">1.1.1</w:t>
            </w:r>
          </w:p>
        </w:tc>
        <w:tc>
          <w:tcPr>
            <w:tcW w:w="0" w:type="auto"/>
          </w:tcPr>
          <w:p>
            <w:pPr>
              <w:spacing w:before="40" w:after="40"/>
            </w:pPr>
            <w:r>
              <w:rPr>
                <w:sz w:val="18"/>
                <w:color w:val="1e1e1e"/>
              </w:rPr>
              <w:t xml:space="preserve">Iran resists the sovereignty disclaimer; it undermines the "gatekeeper" narrative.</w:t>
            </w:r>
          </w:p>
        </w:tc>
        <w:tc>
          <w:tcPr>
            <w:tcW w:w="0" w:type="auto"/>
          </w:tcPr>
          <w:p>
            <w:pPr>
              <w:spacing w:before="40" w:after="40"/>
            </w:pPr>
            <w:r>
              <w:rPr>
                <w:sz w:val="18"/>
                <w:color w:val="1e1e1e"/>
              </w:rPr>
              <w:t xml:space="preserve">Hold firm. This disclaimer is the political bypass that makes the entire annex palatable. Offer Iran an additional preamble paragraph in the HSU that "recognizes Iran's role in the Strait" as a face-saving offset.</w:t>
            </w:r>
          </w:p>
        </w:tc>
      </w:tr>
      <w:tr>
        <w:tc>
          <w:tcPr>
            <w:tcW w:w="0" w:type="auto"/>
          </w:tcPr>
          <w:p>
            <w:pPr>
              <w:spacing w:before="40" w:after="40"/>
            </w:pPr>
            <w:r>
              <w:rPr>
                <w:sz w:val="18"/>
                <w:color w:val="1e1e1e"/>
              </w:rPr>
              <w:t xml:space="preserve">2.2.1(b)</w:t>
            </w:r>
          </w:p>
        </w:tc>
        <w:tc>
          <w:tcPr>
            <w:tcW w:w="0" w:type="auto"/>
          </w:tcPr>
          <w:p>
            <w:pPr>
              <w:spacing w:before="40" w:after="40"/>
            </w:pPr>
            <w:r>
              <w:rPr>
                <w:sz w:val="18"/>
                <w:color w:val="1e1e1e"/>
              </w:rPr>
              <w:t xml:space="preserve">Iran demands two representatives to match the U.S. They also demand the second be IRGC-affiliated.</w:t>
            </w:r>
          </w:p>
        </w:tc>
        <w:tc>
          <w:tcPr>
            <w:tcW w:w="0" w:type="auto"/>
          </w:tcPr>
          <w:p>
            <w:pPr>
              <w:spacing w:before="40" w:after="40"/>
            </w:pPr>
            <w:r>
              <w:rPr>
                <w:sz w:val="18"/>
                <w:color w:val="1e1e1e"/>
              </w:rPr>
              <w:t xml:space="preserve">Accept two representatives, but insist the second comes from the Ministry of Petroleum (economic, not military). Keep the IRGC out of financial governance.</w:t>
            </w:r>
          </w:p>
        </w:tc>
      </w:tr>
      <w:tr>
        <w:tc>
          <w:tcPr>
            <w:tcW w:w="0" w:type="auto"/>
          </w:tcPr>
          <w:p>
            <w:pPr>
              <w:spacing w:before="40" w:after="40"/>
            </w:pPr>
            <w:r>
              <w:rPr>
                <w:sz w:val="18"/>
                <w:color w:val="1e1e1e"/>
              </w:rPr>
              <w:t xml:space="preserve">2.2.1(d)</w:t>
            </w:r>
          </w:p>
        </w:tc>
        <w:tc>
          <w:tcPr>
            <w:tcW w:w="0" w:type="auto"/>
          </w:tcPr>
          <w:p>
            <w:pPr>
              <w:spacing w:before="40" w:after="40"/>
            </w:pPr>
            <w:r>
              <w:rPr>
                <w:sz w:val="18"/>
                <w:color w:val="1e1e1e"/>
              </w:rPr>
              <w:t xml:space="preserve">The UAE is reluctant to join; they do not want to legitimize Iranian control.</w:t>
            </w:r>
          </w:p>
        </w:tc>
        <w:tc>
          <w:tcPr>
            <w:tcW w:w="0" w:type="auto"/>
          </w:tcPr>
          <w:p>
            <w:pPr>
              <w:spacing w:before="40" w:after="40"/>
            </w:pPr>
            <w:r>
              <w:rPr>
                <w:sz w:val="18"/>
                <w:color w:val="1e1e1e"/>
              </w:rPr>
              <w:t xml:space="preserve">Frame UAE participation as "protecting their own economic interests" (they are a major port state). Offer them a liaison office in Dubai as a sweetener.</w:t>
            </w:r>
          </w:p>
        </w:tc>
      </w:tr>
      <w:tr>
        <w:tc>
          <w:tcPr>
            <w:tcW w:w="0" w:type="auto"/>
          </w:tcPr>
          <w:p>
            <w:pPr>
              <w:spacing w:before="40" w:after="40"/>
            </w:pPr>
            <w:r>
              <w:rPr>
                <w:sz w:val="18"/>
                <w:color w:val="1e1e1e"/>
              </w:rPr>
              <w:t xml:space="preserve">3.1.2</w:t>
            </w:r>
          </w:p>
        </w:tc>
        <w:tc>
          <w:tcPr>
            <w:tcW w:w="0" w:type="auto"/>
          </w:tcPr>
          <w:p>
            <w:pPr>
              <w:spacing w:before="40" w:after="40"/>
            </w:pPr>
            <w:r>
              <w:rPr>
                <w:sz w:val="18"/>
                <w:color w:val="1e1e1e"/>
              </w:rPr>
              <w:t xml:space="preserve">Fee rates are contentious. Iran wants high fees (more revenue); shippers want low fees.</w:t>
            </w:r>
          </w:p>
        </w:tc>
        <w:tc>
          <w:tcPr>
            <w:tcW w:w="0" w:type="auto"/>
          </w:tcPr>
          <w:p>
            <w:pPr>
              <w:spacing w:before="40" w:after="40"/>
            </w:pPr>
            <w:r>
              <w:rPr>
                <w:sz w:val="18"/>
                <w:color w:val="1e1e1e"/>
              </w:rPr>
              <w:t xml:space="preserve">The operative rate is $0.18/GT (cap $50,000) per HSU Article 4.2. This rate is subject to annual Board review and inflation adjustment. Use the fee cap as protection for shippers.</w:t>
            </w:r>
          </w:p>
        </w:tc>
      </w:tr>
      <w:tr>
        <w:tc>
          <w:tcPr>
            <w:tcW w:w="0" w:type="auto"/>
          </w:tcPr>
          <w:p>
            <w:pPr>
              <w:spacing w:before="40" w:after="40"/>
            </w:pPr>
            <w:r>
              <w:rPr>
                <w:sz w:val="18"/>
                <w:color w:val="1e1e1e"/>
              </w:rPr>
              <w:t xml:space="preserve">3.1.3(d)</w:t>
            </w:r>
          </w:p>
        </w:tc>
        <w:tc>
          <w:tcPr>
            <w:tcW w:w="0" w:type="auto"/>
          </w:tcPr>
          <w:p>
            <w:pPr>
              <w:spacing w:before="40" w:after="40"/>
            </w:pPr>
            <w:r>
              <w:rPr>
                <w:sz w:val="18"/>
                <w:color w:val="1e1e1e"/>
              </w:rPr>
              <w:t xml:space="preserve">Iran resists environmental discounts because they reduce revenue.</w:t>
            </w:r>
          </w:p>
        </w:tc>
        <w:tc>
          <w:tcPr>
            <w:tcW w:w="0" w:type="auto"/>
          </w:tcPr>
          <w:p>
            <w:pPr>
              <w:spacing w:before="40" w:after="40"/>
            </w:pPr>
            <w:r>
              <w:rPr>
                <w:sz w:val="18"/>
                <w:color w:val="1e1e1e"/>
              </w:rPr>
              <w:t xml:space="preserve">Frame the EEDI discount as a "green shipping initiative" that enhances Iran's international reputation. The Reserve Fund offsets losses from this discount during the first year.</w:t>
            </w:r>
          </w:p>
        </w:tc>
      </w:tr>
      <w:tr>
        <w:tc>
          <w:tcPr>
            <w:tcW w:w="0" w:type="auto"/>
          </w:tcPr>
          <w:p>
            <w:pPr>
              <w:spacing w:before="40" w:after="40"/>
            </w:pPr>
            <w:r>
              <w:rPr>
                <w:sz w:val="18"/>
                <w:color w:val="1e1e1e"/>
              </w:rPr>
              <w:t xml:space="preserve">3.3.2(a)</w:t>
            </w:r>
          </w:p>
        </w:tc>
        <w:tc>
          <w:tcPr>
            <w:tcW w:w="0" w:type="auto"/>
          </w:tcPr>
          <w:p>
            <w:pPr>
              <w:spacing w:before="40" w:after="40"/>
            </w:pPr>
            <w:r>
              <w:rPr>
                <w:sz w:val="18"/>
                <w:color w:val="1e1e1e"/>
              </w:rPr>
              <w:t xml:space="preserve">Iran demands a "friendly" bank (e.g., Qatari or Turkish).</w:t>
            </w:r>
          </w:p>
        </w:tc>
        <w:tc>
          <w:tcPr>
            <w:tcW w:w="0" w:type="auto"/>
          </w:tcPr>
          <w:p>
            <w:pPr>
              <w:spacing w:before="40" w:after="40"/>
            </w:pPr>
            <w:r>
              <w:rPr>
                <w:sz w:val="18"/>
                <w:color w:val="1e1e1e"/>
              </w:rPr>
              <w:t xml:space="preserve">A Qatari bank is acceptable if Qatar agrees to the escrow terms. Qatar is neutral and holds Iran's frozen assets, creating a one-stop financial nexus.</w:t>
            </w:r>
          </w:p>
        </w:tc>
      </w:tr>
      <w:tr>
        <w:tc>
          <w:tcPr>
            <w:tcW w:w="0" w:type="auto"/>
          </w:tcPr>
          <w:p>
            <w:pPr>
              <w:spacing w:before="40" w:after="40"/>
            </w:pPr>
            <w:r>
              <w:rPr>
                <w:sz w:val="18"/>
                <w:color w:val="1e1e1e"/>
              </w:rPr>
              <w:t xml:space="preserve">5.1.1</w:t>
            </w:r>
          </w:p>
        </w:tc>
        <w:tc>
          <w:tcPr>
            <w:tcW w:w="0" w:type="auto"/>
          </w:tcPr>
          <w:p>
            <w:pPr>
              <w:spacing w:before="40" w:after="40"/>
            </w:pPr>
            <w:r>
              <w:rPr>
                <w:sz w:val="18"/>
                <w:color w:val="1e1e1e"/>
              </w:rPr>
              <w:t xml:space="preserve">The revenue split percentage is a major battle. Iran demands 60 percent or more.</w:t>
            </w:r>
          </w:p>
        </w:tc>
        <w:tc>
          <w:tcPr>
            <w:tcW w:w="0" w:type="auto"/>
          </w:tcPr>
          <w:p>
            <w:pPr>
              <w:spacing w:before="40" w:after="40"/>
            </w:pPr>
            <w:r>
              <w:rPr>
                <w:sz w:val="18"/>
                <w:color w:val="1e1e1e"/>
              </w:rPr>
              <w:t xml:space="preserve">The operative split is Iran 50% / Oman 30% / Reserve 15% / HSC 5% per HSU Article 4.3. Compliance conditionality (Article 5.2) provides the leverage. Hold the line on the Reserve Fund; it pays for mine-clearance, which protects everyone's tankers.</w:t>
            </w:r>
          </w:p>
        </w:tc>
      </w:tr>
      <w:tr>
        <w:tc>
          <w:tcPr>
            <w:tcW w:w="0" w:type="auto"/>
          </w:tcPr>
          <w:p>
            <w:pPr>
              <w:spacing w:before="40" w:after="40"/>
            </w:pPr>
            <w:r>
              <w:rPr>
                <w:sz w:val="18"/>
                <w:color w:val="1e1e1e"/>
              </w:rPr>
              <w:t xml:space="preserve">5.2.1</w:t>
            </w:r>
          </w:p>
        </w:tc>
        <w:tc>
          <w:tcPr>
            <w:tcW w:w="0" w:type="auto"/>
          </w:tcPr>
          <w:p>
            <w:pPr>
              <w:spacing w:before="40" w:after="40"/>
            </w:pPr>
            <w:r>
              <w:rPr>
                <w:sz w:val="18"/>
                <w:color w:val="1e1e1e"/>
              </w:rPr>
              <w:t xml:space="preserve">Iran resists conditionality; they want disbursements regardless of behavior.</w:t>
            </w:r>
          </w:p>
        </w:tc>
        <w:tc>
          <w:tcPr>
            <w:tcW w:w="0" w:type="auto"/>
          </w:tcPr>
          <w:p>
            <w:pPr>
              <w:spacing w:before="40" w:after="40"/>
            </w:pPr>
            <w:r>
              <w:rPr>
                <w:sz w:val="18"/>
                <w:color w:val="1e1e1e"/>
              </w:rPr>
              <w:t xml:space="preserve">This is the real leverage. If Iran refuses conditionality, there is no deal. The entire architecture depends on compliance linkage. Frame it not as "punishment" but as "accountability to the international shipping community."</w:t>
            </w:r>
          </w:p>
        </w:tc>
      </w:tr>
      <w:tr>
        <w:tc>
          <w:tcPr>
            <w:tcW w:w="0" w:type="auto"/>
          </w:tcPr>
          <w:p>
            <w:pPr>
              <w:spacing w:before="40" w:after="40"/>
            </w:pPr>
            <w:r>
              <w:rPr>
                <w:sz w:val="18"/>
                <w:color w:val="1e1e1e"/>
              </w:rPr>
              <w:t xml:space="preserve">5.2.3</w:t>
            </w:r>
          </w:p>
        </w:tc>
        <w:tc>
          <w:tcPr>
            <w:tcW w:w="0" w:type="auto"/>
          </w:tcPr>
          <w:p>
            <w:pPr>
              <w:spacing w:before="40" w:after="40"/>
            </w:pPr>
            <w:r>
              <w:rPr>
                <w:sz w:val="18"/>
                <w:color w:val="1e1e1e"/>
              </w:rPr>
              <w:t xml:space="preserve">Iran argues that suspending disbursements for Level 3 violations is "collective punishment."</w:t>
            </w:r>
          </w:p>
        </w:tc>
        <w:tc>
          <w:tcPr>
            <w:tcW w:w="0" w:type="auto"/>
          </w:tcPr>
          <w:p>
            <w:pPr>
              <w:spacing w:before="40" w:after="40"/>
            </w:pPr>
            <w:r>
              <w:rPr>
                <w:sz w:val="18"/>
                <w:color w:val="1e1e1e"/>
              </w:rPr>
              <w:t xml:space="preserve">Counter: the level is determined by objective facts of the violation, not by politics. The JIC votes on the classification; Iran has a seat at that table.</w:t>
            </w:r>
          </w:p>
        </w:tc>
      </w:tr>
      <w:tr>
        <w:tc>
          <w:tcPr>
            <w:tcW w:w="0" w:type="auto"/>
          </w:tcPr>
          <w:p>
            <w:pPr>
              <w:spacing w:before="40" w:after="40"/>
            </w:pPr>
            <w:r>
              <w:rPr>
                <w:sz w:val="18"/>
                <w:color w:val="1e1e1e"/>
              </w:rPr>
              <w:t xml:space="preserve">6.2.2</w:t>
            </w:r>
          </w:p>
        </w:tc>
        <w:tc>
          <w:tcPr>
            <w:tcW w:w="0" w:type="auto"/>
          </w:tcPr>
          <w:p>
            <w:pPr>
              <w:spacing w:before="40" w:after="40"/>
            </w:pPr>
            <w:r>
              <w:rPr>
                <w:sz w:val="18"/>
                <w:color w:val="1e1e1e"/>
              </w:rPr>
              <w:t xml:space="preserve">Iran resists international arbitration; they prefer Iranian courts.</w:t>
            </w:r>
          </w:p>
        </w:tc>
        <w:tc>
          <w:tcPr>
            <w:tcW w:w="0" w:type="auto"/>
          </w:tcPr>
          <w:p>
            <w:pPr>
              <w:spacing w:before="40" w:after="40"/>
            </w:pPr>
            <w:r>
              <w:rPr>
                <w:sz w:val="18"/>
                <w:color w:val="1e1e1e"/>
              </w:rPr>
              <w:t xml:space="preserve">Muscat is the primary arbitration venue (neutral, regional). If Iran refuses Muscat, Geneva (Switzerland) serves as the alternative; it is neutral and experienced in maritime disputes.</w:t>
            </w:r>
          </w:p>
        </w:tc>
      </w:tr>
      <w:tr>
        <w:tc>
          <w:tcPr>
            <w:tcW w:w="0" w:type="auto"/>
          </w:tcPr>
          <w:p>
            <w:pPr>
              <w:spacing w:before="40" w:after="40"/>
            </w:pPr>
            <w:r>
              <w:rPr>
                <w:sz w:val="18"/>
                <w:color w:val="1e1e1e"/>
              </w:rPr>
              <w:t xml:space="preserve">8.1.2(a)</w:t>
            </w:r>
          </w:p>
        </w:tc>
        <w:tc>
          <w:tcPr>
            <w:tcW w:w="0" w:type="auto"/>
          </w:tcPr>
          <w:p>
            <w:pPr>
              <w:spacing w:before="40" w:after="40"/>
            </w:pPr>
            <w:r>
              <w:rPr>
                <w:sz w:val="18"/>
                <w:color w:val="1e1e1e"/>
              </w:rPr>
              <w:t xml:space="preserve">Iran argues for immediate termination with no wind-down period.</w:t>
            </w:r>
          </w:p>
        </w:tc>
        <w:tc>
          <w:tcPr>
            <w:tcW w:w="0" w:type="auto"/>
          </w:tcPr>
          <w:p>
            <w:pPr>
              <w:spacing w:before="40" w:after="40"/>
            </w:pPr>
            <w:r>
              <w:rPr>
                <w:sz w:val="18"/>
                <w:color w:val="1e1e1e"/>
              </w:rPr>
              <w:t xml:space="preserve">Hold the 6-month wind-down. Without it, Iran could hold vessels hostage during the transition. Frame the wind-down as "protecting the shipping industry from disruption."</w:t>
            </w:r>
          </w:p>
        </w:tc>
      </w:tr>
    </w:tbl>
    <w:p>
      <w:r>
        <w:rPr/>
        <w:t xml:space="preserve"/>
      </w:r>
    </w:p>
    <w:p>
      <w:pPr>
        <w:pStyle w:val="Heading2"/>
      </w:pPr>
      <w:r>
        <w:t>Bottom Line Summary</w:t>
      </w:r>
    </w:p>
    <w:p>
      <w:r>
        <w:rPr/>
        <w:t xml:space="preserve">Annex 1AC is the compliance engine of the HSU financial architecture. It transforms Iran's aspiration for tolls into a conditional, audited, and reversible revenue stream, but only if Iran maintains compliant behavior. The sovereignty disclaimer shields both sides from political embarrassment, and the escrow mechanism provides real, material leverage that the IRGC cannot ignore.</w:t>
      </w:r>
    </w:p>
    <w:p>
      <w:r>
        <w:rPr/>
        <w:t xml:space="preserve">Iran tests the conditionality on Day 1. When the first disbursement is reduced by 10 percent for a Level 2 violation, the message becomes clear: good behavior pays; bad behavior costs. This is a language every government understands.</w:t>
      </w:r>
    </w:p>
    <w:p>
      <w:pPr>
        <w:sectPr>
          <w:headerReference w:type="default" r:id="R09fbedd22bf14017"/>
          <w:footerReference w:type="default" r:id="R88d86dbc35e74854"/>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0c59b8b1a8f24a9c"/>
                    <a:stretch>
                      <a:fillRect/>
                    </a:stretch>
                  </pic:blipFill>
                  <pic:spPr>
                    <a:xfrm>
                      <a:off x="0" y="0"/>
                      <a:ext cx="7560000" cy="10692000"/>
                    </a:xfrm>
                    <a:prstGeom prst="rect"/>
                  </pic:spPr>
                </pic:pic>
              </a:graphicData>
            </a:graphic>
          </wp:anchor>
        </w:drawing>
      </w:r>
    </w:p>
    <w:p>
      <w:pPr>
        <w:spacing w:before="6000"/>
        <w:jc w:val="center"/>
      </w:pPr>
      <w:r>
        <w:rPr>
          <w:sz w:val="56"/>
          <w:b/>
          <w:color w:val="e8dcc8"/>
          <w:spacing w:val="30"/>
        </w:rPr>
        <w:t>ANNEX 1AC</w:t>
      </w:r>
    </w:p>
    <w:p>
      <w:pPr>
        <w:spacing w:before="300"/>
        <w:jc w:val="center"/>
      </w:pPr>
      <w:r>
        <w:rPr>
          <w:sz w:val="28"/>
          <w:color w:val="c9a96e"/>
        </w:rPr>
        <w:t>Transit Facilitation &amp; Service Fees</w:t>
      </w:r>
    </w:p>
    <w:p>
      <w:pPr>
        <w:spacing w:before="200"/>
        <w:jc w:val="center"/>
      </w:pPr>
      <w:r>
        <w:rPr>
          <w:sz w:val="20"/>
          <w:color w:val="8a95a5"/>
        </w:rPr>
        <w:t>To the Hormuz Standardization Understanding (HSU)</w:t>
      </w:r>
    </w:p>
    <w:p>
      <w:pPr>
        <w:spacing w:before="4000"/>
        <w:jc w:val="center"/>
      </w:pPr>
      <w:r>
        <w:rPr>
          <w:sz w:val="16"/>
          <w:color w:val="8a95a5"/>
        </w:rPr>
        <w:t>AUTHORIZED NEGOTIATORS ONLY  |  CONFIDENTIAL</w:t>
      </w:r>
    </w:p>
    <w:p>
      <w:pPr>
        <w:spacing w:before="100"/>
        <w:jc w:val="center"/>
      </w:pPr>
      <w:r>
        <w:rPr>
          <w:sz w:val="16"/>
          <w:color w:val="8a95a5"/>
        </w:rPr>
        <w:t>NOT FOR PUBLIC DISTRIBUTION</w:t>
      </w:r>
    </w:p>
    <w:p>
      <w:pPr>
        <w:spacing w:before="200"/>
        <w:jc w:val="center"/>
      </w:pPr>
      <w:r>
        <w:rPr>
          <w:sz w:val="14"/>
          <w:color w:val="8a95a5"/>
        </w:rPr>
        <w:t>Muscat, Sultanate of Oman  |  July 2026</w:t>
      </w:r>
    </w:p>
    <w:sectPr>
      <w:pgSz w:w="11906" w:h="16838"/>
      <w:pgMar w:top="0" w:right="0" w:bottom="0" w:left="0" w:header="0" w:footer="0"/>
    </w:sectPr>
  </w:body>
</w:document>
</file>

<file path=word/footer1.xml><?xml version="1.0" encoding="utf-8"?>
<w:ftr xmlns:w="http://schemas.openxmlformats.org/wordprocessingml/2006/main">
  <w:p>
    <w:pPr>
      <w:jc w:val="center"/>
    </w:pPr>
    <w:r>
      <w:rPr>
        <w:sz w:val="16"/>
        <w:color w:val="8a95a5"/>
      </w:rPr>
      <w:fldChar w:fldCharType="begin"/>
    </w:r>
    <w:r>
      <w:rPr>
        <w:sz w:val="16"/>
        <w:color w:val="8a95a5"/>
      </w:rPr>
      <w:instrText xml:space="preserve"> PAGE </w:instrText>
    </w:r>
    <w:r>
      <w:rPr>
        <w:sz w:val="16"/>
        <w:color w:val="8a95a5"/>
      </w:rPr>
      <w:fldChar w:fldCharType="separate"/>
    </w:r>
    <w:r>
      <w:rPr>
        <w:sz w:val="16"/>
        <w:color w:val="8a95a5"/>
      </w:rPr>
      <w:t>1</w:t>
    </w:r>
    <w:r>
      <w:rPr>
        <w:sz w:val="16"/>
        <w:color w:val="8a95a5"/>
      </w:rPr>
      <w:fldChar w:fldCharType="end"/>
    </w:r>
    <w:r>
      <w:rPr>
        <w:sz w:val="16"/>
        <w:color w:val="8a95a5"/>
      </w:rPr>
      <w:t xml:space="preserve"> / </w:t>
    </w:r>
    <w:r>
      <w:rPr>
        <w:sz w:val="16"/>
        <w:color w:val="8a95a5"/>
      </w:rPr>
      <w:fldChar w:fldCharType="begin"/>
    </w:r>
    <w:r>
      <w:rPr>
        <w:sz w:val="16"/>
        <w:color w:val="8a95a5"/>
      </w:rPr>
      <w:instrText xml:space="preserve"> NUMPAGES </w:instrText>
    </w:r>
    <w:r>
      <w:rPr>
        <w:sz w:val="16"/>
        <w:color w:val="8a95a5"/>
      </w:rPr>
      <w:fldChar w:fldCharType="separate"/>
    </w:r>
    <w:r>
      <w:rPr>
        <w:sz w:val="16"/>
        <w:color w:val="8a95a5"/>
      </w:rPr>
      <w:t>1</w:t>
    </w:r>
    <w:r>
      <w:rPr>
        <w:sz w:val="16"/>
        <w:color w:val="8a95a5"/>
      </w:rPr>
      <w:fldChar w:fldCharType="end"/>
    </w:r>
  </w:p>
</w:ftr>
</file>

<file path=word/header1.xml><?xml version="1.0" encoding="utf-8"?>
<w:hdr xmlns:w="http://schemas.openxmlformats.org/wordprocessingml/2006/main">
  <w:p>
    <w:pPr>
      <w:jc w:val="right"/>
    </w:pPr>
    <w:r>
      <w:rPr>
        <w:sz w:val="16"/>
        <w:color w:val="8a95a5"/>
      </w:rPr>
      <w:t>Annex 1AC: Transit Facilitation &amp; Service Fees | HSU</w:t>
    </w:r>
  </w:p>
</w:hdr>
</file>

<file path=word/settings.xml><?xml version="1.0" encoding="utf-8"?>
<w:settings xmlns:w="http://schemas.openxmlformats.org/wordprocessingml/2006/main">
  <w:updateFields w:val="true"/>
  <w:displayBackgroundShap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sz w:val="22"/>
      <w:color w:val="1e1e1e"/>
    </w:rPr>
  </w:style>
  <w:style w:type="paragraph" w:styleId="Heading1">
    <w:name w:val="heading 1"/>
    <w:basedOn w:val="Normal"/>
    <w:pPr>
      <w:keepNext/>
      <w:keepLines/>
      <w:spacing w:before="480" w:after="240"/>
      <w:outlineLvl w:val="0"/>
    </w:pPr>
    <w:rPr>
      <w:b/>
      <w:sz w:val="32"/>
      <w:rFonts w:ascii="Calibri" w:hAnsi="Calibri" w:eastAsia="Microsoft YaHei"/>
      <w:color w:val="1a2744"/>
    </w:rPr>
  </w:style>
  <w:style w:type="paragraph" w:styleId="Heading2">
    <w:name w:val="heading 2"/>
    <w:basedOn w:val="Normal"/>
    <w:pPr>
      <w:keepNext/>
      <w:keepLines/>
      <w:spacing w:before="360" w:after="160"/>
      <w:outlineLvl w:val="1"/>
    </w:pPr>
    <w:rPr>
      <w:b/>
      <w:sz w:val="26"/>
      <w:rFonts w:ascii="Calibri" w:hAnsi="Calibri" w:eastAsia="Microsoft YaHei"/>
      <w:color w:val="1e1e1e"/>
    </w:rPr>
  </w:style>
  <w:style w:type="paragraph" w:styleId="Heading3">
    <w:name w:val="heading 3"/>
    <w:basedOn w:val="Normal"/>
    <w:pPr>
      <w:keepNext/>
      <w:keepLines/>
      <w:spacing w:before="280" w:after="120"/>
      <w:outlineLvl w:val="2"/>
    </w:pPr>
    <w:rPr>
      <w:b/>
      <w:sz w:val="24"/>
      <w:rFonts w:ascii="Calibri" w:hAnsi="Calibri" w:eastAsia="Microsoft YaHei"/>
      <w:color w:val="4a5568"/>
    </w:rPr>
  </w:style>
  <w:style w:type="paragraph" w:styleId="Caption">
    <w:name w:val="Caption"/>
    <w:basedOn w:val="Normal"/>
    <w:pPr>
      <w:jc w:val="center"/>
      <w:spacing w:before="60" w:after="280"/>
    </w:pPr>
    <w:rPr>
      <w:color w:val="8a95a5"/>
      <w:sz w:val="18"/>
    </w:rPr>
  </w:style>
  <w:style w:type="paragraph" w:styleId="TOC1">
    <w:name w:val="toc 1"/>
    <w:basedOn w:val="Normal"/>
    <w:pPr>
      <w:tabs>
        <w:tab w:val="right" w:leader="dot" w:pos="9350"/>
      </w:tabs>
      <w:spacing w:before="200" w:after="60"/>
    </w:pPr>
    <w:rPr>
      <w:b/>
      <w:color w:val="1e1e1e"/>
    </w:rPr>
  </w:style>
  <w:style w:type="paragraph" w:styleId="TOC2">
    <w:name w:val="toc 2"/>
    <w:basedOn w:val="Normal"/>
    <w:pPr>
      <w:tabs>
        <w:tab w:val="right" w:leader="dot" w:pos="9350"/>
      </w:tabs>
      <w:spacing w:before="60" w:after="40"/>
      <w:ind w:left="360"/>
    </w:pPr>
    <w:rPr>
      <w:color w:val="4a5568"/>
    </w:rPr>
  </w:style>
  <w:style w:type="paragraph" w:styleId="TOC3">
    <w:name w:val="toc 3"/>
    <w:basedOn w:val="Normal"/>
    <w:pPr>
      <w:tabs>
        <w:tab w:val="right" w:leader="dot" w:pos="9350"/>
      </w:tabs>
      <w:spacing w:before="40" w:after="30"/>
      <w:ind w:left="720"/>
    </w:pPr>
    <w:rPr>
      <w:color w:val="8a95a5"/>
      <w:sz w:val="20"/>
    </w:rPr>
  </w:style>
</w:styles>
</file>

<file path=word/_rels/document.xml.rels><?xml version='1.0' encoding='UTF-8'?>
<Relationships xmlns="http://schemas.openxmlformats.org/package/2006/relationships"><Relationship Id="R09fbedd22bf14017" Type="http://schemas.openxmlformats.org/officeDocument/2006/relationships/header" Target="/word/header1.xml" /><Relationship Id="R0c59b8b1a8f24a9c" Type="http://schemas.openxmlformats.org/officeDocument/2006/relationships/image" Target="/media/image2.png" /><Relationship Id="R49a50e7dbe04487f" Type="http://schemas.openxmlformats.org/officeDocument/2006/relationships/image" Target="/media/image.png" /><Relationship Id="R88d86dbc35e74854" Type="http://schemas.openxmlformats.org/officeDocument/2006/relationships/footer" Target="/word/footer1.xml" /><Relationship Id="Rafc4d3122dfe4b10" Type="http://schemas.openxmlformats.org/officeDocument/2006/relationships/styles" Target="/word/styles.xml" /><Relationship Id="Rba97ef5a75044521" Type="http://schemas.openxmlformats.org/officeDocument/2006/relationships/settings" Target="/word/settings.xml" /></Relationships>
</file>