
<file path=[Content_Types].xml><?xml version="1.0" encoding="utf-8"?>
<Types xmlns="http://schemas.openxmlformats.org/package/2006/content-types">
  <Default Extension="xml" ContentType="applicatio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b5075adc43584a9f" /></Relationships>
</file>

<file path=word/document.xml><?xml version="1.0" encoding="utf-8"?>
<w:document xmlns:r="http://schemas.openxmlformats.org/officeDocument/2006/relationships" xmlns:w="http://schemas.openxmlformats.org/wordprocessingml/2006/main">
  <w:body>
    <w:p>
      <w:pPr>
        <w:spacing w:before="2400"/>
      </w:pPr>
      <w:r/>
    </w:p>
    <w:p>
      <w:pPr>
        <w:spacing w:after="600"/>
        <w:jc w:val="center"/>
      </w:pPr>
      <w:r>
        <w:rPr>
          <w:rFonts w:ascii="Georgia" w:hAnsi="Georgia"/>
          <w:color w:val="555555"/>
          <w:spacing w:val="60"/>
          <w:sz w:val="22"/>
        </w:rPr>
        <w:t>DIPLOMATIC WORKING DOCUMENT — MODULAR ANNEX</w:t>
      </w:r>
    </w:p>
    <w:p>
      <w:pPr>
        <w:spacing w:after="400"/>
        <w:jc w:val="center"/>
      </w:pPr>
      <w:r>
        <w:rPr>
          <w:rFonts w:ascii="Georgia" w:hAnsi="Georgia"/>
          <w:b/>
          <w:color w:val="1a1a1a"/>
          <w:spacing w:val="40"/>
          <w:sz w:val="32"/>
        </w:rPr>
        <w:t>ANNEX D</w:t>
      </w:r>
    </w:p>
    <w:p>
      <w:pPr>
        <w:spacing w:after="200"/>
        <w:jc w:val="center"/>
      </w:pPr>
      <w:r>
        <w:rPr>
          <w:rFonts w:ascii="Georgia" w:hAnsi="Georgia"/>
          <w:b/>
          <w:color w:val="1a1a1a"/>
          <w:sz w:val="56"/>
        </w:rPr>
        <w:t>Phase II</w:t>
      </w:r>
    </w:p>
    <w:p>
      <w:pPr>
        <w:spacing w:after="600"/>
        <w:jc w:val="center"/>
      </w:pPr>
      <w:r>
        <w:rPr>
          <w:rFonts w:ascii="Georgia" w:hAnsi="Georgia"/>
          <w:b/>
          <w:color w:val="1a1a1a"/>
          <w:sz w:val="56"/>
        </w:rPr>
        <w:t>Deadlock Mechanism</w:t>
      </w:r>
    </w:p>
    <w:p>
      <w:pPr>
        <w:spacing w:after="400"/>
        <w:jc w:val="center"/>
      </w:pPr>
      <w:r>
        <w:rPr>
          <w:rFonts w:ascii="Georgia" w:hAnsi="Georgia"/>
          <w:i/>
          <w:color w:val="555555"/>
          <w:sz w:val="24"/>
        </w:rPr>
        <w:t>Procedural Pathway for Resolving Kernel Deadlock Without Collapse</w:t>
      </w:r>
    </w:p>
    <w:p>
      <w:pPr>
        <w:spacing w:after="1200"/>
        <w:jc w:val="center"/>
      </w:pPr>
      <w:r>
        <w:rPr>
          <w:rFonts w:ascii="Georgia" w:hAnsi="Georgia"/>
          <w:color w:val="888888"/>
          <w:sz w:val="20"/>
        </w:rPr>
        <w:t>Modular  ·  Self-Contained  ·  Incorporable by Reference</w:t>
      </w:r>
    </w:p>
    <w:p>
      <w:pPr>
        <w:spacing w:after="400"/>
        <w:jc w:val="center"/>
      </w:pPr>
      <w:r>
        <w:rPr>
          <w:rFonts w:ascii="Georgia" w:hAnsi="Georgia"/>
          <w:color w:val="888888"/>
          <w:sz w:val="20"/>
        </w:rPr>
        <w:t>MOU Pertaining to PEACE (v7.0)  ·  June 2026</w:t>
      </w:r>
    </w:p>
    <w:p>
      <w:pPr>
        <w:pBdr>
          <w:top w:val="single" w:color="999999" w:sz="4"/>
          <w:bottom w:val="single" w:color="999999" w:sz="4"/>
        </w:pBdr>
        <w:spacing w:before="1200" w:after="0"/>
        <w:jc w:val="center"/>
      </w:pPr>
      <w:r>
        <w:rPr>
          <w:rFonts w:ascii="Georgia" w:hAnsi="Georgia"/>
          <w:color w:val="888888"/>
          <w:spacing w:val="30"/>
          <w:sz w:val="18"/>
        </w:rPr>
        <w:t>AUTHORIZED NEGOTIATORS ONLY  —  CONFIDENTIAL  —  NOT FOR PUBLIC DISTRIBUTION</w:t>
      </w:r>
    </w:p>
    <w:p>
      <w:pPr>
        <w:sectPr>
          <w:type w:val="nextPage"/>
          <w:pgSz w:w="11906" w:h="16838"/>
          <w:pgMar w:top="0" w:right="720" w:bottom="0" w:left="720" w:header="0" w:footer="0"/>
          <w:titlePg/>
        </w:sectPr>
      </w:pPr>
    </w:p>
    <w:p>
      <w:pPr>
        <w:spacing w:after="400"/>
        <w:jc w:val="center"/>
      </w:pPr>
      <w:r>
        <w:rPr>
          <w:rFonts w:ascii="Georgia" w:hAnsi="Georgia"/>
          <w:b/>
          <w:color w:val="1a1a1a"/>
          <w:sz w:val="40"/>
        </w:rPr>
        <w:t>Contents</w:t>
      </w:r>
    </w:p>
    <w:p>
      <w:r>
        <w:fldChar w:fldCharType="begin"/>
      </w:r>
      <w:r>
        <w:instrText xml:space="preserve"> TOC \o "1-2" \h \z \u </w:instrText>
      </w:r>
      <w:r>
        <w:fldChar w:fldCharType="separate"/>
      </w:r>
    </w:p>
    <w:p>
      <w:pPr>
        <w:pStyle w:val="TOC1"/>
      </w:pPr>
      <w:r>
        <w:t>Preamble</w:t>
      </w:r>
      <w:r>
        <w:tab/>
      </w:r>
      <w:r>
        <w:t>1</w:t>
      </w:r>
    </w:p>
    <w:p>
      <w:pPr>
        <w:pStyle w:val="TOC1"/>
      </w:pPr>
      <w:r>
        <w:t>Article 1 — Purpose</w:t>
      </w:r>
      <w:r>
        <w:tab/>
      </w:r>
      <w:r>
        <w:t>1</w:t>
      </w:r>
    </w:p>
    <w:p>
      <w:pPr>
        <w:pStyle w:val="TOC1"/>
      </w:pPr>
      <w:r>
        <w:t>Article 2 — Definition of Phase II Deadlock</w:t>
      </w:r>
      <w:r>
        <w:tab/>
      </w:r>
      <w:r>
        <w:t>1</w:t>
      </w:r>
    </w:p>
    <w:p>
      <w:pPr>
        <w:pStyle w:val="TOC2"/>
      </w:pPr>
      <w:r>
        <w:t>2.1 Conditions Constituting Deadlock</w:t>
      </w:r>
      <w:r>
        <w:tab/>
      </w:r>
      <w:r>
        <w:t>1</w:t>
      </w:r>
    </w:p>
    <w:p>
      <w:pPr>
        <w:pStyle w:val="TOC2"/>
      </w:pPr>
      <w:r>
        <w:t>2.2 Exclusions from Deadlock</w:t>
      </w:r>
      <w:r>
        <w:tab/>
      </w:r>
      <w:r>
        <w:t>1</w:t>
      </w:r>
    </w:p>
    <w:p>
      <w:pPr>
        <w:pStyle w:val="TOC2"/>
      </w:pPr>
      <w:r>
        <w:t>2.3 Deadlock Notification Procedure</w:t>
      </w:r>
      <w:r>
        <w:tab/>
      </w:r>
      <w:r>
        <w:t>1</w:t>
      </w:r>
    </w:p>
    <w:p>
      <w:pPr>
        <w:pStyle w:val="TOC1"/>
      </w:pPr>
      <w:r>
        <w:t>Article 3 — Cooling-Off Period</w:t>
      </w:r>
      <w:r>
        <w:tab/>
      </w:r>
      <w:r>
        <w:t>1</w:t>
      </w:r>
    </w:p>
    <w:p>
      <w:pPr>
        <w:pStyle w:val="TOC2"/>
      </w:pPr>
      <w:r>
        <w:t>3.1 Automatic Activation</w:t>
      </w:r>
      <w:r>
        <w:tab/>
      </w:r>
      <w:r>
        <w:t>1</w:t>
      </w:r>
    </w:p>
    <w:p>
      <w:pPr>
        <w:pStyle w:val="TOC2"/>
      </w:pPr>
      <w:r>
        <w:t>3.2 Phase I Continuation During Cooling-Off</w:t>
      </w:r>
      <w:r>
        <w:tab/>
      </w:r>
      <w:r>
        <w:t>1</w:t>
      </w:r>
    </w:p>
    <w:p>
      <w:pPr>
        <w:pStyle w:val="TOC2"/>
      </w:pPr>
      <w:r>
        <w:t>3.3 PCC Facilitation Role</w:t>
      </w:r>
      <w:r>
        <w:tab/>
      </w:r>
      <w:r>
        <w:t>1</w:t>
      </w:r>
    </w:p>
    <w:p>
      <w:pPr>
        <w:pStyle w:val="TOC2"/>
      </w:pPr>
      <w:r>
        <w:t>3.4 Amendment Proposals During Cooling-Off</w:t>
      </w:r>
      <w:r>
        <w:tab/>
      </w:r>
      <w:r>
        <w:t>1</w:t>
      </w:r>
    </w:p>
    <w:p>
      <w:pPr>
        <w:pStyle w:val="TOC1"/>
      </w:pPr>
      <w:r>
        <w:t>Article 4 — Mandatory Consultation and Mediation</w:t>
      </w:r>
      <w:r>
        <w:tab/>
      </w:r>
      <w:r>
        <w:t>1</w:t>
      </w:r>
    </w:p>
    <w:p>
      <w:pPr>
        <w:pStyle w:val="TOC2"/>
      </w:pPr>
      <w:r>
        <w:t>4.1 Ministerial Session</w:t>
      </w:r>
      <w:r>
        <w:tab/>
      </w:r>
      <w:r>
        <w:t>1</w:t>
      </w:r>
    </w:p>
    <w:p>
      <w:pPr>
        <w:pStyle w:val="TOC2"/>
      </w:pPr>
      <w:r>
        <w:t>4.2 Facilitation Team</w:t>
      </w:r>
      <w:r>
        <w:tab/>
      </w:r>
      <w:r>
        <w:t>1</w:t>
      </w:r>
    </w:p>
    <w:p>
      <w:pPr>
        <w:pStyle w:val="TOC2"/>
      </w:pPr>
      <w:r>
        <w:t>4.3 Written Addendum</w:t>
      </w:r>
      <w:r>
        <w:tab/>
      </w:r>
      <w:r>
        <w:t>1</w:t>
      </w:r>
    </w:p>
    <w:p>
      <w:pPr>
        <w:pStyle w:val="TOC1"/>
      </w:pPr>
      <w:r>
        <w:t>Article 5 — Binding Arbitration (PCA)</w:t>
      </w:r>
      <w:r>
        <w:tab/>
      </w:r>
      <w:r>
        <w:t>1</w:t>
      </w:r>
    </w:p>
    <w:p>
      <w:pPr>
        <w:pStyle w:val="TOC2"/>
      </w:pPr>
      <w:r>
        <w:t>5.1 PCA Referral</w:t>
      </w:r>
      <w:r>
        <w:tab/>
      </w:r>
      <w:r>
        <w:t>1</w:t>
      </w:r>
    </w:p>
    <w:p>
      <w:pPr>
        <w:pStyle w:val="TOC2"/>
      </w:pPr>
      <w:r>
        <w:t>5.2 Bad-Faith Determination</w:t>
      </w:r>
      <w:r>
        <w:tab/>
      </w:r>
      <w:r>
        <w:t>1</w:t>
      </w:r>
    </w:p>
    <w:p>
      <w:pPr>
        <w:pStyle w:val="TOC2"/>
      </w:pPr>
      <w:r>
        <w:t>5.3 No Bad-Faith Finding</w:t>
      </w:r>
      <w:r>
        <w:tab/>
      </w:r>
      <w:r>
        <w:t>1</w:t>
      </w:r>
    </w:p>
    <w:p>
      <w:pPr>
        <w:pStyle w:val="TOC1"/>
      </w:pPr>
      <w:r>
        <w:t>Article 6 — Phase I Continuation Pending Resolution</w:t>
      </w:r>
      <w:r>
        <w:tab/>
      </w:r>
      <w:r>
        <w:t>1</w:t>
      </w:r>
    </w:p>
    <w:p>
      <w:pPr>
        <w:pStyle w:val="TOC1"/>
      </w:pPr>
      <w:r>
        <w:t>Article 7 — Fallback: Extended Phase I</w:t>
      </w:r>
      <w:r>
        <w:tab/>
      </w:r>
      <w:r>
        <w:t>1</w:t>
      </w:r>
    </w:p>
    <w:p>
      <w:pPr>
        <w:pStyle w:val="TOC2"/>
      </w:pPr>
      <w:r>
        <w:t>7.1 Automatic Reversion</w:t>
      </w:r>
      <w:r>
        <w:tab/>
      </w:r>
      <w:r>
        <w:t>1</w:t>
      </w:r>
    </w:p>
    <w:p>
      <w:pPr>
        <w:pStyle w:val="TOC2"/>
      </w:pPr>
      <w:r>
        <w:t>7.2 Suspension, Not Cancellation</w:t>
      </w:r>
      <w:r>
        <w:tab/>
      </w:r>
      <w:r>
        <w:t>1</w:t>
      </w:r>
    </w:p>
    <w:p>
      <w:pPr>
        <w:pStyle w:val="TOC2"/>
      </w:pPr>
      <w:r>
        <w:t>7.3 Re-Entry into Phase II</w:t>
      </w:r>
      <w:r>
        <w:tab/>
      </w:r>
      <w:r>
        <w:t>1</w:t>
      </w:r>
    </w:p>
    <w:p>
      <w:pPr>
        <w:pStyle w:val="TOC1"/>
      </w:pPr>
      <w:r>
        <w:t>Article 8 — No Automatic Termination</w:t>
      </w:r>
      <w:r>
        <w:tab/>
      </w:r>
      <w:r>
        <w:t>1</w:t>
      </w:r>
    </w:p>
    <w:p>
      <w:pPr>
        <w:pStyle w:val="TOC1"/>
      </w:pPr>
      <w:r>
        <w:t>Article 9 — Relationship to Other Annexes</w:t>
      </w:r>
      <w:r>
        <w:tab/>
      </w:r>
      <w:r>
        <w:t>1</w:t>
      </w:r>
    </w:p>
    <w:p>
      <w:pPr>
        <w:pStyle w:val="TOC1"/>
      </w:pPr>
      <w:r>
        <w:t>Article 10 — Incorporation by Reference</w:t>
      </w:r>
      <w:r>
        <w:tab/>
      </w:r>
      <w:r>
        <w:t>1</w:t>
      </w:r>
    </w:p>
    <w:p>
      <w:pPr>
        <w:pStyle w:val="TOC1"/>
      </w:pPr>
      <w:r>
        <w:t>Definitions</w:t>
      </w:r>
      <w:r>
        <w:tab/>
      </w:r>
      <w:r>
        <w:t>1</w:t>
      </w:r>
    </w:p>
    <w:p>
      <w:pPr>
        <w:pStyle w:val="TOC1"/>
      </w:pPr>
      <w:r>
        <w:t>Political Pitch Matrix</w:t>
      </w:r>
      <w:r>
        <w:tab/>
      </w:r>
      <w:r>
        <w:t>1</w:t>
      </w:r>
    </w:p>
    <w:p>
      <w:pPr>
        <w:pStyle w:val="TOC1"/>
      </w:pPr>
      <w:r>
        <w:t>Signature Block</w:t>
      </w:r>
      <w:r>
        <w:tab/>
      </w:r>
      <w:r>
        <w:t>1</w:t>
      </w:r>
    </w:p>
    <w:p>
      <w:r>
        <w:fldChar w:fldCharType="end"/>
      </w:r>
    </w:p>
    <w:p>
      <w:pPr>
        <w:sectPr>
          <w:type w:val="nextPage"/>
          <w:pgSz w:w="11906" w:h="16838"/>
          <w:pgMar w:top="1440" w:right="1440" w:bottom="1440" w:left="1440" w:header="720" w:footer="720"/>
        </w:sectPr>
      </w:pPr>
    </w:p>
    <w:p>
      <w:pPr>
        <w:pStyle w:val="Heading1"/>
      </w:pPr>
      <w:r>
        <w:t>Preamble</w:t>
      </w:r>
      <w:bookmarkStart w:name="_TocPre" w:id="1"/>
      <w:bookmarkEnd w:id="1"/>
    </w:p>
    <w:p>
      <w:pPr>
        <w:spacing w:before="120" w:after="120"/>
      </w:pPr>
      <w:r>
        <w:rPr>
          <w:sz w:val="22"/>
        </w:rPr>
        <w:t xml:space="preserve">The Memorandum of Understanding Pertaining to PEACE (the “MOU”) establishes a phased architecture in which Phase II (the “Kernel”) constitutes a contained asymmetry: Iran neutralizes its weapons-grade material; the United States converts reversible relief into structural relief. The Parties recognize that this moment of deepest mutual exposure carries the highest risk of deadlock.</w:t>
      </w:r>
    </w:p>
    <w:p>
      <w:pPr>
        <w:spacing w:before="120" w:after="120"/>
      </w:pPr>
      <w:r>
        <w:rPr>
          <w:sz w:val="22"/>
        </w:rPr>
        <w:t xml:space="preserve">This Annex establishes a procedural pathway for resolving a deadlock in Phase II without collapsing the entire MOU. It ensures that a failure to complete the contained asymmetric concessions does not trigger automatic termination, and that Phase I benefits continue while the Parties pursue resolution. The architecture treats deadlock as a manageable procedural event, not as an existential threat to the framework.</w:t>
      </w:r>
    </w:p>
    <w:p>
      <w:pPr>
        <w:spacing w:before="120" w:after="120"/>
      </w:pPr>
      <w:r>
        <w:rPr>
          <w:sz w:val="22"/>
        </w:rPr>
        <w:t xml:space="preserve">The following principles govern the interpretation of this Annex:</w:t>
      </w:r>
    </w:p>
    <w:p>
      <w:pPr>
        <w:numPr>
          <w:ilvl w:val="1"/>
          <w:numId w:val="2"/>
        </w:numPr>
        <w:spacing w:before="60" w:after="60"/>
      </w:pPr>
      <w:r>
        <w:rPr>
          <w:sz w:val="22"/>
        </w:rPr>
        <w:t xml:space="preserve">Present-tense mutual architecture: Each provision in this Annex functions as a feature of the shared framework, binding both Parties equally, rather than a unilateral restraint by one Party for the benefit of the other.</w:t>
      </w:r>
    </w:p>
    <w:p>
      <w:pPr>
        <w:numPr>
          <w:ilvl w:val="1"/>
          <w:numId w:val="2"/>
        </w:numPr>
        <w:spacing w:before="60" w:after="60"/>
      </w:pPr>
      <w:r>
        <w:rPr>
          <w:sz w:val="22"/>
        </w:rPr>
        <w:t xml:space="preserve">Progress preservation: Deadlock resolution prioritizes the preservation of verified gains over the pursuit of unrealized objectives. Phase I benefits bank; Phase II ambitions wait.</w:t>
      </w:r>
    </w:p>
    <w:p>
      <w:pPr>
        <w:numPr>
          <w:ilvl w:val="1"/>
          <w:numId w:val="2"/>
        </w:numPr>
        <w:spacing w:before="60" w:after="60"/>
      </w:pPr>
      <w:r>
        <w:rPr>
          <w:sz w:val="22"/>
        </w:rPr>
        <w:t xml:space="preserve">No cliff-edge: The framework architecture excludes any automatic termination trigger. Every pathway leads to continuation, never to collapse.</w:t>
      </w:r>
    </w:p>
    <w:p>
      <w:pPr>
        <w:numPr>
          <w:ilvl w:val="1"/>
          <w:numId w:val="2"/>
        </w:numPr>
        <w:spacing w:before="60" w:after="60"/>
      </w:pPr>
      <w:r>
        <w:rPr>
          <w:sz w:val="22"/>
        </w:rPr>
        <w:t xml:space="preserve">Procedural neutrality: The deadlock resolution process treats both Parties symmetrically. Neither Party holds procedural advantage in the cooling-off, consultation, or arbitration phases.</w:t>
      </w:r>
    </w:p>
    <w:p>
      <w:pPr>
        <w:pBdr>
          <w:top w:val="single" w:color="7C9885" w:sz="4"/>
          <w:left w:val="single" w:color="7C9885" w:sz="12"/>
          <w:bottom w:val="single" w:color="7C9885" w:sz="4"/>
          <w:right w:val="single" w:color="7C9885" w:sz="4"/>
        </w:pBdr>
        <w:shd w:val="clear" w:fill="fafaf8"/>
        <w:spacing w:before="200" w:after="200"/>
        <w:ind w:left="200" w:right="200"/>
      </w:pPr>
      <w:r>
        <w:rPr>
          <w:i/>
          <w:color w:val="555555"/>
          <w:sz w:val="20"/>
        </w:rPr>
        <w:t xml:space="preserve">This Annex addresses the failure mode that destroyed the JCPOA’s follow-on negotiations: when talks stalled, both sides walked away and the entire framework collapsed. Annex D ensures that a Phase II stall becomes an extended Phase I, not a return to confrontation. The architecture makes falling back safer than walking away.</w:t>
      </w:r>
    </w:p>
    <w:p>
      <w:pPr>
        <w:pStyle w:val="Heading1"/>
      </w:pPr>
      <w:r>
        <w:t>Article 1 — Purpose</w:t>
      </w:r>
      <w:bookmarkStart w:name="_TocArt1" w:id="2"/>
      <w:bookmarkEnd w:id="2"/>
    </w:p>
    <w:p>
      <w:pPr>
        <w:spacing w:before="120" w:after="120"/>
      </w:pPr>
      <w:r>
        <w:rPr>
          <w:sz w:val="22"/>
        </w:rPr>
        <w:t xml:space="preserve">This Annex establishes a procedural pathway for resolving a deadlock in Phase II (the “Kernel”) without collapsing the entire MOU. The framework architecture achieves the following purposes through this Annex:</w:t>
      </w:r>
    </w:p>
    <w:p>
      <w:pPr>
        <w:numPr>
          <w:ilvl w:val="0"/>
          <w:numId w:val="1"/>
        </w:numPr>
        <w:spacing w:before="80" w:after="80"/>
      </w:pPr>
      <w:r>
        <w:rPr>
          <w:sz w:val="22"/>
        </w:rPr>
        <w:t xml:space="preserve">Deadlock containment: A Phase II deadlock localizes to the Kernel module. The nuclear custody, maritime transit, and economic relief tracks of Phase I continue unchanged regardless of Phase II status.</w:t>
      </w:r>
    </w:p>
    <w:p>
      <w:pPr>
        <w:numPr>
          <w:ilvl w:val="0"/>
          <w:numId w:val="1"/>
        </w:numPr>
        <w:spacing w:before="80" w:after="80"/>
      </w:pPr>
      <w:r>
        <w:rPr>
          <w:sz w:val="22"/>
        </w:rPr>
        <w:t xml:space="preserve">Automatic cooling-off: A deadlock notification triggers a 90-day cooling-off period without requiring mutual consent. The cooling-off activates on a single Party’s written notification and proceeds automatically.</w:t>
      </w:r>
    </w:p>
    <w:p>
      <w:pPr>
        <w:numPr>
          <w:ilvl w:val="0"/>
          <w:numId w:val="1"/>
        </w:numPr>
        <w:spacing w:before="80" w:after="80"/>
      </w:pPr>
      <w:r>
        <w:rPr>
          <w:sz w:val="22"/>
        </w:rPr>
        <w:t xml:space="preserve">Escalating resolution ladder: If cooling-off fails, ministerial consultation follows. If consultation fails, binding arbitration follows. If arbitration fails, extended Phase I follows. Every rung of the ladder preserves what has been built.</w:t>
      </w:r>
    </w:p>
    <w:p>
      <w:pPr>
        <w:numPr>
          <w:ilvl w:val="0"/>
          <w:numId w:val="1"/>
        </w:numPr>
        <w:spacing w:before="80" w:after="80"/>
      </w:pPr>
      <w:r>
        <w:rPr>
          <w:sz w:val="22"/>
        </w:rPr>
        <w:t xml:space="preserve">No-collapse guarantee: Under no circumstances does a Phase II deadlock terminate the MOU. The exit ramp of Article 8.5 remains the sole mechanism for orderly withdrawal. Deadlock is not an exit trigger.</w:t>
      </w:r>
    </w:p>
    <w:p>
      <w:pPr>
        <w:numPr>
          <w:ilvl w:val="0"/>
          <w:numId w:val="1"/>
        </w:numPr>
        <w:spacing w:before="80" w:after="80"/>
      </w:pPr>
      <w:r>
        <w:rPr>
          <w:sz w:val="22"/>
        </w:rPr>
        <w:t xml:space="preserve">Phase I benefit protection: Throughout the entire deadlock resolution process — cooling-off, consultation, arbitration, and extended Phase I — all Phase I benefits remain in force. Neither Party uses the deadlock as leverage to renegotiate Phase I terms.</w:t>
      </w:r>
    </w:p>
    <w:p>
      <w:pPr>
        <w:pBdr>
          <w:top w:val="single" w:color="7C9885" w:sz="4"/>
          <w:left w:val="single" w:color="7C9885" w:sz="12"/>
          <w:bottom w:val="single" w:color="7C9885" w:sz="4"/>
          <w:right w:val="single" w:color="7C9885" w:sz="4"/>
        </w:pBdr>
        <w:shd w:val="clear" w:fill="fafaf8"/>
        <w:spacing w:before="200" w:after="200"/>
        <w:ind w:left="200" w:right="200"/>
      </w:pPr>
      <w:r>
        <w:rPr>
          <w:i/>
          <w:color w:val="555555"/>
          <w:sz w:val="20"/>
        </w:rPr>
        <w:t xml:space="preserve">The purpose of this Annex is procedural, not substantive. It does not resolve the substantive disagreement that caused the deadlock; it creates the process through which the Parties resolve it. The substantive resolution emerges from the cooling-off discussions, the ministerial consultation, or the arbitration ruling — but the framework ensures that whatever happens procedurally, the architecture survives.</w:t>
      </w:r>
    </w:p>
    <w:p>
      <w:pPr>
        <w:pStyle w:val="Heading1"/>
      </w:pPr>
      <w:r>
        <w:t>Article 2 — Definition of Phase II Deadlock</w:t>
      </w:r>
      <w:bookmarkStart w:name="_TocArt2" w:id="3"/>
      <w:bookmarkEnd w:id="3"/>
    </w:p>
    <w:p>
      <w:pPr>
        <w:pStyle w:val="Heading2"/>
      </w:pPr>
      <w:r>
        <w:t>2.1 Conditions Constituting Deadlock</w:t>
      </w:r>
    </w:p>
    <w:p>
      <w:pPr>
        <w:spacing w:before="120" w:after="120"/>
      </w:pPr>
      <w:r>
        <w:rPr>
          <w:sz w:val="22"/>
        </w:rPr>
        <w:t xml:space="preserve">A Phase II deadlock occurs when all three of the following conditions exist simultaneously:</w:t>
      </w:r>
    </w:p>
    <w:p>
      <w:pPr>
        <w:numPr>
          <w:ilvl w:val="0"/>
          <w:numId w:val="1"/>
        </w:numPr>
        <w:spacing w:before="80" w:after="80"/>
      </w:pPr>
      <w:r>
        <w:rPr>
          <w:sz w:val="22"/>
        </w:rPr>
        <w:t xml:space="preserve">Phase II entry confirmed: The Parties have entered Phase II (Day 180 or later under MOU Article 11.2). The PCC has issued a Phase II Transition Certificate confirming that the four Phase I stripes hold a sustained compliance score of 75% across all stripes, with no single stripe below 60%, over the qualifying period.</w:t>
      </w:r>
    </w:p>
    <w:p>
      <w:pPr>
        <w:numPr>
          <w:ilvl w:val="0"/>
          <w:numId w:val="1"/>
        </w:numPr>
        <w:spacing w:before="80" w:after="80"/>
      </w:pPr>
      <w:r>
        <w:rPr>
          <w:sz w:val="22"/>
        </w:rPr>
        <w:t xml:space="preserve">Kernel milestones uncertified: The Kernel milestones — verified neutralization of the 60% HEU stockpile and corresponding structural relief conversion — are not certified by the IAEA and PCC as complete. Specifically, either (a) the IAEA has not issued a National HEU Neutralization Certificate under Part B-1.2, or (b) the PCC has not issued a Structural Relief Conversion Certificate confirming that the United States has placed its Phase II concessions beyond reversal.</w:t>
      </w:r>
    </w:p>
    <w:p>
      <w:pPr>
        <w:numPr>
          <w:ilvl w:val="0"/>
          <w:numId w:val="1"/>
        </w:numPr>
        <w:spacing w:before="80" w:after="80"/>
      </w:pPr>
      <w:r>
        <w:rPr>
          <w:sz w:val="22"/>
        </w:rPr>
        <w:t xml:space="preserve">Written deadlock notification: Either Party notifies the PCC in writing that it believes the Kernel cannot be completed within the remaining Phase II window due to disagreement over technical, legal, or political terms, and the other Party does not agree on a path forward within 30 days of such notification.</w:t>
      </w:r>
    </w:p>
    <w:p>
      <w:pPr>
        <w:spacing w:before="120" w:after="120"/>
      </w:pPr>
      <w:r>
        <w:rPr>
          <w:sz w:val="22"/>
        </w:rPr>
        <w:t xml:space="preserve">The 30-day response window starts on the date the PCC transmits the notification to the other Party. The other Party’s silence or failure to respond within 30 days constitutes non-agreement for the purposes of this Article. A response that proposes a path forward but does not secure the notifying Party’s agreement also constitutes non-agreement.</w:t>
      </w:r>
    </w:p>
    <w:p>
      <w:pPr>
        <w:pStyle w:val="Heading2"/>
      </w:pPr>
      <w:r>
        <w:t>2.2 Exclusions from Deadlock</w:t>
      </w:r>
    </w:p>
    <w:p>
      <w:pPr>
        <w:spacing w:before="120" w:after="120"/>
      </w:pPr>
      <w:r>
        <w:rPr>
          <w:sz w:val="22"/>
        </w:rPr>
        <w:t xml:space="preserve">The following conditions do not constitute a Phase II deadlock, even if they delay Kernel completion:</w:t>
      </w:r>
    </w:p>
    <w:tbl>
      <w:tblPr>
        <w:tblW w:w="5000" w:type="pct"/>
        <w:tblBorders>
          <w:top w:val="single" w:color="333333" w:sz="8"/>
          <w:left w:val="nil"/>
          <w:bottom w:val="single" w:color="333333" w:sz="8"/>
          <w:right w:val="nil"/>
          <w:insideH w:val="single" w:color="999999" w:sz="4"/>
          <w:insideV w:val="nil"/>
        </w:tblBorders>
      </w:tblPr>
      <w:tblGrid>
        <w:gridCol w:w="3000"/>
        <w:gridCol w:w="7000"/>
      </w:tblGrid>
      <w:tr>
        <w:trPr>
          <w:tblHeader/>
        </w:trPr>
        <w:tc>
          <w:tcPr>
            <w:tcW w:w="3000" w:type="dxa"/>
            <w:shd w:val="clear" w:fill="f5f5f2"/>
            <w:vAlign w:val="center"/>
          </w:tcPr>
          <w:p>
            <w:pPr>
              <w:keepNext/>
              <w:spacing w:before="80" w:after="80"/>
            </w:pPr>
            <w:r>
              <w:rPr>
                <w:b/>
                <w:color w:val="333333"/>
                <w:sz w:val="20"/>
              </w:rPr>
              <w:t xml:space="preserve">Condition</w:t>
            </w:r>
          </w:p>
        </w:tc>
        <w:tc>
          <w:tcPr>
            <w:tcW w:w="7000" w:type="dxa"/>
            <w:shd w:val="clear" w:fill="f5f5f2"/>
            <w:vAlign w:val="center"/>
          </w:tcPr>
          <w:p>
            <w:pPr>
              <w:keepNext/>
              <w:spacing w:before="80" w:after="80"/>
            </w:pPr>
            <w:r>
              <w:rPr>
                <w:b/>
                <w:color w:val="333333"/>
                <w:sz w:val="20"/>
              </w:rPr>
              <w:t xml:space="preserve">Rationale</w:t>
            </w:r>
          </w:p>
        </w:tc>
      </w:tr>
      <w:tr>
        <w:tc>
          <w:tcPr>
            <w:tcW w:w="3000" w:type="dxa"/>
          </w:tcPr>
          <w:p>
            <w:pPr>
              <w:keepNext/>
              <w:spacing w:before="60" w:after="60"/>
            </w:pPr>
            <w:r>
              <w:rPr>
                <w:color w:val="333333"/>
                <w:sz w:val="20"/>
              </w:rPr>
              <w:t xml:space="preserve">Technical delay within buffer</w:t>
            </w:r>
          </w:p>
        </w:tc>
        <w:tc>
          <w:tcPr>
            <w:tcW w:w="7000" w:type="dxa"/>
          </w:tcPr>
          <w:p>
            <w:pPr>
              <w:keepNext/>
              <w:spacing w:before="60" w:after="60"/>
            </w:pPr>
            <w:r>
              <w:rPr>
                <w:color w:val="333333"/>
                <w:sz w:val="20"/>
              </w:rPr>
              <w:t xml:space="preserve">If the IAEA confirms the delay falls within the technical contingency buffer (e.g., batch sequencing adjustment), the Parties work through the delay without invoking deadlock.</w:t>
            </w:r>
          </w:p>
        </w:tc>
      </w:tr>
      <w:tr>
        <w:tc>
          <w:tcPr>
            <w:tcW w:w="3000" w:type="dxa"/>
          </w:tcPr>
          <w:p>
            <w:pPr>
              <w:keepNext/>
              <w:spacing w:before="60" w:after="60"/>
            </w:pPr>
            <w:r>
              <w:rPr>
                <w:color w:val="333333"/>
                <w:sz w:val="20"/>
              </w:rPr>
              <w:t xml:space="preserve">Good-faith negotiation ongoing</w:t>
            </w:r>
          </w:p>
        </w:tc>
        <w:tc>
          <w:tcPr>
            <w:tcW w:w="7000" w:type="dxa"/>
          </w:tcPr>
          <w:p>
            <w:pPr>
              <w:keepNext/>
              <w:spacing w:before="60" w:after="60"/>
            </w:pPr>
            <w:r>
              <w:rPr>
                <w:color w:val="333333"/>
                <w:sz w:val="20"/>
              </w:rPr>
              <w:t xml:space="preserve">If both Parties are actively negotiating a resolution and making measurable progress (even if slow), the PCC does not certify deadlock.</w:t>
            </w:r>
          </w:p>
        </w:tc>
      </w:tr>
      <w:tr>
        <w:tc>
          <w:tcPr>
            <w:tcW w:w="3000" w:type="dxa"/>
          </w:tcPr>
          <w:p>
            <w:pPr>
              <w:keepNext/>
              <w:spacing w:before="60" w:after="60"/>
            </w:pPr>
            <w:r>
              <w:rPr>
                <w:color w:val="333333"/>
                <w:sz w:val="20"/>
              </w:rPr>
              <w:t xml:space="preserve">Guarantor Matrix mediation in progress</w:t>
            </w:r>
          </w:p>
        </w:tc>
        <w:tc>
          <w:tcPr>
            <w:tcW w:w="7000" w:type="dxa"/>
          </w:tcPr>
          <w:p>
            <w:pPr>
              <w:keepNext/>
              <w:spacing w:before="60" w:after="60"/>
            </w:pPr>
            <w:r>
              <w:rPr>
                <w:color w:val="333333"/>
                <w:sz w:val="20"/>
              </w:rPr>
              <w:t xml:space="preserve">If the Guarantor Matrix (Pakistan, Oman, Malaysia) is actively mediating and both Parties are participating, deadlock is deferred until mediation concludes.</w:t>
            </w:r>
          </w:p>
        </w:tc>
      </w:tr>
      <w:tr>
        <w:tc>
          <w:tcPr>
            <w:tcW w:w="3000" w:type="dxa"/>
          </w:tcPr>
          <w:p>
            <w:pPr>
              <w:keepNext/>
              <w:spacing w:before="60" w:after="60"/>
            </w:pPr>
            <w:r>
              <w:rPr>
                <w:color w:val="333333"/>
                <w:sz w:val="20"/>
              </w:rPr>
              <w:t xml:space="preserve">Force majeure</w:t>
            </w:r>
          </w:p>
        </w:tc>
        <w:tc>
          <w:tcPr>
            <w:tcW w:w="7000" w:type="dxa"/>
          </w:tcPr>
          <w:p>
            <w:pPr>
              <w:keepNext/>
              <w:spacing w:before="60" w:after="60"/>
            </w:pPr>
            <w:r>
              <w:rPr>
                <w:color w:val="333333"/>
                <w:sz w:val="20"/>
              </w:rPr>
              <w:t xml:space="preserve">If an event of force majeure (natural disaster, armed conflict, pandemic) prevents Kernel completion, the force majeure provisions of MOU Article 8.6 apply, not the deadlock mechanism.</w:t>
            </w:r>
          </w:p>
        </w:tc>
      </w:tr>
    </w:tbl>
    <w:p>
      <w:pPr>
        <w:pStyle w:val="Heading2"/>
      </w:pPr>
      <w:r>
        <w:t>2.3 Deadlock Notification Procedure</w:t>
      </w:r>
    </w:p>
    <w:p>
      <w:pPr>
        <w:spacing w:before="120" w:after="120"/>
      </w:pPr>
      <w:r>
        <w:rPr>
          <w:sz w:val="22"/>
        </w:rPr>
        <w:t xml:space="preserve">The deadlock notification follows a standardized procedure to ensure clarity and prevent abuse:</w:t>
      </w:r>
    </w:p>
    <w:p>
      <w:pPr>
        <w:numPr>
          <w:ilvl w:val="0"/>
          <w:numId w:val="1"/>
        </w:numPr>
        <w:spacing w:before="80" w:after="80"/>
      </w:pPr>
      <w:r>
        <w:rPr>
          <w:sz w:val="22"/>
        </w:rPr>
        <w:t xml:space="preserve">Written notification: The notifying Party transmits a written deadlock notification to the PCC, specifying: (a) the Kernel milestone that is not being completed; (b) the nature of the disagreement (technical, legal, or political); (c) the notifying Party’s assessment of why the disagreement is intractable; and (d) any proposed path forward that the notifying Party considers acceptable.</w:t>
      </w:r>
    </w:p>
    <w:p>
      <w:pPr>
        <w:numPr>
          <w:ilvl w:val="0"/>
          <w:numId w:val="1"/>
        </w:numPr>
        <w:spacing w:before="80" w:after="80"/>
      </w:pPr>
      <w:r>
        <w:rPr>
          <w:sz w:val="22"/>
        </w:rPr>
        <w:t xml:space="preserve">PCC transmission: The PCC transmits the notification to the other Party within 48 hours of receipt and convenes an emergency session within 7 days.</w:t>
      </w:r>
    </w:p>
    <w:p>
      <w:pPr>
        <w:numPr>
          <w:ilvl w:val="0"/>
          <w:numId w:val="1"/>
        </w:numPr>
        <w:spacing w:before="80" w:after="80"/>
      </w:pPr>
      <w:r>
        <w:rPr>
          <w:sz w:val="22"/>
        </w:rPr>
        <w:t xml:space="preserve">30-day response window: The other Party has 30 days from PCC transmission to respond with either (a) a proposed path forward that addresses the notifying Party’s concerns, or (b) a written statement explaining why it disagrees with the deadlock characterization.</w:t>
      </w:r>
    </w:p>
    <w:p>
      <w:pPr>
        <w:numPr>
          <w:ilvl w:val="0"/>
          <w:numId w:val="1"/>
        </w:numPr>
        <w:spacing w:before="80" w:after="80"/>
      </w:pPr>
      <w:r>
        <w:rPr>
          <w:sz w:val="22"/>
        </w:rPr>
        <w:t xml:space="preserve">Deadlock confirmation: If the other Party does not agree on a path forward within 30 days, the PCC confirms the deadlock by issuing a Deadlock Confirmation Certificate. The 90-day cooling-off period activates automatically upon issuance of this certificate.</w:t>
      </w:r>
    </w:p>
    <w:p>
      <w:pPr>
        <w:numPr>
          <w:ilvl w:val="0"/>
          <w:numId w:val="1"/>
        </w:numPr>
        <w:spacing w:before="80" w:after="80"/>
      </w:pPr>
      <w:r>
        <w:rPr>
          <w:sz w:val="22"/>
        </w:rPr>
        <w:t xml:space="preserve">Good-faith presumption: The PCC presumes good faith on both sides during the 30-day window. A Party that responds substantively — even if the response does not resolve the dispute — is not presumed to be acting in bad faith solely by virtue of disagreement.</w:t>
      </w:r>
    </w:p>
    <w:p>
      <w:pPr>
        <w:pBdr>
          <w:top w:val="single" w:color="7C9885" w:sz="4"/>
          <w:left w:val="single" w:color="7C9885" w:sz="12"/>
          <w:bottom w:val="single" w:color="7C9885" w:sz="4"/>
          <w:right w:val="single" w:color="7C9885" w:sz="4"/>
        </w:pBdr>
        <w:shd w:val="clear" w:fill="fafaf8"/>
        <w:spacing w:before="200" w:after="200"/>
        <w:ind w:left="200" w:right="200"/>
      </w:pPr>
      <w:r>
        <w:rPr>
          <w:i/>
          <w:color w:val="555555"/>
          <w:sz w:val="20"/>
        </w:rPr>
        <w:t xml:space="preserve">The notification procedure is designed to prevent false deadlock claims. A Party that files a frivolous deadlock notification — one that lacks a good-faith basis, fails to specify the disagreement, or mischaracterizes an excluded condition as deadlock — faces reputational cost in the PCC and potential adverse findings in any subsequent arbitration. The procedure incentivizes genuine deadlock filings and discourages tactical use of the mechanism.</w:t>
      </w:r>
    </w:p>
    <w:p>
      <w:pPr>
        <w:pStyle w:val="Heading1"/>
      </w:pPr>
      <w:r>
        <w:t>Article 3 — Cooling-Off Period</w:t>
      </w:r>
      <w:bookmarkStart w:name="_TocArt3" w:id="4"/>
      <w:bookmarkEnd w:id="4"/>
    </w:p>
    <w:p>
      <w:pPr>
        <w:pStyle w:val="Heading2"/>
      </w:pPr>
      <w:r>
        <w:t>3.1 Automatic Activation</w:t>
      </w:r>
    </w:p>
    <w:p>
      <w:pPr>
        <w:spacing w:before="120" w:after="120"/>
      </w:pPr>
      <w:r>
        <w:rPr>
          <w:sz w:val="22"/>
        </w:rPr>
        <w:t xml:space="preserve">Upon issuance of the Deadlock Confirmation Certificate by the PCC, a mandatory 90-day cooling-off period activates automatically. The cooling-off requires no further act of either Party and proceeds on its own timeline.</w:t>
      </w:r>
    </w:p>
    <w:p>
      <w:pPr>
        <w:spacing w:before="120" w:after="120"/>
      </w:pPr>
      <w:r>
        <w:rPr>
          <w:sz w:val="22"/>
        </w:rPr>
        <w:t xml:space="preserve">The cooling-off period serves the following functions:</w:t>
      </w:r>
    </w:p>
    <w:p>
      <w:pPr>
        <w:numPr>
          <w:ilvl w:val="1"/>
          <w:numId w:val="2"/>
        </w:numPr>
        <w:spacing w:before="60" w:after="60"/>
      </w:pPr>
      <w:r>
        <w:rPr>
          <w:sz w:val="22"/>
        </w:rPr>
        <w:t xml:space="preserve">It halts escalation by creating a procedural pause during which neither Party advances toward withdrawal.</w:t>
      </w:r>
    </w:p>
    <w:p>
      <w:pPr>
        <w:numPr>
          <w:ilvl w:val="1"/>
          <w:numId w:val="2"/>
        </w:numPr>
        <w:spacing w:before="60" w:after="60"/>
      </w:pPr>
      <w:r>
        <w:rPr>
          <w:sz w:val="22"/>
        </w:rPr>
        <w:t xml:space="preserve">It preserves all Phase I benefits, ensuring that the deadlock does not become a pretext for benefit suspension.</w:t>
      </w:r>
    </w:p>
    <w:p>
      <w:pPr>
        <w:numPr>
          <w:ilvl w:val="1"/>
          <w:numId w:val="2"/>
        </w:numPr>
        <w:spacing w:before="60" w:after="60"/>
      </w:pPr>
      <w:r>
        <w:rPr>
          <w:sz w:val="22"/>
        </w:rPr>
        <w:t xml:space="preserve">It creates space for technical working groups to address the specific obstacles to Kernel completion.</w:t>
      </w:r>
    </w:p>
    <w:p>
      <w:pPr>
        <w:numPr>
          <w:ilvl w:val="1"/>
          <w:numId w:val="2"/>
        </w:numPr>
        <w:spacing w:before="60" w:after="60"/>
      </w:pPr>
      <w:r>
        <w:rPr>
          <w:sz w:val="22"/>
        </w:rPr>
        <w:t xml:space="preserve">It lowers the political temperature by deferring high-stakes decisions to a structured later stage.</w:t>
      </w:r>
    </w:p>
    <w:p>
      <w:pPr>
        <w:pStyle w:val="Heading2"/>
      </w:pPr>
      <w:r>
        <w:t>3.2 Phase I Continuation During Cooling-Off</w:t>
      </w:r>
    </w:p>
    <w:p>
      <w:pPr>
        <w:spacing w:before="120" w:after="120"/>
      </w:pPr>
      <w:r>
        <w:rPr>
          <w:sz w:val="22"/>
        </w:rPr>
        <w:t xml:space="preserve">During the 90-day cooling-off period, all Phase I benefits continue unchanged.</w:t>
      </w:r>
    </w:p>
    <w:tbl>
      <w:tblPr>
        <w:tblW w:w="5000" w:type="pct"/>
        <w:tblBorders>
          <w:top w:val="single" w:color="333333" w:sz="8"/>
          <w:left w:val="nil"/>
          <w:bottom w:val="single" w:color="333333" w:sz="8"/>
          <w:right w:val="nil"/>
          <w:insideH w:val="single" w:color="999999" w:sz="4"/>
          <w:insideV w:val="nil"/>
        </w:tblBorders>
      </w:tblPr>
      <w:tblGrid>
        <w:gridCol w:w="2500"/>
        <w:gridCol w:w="7500"/>
      </w:tblGrid>
      <w:tr>
        <w:trPr>
          <w:tblHeader/>
        </w:trPr>
        <w:tc>
          <w:tcPr>
            <w:tcW w:w="2500" w:type="dxa"/>
            <w:shd w:val="clear" w:fill="f5f5f2"/>
            <w:vAlign w:val="center"/>
          </w:tcPr>
          <w:p>
            <w:pPr>
              <w:keepNext/>
              <w:spacing w:before="80" w:after="80"/>
            </w:pPr>
            <w:r>
              <w:rPr>
                <w:b/>
                <w:color w:val="333333"/>
                <w:sz w:val="20"/>
              </w:rPr>
              <w:t xml:space="preserve">Benefit Track</w:t>
            </w:r>
          </w:p>
        </w:tc>
        <w:tc>
          <w:tcPr>
            <w:tcW w:w="7500" w:type="dxa"/>
            <w:shd w:val="clear" w:fill="f5f5f2"/>
            <w:vAlign w:val="center"/>
          </w:tcPr>
          <w:p>
            <w:pPr>
              <w:keepNext/>
              <w:spacing w:before="80" w:after="80"/>
            </w:pPr>
            <w:r>
              <w:rPr>
                <w:b/>
                <w:color w:val="333333"/>
                <w:sz w:val="20"/>
              </w:rPr>
              <w:t xml:space="preserve">Continuation Status</w:t>
            </w:r>
          </w:p>
        </w:tc>
      </w:tr>
      <w:tr>
        <w:tc>
          <w:tcPr>
            <w:tcW w:w="2500" w:type="dxa"/>
          </w:tcPr>
          <w:p>
            <w:pPr>
              <w:keepNext/>
              <w:spacing w:before="60" w:after="60"/>
            </w:pPr>
            <w:r>
              <w:rPr>
                <w:color w:val="333333"/>
                <w:sz w:val="20"/>
              </w:rPr>
              <w:t xml:space="preserve">Nuclear Custody</w:t>
            </w:r>
          </w:p>
        </w:tc>
        <w:tc>
          <w:tcPr>
            <w:tcW w:w="7500" w:type="dxa"/>
          </w:tcPr>
          <w:p>
            <w:pPr>
              <w:keepNext/>
              <w:spacing w:before="60" w:after="60"/>
            </w:pPr>
            <w:r>
              <w:rPr>
                <w:color w:val="333333"/>
                <w:sz w:val="20"/>
              </w:rPr>
              <w:t xml:space="preserve">All declared nuclear material remains under IAEA monitoring. No enrichment activity resumes. No centrifuges restart.</w:t>
            </w:r>
          </w:p>
        </w:tc>
      </w:tr>
      <w:tr>
        <w:tc>
          <w:tcPr>
            <w:tcW w:w="2500" w:type="dxa"/>
          </w:tcPr>
          <w:p>
            <w:pPr>
              <w:keepNext/>
              <w:spacing w:before="60" w:after="60"/>
            </w:pPr>
            <w:r>
              <w:rPr>
                <w:color w:val="333333"/>
                <w:sz w:val="20"/>
              </w:rPr>
              <w:t xml:space="preserve">Maritime Transit</w:t>
            </w:r>
          </w:p>
        </w:tc>
        <w:tc>
          <w:tcPr>
            <w:tcW w:w="7500" w:type="dxa"/>
          </w:tcPr>
          <w:p>
            <w:pPr>
              <w:keepNext/>
              <w:spacing w:before="60" w:after="60"/>
            </w:pPr>
            <w:r>
              <w:rPr>
                <w:color w:val="333333"/>
                <w:sz w:val="20"/>
              </w:rPr>
              <w:t xml:space="preserve">Hormuz passage rights continue. Naval standoff protocols remain in force. Qatari-brokered transit lanes stay open.</w:t>
            </w:r>
          </w:p>
        </w:tc>
      </w:tr>
      <w:tr>
        <w:tc>
          <w:tcPr>
            <w:tcW w:w="2500" w:type="dxa"/>
          </w:tcPr>
          <w:p>
            <w:pPr>
              <w:keepNext/>
              <w:spacing w:before="60" w:after="60"/>
            </w:pPr>
            <w:r>
              <w:rPr>
                <w:color w:val="333333"/>
                <w:sz w:val="20"/>
              </w:rPr>
              <w:t xml:space="preserve">Economic Relief</w:t>
            </w:r>
          </w:p>
        </w:tc>
        <w:tc>
          <w:tcPr>
            <w:tcW w:w="7500" w:type="dxa"/>
          </w:tcPr>
          <w:p>
            <w:pPr>
              <w:keepNext/>
              <w:spacing w:before="60" w:after="60"/>
            </w:pPr>
            <w:r>
              <w:rPr>
                <w:color w:val="333333"/>
                <w:sz w:val="20"/>
              </w:rPr>
              <w:t xml:space="preserve">Frozen asset releases proceed on schedule. Development-finance matching continues. Humanitarian trade channels remain open.</w:t>
            </w:r>
          </w:p>
        </w:tc>
      </w:tr>
      <w:tr>
        <w:tc>
          <w:tcPr>
            <w:tcW w:w="2500" w:type="dxa"/>
          </w:tcPr>
          <w:p>
            <w:pPr>
              <w:keepNext/>
              <w:spacing w:before="60" w:after="60"/>
            </w:pPr>
            <w:r>
              <w:rPr>
                <w:color w:val="333333"/>
                <w:sz w:val="20"/>
              </w:rPr>
              <w:t xml:space="preserve">Sanctions Architecture</w:t>
            </w:r>
          </w:p>
        </w:tc>
        <w:tc>
          <w:tcPr>
            <w:tcW w:w="7500" w:type="dxa"/>
          </w:tcPr>
          <w:p>
            <w:pPr>
              <w:keepNext/>
              <w:spacing w:before="60" w:after="60"/>
            </w:pPr>
            <w:r>
              <w:rPr>
                <w:color w:val="333333"/>
                <w:sz w:val="20"/>
              </w:rPr>
              <w:t xml:space="preserve">No new sanctions are imposed. Existing waivers remain in force. The Treasury Department does not redesignate entities.</w:t>
            </w:r>
          </w:p>
        </w:tc>
      </w:tr>
      <w:tr>
        <w:tc>
          <w:tcPr>
            <w:tcW w:w="2500" w:type="dxa"/>
          </w:tcPr>
          <w:p>
            <w:pPr>
              <w:keepNext/>
              <w:spacing w:before="60" w:after="60"/>
            </w:pPr>
            <w:r>
              <w:rPr>
                <w:color w:val="333333"/>
                <w:sz w:val="20"/>
              </w:rPr>
              <w:t xml:space="preserve">Verification Regime</w:t>
            </w:r>
          </w:p>
        </w:tc>
        <w:tc>
          <w:tcPr>
            <w:tcW w:w="7500" w:type="dxa"/>
          </w:tcPr>
          <w:p>
            <w:pPr>
              <w:keepNext/>
              <w:spacing w:before="60" w:after="60"/>
            </w:pPr>
            <w:r>
              <w:rPr>
                <w:color w:val="333333"/>
                <w:sz w:val="20"/>
              </w:rPr>
              <w:t xml:space="preserve">IAEA inspections, Joint Secretariat monitoring, and contact tests continue without interruption or dilution.</w:t>
            </w:r>
          </w:p>
        </w:tc>
      </w:tr>
    </w:tbl>
    <w:p>
      <w:pPr>
        <w:spacing w:before="120" w:after="120"/>
      </w:pPr>
      <w:r>
        <w:rPr>
          <w:sz w:val="22"/>
        </w:rPr>
        <w:t xml:space="preserve">Neither Party accelerates withdrawal or declares a material breach based solely on the deadlock during the cooling-off period. The cooling-off creates a protected space in which the deadlock is the problem being solved, not a justification for unilateral action.</w:t>
      </w:r>
    </w:p>
    <w:p>
      <w:pPr>
        <w:pStyle w:val="Heading2"/>
      </w:pPr>
      <w:r>
        <w:t>3.3 PCC Facilitation Role</w:t>
      </w:r>
    </w:p>
    <w:p>
      <w:pPr>
        <w:spacing w:before="120" w:after="120"/>
      </w:pPr>
      <w:r>
        <w:rPr>
          <w:sz w:val="22"/>
        </w:rPr>
        <w:t xml:space="preserve">During the cooling-off period, the PCC convenes monthly to facilitate technical and political discussions. The PCC’s facilitation role includes:</w:t>
      </w:r>
    </w:p>
    <w:p>
      <w:pPr>
        <w:numPr>
          <w:ilvl w:val="0"/>
          <w:numId w:val="1"/>
        </w:numPr>
        <w:spacing w:before="80" w:after="80"/>
      </w:pPr>
      <w:r>
        <w:rPr>
          <w:sz w:val="22"/>
        </w:rPr>
        <w:t xml:space="preserve">Technical working groups: The PCC establishes technical working groups composed of nuclear engineers, maritime experts, and financial specialists from both Parties to identify the specific technical obstacles to Kernel completion.</w:t>
      </w:r>
    </w:p>
    <w:p>
      <w:pPr>
        <w:numPr>
          <w:ilvl w:val="0"/>
          <w:numId w:val="1"/>
        </w:numPr>
        <w:spacing w:before="80" w:after="80"/>
      </w:pPr>
      <w:r>
        <w:rPr>
          <w:sz w:val="22"/>
        </w:rPr>
        <w:t xml:space="preserve">Fact-finding: The PCC commissions independent technical assessments of disputed factual questions (for example, whether a downblending rate is achievable, whether a structural relief mechanism is reversible).</w:t>
      </w:r>
    </w:p>
    <w:p>
      <w:pPr>
        <w:numPr>
          <w:ilvl w:val="0"/>
          <w:numId w:val="1"/>
        </w:numPr>
        <w:spacing w:before="80" w:after="80"/>
      </w:pPr>
      <w:r>
        <w:rPr>
          <w:sz w:val="22"/>
        </w:rPr>
        <w:t xml:space="preserve">Shuttle diplomacy: The PCC chair engages in shuttle diplomacy between the Parties, transmitting proposals and counter-proposals without requiring face-to-face sessions that might harden positions.</w:t>
      </w:r>
    </w:p>
    <w:p>
      <w:pPr>
        <w:numPr>
          <w:ilvl w:val="0"/>
          <w:numId w:val="1"/>
        </w:numPr>
        <w:spacing w:before="80" w:after="80"/>
      </w:pPr>
      <w:r>
        <w:rPr>
          <w:sz w:val="22"/>
        </w:rPr>
        <w:t xml:space="preserve">Progress reporting: The PCC issues a monthly Cooling-Off Progress Report to both Parties and the Guarantor Matrix, documenting discussions, identifying areas of convergence, and flagging remaining disagreements.</w:t>
      </w:r>
    </w:p>
    <w:p>
      <w:pPr>
        <w:pStyle w:val="Heading2"/>
      </w:pPr>
      <w:r>
        <w:t>3.4 Amendment Proposals During Cooling-Off</w:t>
      </w:r>
    </w:p>
    <w:p>
      <w:pPr>
        <w:spacing w:before="120" w:after="120"/>
      </w:pPr>
      <w:r>
        <w:rPr>
          <w:sz w:val="22"/>
        </w:rPr>
        <w:t xml:space="preserve">Either Party proposes amendments to the Kernel terms or alternative pathways during the cooling-off period. Amendment proposals are not admissions of deadlock failure; they are constructive efforts to resolve the deadlock within the existing framework.</w:t>
      </w:r>
    </w:p>
    <w:p>
      <w:pPr>
        <w:spacing w:before="120" w:after="120"/>
      </w:pPr>
      <w:r>
        <w:rPr>
          <w:sz w:val="22"/>
        </w:rPr>
        <w:t xml:space="preserve">Valid amendment proposals include:</w:t>
      </w:r>
    </w:p>
    <w:p>
      <w:pPr>
        <w:numPr>
          <w:ilvl w:val="1"/>
          <w:numId w:val="2"/>
        </w:numPr>
        <w:spacing w:before="60" w:after="60"/>
      </w:pPr>
      <w:r>
        <w:rPr>
          <w:sz w:val="22"/>
        </w:rPr>
        <w:t xml:space="preserve">A modification to the neutralization timeline or batch sequencing.</w:t>
      </w:r>
    </w:p>
    <w:p>
      <w:pPr>
        <w:numPr>
          <w:ilvl w:val="1"/>
          <w:numId w:val="2"/>
        </w:numPr>
        <w:spacing w:before="60" w:after="60"/>
      </w:pPr>
      <w:r>
        <w:rPr>
          <w:sz w:val="22"/>
        </w:rPr>
        <w:t xml:space="preserve">A switch from one Annex Z pathway to another, including the in-country default pathways.</w:t>
      </w:r>
    </w:p>
    <w:p>
      <w:pPr>
        <w:numPr>
          <w:ilvl w:val="1"/>
          <w:numId w:val="2"/>
        </w:numPr>
        <w:spacing w:before="60" w:after="60"/>
      </w:pPr>
      <w:r>
        <w:rPr>
          <w:sz w:val="22"/>
        </w:rPr>
        <w:t xml:space="preserve">A reconfiguration of the structural relief conversion to address reversibility concerns.</w:t>
      </w:r>
    </w:p>
    <w:p>
      <w:pPr>
        <w:numPr>
          <w:ilvl w:val="1"/>
          <w:numId w:val="2"/>
        </w:numPr>
        <w:spacing w:before="60" w:after="60"/>
      </w:pPr>
      <w:r>
        <w:rPr>
          <w:sz w:val="22"/>
        </w:rPr>
        <w:t xml:space="preserve">A temporary assurance arrangement that covers the window between partial Kernel completion and full certification.</w:t>
      </w:r>
    </w:p>
    <w:p>
      <w:pPr>
        <w:spacing w:before="120" w:after="120"/>
      </w:pPr>
      <w:r>
        <w:rPr>
          <w:sz w:val="22"/>
        </w:rPr>
        <w:t xml:space="preserve">Amendment proposals are submitted to the PCC in writing and require mutual written agreement to take effect. The PCC facilitates discussion but does not impose amendments. If the Parties reach agreement on amendments during the cooling-off period, the deadlock resolves and Phase II resumes on the amended terms.</w:t>
      </w:r>
    </w:p>
    <w:p>
      <w:pPr>
        <w:pBdr>
          <w:top w:val="single" w:color="7C9885" w:sz="4"/>
          <w:left w:val="single" w:color="7C9885" w:sz="12"/>
          <w:bottom w:val="single" w:color="7C9885" w:sz="4"/>
          <w:right w:val="single" w:color="7C9885" w:sz="4"/>
        </w:pBdr>
        <w:shd w:val="clear" w:fill="fafaf8"/>
        <w:spacing w:before="200" w:after="200"/>
        <w:ind w:left="200" w:right="200"/>
      </w:pPr>
      <w:r>
        <w:rPr>
          <w:i/>
          <w:color w:val="555555"/>
          <w:sz w:val="20"/>
        </w:rPr>
        <w:t xml:space="preserve">The amendment option is the preferred resolution pathway. It allows the Parties to adjust the Kernel to address the specific disagreement without abandoning Phase II entirely. The modular design of the Kernel (batch splitting, pathway menu, temporary assurance) provides multiple adjustment points that can accommodate good-faith disagreements without structural collapse.</w:t>
      </w:r>
    </w:p>
    <w:p>
      <w:pPr>
        <w:pStyle w:val="Heading1"/>
      </w:pPr>
      <w:r>
        <w:t>Article 4 — Mandatory Consultation and Mediation</w:t>
      </w:r>
      <w:bookmarkStart w:name="_TocArt4" w:id="5"/>
      <w:bookmarkEnd w:id="5"/>
    </w:p>
    <w:p>
      <w:pPr>
        <w:pStyle w:val="Heading2"/>
      </w:pPr>
      <w:r>
        <w:t>4.1 Ministerial Session</w:t>
      </w:r>
    </w:p>
    <w:p>
      <w:pPr>
        <w:spacing w:before="120" w:after="120"/>
      </w:pPr>
      <w:r>
        <w:rPr>
          <w:sz w:val="22"/>
        </w:rPr>
        <w:t xml:space="preserve">If the deadlock persists after 60 days of the cooling-off period, the Parties engage in a mandatory consultation session at the ministerial level. The session convenes within 14 days of the 60-day mark and lasts no more than 7 days.</w:t>
      </w:r>
    </w:p>
    <w:p>
      <w:pPr>
        <w:spacing w:before="120" w:after="120"/>
      </w:pPr>
      <w:r>
        <w:rPr>
          <w:sz w:val="22"/>
        </w:rPr>
        <w:t xml:space="preserve">The ministerial session operates under the following rules:</w:t>
      </w:r>
    </w:p>
    <w:p>
      <w:pPr>
        <w:numPr>
          <w:ilvl w:val="0"/>
          <w:numId w:val="1"/>
        </w:numPr>
        <w:spacing w:before="80" w:after="80"/>
      </w:pPr>
      <w:r>
        <w:rPr>
          <w:sz w:val="22"/>
        </w:rPr>
        <w:t xml:space="preserve">Participants: Each Party sends its foreign minister or equivalent-level official, accompanied by up to three technical advisors. The PCC chair and the primary facilitator (Pakistan) attend as neutral mediators.</w:t>
      </w:r>
    </w:p>
    <w:p>
      <w:pPr>
        <w:numPr>
          <w:ilvl w:val="0"/>
          <w:numId w:val="1"/>
        </w:numPr>
        <w:spacing w:before="80" w:after="80"/>
      </w:pPr>
      <w:r>
        <w:rPr>
          <w:sz w:val="22"/>
        </w:rPr>
        <w:t xml:space="preserve">Location: The session convenes in Geneva, Muscat, or another neutral venue agreed by the Parties. The venue rotates if multiple sessions are required.</w:t>
      </w:r>
    </w:p>
    <w:p>
      <w:pPr>
        <w:numPr>
          <w:ilvl w:val="0"/>
          <w:numId w:val="1"/>
        </w:numPr>
        <w:spacing w:before="80" w:after="80"/>
      </w:pPr>
      <w:r>
        <w:rPr>
          <w:sz w:val="22"/>
        </w:rPr>
        <w:t xml:space="preserve">Agenda: The PCC chair sets the agenda based on the Cooling-Off Progress Reports. The agenda focuses on the specific obstacles to Kernel completion, not on reopening Phase I terms or raising unrelated grievances.</w:t>
      </w:r>
    </w:p>
    <w:p>
      <w:pPr>
        <w:numPr>
          <w:ilvl w:val="0"/>
          <w:numId w:val="1"/>
        </w:numPr>
        <w:spacing w:before="80" w:after="80"/>
      </w:pPr>
      <w:r>
        <w:rPr>
          <w:sz w:val="22"/>
        </w:rPr>
        <w:t xml:space="preserve">Confidentiality: The session operates under the confidentiality rules of MOU Article 1.7. Neither Party makes public statements about the content of the session without mutual agreement.</w:t>
      </w:r>
    </w:p>
    <w:p>
      <w:pPr>
        <w:numPr>
          <w:ilvl w:val="0"/>
          <w:numId w:val="1"/>
        </w:numPr>
        <w:spacing w:before="80" w:after="80"/>
      </w:pPr>
      <w:r>
        <w:rPr>
          <w:sz w:val="22"/>
        </w:rPr>
        <w:t xml:space="preserve">No preconditions: Neither Party attaches preconditions to participation. Attendance is mandatory, not conditional on prior concessions.</w:t>
      </w:r>
    </w:p>
    <w:p>
      <w:pPr>
        <w:pStyle w:val="Heading2"/>
      </w:pPr>
      <w:r>
        <w:t>4.2 Facilitation Team</w:t>
      </w:r>
    </w:p>
    <w:p>
      <w:pPr>
        <w:spacing w:before="120" w:after="120"/>
      </w:pPr>
      <w:r>
        <w:rPr>
          <w:sz w:val="22"/>
        </w:rPr>
        <w:t xml:space="preserve">The consultation session is facilitated by the Pakistan/Oman facilitation team.</w:t>
      </w:r>
    </w:p>
    <w:tbl>
      <w:tblPr>
        <w:tblW w:w="5000" w:type="pct"/>
        <w:tblBorders>
          <w:top w:val="single" w:color="333333" w:sz="8"/>
          <w:left w:val="nil"/>
          <w:bottom w:val="single" w:color="333333" w:sz="8"/>
          <w:right w:val="nil"/>
          <w:insideH w:val="single" w:color="999999" w:sz="4"/>
          <w:insideV w:val="nil"/>
        </w:tblBorders>
      </w:tblPr>
      <w:tblGrid>
        <w:gridCol w:w="2500"/>
        <w:gridCol w:w="7500"/>
      </w:tblGrid>
      <w:tr>
        <w:trPr>
          <w:tblHeader/>
        </w:trPr>
        <w:tc>
          <w:tcPr>
            <w:tcW w:w="2500" w:type="dxa"/>
            <w:shd w:val="clear" w:fill="f5f5f2"/>
            <w:vAlign w:val="center"/>
          </w:tcPr>
          <w:p>
            <w:pPr>
              <w:keepNext/>
              <w:spacing w:before="80" w:after="80"/>
            </w:pPr>
            <w:r>
              <w:rPr>
                <w:b/>
                <w:color w:val="333333"/>
                <w:sz w:val="20"/>
              </w:rPr>
              <w:t xml:space="preserve">Role</w:t>
            </w:r>
          </w:p>
        </w:tc>
        <w:tc>
          <w:tcPr>
            <w:tcW w:w="7500" w:type="dxa"/>
            <w:shd w:val="clear" w:fill="f5f5f2"/>
            <w:vAlign w:val="center"/>
          </w:tcPr>
          <w:p>
            <w:pPr>
              <w:keepNext/>
              <w:spacing w:before="80" w:after="80"/>
            </w:pPr>
            <w:r>
              <w:rPr>
                <w:b/>
                <w:color w:val="333333"/>
                <w:sz w:val="20"/>
              </w:rPr>
              <w:t xml:space="preserve">Function</w:t>
            </w:r>
          </w:p>
        </w:tc>
      </w:tr>
      <w:tr>
        <w:tc>
          <w:tcPr>
            <w:tcW w:w="2500" w:type="dxa"/>
          </w:tcPr>
          <w:p>
            <w:pPr>
              <w:keepNext/>
              <w:spacing w:before="60" w:after="60"/>
            </w:pPr>
            <w:r>
              <w:rPr>
                <w:color w:val="333333"/>
                <w:sz w:val="20"/>
              </w:rPr>
              <w:t xml:space="preserve">Pakistan (Primary Facilitator)</w:t>
            </w:r>
          </w:p>
        </w:tc>
        <w:tc>
          <w:tcPr>
            <w:tcW w:w="7500" w:type="dxa"/>
          </w:tcPr>
          <w:p>
            <w:pPr>
              <w:keepNext/>
              <w:spacing w:before="60" w:after="60"/>
            </w:pPr>
            <w:r>
              <w:rPr>
                <w:color w:val="333333"/>
                <w:sz w:val="20"/>
              </w:rPr>
              <w:t xml:space="preserve">Opens and closes sessions. Transmits proposals. Maintains procedural neutrality. Issues session summary.</w:t>
            </w:r>
          </w:p>
        </w:tc>
      </w:tr>
      <w:tr>
        <w:tc>
          <w:tcPr>
            <w:tcW w:w="2500" w:type="dxa"/>
          </w:tcPr>
          <w:p>
            <w:pPr>
              <w:keepNext/>
              <w:spacing w:before="60" w:after="60"/>
            </w:pPr>
            <w:r>
              <w:rPr>
                <w:color w:val="333333"/>
                <w:sz w:val="20"/>
              </w:rPr>
              <w:t xml:space="preserve">Oman (Logistics Host)</w:t>
            </w:r>
          </w:p>
        </w:tc>
        <w:tc>
          <w:tcPr>
            <w:tcW w:w="7500" w:type="dxa"/>
          </w:tcPr>
          <w:p>
            <w:pPr>
              <w:keepNext/>
              <w:spacing w:before="60" w:after="60"/>
            </w:pPr>
            <w:r>
              <w:rPr>
                <w:color w:val="333333"/>
                <w:sz w:val="20"/>
              </w:rPr>
              <w:t xml:space="preserve">Provides secure venue, encrypted communications, and transportation. Does not participate in substance.</w:t>
            </w:r>
          </w:p>
        </w:tc>
      </w:tr>
      <w:tr>
        <w:tc>
          <w:tcPr>
            <w:tcW w:w="2500" w:type="dxa"/>
          </w:tcPr>
          <w:p>
            <w:pPr>
              <w:keepNext/>
              <w:spacing w:before="60" w:after="60"/>
            </w:pPr>
            <w:r>
              <w:rPr>
                <w:color w:val="333333"/>
                <w:sz w:val="20"/>
              </w:rPr>
              <w:t xml:space="preserve">PCC Chair</w:t>
            </w:r>
          </w:p>
        </w:tc>
        <w:tc>
          <w:tcPr>
            <w:tcW w:w="7500" w:type="dxa"/>
          </w:tcPr>
          <w:p>
            <w:pPr>
              <w:keepNext/>
              <w:spacing w:before="60" w:after="60"/>
            </w:pPr>
            <w:r>
              <w:rPr>
                <w:color w:val="333333"/>
                <w:sz w:val="20"/>
              </w:rPr>
              <w:t xml:space="preserve">Attends as observer. Provides technical context. Receives agreed outcomes. Does not vote or decide.</w:t>
            </w:r>
          </w:p>
        </w:tc>
      </w:tr>
    </w:tbl>
    <w:p>
      <w:pPr>
        <w:pStyle w:val="Heading2"/>
      </w:pPr>
      <w:r>
        <w:t>4.3 Written Addendum</w:t>
      </w:r>
    </w:p>
    <w:p>
      <w:pPr>
        <w:spacing w:before="120" w:after="120"/>
      </w:pPr>
      <w:r>
        <w:rPr>
          <w:sz w:val="22"/>
        </w:rPr>
        <w:t xml:space="preserve">If the Parties reach a resolution during the ministerial session, they record it as a written addendum to the MOU. The addendum enters into force upon signature by both Parties’ ministerial representatives.</w:t>
      </w:r>
    </w:p>
    <w:p>
      <w:pPr>
        <w:spacing w:before="120" w:after="120"/>
      </w:pPr>
      <w:r>
        <w:rPr>
          <w:sz w:val="22"/>
        </w:rPr>
        <w:t xml:space="preserve">The addendum process operates as follows:</w:t>
      </w:r>
    </w:p>
    <w:p>
      <w:pPr>
        <w:numPr>
          <w:ilvl w:val="0"/>
          <w:numId w:val="1"/>
        </w:numPr>
        <w:spacing w:before="80" w:after="80"/>
      </w:pPr>
      <w:r>
        <w:rPr>
          <w:sz w:val="22"/>
        </w:rPr>
        <w:t xml:space="preserve">The agreed resolution is drafted jointly by the Parties’ legal advisors with facilitation by the PCC chair.</w:t>
      </w:r>
    </w:p>
    <w:p>
      <w:pPr>
        <w:numPr>
          <w:ilvl w:val="0"/>
          <w:numId w:val="1"/>
        </w:numPr>
        <w:spacing w:before="80" w:after="80"/>
      </w:pPr>
      <w:r>
        <w:rPr>
          <w:sz w:val="22"/>
        </w:rPr>
        <w:t xml:space="preserve">The draft addendum is transmitted to both capitals for review within 48 hours of the session’s conclusion.</w:t>
      </w:r>
    </w:p>
    <w:p>
      <w:pPr>
        <w:numPr>
          <w:ilvl w:val="0"/>
          <w:numId w:val="1"/>
        </w:numPr>
        <w:spacing w:before="80" w:after="80"/>
      </w:pPr>
      <w:r>
        <w:rPr>
          <w:sz w:val="22"/>
        </w:rPr>
        <w:t xml:space="preserve">Each Party’s ministerial representative signs the addendum within 14 days of transmission.</w:t>
      </w:r>
    </w:p>
    <w:p>
      <w:pPr>
        <w:numPr>
          <w:ilvl w:val="0"/>
          <w:numId w:val="1"/>
        </w:numPr>
        <w:spacing w:before="80" w:after="80"/>
      </w:pPr>
      <w:r>
        <w:rPr>
          <w:sz w:val="22"/>
        </w:rPr>
        <w:t xml:space="preserve">The signed addendum is deposited with the Joint Secretariat and enters into force immediately upon deposit.</w:t>
      </w:r>
    </w:p>
    <w:p>
      <w:pPr>
        <w:numPr>
          <w:ilvl w:val="0"/>
          <w:numId w:val="1"/>
        </w:numPr>
        <w:spacing w:before="80" w:after="80"/>
      </w:pPr>
      <w:r>
        <w:rPr>
          <w:sz w:val="22"/>
        </w:rPr>
        <w:t xml:space="preserve">The addendum has the same legal status as the MOU and its annexes and is subject to the same dispute-resolution mechanisms.</w:t>
      </w:r>
    </w:p>
    <w:p>
      <w:pPr>
        <w:pBdr>
          <w:top w:val="single" w:color="7C9885" w:sz="4"/>
          <w:left w:val="single" w:color="7C9885" w:sz="12"/>
          <w:bottom w:val="single" w:color="7C9885" w:sz="4"/>
          <w:right w:val="single" w:color="7C9885" w:sz="4"/>
        </w:pBdr>
        <w:shd w:val="clear" w:fill="fafaf8"/>
        <w:spacing w:before="200" w:after="200"/>
        <w:ind w:left="200" w:right="200"/>
      </w:pPr>
      <w:r>
        <w:rPr>
          <w:i/>
          <w:color w:val="555555"/>
          <w:sz w:val="20"/>
        </w:rPr>
        <w:t xml:space="preserve">The addendum mechanism allows the Parties to adjust the Kernel without renegotiating the entire MOU. It is a surgical tool, not a wholesale rewrite. The addendum addresses only the specific disagreement that caused the deadlock; all other MOU provisions remain unchanged.</w:t>
      </w:r>
    </w:p>
    <w:p>
      <w:pPr>
        <w:pStyle w:val="Heading1"/>
      </w:pPr>
      <w:r>
        <w:t>Article 5 — Binding Arbitration (PCA)</w:t>
      </w:r>
      <w:bookmarkStart w:name="_TocArt5" w:id="6"/>
      <w:bookmarkEnd w:id="6"/>
    </w:p>
    <w:p>
      <w:pPr>
        <w:pStyle w:val="Heading2"/>
      </w:pPr>
      <w:r>
        <w:t>5.1 PCA Referral</w:t>
      </w:r>
    </w:p>
    <w:p>
      <w:pPr>
        <w:spacing w:before="120" w:after="120"/>
      </w:pPr>
      <w:r>
        <w:rPr>
          <w:sz w:val="22"/>
        </w:rPr>
        <w:t xml:space="preserve">If the cooling-off period and ministerial consultation do not resolve the deadlock, either Party refers the dispute to binding arbitration under the Permanent Court of Arbitration (PCA) in The Hague. The arbitration operates under the expedited procedures of Annex O, Article 6 (5–7 day ruling).</w:t>
      </w:r>
    </w:p>
    <w:p>
      <w:pPr>
        <w:spacing w:before="120" w:after="120"/>
      </w:pPr>
      <w:r>
        <w:rPr>
          <w:sz w:val="22"/>
        </w:rPr>
        <w:t xml:space="preserve">The PCA referral procedure is:</w:t>
      </w:r>
    </w:p>
    <w:p>
      <w:pPr>
        <w:numPr>
          <w:ilvl w:val="0"/>
          <w:numId w:val="1"/>
        </w:numPr>
        <w:spacing w:before="80" w:after="80"/>
      </w:pPr>
      <w:r>
        <w:rPr>
          <w:sz w:val="22"/>
        </w:rPr>
        <w:t xml:space="preserve">Either Party files a Request for Arbitration with the PCA Secretariat, copying the other Party and the PCC.</w:t>
      </w:r>
    </w:p>
    <w:p>
      <w:pPr>
        <w:numPr>
          <w:ilvl w:val="0"/>
          <w:numId w:val="1"/>
        </w:numPr>
        <w:spacing w:before="80" w:after="80"/>
      </w:pPr>
      <w:r>
        <w:rPr>
          <w:sz w:val="22"/>
        </w:rPr>
        <w:t xml:space="preserve">The Request specifies: (a) the deadlock issue; (b) the referring Party’s proposed resolution; (c) evidence of good-faith efforts to resolve the deadlock through cooling-off and consultation; and (d) the remedy sought.</w:t>
      </w:r>
    </w:p>
    <w:p>
      <w:pPr>
        <w:numPr>
          <w:ilvl w:val="0"/>
          <w:numId w:val="1"/>
        </w:numPr>
        <w:spacing w:before="80" w:after="80"/>
      </w:pPr>
      <w:r>
        <w:rPr>
          <w:sz w:val="22"/>
        </w:rPr>
        <w:t xml:space="preserve">The PCA Secretary-General appoints a three-member tribunal within 7 days of the Request.</w:t>
      </w:r>
    </w:p>
    <w:p>
      <w:pPr>
        <w:numPr>
          <w:ilvl w:val="0"/>
          <w:numId w:val="1"/>
        </w:numPr>
        <w:spacing w:before="80" w:after="80"/>
      </w:pPr>
      <w:r>
        <w:rPr>
          <w:sz w:val="22"/>
        </w:rPr>
        <w:t xml:space="preserve">The tribunal convenes within 14 days of appointment and issues a ruling within 5–7 days of the first hearing.</w:t>
      </w:r>
    </w:p>
    <w:p>
      <w:pPr>
        <w:numPr>
          <w:ilvl w:val="0"/>
          <w:numId w:val="1"/>
        </w:numPr>
        <w:spacing w:before="80" w:after="80"/>
      </w:pPr>
      <w:r>
        <w:rPr>
          <w:sz w:val="22"/>
        </w:rPr>
        <w:t xml:space="preserve">The tribunal’s ruling is binding on both Parties and is not subject to appeal.</w:t>
      </w:r>
    </w:p>
    <w:p>
      <w:pPr>
        <w:pStyle w:val="Heading2"/>
      </w:pPr>
      <w:r>
        <w:t>5.2 Bad-Faith Determination</w:t>
      </w:r>
    </w:p>
    <w:p>
      <w:pPr>
        <w:spacing w:before="120" w:after="120"/>
      </w:pPr>
      <w:r>
        <w:rPr>
          <w:sz w:val="22"/>
        </w:rPr>
        <w:t xml:space="preserve">The arbitration tribunal determines whether the deadlock results from bad-faith obstruction by one Party or from genuine technical or political disagreement.</w:t>
      </w:r>
    </w:p>
    <w:p>
      <w:pPr>
        <w:spacing w:before="120" w:after="120"/>
      </w:pPr>
      <w:r>
        <w:rPr>
          <w:sz w:val="22"/>
        </w:rPr>
        <w:t xml:space="preserve">Bad-faith obstruction means conduct that demonstrates an intent to prevent Kernel completion without legitimate technical or policy justification. Indicators of bad faith include:</w:t>
      </w:r>
    </w:p>
    <w:p>
      <w:pPr>
        <w:numPr>
          <w:ilvl w:val="1"/>
          <w:numId w:val="2"/>
        </w:numPr>
        <w:spacing w:before="60" w:after="60"/>
      </w:pPr>
      <w:r>
        <w:rPr>
          <w:sz w:val="22"/>
        </w:rPr>
        <w:t xml:space="preserve">A Party raises objections that it previously waived or agreed to.</w:t>
      </w:r>
    </w:p>
    <w:p>
      <w:pPr>
        <w:numPr>
          <w:ilvl w:val="1"/>
          <w:numId w:val="2"/>
        </w:numPr>
        <w:spacing w:before="60" w:after="60"/>
      </w:pPr>
      <w:r>
        <w:rPr>
          <w:sz w:val="22"/>
        </w:rPr>
        <w:t xml:space="preserve">A Party demands conditions that were explicitly excluded from the MOU at signature.</w:t>
      </w:r>
    </w:p>
    <w:p>
      <w:pPr>
        <w:numPr>
          <w:ilvl w:val="1"/>
          <w:numId w:val="2"/>
        </w:numPr>
        <w:spacing w:before="60" w:after="60"/>
      </w:pPr>
      <w:r>
        <w:rPr>
          <w:sz w:val="22"/>
        </w:rPr>
        <w:t xml:space="preserve">A Party refuses to engage in good faith during the cooling-off or consultation phases.</w:t>
      </w:r>
    </w:p>
    <w:p>
      <w:pPr>
        <w:numPr>
          <w:ilvl w:val="1"/>
          <w:numId w:val="2"/>
        </w:numPr>
        <w:spacing w:before="60" w:after="60"/>
      </w:pPr>
      <w:r>
        <w:rPr>
          <w:sz w:val="22"/>
        </w:rPr>
        <w:t xml:space="preserve">A Party’s stated objections are contradicted by its own technical experts’ assessments.</w:t>
      </w:r>
    </w:p>
    <w:p>
      <w:pPr>
        <w:numPr>
          <w:ilvl w:val="1"/>
          <w:numId w:val="2"/>
        </w:numPr>
        <w:spacing w:before="60" w:after="60"/>
      </w:pPr>
      <w:r>
        <w:rPr>
          <w:sz w:val="22"/>
        </w:rPr>
        <w:t xml:space="preserve">A Party takes actions outside the MOU that are designed to make Kernel completion impossible.</w:t>
      </w:r>
    </w:p>
    <w:p>
      <w:pPr>
        <w:spacing w:before="120" w:after="120"/>
      </w:pPr>
      <w:r>
        <w:rPr>
          <w:sz w:val="22"/>
        </w:rPr>
        <w:t xml:space="preserve">If the tribunal finds bad faith, the obstructing Party suffers a Tier-2 step-back limited to Phase II-linked benefits:</w:t>
      </w:r>
    </w:p>
    <w:p>
      <w:pPr>
        <w:numPr>
          <w:ilvl w:val="1"/>
          <w:numId w:val="2"/>
        </w:numPr>
        <w:spacing w:before="60" w:after="60"/>
      </w:pPr>
      <w:r>
        <w:rPr>
          <w:sz w:val="22"/>
        </w:rPr>
        <w:t xml:space="preserve">The obstructing Party’s Phase II benefits (structural relief conversion, Joint Disposition Fund access, development-finance matching) are reduced by 15% for a period of 90 days.</w:t>
      </w:r>
    </w:p>
    <w:p>
      <w:pPr>
        <w:numPr>
          <w:ilvl w:val="1"/>
          <w:numId w:val="2"/>
        </w:numPr>
        <w:spacing w:before="60" w:after="60"/>
      </w:pPr>
      <w:r>
        <w:rPr>
          <w:sz w:val="22"/>
        </w:rPr>
        <w:t xml:space="preserve">The obstructing Party has 60 days to cure the obstruction by complying with the tribunal’s ruling.</w:t>
      </w:r>
    </w:p>
    <w:p>
      <w:pPr>
        <w:numPr>
          <w:ilvl w:val="1"/>
          <w:numId w:val="2"/>
        </w:numPr>
        <w:spacing w:before="60" w:after="60"/>
      </w:pPr>
      <w:r>
        <w:rPr>
          <w:sz w:val="22"/>
        </w:rPr>
        <w:t xml:space="preserve">If the obstruction is cured within 60 days, the step-back is lifted and the Party is reinstated to full Phase II benefit eligibility.</w:t>
      </w:r>
    </w:p>
    <w:p>
      <w:pPr>
        <w:numPr>
          <w:ilvl w:val="1"/>
          <w:numId w:val="2"/>
        </w:numPr>
        <w:spacing w:before="60" w:after="60"/>
      </w:pPr>
      <w:r>
        <w:rPr>
          <w:sz w:val="22"/>
        </w:rPr>
        <w:t xml:space="preserve">If the obstruction is not cured within 60 days, the referring Party may invoke the clean-break exit ramp of Article 8.5 without prejudice to its Phase I benefits.</w:t>
      </w:r>
    </w:p>
    <w:p>
      <w:pPr>
        <w:pStyle w:val="Heading2"/>
      </w:pPr>
      <w:r>
        <w:t>5.3 No Bad-Faith Finding</w:t>
      </w:r>
    </w:p>
    <w:p>
      <w:pPr>
        <w:spacing w:before="120" w:after="120"/>
      </w:pPr>
      <w:r>
        <w:rPr>
          <w:sz w:val="22"/>
        </w:rPr>
        <w:t xml:space="preserve">If the tribunal finds no bad faith — meaning the deadlock results from genuine technical or political disagreement that both Parties approached in good faith — the tribunal issues one of the following:</w:t>
      </w:r>
    </w:p>
    <w:p>
      <w:pPr>
        <w:numPr>
          <w:ilvl w:val="0"/>
          <w:numId w:val="1"/>
        </w:numPr>
        <w:spacing w:before="80" w:after="80"/>
      </w:pPr>
      <w:r>
        <w:rPr>
          <w:sz w:val="22"/>
        </w:rPr>
        <w:t xml:space="preserve">Recommended resolution (non-binding): The tribunal proposes a resolution that addresses both Parties’ legitimate concerns. The recommendation is not binding, but the PCC treats it as the baseline for further negotiations. A Party that rejects the recommendation without a credible alternative faces reputational cost and potential pressure from the Guarantor Matrix.</w:t>
      </w:r>
    </w:p>
    <w:p>
      <w:pPr>
        <w:numPr>
          <w:ilvl w:val="0"/>
          <w:numId w:val="1"/>
        </w:numPr>
        <w:spacing w:before="80" w:after="80"/>
      </w:pPr>
      <w:r>
        <w:rPr>
          <w:sz w:val="22"/>
        </w:rPr>
        <w:t xml:space="preserve">Binding ruling (if both Parties agree in advance): If both Parties agree in their arbitration submissions to accept a binding ruling on the disputed terms, the tribunal issues a binding ruling that resolves the deadlock. The ruling has the same legal force as an addendum under Article 4.3.</w:t>
      </w:r>
    </w:p>
    <w:p>
      <w:pPr>
        <w:spacing w:before="120" w:after="120"/>
      </w:pPr>
      <w:r>
        <w:rPr>
          <w:sz w:val="22"/>
        </w:rPr>
        <w:t xml:space="preserve">The choice between recommended resolution and binding ruling is made by both Parties jointly at the time of referral. Either Party may veto binding adjudication by requesting a recommended resolution only. A veto of binding adjudication is not a sign of bad faith; it is a sovereign procedural choice.</w:t>
      </w:r>
    </w:p>
    <w:p>
      <w:pPr>
        <w:pBdr>
          <w:top w:val="single" w:color="7C9885" w:sz="4"/>
          <w:left w:val="single" w:color="7C9885" w:sz="12"/>
          <w:bottom w:val="single" w:color="7C9885" w:sz="4"/>
          <w:right w:val="single" w:color="7C9885" w:sz="4"/>
        </w:pBdr>
        <w:shd w:val="clear" w:fill="fafaf8"/>
        <w:spacing w:before="200" w:after="200"/>
        <w:ind w:left="200" w:right="200"/>
      </w:pPr>
      <w:r>
        <w:rPr>
          <w:i/>
          <w:color w:val="555555"/>
          <w:sz w:val="20"/>
        </w:rPr>
        <w:t xml:space="preserve">The bad-faith determination is the sharp edge of this Annex. It creates a real cost for obstruction while protecting genuine disagreement. A Party that acts in good faith but simply disagrees about the best path forward faces no penalty — only a recommended resolution that it can accept or reject. A Party that deliberately sabotages the Kernel faces graduated consequences.</w:t>
      </w:r>
    </w:p>
    <w:p>
      <w:pPr>
        <w:pStyle w:val="Heading1"/>
      </w:pPr>
      <w:r>
        <w:t>Article 6 — Phase I Continuation Pending Resolution</w:t>
      </w:r>
      <w:bookmarkStart w:name="_TocArt6" w:id="7"/>
      <w:bookmarkEnd w:id="7"/>
    </w:p>
    <w:p>
      <w:pPr>
        <w:spacing w:before="120" w:after="120"/>
      </w:pPr>
      <w:r>
        <w:rPr>
          <w:sz w:val="22"/>
        </w:rPr>
        <w:t xml:space="preserve">Pending arbitration and for a period not to exceed 180 days after the start of the cooling-off period, Phase I benefits continue in full. Neither Party uses the deadlock as grounds for withdrawal unless the arbitration panel finds bad-faith obstruction and the obstructing Party fails to cure within 60 days.</w:t>
      </w:r>
    </w:p>
    <w:p>
      <w:pPr>
        <w:spacing w:before="120" w:after="120"/>
      </w:pPr>
      <w:r>
        <w:rPr>
          <w:sz w:val="22"/>
        </w:rPr>
        <w:t xml:space="preserve">The 180-day continuation period is calculated as follows:</w:t>
      </w:r>
    </w:p>
    <w:p>
      <w:pPr>
        <w:numPr>
          <w:ilvl w:val="1"/>
          <w:numId w:val="2"/>
        </w:numPr>
        <w:spacing w:before="60" w:after="60"/>
      </w:pPr>
      <w:r>
        <w:rPr>
          <w:sz w:val="22"/>
        </w:rPr>
        <w:t xml:space="preserve">Days 1–90: Cooling-off period (Article 3).</w:t>
      </w:r>
    </w:p>
    <w:p>
      <w:pPr>
        <w:numPr>
          <w:ilvl w:val="1"/>
          <w:numId w:val="2"/>
        </w:numPr>
        <w:spacing w:before="60" w:after="60"/>
      </w:pPr>
      <w:r>
        <w:rPr>
          <w:sz w:val="22"/>
        </w:rPr>
        <w:t xml:space="preserve">Days 61–90: Overlap period during which ministerial consultation may occur alongside cooling-off.</w:t>
      </w:r>
    </w:p>
    <w:p>
      <w:pPr>
        <w:numPr>
          <w:ilvl w:val="1"/>
          <w:numId w:val="2"/>
        </w:numPr>
        <w:spacing w:before="60" w:after="60"/>
      </w:pPr>
      <w:r>
        <w:rPr>
          <w:sz w:val="22"/>
        </w:rPr>
        <w:t xml:space="preserve">Days 91–180: Post-consultation period during which arbitration proceeds or the Parties negotiate amendments.</w:t>
      </w:r>
    </w:p>
    <w:p>
      <w:pPr>
        <w:spacing w:before="120" w:after="120"/>
      </w:pPr>
      <w:r>
        <w:rPr>
          <w:sz w:val="22"/>
        </w:rPr>
        <w:t xml:space="preserve">If arbitration is invoked, the 180-day period extends automatically to accommodate the arbitration timeline, up to a maximum of 240 days from the start of the cooling-off period. The extension is automatic and requires no Party action.</w:t>
      </w:r>
    </w:p>
    <w:p>
      <w:pPr>
        <w:spacing w:before="120" w:after="120"/>
      </w:pPr>
      <w:r>
        <w:rPr>
          <w:sz w:val="22"/>
        </w:rPr>
        <w:t xml:space="preserve">During the continuation period, Phase I benefits continue on their existing schedules. Neither Party introduces new conditions on Phase I benefits. The IAEA continues its Phase I verification activities without interruption. The Maritime Stability Board continues its Hormuz coordination functions. The Joint Secretariat maintains its contact registry and monthly contact tests.</w:t>
      </w:r>
    </w:p>
    <w:p>
      <w:pPr>
        <w:pBdr>
          <w:top w:val="single" w:color="7C9885" w:sz="4"/>
          <w:left w:val="single" w:color="7C9885" w:sz="12"/>
          <w:bottom w:val="single" w:color="7C9885" w:sz="4"/>
          <w:right w:val="single" w:color="7C9885" w:sz="4"/>
        </w:pBdr>
        <w:shd w:val="clear" w:fill="fafaf8"/>
        <w:spacing w:before="200" w:after="200"/>
        <w:ind w:left="200" w:right="200"/>
      </w:pPr>
      <w:r>
        <w:rPr>
          <w:i/>
          <w:color w:val="555555"/>
          <w:sz w:val="20"/>
        </w:rPr>
        <w:t xml:space="preserve">The 180-day (extendable to 240-day) continuation period is the safety net that prevents deadlock from becoming collapse. It tells both Parties: whatever happens in the dispute-resolution process, the verified gains of Phase I are not at risk.</w:t>
      </w:r>
    </w:p>
    <w:p>
      <w:pPr>
        <w:pStyle w:val="Heading1"/>
      </w:pPr>
      <w:r>
        <w:t>Article 7 — Fallback: Extended Phase I</w:t>
      </w:r>
      <w:bookmarkStart w:name="_TocArt7" w:id="8"/>
      <w:bookmarkEnd w:id="8"/>
    </w:p>
    <w:p>
      <w:pPr>
        <w:pStyle w:val="Heading2"/>
      </w:pPr>
      <w:r>
        <w:t>7.1 Automatic Reversion</w:t>
      </w:r>
    </w:p>
    <w:p>
      <w:pPr>
        <w:spacing w:before="120" w:after="120"/>
      </w:pPr>
      <w:r>
        <w:rPr>
          <w:sz w:val="22"/>
        </w:rPr>
        <w:t xml:space="preserve">If the deadlock remains unresolved after arbitration (or if the Parties decline arbitration by mutual written agreement), the MOU automatically reverts to an extended Phase I for an additional 365 days. The reversion is automatic and requires no Party action.</w:t>
      </w:r>
    </w:p>
    <w:p>
      <w:pPr>
        <w:spacing w:before="120" w:after="120"/>
      </w:pPr>
      <w:r>
        <w:rPr>
          <w:sz w:val="22"/>
        </w:rPr>
        <w:t xml:space="preserve">The automatic reversion operates as follows:</w:t>
      </w:r>
    </w:p>
    <w:p>
      <w:pPr>
        <w:numPr>
          <w:ilvl w:val="0"/>
          <w:numId w:val="1"/>
        </w:numPr>
        <w:spacing w:before="80" w:after="80"/>
      </w:pPr>
      <w:r>
        <w:rPr>
          <w:sz w:val="22"/>
        </w:rPr>
        <w:t xml:space="preserve">The Joint Secretariat issues an Extended Phase I Certificate on the day after the arbitration deadline expires or the mutual declination is received.</w:t>
      </w:r>
    </w:p>
    <w:p>
      <w:pPr>
        <w:numPr>
          <w:ilvl w:val="0"/>
          <w:numId w:val="1"/>
        </w:numPr>
        <w:spacing w:before="80" w:after="80"/>
      </w:pPr>
      <w:r>
        <w:rPr>
          <w:sz w:val="22"/>
        </w:rPr>
        <w:t xml:space="preserve">The Certificate confirms that all Phase I obligations and benefits remain in force for 365 days from the date of issuance.</w:t>
      </w:r>
    </w:p>
    <w:p>
      <w:pPr>
        <w:numPr>
          <w:ilvl w:val="0"/>
          <w:numId w:val="1"/>
        </w:numPr>
        <w:spacing w:before="80" w:after="80"/>
      </w:pPr>
      <w:r>
        <w:rPr>
          <w:sz w:val="22"/>
        </w:rPr>
        <w:t xml:space="preserve">The Parties receive the Certificate simultaneously through the PCC communication channels.</w:t>
      </w:r>
    </w:p>
    <w:p>
      <w:pPr>
        <w:numPr>
          <w:ilvl w:val="0"/>
          <w:numId w:val="1"/>
        </w:numPr>
        <w:spacing w:before="80" w:after="80"/>
      </w:pPr>
      <w:r>
        <w:rPr>
          <w:sz w:val="22"/>
        </w:rPr>
        <w:t xml:space="preserve">No Party holds a veto over the reversion. The reversion is a procedural default, not a negotiated outcome.</w:t>
      </w:r>
    </w:p>
    <w:p>
      <w:pPr>
        <w:pStyle w:val="Heading2"/>
      </w:pPr>
      <w:r>
        <w:t>7.2 Suspension, Not Cancellation</w:t>
      </w:r>
    </w:p>
    <w:p>
      <w:pPr>
        <w:spacing w:before="120" w:after="120"/>
      </w:pPr>
      <w:r>
        <w:rPr>
          <w:sz w:val="22"/>
        </w:rPr>
        <w:t xml:space="preserve">During extended Phase I, the Kernel milestones are suspended but not cancelled.</w:t>
      </w:r>
    </w:p>
    <w:tbl>
      <w:tblPr>
        <w:tblW w:w="5000" w:type="pct"/>
        <w:tblBorders>
          <w:top w:val="single" w:color="333333" w:sz="8"/>
          <w:left w:val="nil"/>
          <w:bottom w:val="single" w:color="333333" w:sz="8"/>
          <w:right w:val="nil"/>
          <w:insideH w:val="single" w:color="999999" w:sz="4"/>
          <w:insideV w:val="nil"/>
        </w:tblBorders>
      </w:tblPr>
      <w:tblGrid>
        <w:gridCol w:w="3500"/>
        <w:gridCol w:w="6500"/>
      </w:tblGrid>
      <w:tr>
        <w:trPr>
          <w:tblHeader/>
        </w:trPr>
        <w:tc>
          <w:tcPr>
            <w:tcW w:w="3500" w:type="dxa"/>
            <w:shd w:val="clear" w:fill="f5f5f2"/>
            <w:vAlign w:val="center"/>
          </w:tcPr>
          <w:p>
            <w:pPr>
              <w:keepNext/>
              <w:spacing w:before="80" w:after="80"/>
            </w:pPr>
            <w:r>
              <w:rPr>
                <w:b/>
                <w:color w:val="333333"/>
                <w:sz w:val="20"/>
              </w:rPr>
              <w:t xml:space="preserve">Kernel Element</w:t>
            </w:r>
          </w:p>
        </w:tc>
        <w:tc>
          <w:tcPr>
            <w:tcW w:w="6500" w:type="dxa"/>
            <w:shd w:val="clear" w:fill="f5f5f2"/>
            <w:vAlign w:val="center"/>
          </w:tcPr>
          <w:p>
            <w:pPr>
              <w:keepNext/>
              <w:spacing w:before="80" w:after="80"/>
            </w:pPr>
            <w:r>
              <w:rPr>
                <w:b/>
                <w:color w:val="333333"/>
                <w:sz w:val="20"/>
              </w:rPr>
              <w:t xml:space="preserve">Suspension Status</w:t>
            </w:r>
          </w:p>
        </w:tc>
      </w:tr>
      <w:tr>
        <w:tc>
          <w:tcPr>
            <w:tcW w:w="3500" w:type="dxa"/>
          </w:tcPr>
          <w:p>
            <w:pPr>
              <w:keepNext/>
              <w:spacing w:before="60" w:after="60"/>
            </w:pPr>
            <w:r>
              <w:rPr>
                <w:color w:val="333333"/>
                <w:sz w:val="20"/>
              </w:rPr>
              <w:t xml:space="preserve">60% HEU downblending to &lt;5%</w:t>
            </w:r>
          </w:p>
        </w:tc>
        <w:tc>
          <w:tcPr>
            <w:tcW w:w="6500" w:type="dxa"/>
          </w:tcPr>
          <w:p>
            <w:pPr>
              <w:keepNext/>
              <w:spacing w:before="60" w:after="60"/>
            </w:pPr>
            <w:r>
              <w:rPr>
                <w:color w:val="333333"/>
                <w:sz w:val="20"/>
              </w:rPr>
              <w:t xml:space="preserve">Paused. Existing downblended material remains verified as non-weapons-usable. No new downblending occurs.</w:t>
            </w:r>
          </w:p>
        </w:tc>
      </w:tr>
      <w:tr>
        <w:tc>
          <w:tcPr>
            <w:tcW w:w="3500" w:type="dxa"/>
          </w:tcPr>
          <w:p>
            <w:pPr>
              <w:keepNext/>
              <w:spacing w:before="60" w:after="60"/>
            </w:pPr>
            <w:r>
              <w:rPr>
                <w:color w:val="333333"/>
                <w:sz w:val="20"/>
              </w:rPr>
              <w:t xml:space="preserve">20% LEU disposition</w:t>
            </w:r>
          </w:p>
        </w:tc>
        <w:tc>
          <w:tcPr>
            <w:tcW w:w="6500" w:type="dxa"/>
          </w:tcPr>
          <w:p>
            <w:pPr>
              <w:keepNext/>
              <w:spacing w:before="60" w:after="60"/>
            </w:pPr>
            <w:r>
              <w:rPr>
                <w:color w:val="333333"/>
                <w:sz w:val="20"/>
              </w:rPr>
              <w:t xml:space="preserve">Paused. Existing disposition commitments remain in force. No new disposition occurs.</w:t>
            </w:r>
          </w:p>
        </w:tc>
      </w:tr>
      <w:tr>
        <w:tc>
          <w:tcPr>
            <w:tcW w:w="3500" w:type="dxa"/>
          </w:tcPr>
          <w:p>
            <w:pPr>
              <w:keepNext/>
              <w:spacing w:before="60" w:after="60"/>
            </w:pPr>
            <w:r>
              <w:rPr>
                <w:color w:val="333333"/>
                <w:sz w:val="20"/>
              </w:rPr>
              <w:t xml:space="preserve">National HEU Neutralization Certificate</w:t>
            </w:r>
          </w:p>
        </w:tc>
        <w:tc>
          <w:tcPr>
            <w:tcW w:w="6500" w:type="dxa"/>
          </w:tcPr>
          <w:p>
            <w:pPr>
              <w:keepNext/>
              <w:spacing w:before="60" w:after="60"/>
            </w:pPr>
            <w:r>
              <w:rPr>
                <w:color w:val="333333"/>
                <w:sz w:val="20"/>
              </w:rPr>
              <w:t xml:space="preserve">Pending. The certificate is not issued during extended Phase I. All progress toward issuance is banked.</w:t>
            </w:r>
          </w:p>
        </w:tc>
      </w:tr>
      <w:tr>
        <w:tc>
          <w:tcPr>
            <w:tcW w:w="3500" w:type="dxa"/>
          </w:tcPr>
          <w:p>
            <w:pPr>
              <w:keepNext/>
              <w:spacing w:before="60" w:after="60"/>
            </w:pPr>
            <w:r>
              <w:rPr>
                <w:color w:val="333333"/>
                <w:sz w:val="20"/>
              </w:rPr>
              <w:t xml:space="preserve">Structural relief conversion</w:t>
            </w:r>
          </w:p>
        </w:tc>
        <w:tc>
          <w:tcPr>
            <w:tcW w:w="6500" w:type="dxa"/>
          </w:tcPr>
          <w:p>
            <w:pPr>
              <w:keepNext/>
              <w:spacing w:before="60" w:after="60"/>
            </w:pPr>
            <w:r>
              <w:rPr>
                <w:color w:val="333333"/>
                <w:sz w:val="20"/>
              </w:rPr>
              <w:t xml:space="preserve">Paused. Phase I reversible relief continues. No new relief converts to structural status.</w:t>
            </w:r>
          </w:p>
        </w:tc>
      </w:tr>
      <w:tr>
        <w:tc>
          <w:tcPr>
            <w:tcW w:w="3500" w:type="dxa"/>
          </w:tcPr>
          <w:p>
            <w:pPr>
              <w:keepNext/>
              <w:spacing w:before="60" w:after="60"/>
            </w:pPr>
            <w:r>
              <w:rPr>
                <w:color w:val="333333"/>
                <w:sz w:val="20"/>
              </w:rPr>
              <w:t xml:space="preserve">Joint Disposition Fund activation</w:t>
            </w:r>
          </w:p>
        </w:tc>
        <w:tc>
          <w:tcPr>
            <w:tcW w:w="6500" w:type="dxa"/>
          </w:tcPr>
          <w:p>
            <w:pPr>
              <w:keepNext/>
              <w:spacing w:before="60" w:after="60"/>
            </w:pPr>
            <w:r>
              <w:rPr>
                <w:color w:val="333333"/>
                <w:sz w:val="20"/>
              </w:rPr>
              <w:t xml:space="preserve">Pending. The Fund is not activated during extended Phase I. Pledges remain on record.</w:t>
            </w:r>
          </w:p>
        </w:tc>
      </w:tr>
    </w:tbl>
    <w:p>
      <w:pPr>
        <w:pStyle w:val="Heading2"/>
      </w:pPr>
      <w:r>
        <w:t>7.3 Re-Entry into Phase II</w:t>
      </w:r>
    </w:p>
    <w:p>
      <w:pPr>
        <w:spacing w:before="120" w:after="120"/>
      </w:pPr>
      <w:r>
        <w:rPr>
          <w:sz w:val="22"/>
        </w:rPr>
        <w:t xml:space="preserve">The Parties re-enter Phase II at any time during extended Phase I by mutual written agreement. The re-entry process operates as follows:</w:t>
      </w:r>
    </w:p>
    <w:p>
      <w:pPr>
        <w:numPr>
          <w:ilvl w:val="0"/>
          <w:numId w:val="1"/>
        </w:numPr>
        <w:spacing w:before="80" w:after="80"/>
      </w:pPr>
      <w:r>
        <w:rPr>
          <w:sz w:val="22"/>
        </w:rPr>
        <w:t xml:space="preserve">Either Party proposes re-entry to the PCC, specifying the terms on which it is prepared to resume the Kernel.</w:t>
      </w:r>
    </w:p>
    <w:p>
      <w:pPr>
        <w:numPr>
          <w:ilvl w:val="0"/>
          <w:numId w:val="1"/>
        </w:numPr>
        <w:spacing w:before="80" w:after="80"/>
      </w:pPr>
      <w:r>
        <w:rPr>
          <w:sz w:val="22"/>
        </w:rPr>
        <w:t xml:space="preserve">The PCC transmits the proposal to the other Party and convenes a session within 14 days.</w:t>
      </w:r>
    </w:p>
    <w:p>
      <w:pPr>
        <w:numPr>
          <w:ilvl w:val="0"/>
          <w:numId w:val="1"/>
        </w:numPr>
        <w:spacing w:before="80" w:after="80"/>
      </w:pPr>
      <w:r>
        <w:rPr>
          <w:sz w:val="22"/>
        </w:rPr>
        <w:t xml:space="preserve">If both Parties agree, they sign a Re-Entry Agreement that specifies the resumed Kernel terms, any adjustments agreed during the deadlock period, and a revised timeline.</w:t>
      </w:r>
    </w:p>
    <w:p>
      <w:pPr>
        <w:numPr>
          <w:ilvl w:val="0"/>
          <w:numId w:val="1"/>
        </w:numPr>
        <w:spacing w:before="80" w:after="80"/>
      </w:pPr>
      <w:r>
        <w:rPr>
          <w:sz w:val="22"/>
        </w:rPr>
        <w:t xml:space="preserve">The Re-Entry Agreement is deposited with the Joint Secretariat and enters into force immediately upon deposit.</w:t>
      </w:r>
    </w:p>
    <w:p>
      <w:pPr>
        <w:numPr>
          <w:ilvl w:val="0"/>
          <w:numId w:val="1"/>
        </w:numPr>
        <w:spacing w:before="80" w:after="80"/>
      </w:pPr>
      <w:r>
        <w:rPr>
          <w:sz w:val="22"/>
        </w:rPr>
        <w:t xml:space="preserve">The 365-day extended Phase I clock pauses upon re-entry; any remaining days are banked for future use if needed.</w:t>
      </w:r>
    </w:p>
    <w:p>
      <w:pPr>
        <w:pBdr>
          <w:top w:val="single" w:color="7C9885" w:sz="4"/>
          <w:left w:val="single" w:color="7C9885" w:sz="12"/>
          <w:bottom w:val="single" w:color="7C9885" w:sz="4"/>
          <w:right w:val="single" w:color="7C9885" w:sz="4"/>
        </w:pBdr>
        <w:shd w:val="clear" w:fill="fafaf8"/>
        <w:spacing w:before="200" w:after="200"/>
        <w:ind w:left="200" w:right="200"/>
      </w:pPr>
      <w:r>
        <w:rPr>
          <w:i/>
          <w:color w:val="555555"/>
          <w:sz w:val="20"/>
        </w:rPr>
        <w:t xml:space="preserve">The extended Phase I is not a failure — it is a successful fallback. It means the Parties have preserved a year of verified compliance, continued economic relief, and open maritime transit while they work out their differences. The architecture ensures that whatever they choose, they choose from a position of preserved gains, not from a position of collapsed trust.</w:t>
      </w:r>
    </w:p>
    <w:p>
      <w:pPr>
        <w:pStyle w:val="Heading1"/>
      </w:pPr>
      <w:r>
        <w:t>Article 8 — No Automatic Termination</w:t>
      </w:r>
      <w:bookmarkStart w:name="_TocArt8" w:id="9"/>
      <w:bookmarkEnd w:id="9"/>
    </w:p>
    <w:p>
      <w:pPr>
        <w:spacing w:before="120" w:after="120"/>
      </w:pPr>
      <w:r>
        <w:rPr>
          <w:sz w:val="22"/>
        </w:rPr>
        <w:t xml:space="preserve">Under no circumstances does a Phase II deadlock automatically terminate the MOU or any of its annexes. The exit ramp of Article 8.5 remains the sole mechanism for orderly withdrawal.</w:t>
      </w:r>
    </w:p>
    <w:p>
      <w:pPr>
        <w:spacing w:before="120" w:after="120"/>
      </w:pPr>
      <w:r>
        <w:rPr>
          <w:sz w:val="22"/>
        </w:rPr>
        <w:t xml:space="preserve">The framework architecture explicitly excludes the following termination triggers:</w:t>
      </w:r>
    </w:p>
    <w:p>
      <w:pPr>
        <w:numPr>
          <w:ilvl w:val="1"/>
          <w:numId w:val="2"/>
        </w:numPr>
        <w:spacing w:before="60" w:after="60"/>
      </w:pPr>
      <w:r>
        <w:rPr>
          <w:sz w:val="22"/>
        </w:rPr>
        <w:t xml:space="preserve">A Phase II deadlock does not terminate the MOU.</w:t>
      </w:r>
    </w:p>
    <w:p>
      <w:pPr>
        <w:numPr>
          <w:ilvl w:val="1"/>
          <w:numId w:val="2"/>
        </w:numPr>
        <w:spacing w:before="60" w:after="60"/>
      </w:pPr>
      <w:r>
        <w:rPr>
          <w:sz w:val="22"/>
        </w:rPr>
        <w:t xml:space="preserve">A failure to complete the Kernel does not terminate the MOU.</w:t>
      </w:r>
    </w:p>
    <w:p>
      <w:pPr>
        <w:numPr>
          <w:ilvl w:val="1"/>
          <w:numId w:val="2"/>
        </w:numPr>
        <w:spacing w:before="60" w:after="60"/>
      </w:pPr>
      <w:r>
        <w:rPr>
          <w:sz w:val="22"/>
        </w:rPr>
        <w:t xml:space="preserve">An arbitration ruling against one Party does not terminate the MOU.</w:t>
      </w:r>
    </w:p>
    <w:p>
      <w:pPr>
        <w:numPr>
          <w:ilvl w:val="1"/>
          <w:numId w:val="2"/>
        </w:numPr>
        <w:spacing w:before="60" w:after="60"/>
      </w:pPr>
      <w:r>
        <w:rPr>
          <w:sz w:val="22"/>
        </w:rPr>
        <w:t xml:space="preserve">A mutual agreement to decline arbitration does not terminate the MOU.</w:t>
      </w:r>
    </w:p>
    <w:p>
      <w:pPr>
        <w:numPr>
          <w:ilvl w:val="1"/>
          <w:numId w:val="2"/>
        </w:numPr>
        <w:spacing w:before="60" w:after="60"/>
      </w:pPr>
      <w:r>
        <w:rPr>
          <w:sz w:val="22"/>
        </w:rPr>
        <w:t xml:space="preserve">Extended Phase I does not terminate the MOU.</w:t>
      </w:r>
    </w:p>
    <w:p>
      <w:pPr>
        <w:numPr>
          <w:ilvl w:val="1"/>
          <w:numId w:val="2"/>
        </w:numPr>
        <w:spacing w:before="60" w:after="60"/>
      </w:pPr>
      <w:r>
        <w:rPr>
          <w:sz w:val="22"/>
        </w:rPr>
        <w:t xml:space="preserve">Multiple consecutive extended Phase I periods do not terminate the MOU.</w:t>
      </w:r>
    </w:p>
    <w:p>
      <w:pPr>
        <w:spacing w:before="120" w:after="120"/>
      </w:pPr>
      <w:r>
        <w:rPr>
          <w:sz w:val="22"/>
        </w:rPr>
        <w:t xml:space="preserve">The only mechanism that terminates the MOU is the clean-break withdrawal of Article 8.5: 30 days’ written notice, $500M exit payment, no clawback of released funds. That mechanism remains available to either Party at all times. But it is a choice, not an automatic consequence.</w:t>
      </w:r>
    </w:p>
    <w:p>
      <w:pPr>
        <w:pBdr>
          <w:top w:val="single" w:color="7C9885" w:sz="4"/>
          <w:left w:val="single" w:color="7C9885" w:sz="12"/>
          <w:bottom w:val="single" w:color="7C9885" w:sz="4"/>
          <w:right w:val="single" w:color="7C9885" w:sz="4"/>
        </w:pBdr>
        <w:shd w:val="clear" w:fill="fafaf8"/>
        <w:spacing w:before="200" w:after="200"/>
        <w:ind w:left="200" w:right="200"/>
      </w:pPr>
      <w:r>
        <w:rPr>
          <w:i/>
          <w:color w:val="555555"/>
          <w:sz w:val="20"/>
        </w:rPr>
        <w:t xml:space="preserve">This Article is the heart of the deadlock mechanism. It tells both Parties: you cannot walk away by default. You can only walk away by choice. The architecture removes the easy exit of “the talks failed, so the deal is dead” and replaces it with the harder but more durable exit of “I am choosing to leave on 30 days’ notice.”</w:t>
      </w:r>
    </w:p>
    <w:p>
      <w:pPr>
        <w:pStyle w:val="Heading1"/>
      </w:pPr>
      <w:r>
        <w:t>Article 9 — Relationship to Other Annexes</w:t>
      </w:r>
      <w:bookmarkStart w:name="_TocArt9" w:id="10"/>
      <w:bookmarkEnd w:id="10"/>
    </w:p>
    <w:p>
      <w:pPr>
        <w:spacing w:before="120" w:after="120"/>
      </w:pPr>
      <w:r>
        <w:rPr>
          <w:sz w:val="22"/>
        </w:rPr>
        <w:t xml:space="preserve">The table below specifies the operative relationship between this Annex and each relevant provision of the MOU architecture.</w:t>
      </w:r>
    </w:p>
    <w:tbl>
      <w:tblPr>
        <w:tblW w:w="5000" w:type="pct"/>
        <w:tblBorders>
          <w:top w:val="single" w:color="333333" w:sz="8"/>
          <w:left w:val="nil"/>
          <w:bottom w:val="single" w:color="333333" w:sz="8"/>
          <w:right w:val="nil"/>
          <w:insideH w:val="single" w:color="999999" w:sz="4"/>
          <w:insideV w:val="nil"/>
        </w:tblBorders>
      </w:tblPr>
      <w:tblGrid>
        <w:gridCol w:w="2500"/>
        <w:gridCol w:w="7500"/>
      </w:tblGrid>
      <w:tr>
        <w:trPr>
          <w:tblHeader/>
        </w:trPr>
        <w:tc>
          <w:tcPr>
            <w:tcW w:w="2500" w:type="dxa"/>
            <w:shd w:val="clear" w:fill="f5f5f2"/>
            <w:vAlign w:val="center"/>
          </w:tcPr>
          <w:p>
            <w:pPr>
              <w:keepNext/>
              <w:spacing w:before="80" w:after="80"/>
            </w:pPr>
            <w:r>
              <w:rPr>
                <w:b/>
                <w:color w:val="333333"/>
                <w:sz w:val="20"/>
              </w:rPr>
              <w:t xml:space="preserve">Provision</w:t>
            </w:r>
          </w:p>
        </w:tc>
        <w:tc>
          <w:tcPr>
            <w:tcW w:w="7500" w:type="dxa"/>
            <w:shd w:val="clear" w:fill="f5f5f2"/>
            <w:vAlign w:val="center"/>
          </w:tcPr>
          <w:p>
            <w:pPr>
              <w:keepNext/>
              <w:spacing w:before="80" w:after="80"/>
            </w:pPr>
            <w:r>
              <w:rPr>
                <w:b/>
                <w:color w:val="333333"/>
                <w:sz w:val="20"/>
              </w:rPr>
              <w:t xml:space="preserve">Relationship</w:t>
            </w:r>
          </w:p>
        </w:tc>
      </w:tr>
      <w:tr>
        <w:tc>
          <w:tcPr>
            <w:tcW w:w="2500" w:type="dxa"/>
          </w:tcPr>
          <w:p>
            <w:pPr>
              <w:keepNext/>
              <w:spacing w:before="60" w:after="60"/>
            </w:pPr>
            <w:r>
              <w:rPr>
                <w:color w:val="333333"/>
                <w:sz w:val="20"/>
              </w:rPr>
              <w:t xml:space="preserve">MOU Art. 8.5 (Exit Ramp)</w:t>
            </w:r>
          </w:p>
        </w:tc>
        <w:tc>
          <w:tcPr>
            <w:tcW w:w="7500" w:type="dxa"/>
          </w:tcPr>
          <w:p>
            <w:pPr>
              <w:keepNext/>
              <w:spacing w:before="60" w:after="60"/>
            </w:pPr>
            <w:r>
              <w:rPr>
                <w:color w:val="333333"/>
                <w:sz w:val="20"/>
              </w:rPr>
              <w:t xml:space="preserve">The exit ramp remains the sole termination mechanism. Deadlock does not create an exit trigger. Article 8.5 operates independently of this Annex.</w:t>
            </w:r>
          </w:p>
        </w:tc>
      </w:tr>
      <w:tr>
        <w:tc>
          <w:tcPr>
            <w:tcW w:w="2500" w:type="dxa"/>
          </w:tcPr>
          <w:p>
            <w:pPr>
              <w:keepNext/>
              <w:spacing w:before="60" w:after="60"/>
            </w:pPr>
            <w:r>
              <w:rPr>
                <w:color w:val="333333"/>
                <w:sz w:val="20"/>
              </w:rPr>
              <w:t xml:space="preserve">Annex A (Snapback Protocol)</w:t>
            </w:r>
          </w:p>
        </w:tc>
        <w:tc>
          <w:tcPr>
            <w:tcW w:w="7500" w:type="dxa"/>
          </w:tcPr>
          <w:p>
            <w:pPr>
              <w:keepNext/>
              <w:spacing w:before="60" w:after="60"/>
            </w:pPr>
            <w:r>
              <w:rPr>
                <w:color w:val="333333"/>
                <w:sz w:val="20"/>
              </w:rPr>
              <w:t xml:space="preserve">Tier-2 step-backs under this Annex use the Annex A architecture. The PCC applies Annex A procedures to implement the 15% Phase II benefit reduction.</w:t>
            </w:r>
          </w:p>
        </w:tc>
      </w:tr>
      <w:tr>
        <w:tc>
          <w:tcPr>
            <w:tcW w:w="2500" w:type="dxa"/>
          </w:tcPr>
          <w:p>
            <w:pPr>
              <w:keepNext/>
              <w:spacing w:before="60" w:after="60"/>
            </w:pPr>
            <w:r>
              <w:rPr>
                <w:color w:val="333333"/>
                <w:sz w:val="20"/>
              </w:rPr>
              <w:t xml:space="preserve">Annex Z (Custody Modules)</w:t>
            </w:r>
          </w:p>
        </w:tc>
        <w:tc>
          <w:tcPr>
            <w:tcW w:w="7500" w:type="dxa"/>
          </w:tcPr>
          <w:p>
            <w:pPr>
              <w:keepNext/>
              <w:spacing w:before="60" w:after="60"/>
            </w:pPr>
            <w:r>
              <w:rPr>
                <w:color w:val="333333"/>
                <w:sz w:val="20"/>
              </w:rPr>
              <w:t xml:space="preserve">Amendment proposals under Article 3.4 may reference Annex Z pathways. Switching Annex Z pathways is a valid deadlock resolution strategy.</w:t>
            </w:r>
          </w:p>
        </w:tc>
      </w:tr>
      <w:tr>
        <w:tc>
          <w:tcPr>
            <w:tcW w:w="2500" w:type="dxa"/>
          </w:tcPr>
          <w:p>
            <w:pPr>
              <w:keepNext/>
              <w:spacing w:before="60" w:after="60"/>
            </w:pPr>
            <w:r>
              <w:rPr>
                <w:color w:val="333333"/>
                <w:sz w:val="20"/>
              </w:rPr>
              <w:t xml:space="preserve">Annex O (PCA Arbitration)</w:t>
            </w:r>
          </w:p>
        </w:tc>
        <w:tc>
          <w:tcPr>
            <w:tcW w:w="7500" w:type="dxa"/>
          </w:tcPr>
          <w:p>
            <w:pPr>
              <w:keepNext/>
              <w:spacing w:before="60" w:after="60"/>
            </w:pPr>
            <w:r>
              <w:rPr>
                <w:color w:val="333333"/>
                <w:sz w:val="20"/>
              </w:rPr>
              <w:t xml:space="preserve">Article 5 arbitration operates under Annex O expedited procedures. The PCA tribunal applies Annex O procedural rules.</w:t>
            </w:r>
          </w:p>
        </w:tc>
      </w:tr>
      <w:tr>
        <w:tc>
          <w:tcPr>
            <w:tcW w:w="2500" w:type="dxa"/>
          </w:tcPr>
          <w:p>
            <w:pPr>
              <w:keepNext/>
              <w:spacing w:before="60" w:after="60"/>
            </w:pPr>
            <w:r>
              <w:rPr>
                <w:color w:val="333333"/>
                <w:sz w:val="20"/>
              </w:rPr>
              <w:t xml:space="preserve">Annex IC (Institutional Continuity)</w:t>
            </w:r>
          </w:p>
        </w:tc>
        <w:tc>
          <w:tcPr>
            <w:tcW w:w="7500" w:type="dxa"/>
          </w:tcPr>
          <w:p>
            <w:pPr>
              <w:keepNext/>
              <w:spacing w:before="60" w:after="60"/>
            </w:pPr>
            <w:r>
              <w:rPr>
                <w:color w:val="333333"/>
                <w:sz w:val="20"/>
              </w:rPr>
              <w:t xml:space="preserve">If deadlock persists into an election or leadership transition, Annex IC guarantees institutional continuity. New administrations inherit the deadlock mechanism.</w:t>
            </w:r>
          </w:p>
        </w:tc>
      </w:tr>
    </w:tbl>
    <w:p>
      <w:pPr>
        <w:pStyle w:val="Heading1"/>
      </w:pPr>
      <w:r>
        <w:t>Article 10 — Incorporation by Reference</w:t>
      </w:r>
      <w:bookmarkStart w:name="_TocArt10" w:id="11"/>
      <w:bookmarkEnd w:id="11"/>
    </w:p>
    <w:p>
      <w:pPr>
        <w:spacing w:before="120" w:after="120"/>
      </w:pPr>
      <w:r>
        <w:rPr>
          <w:sz w:val="22"/>
        </w:rPr>
        <w:t xml:space="preserve">This Annex is incorporable into any existing or future agreement through the following adoption sentence:</w:t>
      </w:r>
    </w:p>
    <w:p>
      <w:pPr>
        <w:pBdr>
          <w:top w:val="single" w:color="999999" w:sz="4"/>
          <w:left w:val="single" w:color="999999" w:sz="4"/>
          <w:bottom w:val="single" w:color="999999" w:sz="4"/>
          <w:right w:val="single" w:color="999999" w:sz="4"/>
        </w:pBdr>
        <w:shd w:val="clear" w:fill="fafaf8"/>
        <w:spacing w:before="200" w:after="200"/>
        <w:ind w:left="200" w:right="200"/>
      </w:pPr>
      <w:r>
        <w:rPr>
          <w:i/>
          <w:color w:val="555555"/>
          <w:sz w:val="20"/>
        </w:rPr>
        <w:t>“The Parties adopt Annex D (Phase II Deadlock Mechanism) as an operative provision of this Agreement. This Annex establishes cooling-off, consultation, arbitration, and fallback procedures for resolving Kernel deadlock without terminating the MOU.”</w:t>
      </w:r>
    </w:p>
    <w:p>
      <w:pPr>
        <w:spacing w:before="120" w:after="120"/>
      </w:pPr>
      <w:r>
        <w:rPr>
          <w:sz w:val="22"/>
        </w:rPr>
        <w:t xml:space="preserve">No amendment of the parent MOU is required for this Annex to enter into force. This Annex enters into force upon signature by both Parties or provisional application by exchange of diplomatic notes.</w:t>
      </w:r>
    </w:p>
    <w:p>
      <w:pPr>
        <w:spacing w:before="120" w:after="120"/>
      </w:pPr>
      <w:r>
        <w:rPr>
          <w:sz w:val="22"/>
        </w:rPr>
        <w:t xml:space="preserve">The entry-into-force mechanisms are:</w:t>
      </w:r>
    </w:p>
    <w:p>
      <w:pPr>
        <w:numPr>
          <w:ilvl w:val="0"/>
          <w:numId w:val="1"/>
        </w:numPr>
        <w:spacing w:before="80" w:after="80"/>
      </w:pPr>
      <w:r>
        <w:rPr>
          <w:sz w:val="22"/>
        </w:rPr>
        <w:t xml:space="preserve">Signature: Physical or electronic signature by the authorized representative of each Party, consistent with MOU Article 12.</w:t>
      </w:r>
    </w:p>
    <w:p>
      <w:pPr>
        <w:numPr>
          <w:ilvl w:val="0"/>
          <w:numId w:val="1"/>
        </w:numPr>
        <w:spacing w:before="80" w:after="80"/>
      </w:pPr>
      <w:r>
        <w:rPr>
          <w:sz w:val="22"/>
        </w:rPr>
        <w:t xml:space="preserve">Provisional application: Exchange of diplomatic notes confirming that each Party applies this Annex provisionally pending signature. Provisional application carries the same binding effect as signature for the duration of the provisional period.</w:t>
      </w:r>
    </w:p>
    <w:p>
      <w:pPr>
        <w:numPr>
          <w:ilvl w:val="0"/>
          <w:numId w:val="1"/>
        </w:numPr>
        <w:spacing w:before="80" w:after="80"/>
      </w:pPr>
      <w:r>
        <w:rPr>
          <w:sz w:val="22"/>
        </w:rPr>
        <w:t xml:space="preserve">Automatic integration: If this Annex is adopted by the incorporation sentence of paragraph 1 above, it enters into force simultaneously with the agreement that adopts it.</w:t>
      </w:r>
    </w:p>
    <w:p>
      <w:pPr>
        <w:pBdr>
          <w:top w:val="single" w:color="7C9885" w:sz="4"/>
          <w:left w:val="single" w:color="7C9885" w:sz="12"/>
          <w:bottom w:val="single" w:color="7C9885" w:sz="4"/>
          <w:right w:val="single" w:color="7C9885" w:sz="4"/>
        </w:pBdr>
        <w:shd w:val="clear" w:fill="fafaf8"/>
        <w:spacing w:before="200" w:after="200"/>
        <w:ind w:left="200" w:right="200"/>
      </w:pPr>
      <w:r>
        <w:rPr>
          <w:i/>
          <w:color w:val="555555"/>
          <w:sz w:val="20"/>
        </w:rPr>
        <w:t xml:space="preserve">The incorporation sentence operates as a self-executing adoption clause. No further act of either Party is required beyond the act that makes the adopting instrument binding.</w:t>
      </w:r>
    </w:p>
    <w:p>
      <w:pPr>
        <w:pStyle w:val="Heading1"/>
      </w:pPr>
      <w:r>
        <w:t>Definitions</w:t>
      </w:r>
      <w:bookmarkStart w:name="_TocDefs" w:id="12"/>
      <w:bookmarkEnd w:id="12"/>
    </w:p>
    <w:p>
      <w:pPr>
        <w:spacing w:before="120" w:after="120"/>
      </w:pPr>
      <w:r>
        <w:rPr>
          <w:sz w:val="22"/>
        </w:rPr>
        <w:t xml:space="preserve">For the purposes of this Annex, the following terms have the meanings set out below. Terms not defined here have the meanings given in MOU Article 1.6.</w:t>
      </w:r>
    </w:p>
    <w:tbl>
      <w:tblPr>
        <w:tblW w:w="5000" w:type="pct"/>
        <w:tblBorders>
          <w:top w:val="single" w:color="333333" w:sz="8"/>
          <w:left w:val="nil"/>
          <w:bottom w:val="single" w:color="333333" w:sz="8"/>
          <w:right w:val="nil"/>
          <w:insideH w:val="single" w:color="999999" w:sz="4"/>
          <w:insideV w:val="nil"/>
        </w:tblBorders>
      </w:tblPr>
      <w:tblGrid>
        <w:gridCol w:w="2500"/>
        <w:gridCol w:w="7500"/>
      </w:tblGrid>
      <w:tr>
        <w:trPr>
          <w:tblHeader/>
        </w:trPr>
        <w:tc>
          <w:tcPr>
            <w:tcW w:w="2500" w:type="dxa"/>
            <w:shd w:val="clear" w:fill="f5f5f2"/>
            <w:vAlign w:val="center"/>
          </w:tcPr>
          <w:p>
            <w:pPr>
              <w:keepNext/>
              <w:spacing w:before="80" w:after="80"/>
            </w:pPr>
            <w:r>
              <w:rPr>
                <w:b/>
                <w:color w:val="333333"/>
                <w:sz w:val="20"/>
              </w:rPr>
              <w:t xml:space="preserve">Term</w:t>
            </w:r>
          </w:p>
        </w:tc>
        <w:tc>
          <w:tcPr>
            <w:tcW w:w="7500" w:type="dxa"/>
            <w:shd w:val="clear" w:fill="f5f5f2"/>
            <w:vAlign w:val="center"/>
          </w:tcPr>
          <w:p>
            <w:pPr>
              <w:keepNext/>
              <w:spacing w:before="80" w:after="80"/>
            </w:pPr>
            <w:r>
              <w:rPr>
                <w:b/>
                <w:color w:val="333333"/>
                <w:sz w:val="20"/>
              </w:rPr>
              <w:t xml:space="preserve">Definition</w:t>
            </w:r>
          </w:p>
        </w:tc>
      </w:tr>
      <w:tr>
        <w:tc>
          <w:tcPr>
            <w:tcW w:w="2500" w:type="dxa"/>
          </w:tcPr>
          <w:p>
            <w:pPr>
              <w:keepNext/>
              <w:spacing w:before="60" w:after="60"/>
            </w:pPr>
            <w:r>
              <w:rPr>
                <w:color w:val="333333"/>
                <w:sz w:val="20"/>
              </w:rPr>
              <w:t xml:space="preserve">Bad-faith obstruction</w:t>
            </w:r>
          </w:p>
        </w:tc>
        <w:tc>
          <w:tcPr>
            <w:tcW w:w="7500" w:type="dxa"/>
          </w:tcPr>
          <w:p>
            <w:pPr>
              <w:keepNext/>
              <w:spacing w:before="60" w:after="60"/>
            </w:pPr>
            <w:r>
              <w:rPr>
                <w:color w:val="333333"/>
                <w:sz w:val="20"/>
              </w:rPr>
              <w:t xml:space="preserve">Conduct demonstrating an intent to prevent Kernel completion without legitimate technical or policy justification, as determined by the PCA tribunal under Article 5.2.</w:t>
            </w:r>
          </w:p>
        </w:tc>
      </w:tr>
      <w:tr>
        <w:tc>
          <w:tcPr>
            <w:tcW w:w="2500" w:type="dxa"/>
          </w:tcPr>
          <w:p>
            <w:pPr>
              <w:keepNext/>
              <w:spacing w:before="60" w:after="60"/>
            </w:pPr>
            <w:r>
              <w:rPr>
                <w:color w:val="333333"/>
                <w:sz w:val="20"/>
              </w:rPr>
              <w:t xml:space="preserve">Cooling-off period</w:t>
            </w:r>
          </w:p>
        </w:tc>
        <w:tc>
          <w:tcPr>
            <w:tcW w:w="7500" w:type="dxa"/>
          </w:tcPr>
          <w:p>
            <w:pPr>
              <w:keepNext/>
              <w:spacing w:before="60" w:after="60"/>
            </w:pPr>
            <w:r>
              <w:rPr>
                <w:color w:val="333333"/>
                <w:sz w:val="20"/>
              </w:rPr>
              <w:t xml:space="preserve">The mandatory 90-day period following Deadlock Confirmation Certificate issuance, during which Phase I benefits continue and the PCC facilitates technical and political discussions.</w:t>
            </w:r>
          </w:p>
        </w:tc>
      </w:tr>
      <w:tr>
        <w:tc>
          <w:tcPr>
            <w:tcW w:w="2500" w:type="dxa"/>
          </w:tcPr>
          <w:p>
            <w:pPr>
              <w:keepNext/>
              <w:spacing w:before="60" w:after="60"/>
            </w:pPr>
            <w:r>
              <w:rPr>
                <w:color w:val="333333"/>
                <w:sz w:val="20"/>
              </w:rPr>
              <w:t xml:space="preserve">Deadlock Confirmation Certificate</w:t>
            </w:r>
          </w:p>
        </w:tc>
        <w:tc>
          <w:tcPr>
            <w:tcW w:w="7500" w:type="dxa"/>
          </w:tcPr>
          <w:p>
            <w:pPr>
              <w:keepNext/>
              <w:spacing w:before="60" w:after="60"/>
            </w:pPr>
            <w:r>
              <w:rPr>
                <w:color w:val="333333"/>
                <w:sz w:val="20"/>
              </w:rPr>
              <w:t xml:space="preserve">The certificate issued by the PCC confirming that a Phase II deadlock exists under the criteria of Article 2.1, triggering the cooling-off period.</w:t>
            </w:r>
          </w:p>
        </w:tc>
      </w:tr>
      <w:tr>
        <w:tc>
          <w:tcPr>
            <w:tcW w:w="2500" w:type="dxa"/>
          </w:tcPr>
          <w:p>
            <w:pPr>
              <w:keepNext/>
              <w:spacing w:before="60" w:after="60"/>
            </w:pPr>
            <w:r>
              <w:rPr>
                <w:color w:val="333333"/>
                <w:sz w:val="20"/>
              </w:rPr>
              <w:t xml:space="preserve">Extended Phase I</w:t>
            </w:r>
          </w:p>
        </w:tc>
        <w:tc>
          <w:tcPr>
            <w:tcW w:w="7500" w:type="dxa"/>
          </w:tcPr>
          <w:p>
            <w:pPr>
              <w:keepNext/>
              <w:spacing w:before="60" w:after="60"/>
            </w:pPr>
            <w:r>
              <w:rPr>
                <w:color w:val="333333"/>
                <w:sz w:val="20"/>
              </w:rPr>
              <w:t xml:space="preserve">The 365-day continuation of Phase I benefits following failed deadlock resolution, as established under Article 7. The Kernel is suspended but not cancelled.</w:t>
            </w:r>
          </w:p>
        </w:tc>
      </w:tr>
      <w:tr>
        <w:tc>
          <w:tcPr>
            <w:tcW w:w="2500" w:type="dxa"/>
          </w:tcPr>
          <w:p>
            <w:pPr>
              <w:keepNext/>
              <w:spacing w:before="60" w:after="60"/>
            </w:pPr>
            <w:r>
              <w:rPr>
                <w:color w:val="333333"/>
                <w:sz w:val="20"/>
              </w:rPr>
              <w:t xml:space="preserve">Kernel</w:t>
            </w:r>
          </w:p>
        </w:tc>
        <w:tc>
          <w:tcPr>
            <w:tcW w:w="7500" w:type="dxa"/>
          </w:tcPr>
          <w:p>
            <w:pPr>
              <w:keepNext/>
              <w:spacing w:before="60" w:after="60"/>
            </w:pPr>
            <w:r>
              <w:rPr>
                <w:color w:val="333333"/>
                <w:sz w:val="20"/>
              </w:rPr>
              <w:t xml:space="preserve">The Phase II contained asymmetry: Iran neutralizes its weapons-grade material; the United States converts reversible relief into structural relief. Defined in MOU Article 11.</w:t>
            </w:r>
          </w:p>
        </w:tc>
      </w:tr>
      <w:tr>
        <w:tc>
          <w:tcPr>
            <w:tcW w:w="2500" w:type="dxa"/>
          </w:tcPr>
          <w:p>
            <w:pPr>
              <w:keepNext/>
              <w:spacing w:before="60" w:after="60"/>
            </w:pPr>
            <w:r>
              <w:rPr>
                <w:color w:val="333333"/>
                <w:sz w:val="20"/>
              </w:rPr>
              <w:t xml:space="preserve">Ministerial session</w:t>
            </w:r>
          </w:p>
        </w:tc>
        <w:tc>
          <w:tcPr>
            <w:tcW w:w="7500" w:type="dxa"/>
          </w:tcPr>
          <w:p>
            <w:pPr>
              <w:keepNext/>
              <w:spacing w:before="60" w:after="60"/>
            </w:pPr>
            <w:r>
              <w:rPr>
                <w:color w:val="333333"/>
                <w:sz w:val="20"/>
              </w:rPr>
              <w:t xml:space="preserve">The mandatory consultation at foreign-minister level under Article 4.1, convened if deadlock persists after 60 days of cooling-off.</w:t>
            </w:r>
          </w:p>
        </w:tc>
      </w:tr>
    </w:tbl>
    <w:p>
      <w:pPr>
        <w:pStyle w:val="Heading1"/>
      </w:pPr>
      <w:r>
        <w:t>Political Pitch Matrix (Informative, Not Operative)</w:t>
      </w:r>
      <w:bookmarkStart w:name="_TocPitch" w:id="13"/>
      <w:bookmarkEnd w:id="13"/>
    </w:p>
    <w:p>
      <w:pPr>
        <w:pBdr>
          <w:top w:val="single" w:color="7C9885" w:sz="4"/>
          <w:left w:val="single" w:color="7C9885" w:sz="12"/>
          <w:bottom w:val="single" w:color="7C9885" w:sz="4"/>
          <w:right w:val="single" w:color="7C9885" w:sz="4"/>
        </w:pBdr>
        <w:shd w:val="clear" w:fill="fafaf8"/>
        <w:spacing w:before="200" w:after="200"/>
        <w:ind w:left="200" w:right="200"/>
      </w:pPr>
      <w:r>
        <w:rPr>
          <w:i/>
          <w:color w:val="555555"/>
          <w:sz w:val="20"/>
        </w:rPr>
        <w:t xml:space="preserve">This Article is informative only and creates no legal obligation. It provides pre-cleared messaging for each audience, consistent with the performance-contingent messaging rule of MOU Article 1.7.</w:t>
      </w:r>
    </w:p>
    <w:tbl>
      <w:tblPr>
        <w:tblW w:w="5000" w:type="pct"/>
        <w:tblBorders>
          <w:top w:val="single" w:color="333333" w:sz="8"/>
          <w:left w:val="nil"/>
          <w:bottom w:val="single" w:color="333333" w:sz="8"/>
          <w:right w:val="nil"/>
          <w:insideH w:val="single" w:color="999999" w:sz="4"/>
          <w:insideV w:val="nil"/>
        </w:tblBorders>
      </w:tblPr>
      <w:tblGrid>
        <w:gridCol w:w="2000"/>
        <w:gridCol w:w="4000"/>
        <w:gridCol w:w="4000"/>
      </w:tblGrid>
      <w:tr>
        <w:trPr>
          <w:tblHeader/>
        </w:trPr>
        <w:tc>
          <w:tcPr>
            <w:tcW w:w="2000" w:type="dxa"/>
            <w:shd w:val="clear" w:fill="f5f5f2"/>
            <w:vAlign w:val="center"/>
          </w:tcPr>
          <w:p>
            <w:pPr>
              <w:keepNext/>
              <w:spacing w:before="80" w:after="80"/>
            </w:pPr>
            <w:r>
              <w:rPr>
                <w:b/>
                <w:color w:val="333333"/>
                <w:sz w:val="20"/>
              </w:rPr>
              <w:t xml:space="preserve">Audience</w:t>
            </w:r>
          </w:p>
        </w:tc>
        <w:tc>
          <w:tcPr>
            <w:tcW w:w="4000" w:type="dxa"/>
            <w:shd w:val="clear" w:fill="f5f5f2"/>
            <w:vAlign w:val="center"/>
          </w:tcPr>
          <w:p>
            <w:pPr>
              <w:keepNext/>
              <w:spacing w:before="80" w:after="80"/>
            </w:pPr>
            <w:r>
              <w:rPr>
                <w:b/>
                <w:color w:val="333333"/>
                <w:sz w:val="20"/>
              </w:rPr>
              <w:t xml:space="preserve">Message</w:t>
            </w:r>
          </w:p>
        </w:tc>
        <w:tc>
          <w:tcPr>
            <w:tcW w:w="4000" w:type="dxa"/>
            <w:shd w:val="clear" w:fill="f5f5f2"/>
            <w:vAlign w:val="center"/>
          </w:tcPr>
          <w:p>
            <w:pPr>
              <w:keepNext/>
              <w:spacing w:before="80" w:after="80"/>
            </w:pPr>
            <w:r>
              <w:rPr>
                <w:b/>
                <w:color w:val="333333"/>
                <w:sz w:val="20"/>
              </w:rPr>
              <w:t xml:space="preserve">Source</w:t>
            </w:r>
          </w:p>
        </w:tc>
      </w:tr>
      <w:tr>
        <w:tc>
          <w:tcPr>
            <w:tcW w:w="2000" w:type="dxa"/>
          </w:tcPr>
          <w:p>
            <w:pPr>
              <w:keepNext/>
              <w:spacing w:before="60" w:after="60"/>
            </w:pPr>
            <w:r>
              <w:rPr>
                <w:color w:val="333333"/>
                <w:sz w:val="20"/>
              </w:rPr>
              <w:t xml:space="preserve">U.S. Congress</w:t>
            </w:r>
          </w:p>
        </w:tc>
        <w:tc>
          <w:tcPr>
            <w:tcW w:w="4000" w:type="dxa"/>
          </w:tcPr>
          <w:p>
            <w:pPr>
              <w:keepNext/>
              <w:spacing w:before="60" w:after="60"/>
            </w:pPr>
            <w:r>
              <w:rPr>
                <w:color w:val="333333"/>
                <w:sz w:val="20"/>
              </w:rPr>
              <w:t xml:space="preserve">"If Iran stalls, our sanctions stay off and our leverage stays on. We lose nothing. We gain time."</w:t>
            </w:r>
          </w:p>
        </w:tc>
        <w:tc>
          <w:tcPr>
            <w:tcW w:w="4000" w:type="dxa"/>
          </w:tcPr>
          <w:p>
            <w:pPr>
              <w:keepNext/>
              <w:spacing w:before="60" w:after="60"/>
            </w:pPr>
            <w:r>
              <w:rPr>
                <w:color w:val="333333"/>
                <w:sz w:val="20"/>
              </w:rPr>
              <w:t xml:space="preserve">Immutable present-tense matrix rule: zero shall/must/will. Active framing of Phase I as ongoing U.S. benefit.</w:t>
            </w:r>
          </w:p>
        </w:tc>
      </w:tr>
      <w:tr>
        <w:tc>
          <w:tcPr>
            <w:tcW w:w="2000" w:type="dxa"/>
          </w:tcPr>
          <w:p>
            <w:pPr>
              <w:keepNext/>
              <w:spacing w:before="60" w:after="60"/>
            </w:pPr>
            <w:r>
              <w:rPr>
                <w:color w:val="333333"/>
                <w:sz w:val="20"/>
              </w:rPr>
              <w:t xml:space="preserve">Iranian Majles</w:t>
            </w:r>
          </w:p>
        </w:tc>
        <w:tc>
          <w:tcPr>
            <w:tcW w:w="4000" w:type="dxa"/>
          </w:tcPr>
          <w:p>
            <w:pPr>
              <w:keepNext/>
              <w:spacing w:before="60" w:after="60"/>
            </w:pPr>
            <w:r>
              <w:rPr>
                <w:color w:val="333333"/>
                <w:sz w:val="20"/>
              </w:rPr>
              <w:t xml:space="preserve">"If the U.S. stalls, our nuclear material stays under IAEA lock, our frozen assets keep flowing, and our economy keeps breathing. We lose nothing."</w:t>
            </w:r>
          </w:p>
        </w:tc>
        <w:tc>
          <w:tcPr>
            <w:tcW w:w="4000" w:type="dxa"/>
          </w:tcPr>
          <w:p>
            <w:pPr>
              <w:keepNext/>
              <w:spacing w:before="60" w:after="60"/>
            </w:pPr>
            <w:r>
              <w:rPr>
                <w:color w:val="333333"/>
                <w:sz w:val="20"/>
              </w:rPr>
              <w:t xml:space="preserve">Symmetric frame: Iran also describes Phase I as ongoing benefit, not concession.</w:t>
            </w:r>
          </w:p>
        </w:tc>
      </w:tr>
      <w:tr>
        <w:tc>
          <w:tcPr>
            <w:tcW w:w="2000" w:type="dxa"/>
          </w:tcPr>
          <w:p>
            <w:pPr>
              <w:keepNext/>
              <w:spacing w:before="60" w:after="60"/>
            </w:pPr>
            <w:r>
              <w:rPr>
                <w:color w:val="333333"/>
                <w:sz w:val="20"/>
              </w:rPr>
              <w:t xml:space="preserve">Regional Media</w:t>
            </w:r>
          </w:p>
        </w:tc>
        <w:tc>
          <w:tcPr>
            <w:tcW w:w="4000" w:type="dxa"/>
          </w:tcPr>
          <w:p>
            <w:pPr>
              <w:keepNext/>
              <w:spacing w:before="60" w:after="60"/>
            </w:pPr>
            <w:r>
              <w:rPr>
                <w:color w:val="333333"/>
                <w:sz w:val="20"/>
              </w:rPr>
              <w:t xml:space="preserve">"The deal has a safety net. If the hard part gets stuck, the easy part keeps working. Nobody walks away empty-handed."</w:t>
            </w:r>
          </w:p>
        </w:tc>
        <w:tc>
          <w:tcPr>
            <w:tcW w:w="4000" w:type="dxa"/>
          </w:tcPr>
          <w:p>
            <w:pPr>
              <w:keepNext/>
              <w:spacing w:before="60" w:after="60"/>
            </w:pPr>
            <w:r>
              <w:rPr>
                <w:color w:val="333333"/>
                <w:sz w:val="20"/>
              </w:rPr>
              <w:t xml:space="preserve">Neutral framing for Oman, Qatar, Pakistan audiences. Guarantor Matrix messaging.</w:t>
            </w:r>
          </w:p>
        </w:tc>
      </w:tr>
      <w:tr>
        <w:tc>
          <w:tcPr>
            <w:tcW w:w="2000" w:type="dxa"/>
          </w:tcPr>
          <w:p>
            <w:pPr>
              <w:keepNext/>
              <w:spacing w:before="60" w:after="60"/>
            </w:pPr>
            <w:r>
              <w:rPr>
                <w:color w:val="333333"/>
                <w:sz w:val="20"/>
              </w:rPr>
              <w:t xml:space="preserve">European Diplomats</w:t>
            </w:r>
          </w:p>
        </w:tc>
        <w:tc>
          <w:tcPr>
            <w:tcW w:w="4000" w:type="dxa"/>
          </w:tcPr>
          <w:p>
            <w:pPr>
              <w:keepNext/>
              <w:spacing w:before="60" w:after="60"/>
            </w:pPr>
            <w:r>
              <w:rPr>
                <w:color w:val="333333"/>
                <w:sz w:val="20"/>
              </w:rPr>
              <w:t xml:space="preserve">"This is the institutional innovation the JCPOA lacked: a structured fallback that turns deadlock into delay, not collapse."</w:t>
            </w:r>
          </w:p>
        </w:tc>
        <w:tc>
          <w:tcPr>
            <w:tcW w:w="4000" w:type="dxa"/>
          </w:tcPr>
          <w:p>
            <w:pPr>
              <w:keepNext/>
              <w:spacing w:before="60" w:after="60"/>
            </w:pPr>
            <w:r>
              <w:rPr>
                <w:color w:val="333333"/>
                <w:sz w:val="20"/>
              </w:rPr>
              <w:t xml:space="preserve">Technical framing for E3+ audiences. References JCPOA failure mode as contrast.</w:t>
            </w:r>
          </w:p>
        </w:tc>
      </w:tr>
    </w:tbl>
    <w:p>
      <w:pPr>
        <w:pStyle w:val="Heading1"/>
      </w:pPr>
      <w:r>
        <w:t>Signature Block</w:t>
      </w:r>
      <w:bookmarkStart w:name="_TocSig" w:id="14"/>
      <w:bookmarkEnd w:id="14"/>
    </w:p>
    <w:p>
      <w:pPr>
        <w:spacing w:before="120" w:after="120"/>
      </w:pPr>
      <w:r>
        <w:rPr>
          <w:sz w:val="22"/>
        </w:rPr>
        <w:t xml:space="preserve">In witness whereof, the undersigned, being duly authorized by their respective governments, have signed this Annex D: Phase II Deadlock Mechanism.</w:t>
      </w:r>
    </w:p>
    <w:p>
      <w:pPr>
        <w:pBdr>
          <w:top w:val="single" w:color="7C9885" w:sz="4"/>
          <w:left w:val="single" w:color="7C9885" w:sz="12"/>
          <w:bottom w:val="single" w:color="7C9885" w:sz="4"/>
          <w:right w:val="single" w:color="7C9885" w:sz="4"/>
        </w:pBdr>
        <w:shd w:val="clear" w:fill="fafaf8"/>
        <w:spacing w:before="200" w:after="200"/>
        <w:ind w:left="200" w:right="200"/>
      </w:pPr>
      <w:r>
        <w:rPr>
          <w:i/>
          <w:color w:val="555555"/>
          <w:sz w:val="20"/>
        </w:rPr>
        <w:t xml:space="preserve">Done at _________________, this ____ day of ____________, 2026, in duplicate in the English language.</w:t>
      </w:r>
    </w:p>
    <w:p>
      <w:pPr>
        <w:spacing w:before="600"/>
      </w:pPr>
      <w:r/>
    </w:p>
    <w:tbl>
      <w:tblPr>
        <w:tblW w:w="5000" w:type="pct"/>
        <w:tblBorders>
          <w:top w:val="single" w:color="999999" w:sz="4"/>
          <w:left w:val="single" w:color="999999" w:sz="4"/>
          <w:bottom w:val="single" w:color="999999" w:sz="4"/>
          <w:right w:val="single" w:color="999999" w:sz="4"/>
          <w:insideH w:val="single" w:color="999999" w:sz="4"/>
          <w:insideV w:val="single" w:color="999999" w:sz="4"/>
        </w:tblBorders>
      </w:tblPr>
      <w:tblGrid>
        <w:gridCol w:w="5000"/>
        <w:gridCol w:w="5000"/>
      </w:tblGrid>
      <w:tr>
        <w:tc>
          <w:tcPr>
            <w:tcW w:w="5000" w:type="dxa"/>
          </w:tcPr>
          <w:p>
            <w:pPr>
              <w:spacing w:before="120" w:after="120"/>
              <w:jc w:val="center"/>
            </w:pPr>
            <w:r>
              <w:rPr>
                <w:b/>
                <w:color w:val="333333"/>
                <w:sz w:val="20"/>
              </w:rPr>
              <w:t xml:space="preserve">For the United States of America:</w:t>
            </w:r>
          </w:p>
        </w:tc>
        <w:tc>
          <w:tcPr>
            <w:tcW w:w="5000" w:type="dxa"/>
          </w:tcPr>
          <w:p>
            <w:pPr>
              <w:spacing w:before="120" w:after="120"/>
              <w:jc w:val="center"/>
            </w:pPr>
            <w:r>
              <w:rPr>
                <w:b/>
                <w:color w:val="333333"/>
                <w:sz w:val="20"/>
              </w:rPr>
              <w:t xml:space="preserve">For the Islamic Republic of Iran:</w:t>
            </w:r>
          </w:p>
        </w:tc>
      </w:tr>
      <w:tr>
        <w:tc>
          <w:tcPr>
            <w:tcW w:w="5000" w:type="dxa"/>
          </w:tcPr>
          <w:p>
            <w:pPr>
              <w:spacing w:before="120" w:after="120"/>
              <w:jc w:val="left"/>
            </w:pPr>
            <w:r>
              <w:rPr>
                <w:color w:val="333333"/>
                <w:sz w:val="20"/>
              </w:rPr>
              <w:t xml:space="preserve">Name: ________________________</w:t>
            </w:r>
          </w:p>
        </w:tc>
        <w:tc>
          <w:tcPr>
            <w:tcW w:w="5000" w:type="dxa"/>
          </w:tcPr>
          <w:p>
            <w:pPr>
              <w:spacing w:before="120" w:after="120"/>
              <w:jc w:val="left"/>
            </w:pPr>
            <w:r>
              <w:rPr>
                <w:color w:val="333333"/>
                <w:sz w:val="20"/>
              </w:rPr>
              <w:t xml:space="preserve">Name: ________________________</w:t>
            </w:r>
          </w:p>
        </w:tc>
      </w:tr>
      <w:tr>
        <w:tc>
          <w:tcPr>
            <w:tcW w:w="5000" w:type="dxa"/>
          </w:tcPr>
          <w:p>
            <w:pPr>
              <w:spacing w:before="120" w:after="120"/>
              <w:jc w:val="left"/>
            </w:pPr>
            <w:r>
              <w:rPr>
                <w:color w:val="333333"/>
                <w:sz w:val="20"/>
              </w:rPr>
              <w:t xml:space="preserve">Title: ________________________</w:t>
            </w:r>
          </w:p>
        </w:tc>
        <w:tc>
          <w:tcPr>
            <w:tcW w:w="5000" w:type="dxa"/>
          </w:tcPr>
          <w:p>
            <w:pPr>
              <w:spacing w:before="120" w:after="120"/>
              <w:jc w:val="left"/>
            </w:pPr>
            <w:r>
              <w:rPr>
                <w:color w:val="333333"/>
                <w:sz w:val="20"/>
              </w:rPr>
              <w:t xml:space="preserve">Title: ________________________</w:t>
            </w:r>
          </w:p>
        </w:tc>
      </w:tr>
      <w:tr>
        <w:tc>
          <w:tcPr>
            <w:tcW w:w="5000" w:type="dxa"/>
          </w:tcPr>
          <w:p>
            <w:pPr>
              <w:spacing w:before="120" w:after="120"/>
              <w:jc w:val="left"/>
            </w:pPr>
            <w:r>
              <w:rPr>
                <w:color w:val="333333"/>
                <w:sz w:val="20"/>
              </w:rPr>
              <w:t xml:space="preserve">Signature: ________________________</w:t>
            </w:r>
          </w:p>
        </w:tc>
        <w:tc>
          <w:tcPr>
            <w:tcW w:w="5000" w:type="dxa"/>
          </w:tcPr>
          <w:p>
            <w:pPr>
              <w:spacing w:before="120" w:after="120"/>
              <w:jc w:val="left"/>
            </w:pPr>
            <w:r>
              <w:rPr>
                <w:color w:val="333333"/>
                <w:sz w:val="20"/>
              </w:rPr>
              <w:t xml:space="preserve">Signature: ________________________</w:t>
            </w:r>
          </w:p>
        </w:tc>
      </w:tr>
      <w:tr>
        <w:tc>
          <w:tcPr>
            <w:tcW w:w="5000" w:type="dxa"/>
          </w:tcPr>
          <w:p>
            <w:pPr>
              <w:spacing w:before="120" w:after="120"/>
              <w:jc w:val="left"/>
            </w:pPr>
            <w:r>
              <w:rPr>
                <w:color w:val="333333"/>
                <w:sz w:val="20"/>
              </w:rPr>
              <w:t xml:space="preserve">Date: ________________________</w:t>
            </w:r>
          </w:p>
        </w:tc>
        <w:tc>
          <w:tcPr>
            <w:tcW w:w="5000" w:type="dxa"/>
          </w:tcPr>
          <w:p>
            <w:pPr>
              <w:spacing w:before="120" w:after="120"/>
              <w:jc w:val="left"/>
            </w:pPr>
            <w:r>
              <w:rPr>
                <w:color w:val="333333"/>
                <w:sz w:val="20"/>
              </w:rPr>
              <w:t xml:space="preserve">Date: ________________________</w:t>
            </w:r>
          </w:p>
        </w:tc>
      </w:tr>
    </w:tbl>
    <w:sectPr>
      <w:headerReference w:type="default" r:id="R18b5cefa7823416a"/>
      <w:footerReference w:type="default" r:id="R620270edab9045d3"/>
      <w:pgSz w:w="11906" w:h="16838"/>
      <w:pgMar w:top="1440" w:right="1440" w:bottom="1440" w:left="1440" w:header="720" w:footer="720"/>
    </w:sectPr>
  </w:body>
</w:document>
</file>

<file path=word/footer1.xml><?xml version="1.0" encoding="utf-8"?>
<w:ftr xmlns:w="http://schemas.openxmlformats.org/wordprocessingml/2006/main">
  <w:p>
    <w:pPr>
      <w:jc w:val="center"/>
    </w:pPr>
    <w:r>
      <w:rPr>
        <w:color w:val="888888"/>
        <w:sz w:val="18"/>
      </w:rPr>
      <w:fldChar w:fldCharType="begin"/>
    </w:r>
    <w:r>
      <w:rPr>
        <w:color w:val="888888"/>
        <w:sz w:val="18"/>
      </w:rPr>
      <w:instrText xml:space="preserve"> PAGE </w:instrText>
    </w:r>
    <w:r>
      <w:rPr>
        <w:color w:val="888888"/>
        <w:sz w:val="18"/>
      </w:rPr>
      <w:fldChar w:fldCharType="separate"/>
    </w:r>
    <w:r>
      <w:rPr>
        <w:color w:val="888888"/>
        <w:sz w:val="18"/>
      </w:rPr>
      <w:t>1</w:t>
    </w:r>
    <w:r>
      <w:rPr>
        <w:color w:val="888888"/>
        <w:sz w:val="18"/>
      </w:rPr>
      <w:fldChar w:fldCharType="end"/>
    </w:r>
  </w:p>
</w:ftr>
</file>

<file path=word/header1.xml><?xml version="1.0" encoding="utf-8"?>
<w:hdr xmlns:w="http://schemas.openxmlformats.org/wordprocessingml/2006/main">
  <w:p>
    <w:pPr>
      <w:jc w:val="center"/>
    </w:pPr>
    <w:r>
      <w:rPr>
        <w:rFonts w:ascii="Georgia" w:hAnsi="Georgia"/>
        <w:i/>
        <w:color w:val="888888"/>
        <w:sz w:val="18"/>
      </w:rPr>
      <w:t>Annex D — Phase II Deadlock Mechanism</w:t>
    </w:r>
  </w:p>
</w:hdr>
</file>

<file path=word/numbering.xml><?xml version="1.0" encoding="utf-8"?>
<w:numbering xmlns:w="http://schemas.openxmlformats.org/wordprocessingml/2006/main">
  <w:abstractNum w:abstractNumId="1">
    <w:lvl w:ilvl="0">
      <w:numFmt w:val="decimal"/>
      <w:lvlText w:val="%1."/>
      <w:lvlJc w:val="left"/>
      <w:pPr>
        <w:ind w:left="720" w:hanging="360"/>
      </w:pPr>
    </w:lvl>
    <w:lvl w:ilvl="1">
      <w:numFmt w:val="bullet"/>
      <w:lvlText w:val="•"/>
      <w:lvlJc w:val="left"/>
      <w:pPr>
        <w:ind w:left="1080" w:hanging="360"/>
      </w:pPr>
    </w:lvl>
  </w:abstractNum>
  <w:num w:numId="1">
    <w:abstractNumId w:val="1"/>
  </w:num>
  <w:num w:numId="2">
    <w:abstractNumId w:val="1"/>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160" w:line="288" w:lineRule="auto"/>
      <w:jc w:val="both"/>
    </w:pPr>
    <w:rPr>
      <w:rFonts w:ascii="Georgia" w:hAnsi="Georgia" w:eastAsia="SimSun"/>
      <w:color w:val="333333"/>
      <w:sz w:val="22"/>
    </w:rPr>
  </w:style>
  <w:style w:type="paragraph" w:styleId="Heading1">
    <w:name w:val="heading 1"/>
    <w:basedOn w:val="Normal"/>
    <w:pPr>
      <w:keepNext/>
      <w:keepLines/>
      <w:pageBreakBefore/>
      <w:spacing w:before="0" w:after="320"/>
      <w:outlineLvl w:val="0"/>
    </w:pPr>
    <w:rPr>
      <w:rFonts w:ascii="Georgia" w:hAnsi="Georgia"/>
      <w:b/>
      <w:color w:val="1a1a1a"/>
      <w:sz w:val="40"/>
    </w:rPr>
  </w:style>
  <w:style w:type="paragraph" w:styleId="Heading2">
    <w:name w:val="heading 2"/>
    <w:basedOn w:val="Normal"/>
    <w:pPr>
      <w:keepNext/>
      <w:keepLines/>
      <w:spacing w:before="360" w:after="200"/>
      <w:outlineLvl w:val="1"/>
    </w:pPr>
    <w:rPr>
      <w:b/>
      <w:color w:val="333333"/>
      <w:sz w:val="28"/>
    </w:rPr>
  </w:style>
  <w:style w:type="paragraph" w:styleId="Heading3">
    <w:name w:val="heading 3"/>
    <w:basedOn w:val="Normal"/>
    <w:pPr>
      <w:keepNext/>
      <w:keepLines/>
      <w:spacing w:before="280" w:after="120"/>
      <w:outlineLvl w:val="2"/>
    </w:pPr>
    <w:rPr>
      <w:b/>
      <w:i/>
      <w:color w:val="555555"/>
      <w:sz w:val="24"/>
    </w:rPr>
  </w:style>
  <w:style w:type="paragraph" w:styleId="TOC1">
    <w:name w:val="toc 1"/>
    <w:basedOn w:val="Normal"/>
    <w:pPr>
      <w:tabs>
        <w:tab w:val="right" w:leader="dot" w:pos="9355"/>
      </w:tabs>
      <w:spacing w:before="200" w:after="60"/>
    </w:pPr>
    <w:rPr>
      <w:b/>
      <w:color w:val="333333"/>
    </w:rPr>
  </w:style>
  <w:style w:type="paragraph" w:styleId="TOC2">
    <w:name w:val="toc 2"/>
    <w:basedOn w:val="Normal"/>
    <w:pPr>
      <w:tabs>
        <w:tab w:val="right" w:leader="dot" w:pos="9355"/>
      </w:tabs>
      <w:spacing w:before="60" w:after="40"/>
      <w:ind w:left="360"/>
    </w:pPr>
    <w:rPr>
      <w:color w:val="555555"/>
    </w:rPr>
  </w:style>
</w:styles>
</file>

<file path=word/_rels/document.xml.rels><?xml version='1.0' encoding='UTF-8'?>
<Relationships xmlns="http://schemas.openxmlformats.org/package/2006/relationships"><Relationship Type="http://schemas.openxmlformats.org/officeDocument/2006/relationships/styles" Target="styles.xml" Id="R15ed2eb2c00641f6" /><Relationship Type="http://schemas.openxmlformats.org/officeDocument/2006/relationships/numbering" Target="numbering.xml" Id="R4aaf19e5e84c4f3f" /><Relationship Type="http://schemas.openxmlformats.org/officeDocument/2006/relationships/header" Target="header1.xml" Id="R18b5cefa7823416a" /><Relationship Type="http://schemas.openxmlformats.org/officeDocument/2006/relationships/footer" Target="footer1.xml" Id="R620270edab9045d3" /><Relationship Type="http://schemas.openxmlformats.org/officeDocument/2006/relationships/settings" Target="settings.xml" Id="R0fb5cb2be91a4f76" /></Relationships>
</file>