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ea03afd834a45e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8edca14f7fb246e7"/>
                    <a:stretch>
                      <a:fillRect/>
                    </a:stretch>
                  </pic:blipFill>
                  <pic:spPr>
                    <a:xfrm>
                      <a:off x="0" y="0"/>
                      <a:ext cx="7560000" cy="10692000"/>
                    </a:xfrm>
                    <a:prstGeom prst="rect"/>
                  </pic:spPr>
                </pic:pic>
              </a:graphicData>
            </a:graphic>
          </wp:anchor>
        </w:drawing>
      </w:r>
    </w:p>
    <w:p>
      <w:pPr>
        <w:spacing w:before="3600"/>
      </w:pPr>
      <w:r/>
    </w:p>
    <w:p>
      <w:pPr>
        <w:spacing w:after="200"/>
        <w:jc w:val="center"/>
      </w:pPr>
      <w:r>
        <w:rPr>
          <w:caps w:val="true"/>
          <w:color w:val="6b2d3e"/>
          <w:spacing w:val="40"/>
          <w:sz w:val="20"/>
        </w:rPr>
        <w:t>Annex GM</w:t>
      </w:r>
    </w:p>
    <w:p>
      <w:pPr>
        <w:spacing w:after="200"/>
        <w:jc w:val="center"/>
      </w:pPr>
      <w:r>
        <w:rPr>
          <w:b w:val="true"/>
          <w:color w:val="6b2d3e"/>
          <w:spacing w:val="30"/>
          <w:sz w:val="64"/>
        </w:rPr>
        <w:t>Guarantor Matrix</w:t>
      </w:r>
    </w:p>
    <w:p>
      <w:pPr>
        <w:spacing w:after="400"/>
        <w:jc w:val="center"/>
      </w:pPr>
      <w:r>
        <w:rPr>
          <w:b w:val="true"/>
          <w:color w:val="6b2d3e"/>
          <w:spacing w:val="30"/>
          <w:sz w:val="56"/>
        </w:rPr>
        <w:t>Enforcement Protocol</w:t>
      </w:r>
    </w:p>
    <w:p>
      <w:pPr>
        <w:spacing w:after="600"/>
        <w:jc w:val="center"/>
      </w:pPr>
      <w:r>
        <w:rPr>
          <w:color w:val="5a4a50"/>
          <w:sz w:val="24"/>
        </w:rPr>
        <w:t>Modular • Self-Contained • Incorporable by Reference</w:t>
      </w:r>
    </w:p>
    <w:p>
      <w:pPr>
        <w:spacing w:after="2000"/>
        <w:jc w:val="center"/>
      </w:pPr>
      <w:r>
        <w:rPr>
          <w:i w:val="true"/>
          <w:color w:val="8a7a80"/>
          <w:sz w:val="20"/>
        </w:rPr>
        <w:t>A standalone procedure for the Guarantor Matrix to issue a collective, authoritative Finding of Fact following an unremediated Tier 3 Deliberate Hostile Violation under the MOU Pertaining to PEACE</w:t>
      </w:r>
    </w:p>
    <w:p>
      <w:pPr>
        <w:jc w:val="center"/>
      </w:pPr>
      <w:r>
        <w:rPr>
          <w:color w:val="5a4a50"/>
          <w:sz w:val="20"/>
        </w:rPr>
        <w:t>Version 1.0 – June 2026 | Bridging Protocol Series</w:t>
      </w:r>
    </w:p>
    <w:p>
      <w:pPr>
        <w:spacing w:before="600"/>
        <w:jc w:val="center"/>
      </w:pPr>
      <w:r>
        <w:rPr>
          <w:b w:val="true"/>
          <w:color w:val="990000"/>
          <w:sz w:val="18"/>
        </w:rPr>
        <w:t>AUTHORIZED NEGOTIATORS ONLY – CONFIDENTIAL</w:t>
      </w:r>
    </w:p>
    <w:p>
      <w:pPr>
        <w:sectPr>
          <w:type w:val="nextPage"/>
          <w:pgSz w:w="11906" w:h="16838"/>
          <w:pgMar w:top="0" w:right="0" w:bottom="0" w:left="0" w:header="0" w:footer="0"/>
          <w:titlePg/>
        </w:sectPr>
      </w:pPr>
    </w:p>
    <w:p>
      <w:pPr>
        <w:pStyle w:val="Heading1"/>
      </w:pPr>
      <w:r>
        <w:t>Table of Contents</w:t>
      </w:r>
      <w:bookmarkStart w:name="_Toc000" w:id="100"/>
      <w:bookmarkEnd w:id="100"/>
    </w:p>
    <w:p>
      <w:pPr>
        <w:spacing w:after="200"/>
      </w:pPr>
      <w:r>
        <w:rPr>
          <w:color w:val="8a7a80"/>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3</w:t>
      </w:r>
    </w:p>
    <w:p>
      <w:pPr>
        <w:pStyle w:val="TOC1"/>
      </w:pPr>
      <w:r>
        <w:t>Modularity Clause</w:t>
      </w:r>
      <w:r>
        <w:tab/>
      </w:r>
      <w:r>
        <w:t>3</w:t>
      </w:r>
    </w:p>
    <w:p>
      <w:pPr>
        <w:pStyle w:val="TOC1"/>
      </w:pPr>
      <w:r>
        <w:t>Article 1 – Definitions</w:t>
      </w:r>
      <w:r>
        <w:tab/>
      </w:r>
      <w:r>
        <w:t>4</w:t>
      </w:r>
    </w:p>
    <w:p>
      <w:pPr>
        <w:pStyle w:val="TOC1"/>
      </w:pPr>
      <w:r>
        <w:t>Article 2 – Activation Conditions</w:t>
      </w:r>
      <w:r>
        <w:tab/>
      </w:r>
      <w:r>
        <w:t>5</w:t>
      </w:r>
    </w:p>
    <w:p>
      <w:pPr>
        <w:pStyle w:val="TOC1"/>
      </w:pPr>
      <w:r>
        <w:t>Article 3 – Convening and Voting</w:t>
      </w:r>
      <w:r>
        <w:tab/>
      </w:r>
      <w:r>
        <w:t>6</w:t>
      </w:r>
    </w:p>
    <w:p>
      <w:pPr>
        <w:pStyle w:val="TOC1"/>
      </w:pPr>
      <w:r>
        <w:t>Article 4 – Content and Effect of the Finding of Fact</w:t>
      </w:r>
      <w:r>
        <w:tab/>
      </w:r>
      <w:r>
        <w:t>7</w:t>
      </w:r>
    </w:p>
    <w:p>
      <w:pPr>
        <w:pStyle w:val="TOC1"/>
      </w:pPr>
      <w:r>
        <w:t>Article 5 – No Duplication or Abuse</w:t>
      </w:r>
      <w:r>
        <w:tab/>
      </w:r>
      <w:r>
        <w:t>8</w:t>
      </w:r>
    </w:p>
    <w:p>
      <w:pPr>
        <w:pStyle w:val="TOC1"/>
      </w:pPr>
      <w:r>
        <w:t>Article 6 – Relationship to Other Annexes</w:t>
      </w:r>
      <w:r>
        <w:tab/>
      </w:r>
      <w:r>
        <w:t>8</w:t>
      </w:r>
    </w:p>
    <w:p>
      <w:pPr>
        <w:pStyle w:val="TOC1"/>
      </w:pPr>
      <w:r>
        <w:t>Article 7 – Incorporation by Reference</w:t>
      </w:r>
      <w:r>
        <w:tab/>
      </w:r>
      <w:r>
        <w:t>9</w:t>
      </w:r>
    </w:p>
    <w:p>
      <w:pPr>
        <w:pStyle w:val="TOC1"/>
      </w:pPr>
      <w:r>
        <w:t>Signature Block</w:t>
      </w:r>
      <w:r>
        <w:tab/>
      </w:r>
      <w:r>
        <w:t>10</w:t>
      </w:r>
    </w:p>
    <w:p>
      <w:r>
        <w:fldChar w:fldCharType="end"/>
      </w:r>
    </w:p>
    <w:p>
      <w:pPr>
        <w:sectPr>
          <w:type w:val="nextPage"/>
          <w:pgSz w:w="11906" w:h="16838"/>
          <w:pgMar w:top="1800" w:right="1440" w:bottom="1440" w:left="1440" w:header="720" w:footer="720"/>
        </w:sectPr>
      </w:pPr>
    </w:p>
    <w:p>
      <w:pPr>
        <w:pStyle w:val="Heading1"/>
      </w:pPr>
      <w:r>
        <w:t>Preamble</w:t>
      </w:r>
      <w:bookmarkStart w:name="_Toc001" w:id="101"/>
      <w:bookmarkEnd w:id="101"/>
    </w:p>
    <w:p>
      <w:r>
        <w:t>The Memorandum of Understanding Pertaining to PEACE establishes a Distributed Guarantor Matrix comprising multiple states (the “Guarantors”) to serve as a verification backstop, mediation body, and certificate counter-signature mechanism. However, the existing framework does not specify a procedure for the Guarantors to issue a collective, authoritative finding in the event of a deadlocked Tier 3 Deliberate Hostile Violation where the offending Party fails to begin remediation.</w:t>
      </w:r>
    </w:p>
    <w:p>
      <w:r>
        <w:t>This Annex GM provides that procedure. It does not amend the MOU or Annex T. It supplements them by creating a non-binding but authoritative Guarantor Finding of Fact that can be communicated to the United Nations Security Council and the international community. The Finding carries no automatic enforcement obligation but serves as a formal, multilateral record of breach.</w:t>
      </w:r>
    </w:p>
    <w:p>
      <w:pPr>
        <w:pStyle w:val="Heading1"/>
      </w:pPr>
      <w:r>
        <w:t>Modularity Clause</w:t>
      </w:r>
      <w:bookmarkStart w:name="_Toc002" w:id="102"/>
      <w:bookmarkEnd w:id="102"/>
    </w:p>
    <w:p>
      <w:r>
        <w:t>This Annex is self-contained and incorporable into any existing or future agreement by a single sentence of adoption. In the event of inconsistency, the parent MOU or Annex T governs substantive tier classification; this Annex governs the post-classification Guarantor procedure.</w:t>
      </w:r>
    </w:p>
    <w:p>
      <w:pPr>
        <w:pStyle w:val="Heading1"/>
      </w:pPr>
      <w:r>
        <w:t>Article 1 – Definitions</w:t>
      </w:r>
      <w:bookmarkStart w:name="_Toc003" w:id="103"/>
      <w:bookmarkEnd w:id="103"/>
    </w:p>
    <w:p>
      <w:r>
        <w:rPr>
          <w:b w:val="true"/>
        </w:rPr>
        <w:t xml:space="preserve">“Tier 3 Deliberate Hostile Violation”</w:t>
      </w:r>
      <w:r>
        <w:t xml:space="preserve"> means a violation classified as Tier 3 under MOU Article 7.3 and Annex T, confirmed by the PCC or by binding arbitration.</w:t>
      </w:r>
    </w:p>
    <w:p>
      <w:r>
        <w:rPr>
          <w:b w:val="true"/>
        </w:rPr>
        <w:t xml:space="preserve">“Offending Party”</w:t>
      </w:r>
      <w:r>
        <w:t xml:space="preserve"> means the Party (United States or Iran) found to have committed the Tier 3 violation.</w:t>
      </w:r>
    </w:p>
    <w:p>
      <w:r>
        <w:rPr>
          <w:b w:val="true"/>
        </w:rPr>
        <w:t xml:space="preserve">“Remediation Deadline”</w:t>
      </w:r>
      <w:r>
        <w:t xml:space="preserve"> means fourteen (14) calendar days from the date of the final PCC determination or arbitral award confirming the Tier 3 violation. If the determination is disputed, the deadline runs from the date the dispute is finally resolved.</w:t>
      </w:r>
    </w:p>
    <w:p>
      <w:r>
        <w:rPr>
          <w:b w:val="true"/>
        </w:rPr>
        <w:t xml:space="preserve">“Guarantor Matrix”</w:t>
      </w:r>
      <w:r>
        <w:t xml:space="preserve"> means the collective of endorsing and guarantor states listed in the parent MOU (Pakistan, Oman, China, Russia, EU/E3+, Qatar, and any other state that has formally acceded to the Guarantor role). For purposes of this Annex, the “Matrix” includes only those Guarantors that are not allied with the Offending Party to the extent they are excluded under Article 3.2.</w:t>
      </w:r>
    </w:p>
    <w:p>
      <w:r>
        <w:rPr>
          <w:b w:val="true"/>
        </w:rPr>
        <w:t xml:space="preserve">“Finding of Fact”</w:t>
      </w:r>
      <w:r>
        <w:t xml:space="preserve"> means a written, published determination by the Guarantor Matrix that a Tier 3 violation has occurred and that the Offending Party has failed to commence good-faith remediation within the Remediation Deadline.</w:t>
      </w:r>
    </w:p>
    <w:p>
      <w:pPr>
        <w:pStyle w:val="Heading1"/>
      </w:pPr>
      <w:r>
        <w:t>Article 2 – Activation Conditions</w:t>
      </w:r>
      <w:bookmarkStart w:name="_Toc004" w:id="104"/>
      <w:bookmarkEnd w:id="104"/>
    </w:p>
    <w:p>
      <w:r>
        <w:t>The Guarantor Matrix convenes to consider issuing a Finding of Fact only if all of the following conditions are met:</w:t>
      </w:r>
    </w:p>
    <w:p>
      <w:pPr>
        <w:pStyle w:val="Heading2"/>
      </w:pPr>
      <w:r>
        <w:t>2.1 Final Tier 3 Determination</w:t>
      </w:r>
    </w:p>
    <w:p>
      <w:r>
        <w:t>The PCC (or a binding PCA arbitral panel) has issued a final determination that a Tier 3 Deliberate Hostile Violation has occurred.</w:t>
      </w:r>
    </w:p>
    <w:p>
      <w:pPr>
        <w:pStyle w:val="Heading2"/>
      </w:pPr>
      <w:r>
        <w:t>2.2 Failure to Commence Good-Faith Remediation</w:t>
      </w:r>
    </w:p>
    <w:p>
      <w:r>
        <w:t>The Offending Party has not commenced good-faith remediation within the Remediation Deadline (14 days from final determination). Good-faith remediation means:</w:t>
      </w:r>
    </w:p>
    <w:p>
      <w:pPr>
        <w:spacing w:after="80"/>
        <w:ind w:left="720" w:hanging="360"/>
      </w:pPr>
      <w:r>
        <w:t>• A public commitment to cease the violating activity;</w:t>
      </w:r>
    </w:p>
    <w:p>
      <w:pPr>
        <w:spacing w:after="80"/>
        <w:ind w:left="720" w:hanging="360"/>
      </w:pPr>
      <w:r>
        <w:t>• Concrete, verifiable steps documented to the PCC;</w:t>
      </w:r>
    </w:p>
    <w:p>
      <w:pPr>
        <w:spacing w:after="80"/>
        <w:ind w:left="720" w:hanging="360"/>
      </w:pPr>
      <w:r>
        <w:t>• Cooperation with IAEA or other verification bodies as required.</w:t>
      </w:r>
    </w:p>
    <w:p>
      <w:pPr>
        <w:pStyle w:val="Heading2"/>
      </w:pPr>
      <w:r>
        <w:t>2.3 Written Request for Convening</w:t>
      </w:r>
    </w:p>
    <w:p>
      <w:r>
        <w:t>The PCC or the non-offending Party has requested, in writing, that the Guarantor Matrix convene.</w:t>
      </w:r>
    </w:p>
    <w:p>
      <w:pPr>
        <w:pStyle w:val="Heading2"/>
      </w:pPr>
      <w:r>
        <w:t>2.4 No Duplicative UNSC Action</w:t>
      </w:r>
    </w:p>
    <w:p>
      <w:r>
        <w:t>The United Nations Security Council has not already adopted a resolution addressing the same violation in a manner that renders a Guarantor Finding duplicative.</w:t>
      </w:r>
    </w:p>
    <w:p>
      <w:pPr>
        <w:pStyle w:val="Heading1"/>
      </w:pPr>
      <w:r>
        <w:t>Article 3 – Convening and Voting</w:t>
      </w:r>
      <w:bookmarkStart w:name="_Toc005" w:id="105"/>
      <w:bookmarkEnd w:id="105"/>
    </w:p>
    <w:p>
      <w:pPr>
        <w:pStyle w:val="Heading2"/>
      </w:pPr>
      <w:r>
        <w:t>3.1 Convening</w:t>
      </w:r>
    </w:p>
    <w:p>
      <w:r>
        <w:t>The Guarantor Matrix convenes within seven (7) calendar days of receiving a valid request under Article 2.3. The convening is hosted by the depositary (Pakistan) or co-facilitator (Oman), using secure communications.</w:t>
      </w:r>
    </w:p>
    <w:p>
      <w:pPr>
        <w:pStyle w:val="Heading2"/>
      </w:pPr>
      <w:r>
        <w:t>3.2 Exclusion of Allied States</w:t>
      </w:r>
    </w:p>
    <w:p>
      <w:r>
        <w:t>Any Guarantor state that is a formal military ally of the Offending Party, as determined by a separate written agreement or by consensus of the remaining Guarantors, is excluded from voting on the Finding of Fact. Exclusion does not prevent the allied state from participating in deliberations as an observer.</w:t>
      </w:r>
    </w:p>
    <w:p>
      <w:pPr>
        <w:pStyle w:val="Heading2"/>
      </w:pPr>
      <w:r>
        <w:t>3.3 Voting Threshold</w:t>
      </w:r>
    </w:p>
    <w:p>
      <w:r>
        <w:t>A Finding of Fact requires a two-thirds (2/3) majority of the non-excluded Guarantors present and voting. Abstentions do not count toward the denominator. A minimum of three Guarantors must vote in favor for the Finding to issue.</w:t>
      </w:r>
    </w:p>
    <w:p>
      <w:pPr>
        <w:pStyle w:val="Heading2"/>
      </w:pPr>
      <w:r>
        <w:t>3.4 Quorum</w:t>
      </w:r>
    </w:p>
    <w:p>
      <w:r>
        <w:t>At least half of the non-excluded Guarantors must participate (in person or by secure electronic means) for a vote to be valid.</w:t>
      </w:r>
    </w:p>
    <w:p>
      <w:pPr>
        <w:pStyle w:val="Heading1"/>
      </w:pPr>
      <w:r>
        <w:t>Article 4 – Content and Effect of the Finding of Fact</w:t>
      </w:r>
      <w:bookmarkStart w:name="_Toc006" w:id="106"/>
      <w:bookmarkEnd w:id="106"/>
    </w:p>
    <w:p>
      <w:pPr>
        <w:pStyle w:val="Heading2"/>
      </w:pPr>
      <w:r>
        <w:t>4.1 Content</w:t>
      </w:r>
    </w:p>
    <w:p>
      <w:r>
        <w:t>The Finding of Fact is a written document that includes:</w:t>
      </w:r>
    </w:p>
    <w:p>
      <w:pPr>
        <w:spacing w:after="80"/>
        <w:ind w:left="720" w:hanging="360"/>
      </w:pPr>
      <w:r>
        <w:t>(1) The date and nature of the Tier 3 violation;</w:t>
      </w:r>
    </w:p>
    <w:p>
      <w:pPr>
        <w:spacing w:after="80"/>
        <w:ind w:left="720" w:hanging="360"/>
      </w:pPr>
      <w:r>
        <w:t>(2) The final PCC or arbitral determination;</w:t>
      </w:r>
    </w:p>
    <w:p>
      <w:pPr>
        <w:spacing w:after="80"/>
        <w:ind w:left="720" w:hanging="360"/>
      </w:pPr>
      <w:r>
        <w:t>(3) A finding that the Offending Party failed to commence good-faith remediation within 14 days;</w:t>
      </w:r>
    </w:p>
    <w:p>
      <w:pPr>
        <w:spacing w:after="80"/>
        <w:ind w:left="720" w:hanging="360"/>
      </w:pPr>
      <w:r>
        <w:t>(4) A summary of the evidence relied upon;</w:t>
      </w:r>
    </w:p>
    <w:p>
      <w:pPr>
        <w:spacing w:after="80"/>
        <w:ind w:left="720" w:hanging="360"/>
      </w:pPr>
      <w:r>
        <w:t>(5) A statement that the Finding is non-binding on any Guarantor or third party, but constitutes an authoritative, multilateral record of breach.</w:t>
      </w:r>
    </w:p>
    <w:p>
      <w:pPr>
        <w:pStyle w:val="Heading2"/>
      </w:pPr>
      <w:r>
        <w:t>4.2 Non-Binding Nature</w:t>
      </w:r>
    </w:p>
    <w:p>
      <w:r>
        <w:t>The Finding of Fact does not create any legal obligation on any Guarantor or on the United Nations. It does not authorize the use of force, nor does it trigger automatic sanctions. Each Guarantor retains full sovereign discretion over any subsequent action.</w:t>
      </w:r>
    </w:p>
    <w:p>
      <w:pPr>
        <w:pStyle w:val="Heading2"/>
      </w:pPr>
      <w:r>
        <w:t>4.3 Authoritative Weight</w:t>
      </w:r>
    </w:p>
    <w:p>
      <w:r>
        <w:t>The Finding of Fact is treated by the Parties and Guarantors as a formal determination of fact for purposes of international discourse, UNSC deliberations, and any subsequent legal or political proceedings.</w:t>
      </w:r>
    </w:p>
    <w:p>
      <w:pPr>
        <w:pStyle w:val="Heading2"/>
      </w:pPr>
      <w:r>
        <w:t>4.4 Communication to the UN Security Council</w:t>
      </w:r>
    </w:p>
    <w:p>
      <w:r>
        <w:t>Upon issuance, the Finding of Fact is transmitted to the President of the UN Security Council, the UN Secretary-General, and all UN Member States via the depositary. The transmission constitutes a formal communication from the Guarantor Matrix.</w:t>
      </w:r>
    </w:p>
    <w:p>
      <w:pPr>
        <w:pStyle w:val="Heading1"/>
      </w:pPr>
      <w:r>
        <w:t>Article 5 – No Duplication or Abuse</w:t>
      </w:r>
      <w:bookmarkStart w:name="_Toc007" w:id="107"/>
      <w:bookmarkEnd w:id="107"/>
    </w:p>
    <w:p>
      <w:pPr>
        <w:pStyle w:val="Heading2"/>
      </w:pPr>
      <w:r>
        <w:t>5.1 One Finding Per Violation</w:t>
      </w:r>
    </w:p>
    <w:p>
      <w:r>
        <w:t>Only one Finding of Fact issues per Tier 3 violation. A subsequent remediation by the Offending Party after the Finding is issued does not retroactively void the Finding, but may be noted in a supplementary communication.</w:t>
      </w:r>
    </w:p>
    <w:p>
      <w:pPr>
        <w:pStyle w:val="Heading2"/>
      </w:pPr>
      <w:r>
        <w:t>5.2 Prohibition on Frivolous Requests</w:t>
      </w:r>
    </w:p>
    <w:p>
      <w:r>
        <w:t>A Party that repeatedly requests Guarantor convening without reasonable basis (as determined by the Guarantor Matrix by simple majority) may be required to bear the administrative costs of the convening.</w:t>
      </w:r>
    </w:p>
    <w:p>
      <w:pPr>
        <w:pStyle w:val="Heading1"/>
      </w:pPr>
      <w:r>
        <w:t>Article 6 – Relationship to Other Annexes</w:t>
      </w:r>
      <w:bookmarkStart w:name="_Toc008" w:id="108"/>
      <w:bookmarkEnd w:id="108"/>
    </w:p>
    <w:tbl>
      <w:tblPr>
        <w:tblW w:w="5000" w:type="pct"/>
        <w:tblBorders>
          <w:top w:val="single" w:color="6b2d3e" w:sz="12"/>
          <w:left w:val="nil"/>
          <w:bottom w:val="single" w:color="6b2d3e" w:sz="12"/>
          <w:right w:val="nil"/>
          <w:insideH w:val="nil"/>
          <w:insideV w:val="nil"/>
        </w:tblBorders>
      </w:tblPr>
      <w:tblGrid>
        <w:gridCol w:w="3200"/>
        <w:gridCol w:w="6800"/>
      </w:tblGrid>
      <w:tr>
        <w:trPr>
          <w:tblHeader/>
        </w:trPr>
        <w:tc>
          <w:tcPr>
            <w:tcW w:w="3200" w:type="dxa"/>
            <w:tcBorders>
              <w:bottom w:val="single" w:color="6b2d3e" w:sz="6"/>
            </w:tcBorders>
            <w:shd w:val="clear" w:fill="f9f5f6"/>
          </w:tcPr>
          <w:p>
            <w:r>
              <w:rPr>
                <w:b w:val="true"/>
                <w:color w:val="2d1f24"/>
                <w:sz w:val="20"/>
              </w:rPr>
              <w:t xml:space="preserve">Annex / Provision</w:t>
            </w:r>
          </w:p>
        </w:tc>
        <w:tc>
          <w:tcPr>
            <w:tcW w:w="6800" w:type="dxa"/>
            <w:tcBorders>
              <w:bottom w:val="single" w:color="6b2d3e" w:sz="6"/>
            </w:tcBorders>
            <w:shd w:val="clear" w:fill="f9f5f6"/>
          </w:tcPr>
          <w:p>
            <w:r>
              <w:rPr>
                <w:b w:val="true"/>
                <w:color w:val="2d1f24"/>
                <w:sz w:val="20"/>
              </w:rPr>
              <w:t xml:space="preserve">Relationship</w:t>
            </w:r>
          </w:p>
        </w:tc>
      </w:tr>
      <w:tr>
        <w:tc>
          <w:tcPr>
            <w:tcW w:w="3200" w:type="dxa"/>
          </w:tcPr>
          <w:p>
            <w:r>
              <w:rPr>
                <w:color w:val="5a4a50"/>
                <w:sz w:val="19"/>
              </w:rPr>
              <w:t xml:space="preserve">Annex T (Step-Back / Earn-Back)</w:t>
            </w:r>
          </w:p>
        </w:tc>
        <w:tc>
          <w:tcPr>
            <w:tcW w:w="6800" w:type="dxa"/>
          </w:tcPr>
          <w:p>
            <w:r>
              <w:rPr>
                <w:color w:val="5a4a50"/>
                <w:sz w:val="19"/>
              </w:rPr>
              <w:t xml:space="preserve">This Annex GM does not alter any step-back or earn-back timeline. It operates only after a Tier 3 violation remains unremediated for 14 days.</w:t>
            </w:r>
          </w:p>
        </w:tc>
      </w:tr>
      <w:tr>
        <w:tc>
          <w:tcPr>
            <w:tcW w:w="3200" w:type="dxa"/>
          </w:tcPr>
          <w:p>
            <w:r>
              <w:rPr>
                <w:color w:val="5a4a50"/>
                <w:sz w:val="19"/>
              </w:rPr>
              <w:t xml:space="preserve">MOU Article 9 (Governance)</w:t>
            </w:r>
          </w:p>
        </w:tc>
        <w:tc>
          <w:tcPr>
            <w:tcW w:w="6800" w:type="dxa"/>
          </w:tcPr>
          <w:p>
            <w:r>
              <w:rPr>
                <w:color w:val="5a4a50"/>
                <w:sz w:val="19"/>
              </w:rPr>
              <w:t xml:space="preserve">The Guarantor Matrix retains its advisory role. This Annex adds a specific procedure for issuing a collective Finding of Fact.</w:t>
            </w:r>
          </w:p>
        </w:tc>
      </w:tr>
      <w:tr>
        <w:tc>
          <w:tcPr>
            <w:tcW w:w="3200" w:type="dxa"/>
          </w:tcPr>
          <w:p>
            <w:r>
              <w:rPr>
                <w:color w:val="5a4a50"/>
                <w:sz w:val="19"/>
              </w:rPr>
              <w:t xml:space="preserve">Annex R / R.a (Escalation Buffer)</w:t>
            </w:r>
          </w:p>
        </w:tc>
        <w:tc>
          <w:tcPr>
            <w:tcW w:w="6800" w:type="dxa"/>
          </w:tcPr>
          <w:p>
            <w:r>
              <w:rPr>
                <w:color w:val="5a4a50"/>
                <w:sz w:val="19"/>
              </w:rPr>
              <w:t xml:space="preserve">The 14-day remediation period runs concurrently with any escalation buffer. The buffer does not extend the remediation deadline.</w:t>
            </w:r>
          </w:p>
        </w:tc>
      </w:tr>
      <w:tr>
        <w:tc>
          <w:tcPr>
            <w:tcW w:w="3200" w:type="dxa"/>
          </w:tcPr>
          <w:p>
            <w:r>
              <w:rPr>
                <w:color w:val="5a4a50"/>
                <w:sz w:val="19"/>
              </w:rPr>
              <w:t xml:space="preserve">UN Charter</w:t>
            </w:r>
          </w:p>
        </w:tc>
        <w:tc>
          <w:tcPr>
            <w:tcW w:w="6800" w:type="dxa"/>
          </w:tcPr>
          <w:p>
            <w:r>
              <w:rPr>
                <w:color w:val="5a4a50"/>
                <w:sz w:val="19"/>
              </w:rPr>
              <w:t xml:space="preserve">Nothing in this Annex affects the authority of the UN Security Council under Chapter VII or any other provision of the UN Charter.</w:t>
            </w:r>
          </w:p>
        </w:tc>
      </w:tr>
    </w:tbl>
    <w:p>
      <w:pPr>
        <w:pStyle w:val="Heading1"/>
      </w:pPr>
      <w:r>
        <w:t>Article 7 – Incorporation by Reference</w:t>
      </w:r>
      <w:bookmarkStart w:name="_Toc009" w:id="109"/>
      <w:bookmarkEnd w:id="109"/>
    </w:p>
    <w:p>
      <w:r>
        <w:t>This Annex GM is incorporable into any existing or future agreement through the following adoption sentence:</w:t>
      </w:r>
    </w:p>
    <w:p>
      <w:pPr>
        <w:pBdr>
          <w:left w:val="single" w:color="6b2d3e" w:sz="12"/>
        </w:pBdr>
        <w:spacing w:before="200" w:after="200"/>
        <w:ind w:left="720" w:right="720"/>
      </w:pPr>
      <w:r>
        <w:rPr>
          <w:i w:val="true"/>
        </w:rPr>
        <w:t>The Parties adopt Annex GM (Guarantor Matrix Enforcement Protocol) as an operative provision of this Agreement. In the event of any inconsistency, Annex GM governs with respect to the procedure for a Guarantor Finding of Fact following an unremediated Tier 3 Deliberate Hostile Violation.</w:t>
      </w:r>
    </w:p>
    <w:p>
      <w:r>
        <w:t>No amendment of the parent MOU or any other annex is required. This Annex enters into force upon signature by both Parties or upon provisional application by exchange of diplomatic notes.</w:t>
      </w:r>
    </w:p>
    <w:p>
      <w:pPr>
        <w:pStyle w:val="Heading1"/>
      </w:pPr>
      <w:r>
        <w:t>Signature Block</w:t>
      </w:r>
      <w:bookmarkStart w:name="_Toc010" w:id="110"/>
      <w:bookmarkEnd w:id="110"/>
    </w:p>
    <w:p>
      <w:r>
        <w:t>The undersigned, duly authorized, adopt this Annex GM (Guarantor Matrix Enforcement Protocol) as an operative provision binding upon their respective Parties.</w:t>
      </w:r>
    </w:p>
    <w:tbl>
      <w:tblPr>
        <w:tblW w:w="5000" w:type="pct"/>
        <w:tblBorders>
          <w:top w:val="nil"/>
          <w:left w:val="nil"/>
          <w:bottom w:val="nil"/>
          <w:right w:val="nil"/>
          <w:insideH w:val="nil"/>
          <w:insideV w:val="nil"/>
        </w:tblBorders>
      </w:tblPr>
      <w:tblGrid>
        <w:gridCol w:w="5000"/>
        <w:gridCol w:w="5000"/>
      </w:tblGrid>
      <w:tr>
        <w:trPr>
          <w:tblHeader/>
        </w:trPr>
        <w:tc>
          <w:tcPr>
            <w:tcW w:w="5000" w:type="dxa"/>
          </w:tcPr>
          <w:p>
            <w:r>
              <w:rPr>
                <w:b w:val="true"/>
                <w:color w:val="2d1f24"/>
                <w:sz w:val="20"/>
              </w:rPr>
              <w:t>For the Islamic Republic of Iran</w:t>
            </w:r>
          </w:p>
        </w:tc>
        <w:tc>
          <w:tcPr>
            <w:tcW w:w="5000" w:type="dxa"/>
          </w:tcPr>
          <w:p>
            <w:r>
              <w:rPr>
                <w:b w:val="true"/>
                <w:color w:val="2d1f24"/>
                <w:sz w:val="20"/>
              </w:rPr>
              <w:t>For the United States of America</w:t>
            </w:r>
          </w:p>
        </w:tc>
      </w:tr>
      <w:tr>
        <w:tc>
          <w:tcPr>
            <w:tcW w:w="5000" w:type="dxa"/>
          </w:tcPr>
          <w:p>
            <w:pPr>
              <w:spacing w:before="400"/>
            </w:pPr>
            <w:r>
              <w:t xml:space="preserve">Signature: _________________________</w:t>
            </w:r>
          </w:p>
        </w:tc>
        <w:tc>
          <w:tcPr>
            <w:tcW w:w="5000" w:type="dxa"/>
          </w:tcPr>
          <w:p>
            <w:pPr>
              <w:spacing w:before="400"/>
            </w:pPr>
            <w:r>
              <w:t xml:space="preserve">Signature: _________________________</w:t>
            </w:r>
          </w:p>
        </w:tc>
      </w:tr>
      <w:tr>
        <w:tc>
          <w:tcPr>
            <w:tcW w:w="5000" w:type="dxa"/>
          </w:tcPr>
          <w:p>
            <w:pPr>
              <w:spacing w:before="400"/>
            </w:pPr>
            <w:r>
              <w:t xml:space="preserve">Name / Title: ____________________</w:t>
            </w:r>
          </w:p>
        </w:tc>
        <w:tc>
          <w:tcPr>
            <w:tcW w:w="5000" w:type="dxa"/>
          </w:tcPr>
          <w:p>
            <w:pPr>
              <w:spacing w:before="400"/>
            </w:pPr>
            <w:r>
              <w:t xml:space="preserve">Name / Title: ____________________</w:t>
            </w:r>
          </w:p>
        </w:tc>
      </w:tr>
      <w:tr>
        <w:tc>
          <w:tcPr>
            <w:tcW w:w="5000" w:type="dxa"/>
          </w:tcPr>
          <w:p>
            <w:pPr>
              <w:spacing w:before="400"/>
            </w:pPr>
            <w:r>
              <w:t xml:space="preserve">Date: ___________________________</w:t>
            </w:r>
          </w:p>
        </w:tc>
        <w:tc>
          <w:tcPr>
            <w:tcW w:w="5000" w:type="dxa"/>
          </w:tcPr>
          <w:p>
            <w:pPr>
              <w:spacing w:before="400"/>
            </w:pPr>
            <w:r>
              <w:t xml:space="preserve">Date: ___________________________</w:t>
            </w:r>
          </w:p>
        </w:tc>
      </w:tr>
    </w:tbl>
    <w:p>
      <w:pPr>
        <w:spacing w:before="600"/>
      </w:pPr>
      <w:r>
        <w:rPr>
          <w:b w:val="true"/>
        </w:rPr>
        <w:t>Noted by the Guarantor Matrix (for informational purposes – non-binding)</w:t>
      </w:r>
    </w:p>
    <w:tbl>
      <w:tblPr>
        <w:tblW w:w="5000" w:type="pct"/>
        <w:tblBorders>
          <w:top w:val="nil"/>
          <w:left w:val="nil"/>
          <w:bottom w:val="nil"/>
          <w:right w:val="nil"/>
          <w:insideH w:val="nil"/>
          <w:insideV w:val="nil"/>
        </w:tblBorders>
      </w:tblPr>
      <w:tblGrid>
        <w:gridCol w:w="10000"/>
      </w:tblGrid>
      <w:tr>
        <w:tc>
          <w:tcPr>
            <w:tcW w:w="10000" w:type="dxa"/>
          </w:tcPr>
          <w:p>
            <w:pPr>
              <w:spacing w:before="200"/>
              <w:jc w:val="center"/>
            </w:pPr>
            <w:r>
              <w:t xml:space="preserve">Representative of the Depositary (Islamic Republic of Pakistan)</w:t>
            </w:r>
          </w:p>
        </w:tc>
      </w:tr>
      <w:tr>
        <w:tc>
          <w:tcPr>
            <w:tcW w:w="10000" w:type="dxa"/>
          </w:tcPr>
          <w:p>
            <w:pPr>
              <w:spacing w:before="200"/>
              <w:jc w:val="center"/>
            </w:pPr>
            <w:r>
              <w:t xml:space="preserve">Signature: _________________________</w:t>
            </w:r>
          </w:p>
        </w:tc>
      </w:tr>
      <w:tr>
        <w:tc>
          <w:tcPr>
            <w:tcW w:w="10000" w:type="dxa"/>
          </w:tcPr>
          <w:p>
            <w:pPr>
              <w:spacing w:before="200"/>
              <w:jc w:val="center"/>
            </w:pPr>
            <w:r>
              <w:t xml:space="preserve">Representative of the Co-Facilitator (Sultanate of Oman)</w:t>
            </w:r>
          </w:p>
        </w:tc>
      </w:tr>
      <w:tr>
        <w:tc>
          <w:tcPr>
            <w:tcW w:w="10000" w:type="dxa"/>
          </w:tcPr>
          <w:p>
            <w:pPr>
              <w:spacing w:before="200"/>
              <w:jc w:val="center"/>
            </w:pPr>
            <w:r>
              <w:t xml:space="preserve">Signature: _________________________</w:t>
            </w:r>
          </w:p>
        </w:tc>
      </w:tr>
    </w:tbl>
    <w:p>
      <w:pPr>
        <w:spacing w:before="400"/>
        <w:jc w:val="center"/>
      </w:pPr>
      <w:r>
        <w:rPr>
          <w:i w:val="true"/>
          <w:color w:val="8a7a80"/>
          <w:sz w:val="18"/>
        </w:rPr>
        <w:t>End of Annex GM</w:t>
      </w:r>
    </w:p>
    <w:p>
      <w:pPr>
        <w:sectPr>
          <w:headerReference w:type="default" r:id="Rcd45d734e6f44b1f"/>
          <w:footerReference w:type="default" r:id="R996c3b6c1f9a4f8f"/>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1d70c529b9c34816"/>
                    <a:stretch>
                      <a:fillRect/>
                    </a:stretch>
                  </pic:blipFill>
                  <pic:spPr>
                    <a:xfrm>
                      <a:off x="0" y="0"/>
                      <a:ext cx="7560000" cy="10692000"/>
                    </a:xfrm>
                    <a:prstGeom prst="rect"/>
                  </pic:spPr>
                </pic:pic>
              </a:graphicData>
            </a:graphic>
          </wp:anchor>
        </w:drawing>
      </w:r>
    </w:p>
    <w:p>
      <w:pPr>
        <w:spacing w:before="5000"/>
      </w:pPr>
      <w:r/>
    </w:p>
    <w:p>
      <w:pPr>
        <w:spacing w:after="600"/>
        <w:jc w:val="center"/>
      </w:pPr>
      <w:r>
        <w:rPr>
          <w:b w:val="true"/>
          <w:color w:val="6b2d3e"/>
          <w:spacing w:val="30"/>
          <w:sz w:val="48"/>
        </w:rPr>
        <w:t>Annex GM</w:t>
      </w:r>
    </w:p>
    <w:p>
      <w:pPr>
        <w:spacing w:after="400"/>
        <w:jc w:val="center"/>
      </w:pPr>
      <w:r>
        <w:rPr>
          <w:color w:val="5a4a50"/>
          <w:sz w:val="28"/>
        </w:rPr>
        <w:t>Guarantor Matrix</w:t>
      </w:r>
    </w:p>
    <w:p>
      <w:pPr>
        <w:spacing w:after="2000"/>
        <w:jc w:val="center"/>
      </w:pPr>
      <w:r>
        <w:rPr>
          <w:color w:val="5a4a50"/>
          <w:sz w:val="28"/>
        </w:rPr>
        <w:t>Enforcement Protocol</w:t>
      </w:r>
    </w:p>
    <w:p>
      <w:pPr>
        <w:jc w:val="center"/>
      </w:pPr>
      <w:r>
        <w:rPr>
          <w:color w:val="5a4a50"/>
          <w:sz w:val="20"/>
        </w:rPr>
        <w:t>Version 1.0 – June 2026 | Bridging Protocol Series</w:t>
      </w:r>
    </w:p>
    <w:p>
      <w:pPr>
        <w:sectPr>
          <w:type w:val="nextPage"/>
          <w:pgSz w:w="11906" w:h="16838"/>
          <w:pgMar w:top="0" w:right="0" w:bottom="0" w:left="0" w:header="0" w:footer="0"/>
        </w:sectPr>
      </w:pPr>
    </w:p>
  </w:body>
</w:document>
</file>

<file path=word/footer1.xml><?xml version="1.0" encoding="utf-8"?>
<w:ftr xmlns:w="http://schemas.openxmlformats.org/wordprocessingml/2006/main">
  <w:p>
    <w:pPr>
      <w:jc w:val="center"/>
    </w:pPr>
    <w:r>
      <w:rPr>
        <w:color w:val="8a7a80"/>
        <w:sz w:val="18"/>
      </w:rPr>
      <w:fldChar w:fldCharType="begin"/>
    </w:r>
    <w:r>
      <w:rPr>
        <w:color w:val="8a7a80"/>
        <w:sz w:val="18"/>
      </w:rPr>
      <w:instrText xml:space="preserve"> PAGE </w:instrText>
    </w:r>
    <w:r>
      <w:rPr>
        <w:color w:val="8a7a80"/>
        <w:sz w:val="18"/>
      </w:rPr>
      <w:fldChar w:fldCharType="separate"/>
    </w:r>
    <w:r>
      <w:rPr>
        <w:color w:val="8a7a80"/>
        <w:sz w:val="18"/>
      </w:rPr>
      <w:t>1</w:t>
    </w:r>
    <w:r>
      <w:rPr>
        <w:color w:val="8a7a80"/>
        <w:sz w:val="18"/>
      </w:rPr>
      <w:fldChar w:fldCharType="end"/>
    </w:r>
    <w:r>
      <w:rPr>
        <w:color w:val="8a7a80"/>
        <w:sz w:val="18"/>
      </w:rPr>
      <w:t xml:space="preserve"> / </w:t>
    </w:r>
    <w:r>
      <w:rPr>
        <w:color w:val="8a7a80"/>
        <w:sz w:val="18"/>
      </w:rPr>
      <w:fldChar w:fldCharType="begin"/>
    </w:r>
    <w:r>
      <w:rPr>
        <w:color w:val="8a7a80"/>
        <w:sz w:val="18"/>
      </w:rPr>
      <w:instrText xml:space="preserve"> NUMPAGES </w:instrText>
    </w:r>
    <w:r>
      <w:rPr>
        <w:color w:val="8a7a80"/>
        <w:sz w:val="18"/>
      </w:rPr>
      <w:fldChar w:fldCharType="separate"/>
    </w:r>
    <w:r>
      <w:rPr>
        <w:color w:val="8a7a80"/>
        <w:sz w:val="18"/>
      </w:rPr>
      <w:t>1</w:t>
    </w:r>
    <w:r>
      <w:rPr>
        <w:color w:val="8a7a80"/>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fd76f46a112446ba"/>
                  <a:stretch>
                    <a:fillRect/>
                  </a:stretch>
                </pic:blipFill>
                <pic:spPr>
                  <a:xfrm>
                    <a:off x="0" y="0"/>
                    <a:ext cx="7560000" cy="10692000"/>
                  </a:xfrm>
                  <a:prstGeom prst="rect"/>
                </pic:spPr>
              </pic:pic>
            </a:graphicData>
          </a:graphic>
        </wp:anchor>
      </w:drawing>
    </w:r>
  </w:p>
  <w:p>
    <w:pPr>
      <w:jc w:val="right"/>
    </w:pPr>
    <w:r>
      <w:rPr>
        <w:color w:val="8a7a80"/>
        <w:sz w:val="18"/>
      </w:rPr>
      <w:t>Annex GM – Guarantor Matrix Enforcement Protocol</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lowerLetter"/>
      <w:lvlText w:val="%2."/>
      <w:lvlJc w:val="left"/>
      <w:pPr>
        <w:ind w:left="108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color w:val="2d1f24"/>
      <w:sz w:val="21"/>
    </w:rPr>
  </w:style>
  <w:style w:type="paragraph" w:styleId="Heading1">
    <w:name w:val="heading 1"/>
    <w:basedOn w:val="Normal"/>
    <w:pPr>
      <w:keepNext/>
      <w:keepLines/>
      <w:spacing w:before="480" w:after="240"/>
      <w:outlineLvl w:val="0"/>
    </w:pPr>
    <w:rPr>
      <w:rFonts w:ascii="Georgia" w:hAnsi="Georgia"/>
      <w:b w:val="true"/>
      <w:color w:val="6b2d3e"/>
      <w:sz w:val="32"/>
    </w:rPr>
  </w:style>
  <w:style w:type="paragraph" w:styleId="Heading2">
    <w:name w:val="heading 2"/>
    <w:basedOn w:val="Normal"/>
    <w:pPr>
      <w:keepNext/>
      <w:keepLines/>
      <w:spacing w:before="360" w:after="160"/>
      <w:outlineLvl w:val="1"/>
    </w:pPr>
    <w:rPr>
      <w:rFonts w:ascii="Georgia" w:hAnsi="Georgia"/>
      <w:b w:val="true"/>
      <w:color w:val="6b2d3e"/>
      <w:sz w:val="26"/>
    </w:rPr>
  </w:style>
  <w:style w:type="paragraph" w:styleId="Heading3">
    <w:name w:val="heading 3"/>
    <w:basedOn w:val="Normal"/>
    <w:pPr>
      <w:keepNext/>
      <w:keepLines/>
      <w:spacing w:before="240" w:after="120"/>
      <w:outlineLvl w:val="2"/>
    </w:pPr>
    <w:rPr>
      <w:rFonts w:ascii="Georgia" w:hAnsi="Georgia"/>
      <w:b w:val="true"/>
      <w:color w:val="5a4a50"/>
      <w:sz w:val="22"/>
    </w:rPr>
  </w:style>
  <w:style w:type="paragraph" w:styleId="Caption">
    <w:name w:val="Caption"/>
    <w:basedOn w:val="Normal"/>
    <w:pPr>
      <w:spacing w:before="60" w:after="240"/>
      <w:jc w:val="center"/>
    </w:pPr>
    <w:rPr>
      <w:color w:val="8a7a80"/>
      <w:sz w:val="18"/>
    </w:rPr>
  </w:style>
  <w:style w:type="paragraph" w:styleId="TOC1">
    <w:name w:val="toc 1"/>
    <w:basedOn w:val="Normal"/>
    <w:pPr>
      <w:tabs>
        <w:tab w:val="right" w:leader="dot" w:pos="9350"/>
      </w:tabs>
      <w:spacing w:before="200" w:after="60"/>
      <w:ind w:left="0"/>
    </w:pPr>
    <w:rPr>
      <w:b w:val="true"/>
      <w:color w:val="2d1f24"/>
    </w:rPr>
  </w:style>
  <w:style w:type="paragraph" w:styleId="TOC2">
    <w:name w:val="toc 2"/>
    <w:basedOn w:val="Normal"/>
    <w:pPr>
      <w:tabs>
        <w:tab w:val="right" w:leader="dot" w:pos="9350"/>
      </w:tabs>
      <w:spacing w:before="60" w:after="60"/>
      <w:ind w:left="360"/>
    </w:pPr>
    <w:rPr>
      <w:color w:val="5a4a50"/>
    </w:rPr>
  </w:style>
</w:styles>
</file>

<file path=word/_rels/document.xml.rels><?xml version='1.0' encoding='UTF-8'?>
<Relationships xmlns="http://schemas.openxmlformats.org/package/2006/relationships"><Relationship Type="http://schemas.openxmlformats.org/officeDocument/2006/relationships/styles" Target="styles.xml" Id="R619cb8bbcfd14292" /><Relationship Type="http://schemas.openxmlformats.org/officeDocument/2006/relationships/numbering" Target="numbering.xml" Id="Rfb98bb3c7759463e" /><Relationship Type="http://schemas.openxmlformats.org/officeDocument/2006/relationships/image" Target="media/image.png" Id="R8edca14f7fb246e7" /><Relationship Type="http://schemas.openxmlformats.org/officeDocument/2006/relationships/image" Target="media/image2.png" Id="R1d70c529b9c34816" /><Relationship Type="http://schemas.openxmlformats.org/officeDocument/2006/relationships/header" Target="header1.xml" Id="Rcd45d734e6f44b1f" /><Relationship Type="http://schemas.openxmlformats.org/officeDocument/2006/relationships/footer" Target="footer1.xml" Id="R996c3b6c1f9a4f8f" /><Relationship Type="http://schemas.openxmlformats.org/officeDocument/2006/relationships/settings" Target="settings.xml" Id="Rb1f35a5a2de247cd" /></Relationships>
</file>

<file path=word/_rels/header1.xml.rels><?xml version='1.0' encoding='UTF-8'?>
<Relationships xmlns="http://schemas.openxmlformats.org/package/2006/relationships"><Relationship Type="http://schemas.openxmlformats.org/officeDocument/2006/relationships/image" Target="media/image3.png" Id="Rfd76f46a112446ba" /></Relationships>
</file>