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ca66ed4c5f774a22"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e5255858803b4d0e"/>
                    <a:stretch>
                      <a:fillRect/>
                    </a:stretch>
                  </pic:blipFill>
                  <pic:spPr>
                    <a:xfrm>
                      <a:off x="0" y="0"/>
                      <a:ext cx="7560000" cy="10692000"/>
                    </a:xfrm>
                    <a:prstGeom prst="rect"/>
                  </pic:spPr>
                </pic:pic>
              </a:graphicData>
            </a:graphic>
          </wp:anchor>
        </w:drawing>
      </w:r>
    </w:p>
    <w:p>
      <w:pPr>
        <w:spacing w:before="5400"/>
      </w:pPr>
      <w:r/>
    </w:p>
    <w:p>
      <w:pPr>
        <w:spacing w:after="200"/>
        <w:ind w:left="1200" w:right="1200"/>
        <w:jc w:val="left"/>
      </w:pPr>
      <w:r>
        <w:rPr>
          <w:rFonts w:ascii="Cambria" w:hAnsi="Cambria"/>
          <w:color w:val="e0e6ed"/>
          <w:spacing w:val="30"/>
          <w:sz w:val="72"/>
        </w:rPr>
        <w:t>Annex G</w:t>
      </w:r>
    </w:p>
    <w:p>
      <w:pPr>
        <w:spacing w:after="400"/>
        <w:ind w:left="1200" w:right="1200"/>
        <w:jc w:val="left"/>
      </w:pPr>
      <w:r>
        <w:rPr>
          <w:rFonts w:ascii="Cambria" w:hAnsi="Cambria"/>
          <w:color w:val="e0e6ed"/>
          <w:sz w:val="32"/>
        </w:rPr>
        <w:t>Lebanon Non-State Actor Protocol</w:t>
      </w:r>
    </w:p>
    <w:p>
      <w:pPr>
        <w:spacing w:after="200"/>
        <w:ind w:left="1200"/>
        <w:jc w:val="left"/>
      </w:pPr>
      <w:r>
        <w:rPr>
          <w:rFonts w:ascii="Cambria" w:hAnsi="Cambria"/>
          <w:color w:val="e0e6ed"/>
          <w:sz w:val="22"/>
        </w:rPr>
        <w:t>Acknowledgment of Hezbollah — Prohibition of Direct Material Support for Cross-Border Attacks</w:t>
      </w:r>
    </w:p>
    <w:p>
      <w:pPr>
        <w:spacing w:after="100"/>
        <w:ind w:left="1200"/>
        <w:jc w:val="left"/>
      </w:pPr>
      <w:r>
        <w:rPr>
          <w:rFonts w:ascii="Cambria" w:hAnsi="Cambria"/>
          <w:color w:val="b8860b"/>
          <w:sz w:val="20"/>
        </w:rPr>
        <w:t>Modular  |  Incorporable by Reference  |  No Control or Disarmament Required</w:t>
      </w:r>
    </w:p>
    <w:p>
      <w:pPr>
        <w:ind w:left="1200"/>
        <w:jc w:val="left"/>
      </w:pPr>
      <w:r>
        <w:rPr>
          <w:rFonts w:ascii="Cambria" w:hAnsi="Cambria"/>
          <w:color w:val="8d99ae"/>
          <w:sz w:val="18"/>
        </w:rPr>
        <w:t>Version 1.0  |  June 2026  |  Authorized Negotiators Only</w:t>
      </w:r>
    </w:p>
    <w:p>
      <w:pPr>
        <w:sectPr>
          <w:type w:val="nextPage"/>
          <w:pgSz w:w="11906" w:h="16838"/>
          <w:pgMar w:top="0" w:right="0" w:bottom="0" w:left="0" w:header="0" w:footer="0"/>
          <w:titlePg/>
        </w:sectPr>
      </w:pPr>
    </w:p>
    <w:p>
      <w:pPr>
        <w:spacing w:before="400" w:after="200"/>
      </w:pPr>
      <w:r>
        <w:rPr>
          <w:rFonts w:ascii="Cambria" w:hAnsi="Cambria"/>
          <w:b/>
          <w:color w:val="3d5a80"/>
          <w:sz w:val="32"/>
        </w:rPr>
        <w:t>Table of Contents</w:t>
      </w:r>
    </w:p>
    <w:p>
      <w:pPr>
        <w:spacing w:after="240"/>
      </w:pPr>
      <w:r>
        <w:rPr>
          <w:rFonts w:ascii="Cambria" w:hAnsi="Cambria"/>
          <w:i/>
          <w:color w:val="8d99ae"/>
          <w:sz w:val="18"/>
        </w:rPr>
        <w:t>Right-click and select Update Field to refresh page numbers</w:t>
      </w:r>
    </w:p>
    <w:p>
      <w:r>
        <w:fldChar w:fldCharType="begin"/>
      </w:r>
      <w:r>
        <w:instrText xml:space="preserve"> TOC \o "1-2" \h \z \u </w:instrText>
      </w:r>
      <w:r>
        <w:fldChar w:fldCharType="separate"/>
      </w:r>
    </w:p>
    <w:p>
      <w:pPr>
        <w:pStyle w:val="TOC1"/>
      </w:pPr>
      <w:r>
        <w:t>Preamble</w:t>
      </w:r>
      <w:r>
        <w:tab/>
      </w:r>
      <w:r>
        <w:t>1</w:t>
      </w:r>
    </w:p>
    <w:p>
      <w:pPr>
        <w:pStyle w:val="TOC1"/>
      </w:pPr>
      <w:r>
        <w:t>Article 1: Acknowledgment of Armed Non-State Actors</w:t>
      </w:r>
      <w:r>
        <w:tab/>
      </w:r>
      <w:r>
        <w:t>1</w:t>
      </w:r>
    </w:p>
    <w:p>
      <w:pPr>
        <w:pStyle w:val="TOC2"/>
      </w:pPr>
      <w:r>
        <w:t>1.1 Factual Recognition</w:t>
      </w:r>
      <w:r>
        <w:tab/>
      </w:r>
      <w:r>
        <w:t>1</w:t>
      </w:r>
    </w:p>
    <w:p>
      <w:pPr>
        <w:pStyle w:val="TOC2"/>
      </w:pPr>
      <w:r>
        <w:t>1.2 No Obligation to Disarm or Control</w:t>
      </w:r>
      <w:r>
        <w:tab/>
      </w:r>
      <w:r>
        <w:t>1</w:t>
      </w:r>
    </w:p>
    <w:p>
      <w:pPr>
        <w:pStyle w:val="TOC1"/>
      </w:pPr>
      <w:r>
        <w:t>Article 2: Prohibition on Direct Material Support for Cross-Border Attacks</w:t>
      </w:r>
      <w:r>
        <w:tab/>
      </w:r>
      <w:r>
        <w:t>1</w:t>
      </w:r>
    </w:p>
    <w:p>
      <w:pPr>
        <w:pStyle w:val="TOC2"/>
      </w:pPr>
      <w:r>
        <w:t>2.1 The Prohibition</w:t>
      </w:r>
      <w:r>
        <w:tab/>
      </w:r>
      <w:r>
        <w:t>1</w:t>
      </w:r>
    </w:p>
    <w:p>
      <w:pPr>
        <w:pStyle w:val="TOC2"/>
      </w:pPr>
      <w:r>
        <w:t>2.2 Definition of "Direct Material Support"</w:t>
      </w:r>
      <w:r>
        <w:tab/>
      </w:r>
      <w:r>
        <w:t>1</w:t>
      </w:r>
    </w:p>
    <w:p>
      <w:pPr>
        <w:pStyle w:val="TOC2"/>
      </w:pPr>
      <w:r>
        <w:t>2.3 Excluded Activities</w:t>
      </w:r>
      <w:r>
        <w:tab/>
      </w:r>
      <w:r>
        <w:t>1</w:t>
      </w:r>
    </w:p>
    <w:p>
      <w:pPr>
        <w:pStyle w:val="TOC1"/>
      </w:pPr>
      <w:r>
        <w:t>Article 3: Verification and Classification</w:t>
      </w:r>
      <w:r>
        <w:tab/>
      </w:r>
      <w:r>
        <w:t>1</w:t>
      </w:r>
    </w:p>
    <w:p>
      <w:pPr>
        <w:pStyle w:val="TOC2"/>
      </w:pPr>
      <w:r>
        <w:t>3.1 Verification Standards</w:t>
      </w:r>
      <w:r>
        <w:tab/>
      </w:r>
      <w:r>
        <w:t>1</w:t>
      </w:r>
    </w:p>
    <w:p>
      <w:pPr>
        <w:pStyle w:val="TOC2"/>
      </w:pPr>
      <w:r>
        <w:t>3.2 Tier Classification</w:t>
      </w:r>
      <w:r>
        <w:tab/>
      </w:r>
      <w:r>
        <w:t>1</w:t>
      </w:r>
    </w:p>
    <w:p>
      <w:pPr>
        <w:pStyle w:val="TOC2"/>
      </w:pPr>
      <w:r>
        <w:t>3.3 No Automatic Cross-Module Suspension</w:t>
      </w:r>
      <w:r>
        <w:tab/>
      </w:r>
      <w:r>
        <w:t>1</w:t>
      </w:r>
    </w:p>
    <w:p>
      <w:pPr>
        <w:pStyle w:val="TOC2"/>
      </w:pPr>
      <w:r>
        <w:t>3.4 Good-Faith Disputes</w:t>
      </w:r>
      <w:r>
        <w:tab/>
      </w:r>
      <w:r>
        <w:t>1</w:t>
      </w:r>
    </w:p>
    <w:p>
      <w:pPr>
        <w:pStyle w:val="TOC1"/>
      </w:pPr>
      <w:r>
        <w:t>Article 4: Relationship to Other Annexes</w:t>
      </w:r>
      <w:r>
        <w:tab/>
      </w:r>
      <w:r>
        <w:t>1</w:t>
      </w:r>
    </w:p>
    <w:p>
      <w:pPr>
        <w:pStyle w:val="TOC1"/>
      </w:pPr>
      <w:r>
        <w:t>Article 5: Incorporation by Reference</w:t>
      </w:r>
      <w:r>
        <w:tab/>
      </w:r>
      <w:r>
        <w:t>1</w:t>
      </w:r>
    </w:p>
    <w:p>
      <w:pPr>
        <w:pStyle w:val="TOC1"/>
      </w:pPr>
      <w:r>
        <w:t>Signature Block</w:t>
      </w:r>
      <w:r>
        <w:tab/>
      </w:r>
      <w:r>
        <w:t>1</w:t>
      </w:r>
    </w:p>
    <w:p>
      <w:r>
        <w:fldChar w:fldCharType="end"/>
      </w:r>
    </w:p>
    <w:p>
      <w:pPr>
        <w:sectPr>
          <w:type w:val="nextPage"/>
          <w:pgSz w:w="11906" w:h="16838"/>
          <w:pgMar w:top="1800" w:right="1440" w:bottom="1440" w:left="1440" w:header="720" w:footer="720"/>
        </w:sectPr>
      </w:pPr>
    </w:p>
    <w:p>
      <w:pPr>
        <w:pStyle w:val="Heading1"/>
        <w:keepNext/>
        <w:keepLines/>
        <w:spacing w:before="480" w:after="200"/>
      </w:pPr>
      <w:r>
        <w:rPr>
          <w:rFonts w:ascii="Cambria" w:hAnsi="Cambria"/>
          <w:b/>
          <w:color w:val="3d5a80"/>
          <w:sz w:val="32"/>
        </w:rPr>
        <w:t xml:space="preserve">Preamble</w:t>
      </w:r>
    </w:p>
    <w:p>
      <w:pPr>
        <w:spacing w:before="120" w:after="160" w:line="276" w:lineRule="auto"/>
        <w:jc w:val="both"/>
      </w:pPr>
      <w:r>
        <w:rPr>
          <w:rFonts w:ascii="Cambria" w:hAnsi="Cambria"/>
          <w:color w:val="1d3557"/>
          <w:sz w:val="22"/>
        </w:rPr>
        <w:t xml:space="preserve">The Parties acknowledge that armed non-state actors, including Hezbollah, operate in Lebanon. The United States and Israel have consistently raised concerns about cross-border attacks from Lebanese territory. Iran maintains that it does not control these groups and that its support is political and diplomatic, not operational.</w:t>
      </w:r>
    </w:p>
    <w:p>
      <w:pPr>
        <w:spacing w:before="120" w:after="160" w:line="276" w:lineRule="auto"/>
        <w:jc w:val="both"/>
      </w:pPr>
      <w:r>
        <w:rPr>
          <w:rFonts w:ascii="Cambria" w:hAnsi="Cambria"/>
          <w:color w:val="1d3557"/>
          <w:sz w:val="22"/>
        </w:rPr>
        <w:t xml:space="preserve">This Annex establishes a narrow, verifiable prohibition: no direct material support for cross-border attacks from Lebanese territory. It does not require Iran to disarm, control, or take responsibility for Hezbollah or any other non-state actor. Political and diplomatic support is explicitly excluded. A verified violation is a Tier 2 material disruption subject to step-back under Annex T, but does not automatically affect the nuclear or maritime cores.</w:t>
      </w:r>
    </w:p>
    <w:p>
      <w:pPr>
        <w:keepNext/>
        <w:spacing w:before="360" w:after="120"/>
      </w:pPr>
      <w:r>
        <w:rPr>
          <w:rFonts w:ascii="Cambria" w:hAnsi="Cambria"/>
          <w:b/>
          <w:color w:val="3d5a80"/>
          <w:sz w:val="22"/>
        </w:rPr>
        <w:t xml:space="preserve">Core Principles</w:t>
      </w:r>
    </w:p>
    <w:p>
      <w:pPr>
        <w:spacing w:before="80" w:after="80" w:line="276" w:lineRule="auto"/>
        <w:ind w:left="360" w:hanging="360"/>
      </w:pPr>
      <w:r>
        <w:rPr>
          <w:rFonts w:ascii="Cambria" w:hAnsi="Cambria"/>
          <w:b/>
          <w:color w:val="1d3557"/>
          <w:sz w:val="22"/>
        </w:rPr>
        <w:t xml:space="preserve">1. </w:t>
      </w:r>
      <w:r>
        <w:rPr>
          <w:rFonts w:ascii="Cambria" w:hAnsi="Cambria"/>
          <w:color w:val="1d3557"/>
          <w:sz w:val="22"/>
        </w:rPr>
        <w:t xml:space="preserve">Factual, Not Normative: The acknowledgment of Hezbollah's presence in Lebanon is factual and descriptive, not normative or legitimizing. Nothing in this Annex confers legal status, diplomatic recognition, or political endorsement upon Hezbollah or any other non-state actor.</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Narrow Prohibition: The prohibition extends only to direct material support for cross-border attacks. Political statements, diplomatic advocacy, humanitarian assistance, and general financial support remain entirely outside the scope of this Annex.</w:t>
      </w:r>
    </w:p>
    <w:p>
      <w:pPr>
        <w:spacing w:before="80" w:after="80" w:line="276" w:lineRule="auto"/>
        <w:ind w:left="360" w:hanging="360"/>
      </w:pPr>
      <w:r>
        <w:rPr>
          <w:rFonts w:ascii="Cambria" w:hAnsi="Cambria"/>
          <w:b/>
          <w:color w:val="1d3557"/>
          <w:sz w:val="22"/>
        </w:rPr>
        <w:t xml:space="preserve">3. </w:t>
      </w:r>
      <w:r>
        <w:rPr>
          <w:rFonts w:ascii="Cambria" w:hAnsi="Cambria"/>
          <w:color w:val="1d3557"/>
          <w:sz w:val="22"/>
        </w:rPr>
        <w:t xml:space="preserve">No Control Obligation: Iran has no obligation under this Annex to control, direct, or disarm Hezbollah or any other armed non-state actor. Iran's sovereign position that its relationship with Hezbollah is political and diplomatic, not operational command, is fully respected.</w:t>
      </w:r>
    </w:p>
    <w:p>
      <w:pPr>
        <w:spacing w:before="80" w:after="80" w:line="276" w:lineRule="auto"/>
        <w:ind w:left="360" w:hanging="360"/>
      </w:pPr>
      <w:r>
        <w:rPr>
          <w:rFonts w:ascii="Cambria" w:hAnsi="Cambria"/>
          <w:b/>
          <w:color w:val="1d3557"/>
          <w:sz w:val="22"/>
        </w:rPr>
        <w:t xml:space="preserve">4. </w:t>
      </w:r>
      <w:r>
        <w:rPr>
          <w:rFonts w:ascii="Cambria" w:hAnsi="Cambria"/>
          <w:color w:val="1d3557"/>
          <w:sz w:val="22"/>
        </w:rPr>
        <w:t xml:space="preserve">Module Isolation: A violation of this Annex triggers consequences only within the regional and ceasefire module. Cross-module spillover to the nuclear or maritime cores requires a separate, affirmative PCC determination under Article 3.3.</w:t>
      </w:r>
    </w:p>
    <w:p>
      <w:pPr>
        <w:spacing w:before="80" w:after="80" w:line="276" w:lineRule="auto"/>
        <w:ind w:left="360" w:hanging="360"/>
      </w:pPr>
      <w:r>
        <w:rPr>
          <w:rFonts w:ascii="Cambria" w:hAnsi="Cambria"/>
          <w:b/>
          <w:color w:val="1d3557"/>
          <w:sz w:val="22"/>
        </w:rPr>
        <w:t xml:space="preserve">5. </w:t>
      </w:r>
      <w:r>
        <w:rPr>
          <w:rFonts w:ascii="Cambria" w:hAnsi="Cambria"/>
          <w:color w:val="1d3557"/>
          <w:sz w:val="22"/>
        </w:rPr>
        <w:t xml:space="preserve">Burden of Proof: The accuser bears the burden of proof in all verification proceedings. A violation is not presumed. The accuser provides credible, specific, and corroborated evidence from at least two independent sources.</w:t>
      </w:r>
    </w:p>
    <w:p>
      <w:pPr>
        <w:keepNext/>
        <w:spacing w:before="360" w:after="120"/>
      </w:pPr>
      <w:r>
        <w:rPr>
          <w:rFonts w:ascii="Cambria" w:hAnsi="Cambria"/>
          <w:b/>
          <w:color w:val="3d5a80"/>
          <w:sz w:val="22"/>
        </w:rPr>
        <w:t xml:space="preserve">Present-Tense Execution Principle</w:t>
      </w:r>
    </w:p>
    <w:p>
      <w:pPr>
        <w:spacing w:before="120" w:after="160" w:line="276" w:lineRule="auto"/>
        <w:jc w:val="both"/>
      </w:pPr>
      <w:r>
        <w:rPr>
          <w:rFonts w:ascii="Cambria" w:hAnsi="Cambria"/>
          <w:color w:val="1d3557"/>
          <w:sz w:val="22"/>
        </w:rPr>
        <w:t xml:space="preserve">All obligations execute in the active present tense. Verification follows the procedures of Annex U (Shared Digital Registry) and Annex R (Escalation Buffer). Step-back and earn-back follow Annex T.</w:t>
      </w:r>
    </w:p>
    <w:p>
      <w:pPr>
        <w:keepNext/>
        <w:spacing w:before="360" w:after="120"/>
      </w:pPr>
      <w:r>
        <w:rPr>
          <w:rFonts w:ascii="Cambria" w:hAnsi="Cambria"/>
          <w:b/>
          <w:color w:val="3d5a80"/>
          <w:sz w:val="22"/>
        </w:rPr>
        <w:t xml:space="preserve">Modularity Clause</w:t>
      </w:r>
    </w:p>
    <w:p>
      <w:pPr>
        <w:spacing w:before="120" w:after="160" w:line="276" w:lineRule="auto"/>
        <w:jc w:val="both"/>
      </w:pPr>
      <w:r>
        <w:rPr>
          <w:rFonts w:ascii="Cambria" w:hAnsi="Cambria"/>
          <w:color w:val="1d3557"/>
          <w:sz w:val="22"/>
        </w:rPr>
        <w:t xml:space="preserve">This Annex G is self-contained. The Parties incorporate it into any existing or future agreement through a single sentence of adoption. In the event of inconsistency, Annex G governs with respect to armed non-state actors in Lebanon, the acknowledgment of Hezbollah, the prohibition on direct material support for cross-border attacks, and the verification and classification of related violations.</w:t>
      </w:r>
    </w:p>
    <w:p>
      <w:pPr>
        <w:pStyle w:val="Heading1"/>
        <w:keepNext/>
        <w:keepLines/>
        <w:spacing w:before="480" w:after="200"/>
      </w:pPr>
      <w:r>
        <w:rPr>
          <w:rFonts w:ascii="Cambria" w:hAnsi="Cambria"/>
          <w:b/>
          <w:color w:val="3d5a80"/>
          <w:sz w:val="32"/>
        </w:rPr>
        <w:t xml:space="preserve">Article 1: Acknowledgment of Armed Non-State Actors</w:t>
      </w:r>
    </w:p>
    <w:p>
      <w:pPr>
        <w:keepNext/>
        <w:spacing w:before="200" w:after="80"/>
      </w:pPr>
      <w:r>
        <w:rPr>
          <w:rFonts w:ascii="Cambria" w:hAnsi="Cambria"/>
          <w:b/>
          <w:i/>
          <w:color w:val="457b9d"/>
          <w:sz w:val="20"/>
        </w:rPr>
        <w:t xml:space="preserve">OPERATIVE AND BINDING</w:t>
      </w:r>
    </w:p>
    <w:p>
      <w:pPr>
        <w:pStyle w:val="Heading2"/>
        <w:keepNext/>
        <w:keepLines/>
        <w:spacing w:before="320" w:after="120"/>
      </w:pPr>
      <w:r>
        <w:rPr>
          <w:rFonts w:ascii="Cambria" w:hAnsi="Cambria"/>
          <w:b/>
          <w:color w:val="1d3557"/>
          <w:sz w:val="26"/>
        </w:rPr>
        <w:t xml:space="preserve">1.1 Factual Recognition</w:t>
      </w:r>
    </w:p>
    <w:p>
      <w:pPr>
        <w:spacing w:before="120" w:after="160" w:line="276" w:lineRule="auto"/>
        <w:jc w:val="both"/>
      </w:pPr>
      <w:r>
        <w:rPr>
          <w:rFonts w:ascii="Cambria" w:hAnsi="Cambria"/>
          <w:color w:val="1d3557"/>
          <w:sz w:val="22"/>
        </w:rPr>
        <w:t xml:space="preserve">The Parties recognize as a matter of fact that armed non-state actors, including Hezbollah, operate within Lebanese territory. This recognition is factual and descriptive, not normative or legitimizing.</w:t>
      </w:r>
    </w:p>
    <w:p>
      <w:pPr>
        <w:spacing w:before="120" w:after="160" w:line="276" w:lineRule="auto"/>
        <w:jc w:val="both"/>
      </w:pPr>
      <w:r>
        <w:rPr>
          <w:rFonts w:ascii="Cambria" w:hAnsi="Cambria"/>
          <w:color w:val="1d3557"/>
          <w:sz w:val="22"/>
        </w:rPr>
        <w:t xml:space="preserve">"Factual recognition" means that the Parties acknowledge the objective reality of Hezbollah's armed presence, organizational structure, and military capabilities within Lebanon. This acknowledgment does not imply:</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US or Israeli recognition of Hezbollah as a legitimate political actor, government representative, or lawful combatant</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Iranian admission of operational command, control, or responsibility for Hezbollah's military actions</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Any alteration of the legal designation of Hezbollah under the domestic law of either Party or under UN Security Council resolutions</w:t>
      </w:r>
    </w:p>
    <w:p>
      <w:pPr>
        <w:spacing w:before="120" w:after="160" w:line="276" w:lineRule="auto"/>
        <w:jc w:val="both"/>
      </w:pPr>
      <w:r>
        <w:rPr>
          <w:rFonts w:ascii="Cambria" w:hAnsi="Cambria"/>
          <w:color w:val="1d3557"/>
          <w:sz w:val="22"/>
        </w:rPr>
        <w:t xml:space="preserve">The factual recognition operates solely for the purpose of defining the scope of the prohibition in Article 2. It creates no rights, obligations, or legal effects beyond this Annex.</w:t>
      </w:r>
    </w:p>
    <w:p>
      <w:pPr>
        <w:pStyle w:val="Heading2"/>
        <w:keepNext/>
        <w:keepLines/>
        <w:spacing w:before="320" w:after="120"/>
      </w:pPr>
      <w:r>
        <w:rPr>
          <w:rFonts w:ascii="Cambria" w:hAnsi="Cambria"/>
          <w:b/>
          <w:color w:val="1d3557"/>
          <w:sz w:val="26"/>
        </w:rPr>
        <w:t xml:space="preserve">1.2 No Obligation to Disarm or Control</w:t>
      </w:r>
    </w:p>
    <w:p>
      <w:pPr>
        <w:spacing w:before="120" w:after="160" w:line="276" w:lineRule="auto"/>
        <w:jc w:val="both"/>
      </w:pPr>
      <w:r>
        <w:rPr>
          <w:rFonts w:ascii="Cambria" w:hAnsi="Cambria"/>
          <w:color w:val="1d3557"/>
          <w:sz w:val="22"/>
        </w:rPr>
        <w:t xml:space="preserve">This instrument does not require Iran to:</w:t>
      </w:r>
    </w:p>
    <w:p>
      <w:pPr>
        <w:spacing w:before="80" w:after="80" w:line="276" w:lineRule="auto"/>
        <w:ind w:left="360" w:hanging="360"/>
      </w:pPr>
      <w:r>
        <w:rPr>
          <w:rFonts w:ascii="Cambria" w:hAnsi="Cambria"/>
          <w:b/>
          <w:color w:val="1d3557"/>
          <w:sz w:val="22"/>
        </w:rPr>
        <w:t xml:space="preserve">1. </w:t>
      </w:r>
      <w:r>
        <w:rPr>
          <w:rFonts w:ascii="Cambria" w:hAnsi="Cambria"/>
          <w:color w:val="1d3557"/>
          <w:sz w:val="22"/>
        </w:rPr>
        <w:t xml:space="preserve">Disarm Hezbollah or any other non-state actor.</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Control the actions of Hezbollah or any other non-state actor.</w:t>
      </w:r>
    </w:p>
    <w:p>
      <w:pPr>
        <w:spacing w:before="80" w:after="80" w:line="276" w:lineRule="auto"/>
        <w:ind w:left="360" w:hanging="360"/>
      </w:pPr>
      <w:r>
        <w:rPr>
          <w:rFonts w:ascii="Cambria" w:hAnsi="Cambria"/>
          <w:b/>
          <w:color w:val="1d3557"/>
          <w:sz w:val="22"/>
        </w:rPr>
        <w:t xml:space="preserve">3. </w:t>
      </w:r>
      <w:r>
        <w:rPr>
          <w:rFonts w:ascii="Cambria" w:hAnsi="Cambria"/>
          <w:color w:val="1d3557"/>
          <w:sz w:val="22"/>
        </w:rPr>
        <w:t xml:space="preserve">Take responsibility for the actions of Hezbollah or any other non-state actor, except as explicitly provided in Article 2.</w:t>
      </w:r>
    </w:p>
    <w:p>
      <w:pPr>
        <w:spacing w:before="120" w:after="160" w:line="276" w:lineRule="auto"/>
        <w:jc w:val="both"/>
      </w:pPr>
      <w:r>
        <w:rPr>
          <w:rFonts w:ascii="Cambria" w:hAnsi="Cambria"/>
          <w:color w:val="1d3557"/>
          <w:sz w:val="22"/>
        </w:rPr>
        <w:t xml:space="preserve">Iran retains its sovereign position that its relationship with Hezbollah is political and diplomatic, not operational command. The United States does not accept this characterization as a matter of policy or intelligence assessment, but acknowledges it as Iran's stated position for the purpose of this Annex's operative framework.</w:t>
      </w:r>
    </w:p>
    <w:p>
      <w:pPr>
        <w:spacing w:before="120" w:after="160" w:line="276" w:lineRule="auto"/>
        <w:jc w:val="both"/>
      </w:pPr>
      <w:r>
        <w:rPr>
          <w:rFonts w:ascii="Cambria" w:hAnsi="Cambria"/>
          <w:color w:val="1d3557"/>
          <w:sz w:val="22"/>
        </w:rPr>
        <w:t xml:space="preserve">Nothing in this Annex creates an obligation for Iran to alter its diplomatic, political, economic, cultural, or religious relationship with Hezbollah or any other Lebanese political or social organization.</w:t>
      </w:r>
    </w:p>
    <w:p>
      <w:pPr>
        <w:pStyle w:val="Heading1"/>
        <w:keepNext/>
        <w:keepLines/>
        <w:spacing w:before="480" w:after="200"/>
      </w:pPr>
      <w:r>
        <w:rPr>
          <w:rFonts w:ascii="Cambria" w:hAnsi="Cambria"/>
          <w:b/>
          <w:color w:val="3d5a80"/>
          <w:sz w:val="32"/>
        </w:rPr>
        <w:t xml:space="preserve">Article 2: Prohibition on Direct Material Support for Cross-Border Attacks</w:t>
      </w:r>
    </w:p>
    <w:p>
      <w:pPr>
        <w:keepNext/>
        <w:spacing w:before="200" w:after="80"/>
      </w:pPr>
      <w:r>
        <w:rPr>
          <w:rFonts w:ascii="Cambria" w:hAnsi="Cambria"/>
          <w:b/>
          <w:i/>
          <w:color w:val="457b9d"/>
          <w:sz w:val="20"/>
        </w:rPr>
        <w:t xml:space="preserve">OPERATIVE AND BINDING</w:t>
      </w:r>
    </w:p>
    <w:p>
      <w:pPr>
        <w:pStyle w:val="Heading2"/>
        <w:keepNext/>
        <w:keepLines/>
        <w:spacing w:before="320" w:after="120"/>
      </w:pPr>
      <w:r>
        <w:rPr>
          <w:rFonts w:ascii="Cambria" w:hAnsi="Cambria"/>
          <w:b/>
          <w:color w:val="1d3557"/>
          <w:sz w:val="26"/>
        </w:rPr>
        <w:t xml:space="preserve">2.1 The Prohibition</w:t>
      </w:r>
    </w:p>
    <w:p>
      <w:pPr>
        <w:spacing w:before="120" w:after="160" w:line="276" w:lineRule="auto"/>
        <w:jc w:val="both"/>
      </w:pPr>
      <w:r>
        <w:rPr>
          <w:rFonts w:ascii="Cambria" w:hAnsi="Cambria"/>
          <w:color w:val="1d3557"/>
          <w:sz w:val="22"/>
        </w:rPr>
        <w:t xml:space="preserve">Neither Party provides direct material support for cross-border attacks from Lebanese territory during the term of the parent MOU.</w:t>
      </w:r>
    </w:p>
    <w:p>
      <w:pPr>
        <w:keepNext/>
        <w:spacing w:before="360" w:after="120"/>
      </w:pPr>
      <w:r>
        <w:rPr>
          <w:rFonts w:ascii="Cambria" w:hAnsi="Cambria"/>
          <w:b/>
          <w:color w:val="3d5a80"/>
          <w:sz w:val="22"/>
        </w:rPr>
        <w:t xml:space="preserve">Definition of "Cross-Border Attack"</w:t>
      </w:r>
    </w:p>
    <w:p>
      <w:pPr>
        <w:spacing w:before="120" w:after="160" w:line="276" w:lineRule="auto"/>
        <w:jc w:val="both"/>
      </w:pPr>
      <w:r>
        <w:rPr>
          <w:rFonts w:ascii="Cambria" w:hAnsi="Cambria"/>
          <w:color w:val="1d3557"/>
          <w:sz w:val="22"/>
        </w:rPr>
        <w:t xml:space="preserve">For purposes of this Annex, "cross-border attack" means any military or paramilitary operation launched from Lebanese territory that crosses into the territory of another state (including Israel) with the intent to cause harm. This definition includes:</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Rocket or missile fire from Lebanese territory into Israeli territory</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Ground incursions from Lebanon into Israel or the Golan Heights</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Tunneling operations beneath the Israel-Lebanon border for military purposes</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Drone or UAV operations launched from Lebanon into Israeli airspace</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Maritime attacks launched from Lebanese coastal territory against Israeli vessels</w:t>
      </w:r>
    </w:p>
    <w:p>
      <w:pPr>
        <w:spacing w:before="120" w:after="160" w:line="276" w:lineRule="auto"/>
        <w:jc w:val="both"/>
      </w:pPr>
      <w:r>
        <w:rPr>
          <w:rFonts w:ascii="Cambria" w:hAnsi="Cambria"/>
          <w:color w:val="1d3557"/>
          <w:sz w:val="22"/>
        </w:rPr>
        <w:t xml:space="preserve">This definition does not include: internal Lebanese security operations conducted entirely within Lebanese territory; humanitarian activities; or political demonstrations at the border that do not involve military force.</w:t>
      </w:r>
    </w:p>
    <w:p>
      <w:pPr>
        <w:pStyle w:val="Heading2"/>
        <w:keepNext/>
        <w:keepLines/>
        <w:spacing w:before="320" w:after="120"/>
      </w:pPr>
      <w:r>
        <w:rPr>
          <w:rFonts w:ascii="Cambria" w:hAnsi="Cambria"/>
          <w:b/>
          <w:color w:val="1d3557"/>
          <w:sz w:val="26"/>
        </w:rPr>
        <w:t xml:space="preserve">2.2 Definition of "Direct Material Support"</w:t>
      </w:r>
    </w:p>
    <w:p>
      <w:pPr>
        <w:spacing w:before="120" w:after="160" w:line="276" w:lineRule="auto"/>
        <w:jc w:val="both"/>
      </w:pPr>
      <w:r>
        <w:rPr>
          <w:rFonts w:ascii="Cambria" w:hAnsi="Cambria"/>
          <w:color w:val="1d3557"/>
          <w:sz w:val="22"/>
        </w:rPr>
        <w:t xml:space="preserve">For purposes of this Annex, "direct material support" means the provision of any of the following, specifically for the purpose of enabling a cross-border attack:</w:t>
      </w:r>
    </w:p>
    <w:p>
      <w:pPr>
        <w:spacing w:before="80" w:after="80" w:line="276" w:lineRule="auto"/>
        <w:ind w:left="360" w:hanging="360"/>
      </w:pPr>
      <w:r>
        <w:rPr>
          <w:rFonts w:ascii="Cambria" w:hAnsi="Cambria"/>
          <w:b/>
          <w:color w:val="1d3557"/>
          <w:sz w:val="22"/>
        </w:rPr>
        <w:t xml:space="preserve">(a). </w:t>
      </w:r>
      <w:r>
        <w:rPr>
          <w:rFonts w:ascii="Cambria" w:hAnsi="Cambria"/>
          <w:color w:val="1d3557"/>
          <w:sz w:val="22"/>
        </w:rPr>
        <w:t xml:space="preserve">Weapons — including rockets, missiles, small arms, explosive devices, improvised explosive devices (IEDs), anti-tank munitions, and drone or UAV platforms</w:t>
      </w:r>
    </w:p>
    <w:p>
      <w:pPr>
        <w:spacing w:before="80" w:after="80" w:line="276" w:lineRule="auto"/>
        <w:ind w:left="360" w:hanging="360"/>
      </w:pPr>
      <w:r>
        <w:rPr>
          <w:rFonts w:ascii="Cambria" w:hAnsi="Cambria"/>
          <w:b/>
          <w:color w:val="1d3557"/>
          <w:sz w:val="22"/>
        </w:rPr>
        <w:t xml:space="preserve">(b). </w:t>
      </w:r>
      <w:r>
        <w:rPr>
          <w:rFonts w:ascii="Cambria" w:hAnsi="Cambria"/>
          <w:color w:val="1d3557"/>
          <w:sz w:val="22"/>
        </w:rPr>
        <w:t xml:space="preserve">Funding specifically designated for cross-border attack operations — financial transfers, cash deliveries, or cryptocurrency transactions where the intended use is the procurement of weapons, payment of operatives, or logistical preparation for a cross-border attack</w:t>
      </w:r>
    </w:p>
    <w:p>
      <w:pPr>
        <w:spacing w:before="80" w:after="80" w:line="276" w:lineRule="auto"/>
        <w:ind w:left="360" w:hanging="360"/>
      </w:pPr>
      <w:r>
        <w:rPr>
          <w:rFonts w:ascii="Cambria" w:hAnsi="Cambria"/>
          <w:b/>
          <w:color w:val="1d3557"/>
          <w:sz w:val="22"/>
        </w:rPr>
        <w:t xml:space="preserve">(c). </w:t>
      </w:r>
      <w:r>
        <w:rPr>
          <w:rFonts w:ascii="Cambria" w:hAnsi="Cambria"/>
          <w:color w:val="1d3557"/>
          <w:sz w:val="22"/>
        </w:rPr>
        <w:t xml:space="preserve">Operational planning — including targeting intelligence, tactical coordination, route planning, timing coordination, and logistical preparation directly linked to a specific imminent or ongoing attack</w:t>
      </w:r>
    </w:p>
    <w:p>
      <w:pPr>
        <w:spacing w:before="120" w:after="160" w:line="276" w:lineRule="auto"/>
        <w:jc w:val="both"/>
      </w:pPr>
      <w:r>
        <w:rPr>
          <w:rFonts w:ascii="Cambria" w:hAnsi="Cambria"/>
          <w:color w:val="1d3557"/>
          <w:sz w:val="22"/>
        </w:rPr>
        <w:t xml:space="preserve">"Direct material support" requires a nexus between the support provided and a specific cross-border attack or imminent attack. General support that is not specifically linked to a particular attack does not constitute direct material support under this Annex.</w:t>
      </w:r>
    </w:p>
    <w:p>
      <w:pPr>
        <w:keepNext/>
        <w:spacing w:before="360" w:after="120"/>
      </w:pPr>
      <w:r>
        <w:rPr>
          <w:rFonts w:ascii="Cambria" w:hAnsi="Cambria"/>
          <w:b/>
          <w:color w:val="3d5a80"/>
          <w:sz w:val="22"/>
        </w:rPr>
        <w:t xml:space="preserve">What Does Not Constitute Direct Material Support</w:t>
      </w:r>
    </w:p>
    <w:p>
      <w:pPr>
        <w:spacing w:before="120" w:after="160" w:line="276" w:lineRule="auto"/>
        <w:jc w:val="both"/>
      </w:pPr>
      <w:r>
        <w:rPr>
          <w:rFonts w:ascii="Cambria" w:hAnsi="Cambria"/>
          <w:color w:val="1d3557"/>
          <w:sz w:val="22"/>
        </w:rPr>
        <w:t xml:space="preserve">The following activities do not constitute direct material support under this Annex, regardless of the recipient:</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Political or diplomatic support (e.g., statements of solidarity, diplomatic advocacy at international forums, votes at the UN General Assembly)</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Humanitarian or reconstruction assistance (e.g., medical supplies, food aid, infrastructure rebuilding)</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General financial support not specifically designated for cross-border attacks (e.g., budgetary assistance to municipal governments, social welfare programs, educational funding)</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Training or advice not directly linked to a specific imminent attack (e.g., general military education, strategic studies, historical analysis)</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Cultural, religious, or educational exchanges</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Economic or trade relationships</w:t>
      </w:r>
    </w:p>
    <w:p>
      <w:pPr>
        <w:pStyle w:val="Heading2"/>
        <w:keepNext/>
        <w:keepLines/>
        <w:spacing w:before="320" w:after="120"/>
      </w:pPr>
      <w:r>
        <w:rPr>
          <w:rFonts w:ascii="Cambria" w:hAnsi="Cambria"/>
          <w:b/>
          <w:color w:val="1d3557"/>
          <w:sz w:val="26"/>
        </w:rPr>
        <w:t xml:space="preserve">2.3 Excluded Activities</w:t>
      </w:r>
    </w:p>
    <w:p>
      <w:pPr>
        <w:spacing w:before="120" w:after="160" w:line="276" w:lineRule="auto"/>
        <w:jc w:val="both"/>
      </w:pPr>
      <w:r>
        <w:rPr>
          <w:rFonts w:ascii="Cambria" w:hAnsi="Cambria"/>
          <w:color w:val="1d3557"/>
          <w:sz w:val="22"/>
        </w:rPr>
        <w:t xml:space="preserve">The following activities do not constitute a violation of this Annex, regardless of whether they involve Hezbollah or any other group:</w:t>
      </w:r>
    </w:p>
    <w:p>
      <w:pPr>
        <w:spacing w:before="80" w:after="80" w:line="276" w:lineRule="auto"/>
        <w:ind w:left="360" w:hanging="360"/>
      </w:pPr>
      <w:r>
        <w:rPr>
          <w:rFonts w:ascii="Cambria" w:hAnsi="Cambria"/>
          <w:b/>
          <w:color w:val="1d3557"/>
          <w:sz w:val="22"/>
        </w:rPr>
        <w:t xml:space="preserve">1. </w:t>
      </w:r>
      <w:r>
        <w:rPr>
          <w:rFonts w:ascii="Cambria" w:hAnsi="Cambria"/>
          <w:color w:val="1d3557"/>
          <w:sz w:val="22"/>
        </w:rPr>
        <w:t xml:space="preserve">Political statements or public advocacy — including speeches, press releases, social media posts, and official statements expressing political positions</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Hosting of delegations or diplomatic meetings — including visits by Lebanese political figures, parliamentary exchanges, and formal diplomatic receptions</w:t>
      </w:r>
    </w:p>
    <w:p>
      <w:pPr>
        <w:spacing w:before="80" w:after="80" w:line="276" w:lineRule="auto"/>
        <w:ind w:left="360" w:hanging="360"/>
      </w:pPr>
      <w:r>
        <w:rPr>
          <w:rFonts w:ascii="Cambria" w:hAnsi="Cambria"/>
          <w:b/>
          <w:color w:val="1d3557"/>
          <w:sz w:val="22"/>
        </w:rPr>
        <w:t xml:space="preserve">3. </w:t>
      </w:r>
      <w:r>
        <w:rPr>
          <w:rFonts w:ascii="Cambria" w:hAnsi="Cambria"/>
          <w:color w:val="1d3557"/>
          <w:sz w:val="22"/>
        </w:rPr>
        <w:t xml:space="preserve">Economic or trade relationships — including commercial contracts, banking relationships, investment flows, and trade in goods and services</w:t>
      </w:r>
    </w:p>
    <w:p>
      <w:pPr>
        <w:spacing w:before="80" w:after="80" w:line="276" w:lineRule="auto"/>
        <w:ind w:left="360" w:hanging="360"/>
      </w:pPr>
      <w:r>
        <w:rPr>
          <w:rFonts w:ascii="Cambria" w:hAnsi="Cambria"/>
          <w:b/>
          <w:color w:val="1d3557"/>
          <w:sz w:val="22"/>
        </w:rPr>
        <w:t xml:space="preserve">4. </w:t>
      </w:r>
      <w:r>
        <w:rPr>
          <w:rFonts w:ascii="Cambria" w:hAnsi="Cambria"/>
          <w:color w:val="1d3557"/>
          <w:sz w:val="22"/>
        </w:rPr>
        <w:t xml:space="preserve">Cultural or religious exchanges — including educational programs, religious pilgrimages, academic collaborations, and cultural events</w:t>
      </w:r>
    </w:p>
    <w:p>
      <w:pPr>
        <w:spacing w:before="80" w:after="80" w:line="276" w:lineRule="auto"/>
        <w:ind w:left="360" w:hanging="360"/>
      </w:pPr>
      <w:r>
        <w:rPr>
          <w:rFonts w:ascii="Cambria" w:hAnsi="Cambria"/>
          <w:b/>
          <w:color w:val="1d3557"/>
          <w:sz w:val="22"/>
        </w:rPr>
        <w:t xml:space="preserve">5. </w:t>
      </w:r>
      <w:r>
        <w:rPr>
          <w:rFonts w:ascii="Cambria" w:hAnsi="Cambria"/>
          <w:color w:val="1d3557"/>
          <w:sz w:val="22"/>
        </w:rPr>
        <w:t xml:space="preserve">Humanitarian or medical assistance — including disaster relief, medical treatment, public health programs, and refugee support</w:t>
      </w:r>
    </w:p>
    <w:p>
      <w:pPr>
        <w:spacing w:before="120" w:after="160" w:line="276" w:lineRule="auto"/>
        <w:jc w:val="both"/>
      </w:pPr>
      <w:r>
        <w:rPr>
          <w:rFonts w:ascii="Cambria" w:hAnsi="Cambria"/>
          <w:color w:val="1d3557"/>
          <w:sz w:val="22"/>
        </w:rPr>
        <w:t xml:space="preserve">The excluded activities are non-exhaustive. Any activity that does not meet the definition of "direct material support" in Article 2.2 is not a violation of this Annex.</w:t>
      </w:r>
    </w:p>
    <w:p>
      <w:pPr>
        <w:pStyle w:val="Heading1"/>
        <w:keepNext/>
        <w:keepLines/>
        <w:spacing w:before="480" w:after="200"/>
      </w:pPr>
      <w:r>
        <w:rPr>
          <w:rFonts w:ascii="Cambria" w:hAnsi="Cambria"/>
          <w:b/>
          <w:color w:val="3d5a80"/>
          <w:sz w:val="32"/>
        </w:rPr>
        <w:t xml:space="preserve">Article 3: Verification and Classification</w:t>
      </w:r>
    </w:p>
    <w:p>
      <w:pPr>
        <w:keepNext/>
        <w:spacing w:before="200" w:after="80"/>
      </w:pPr>
      <w:r>
        <w:rPr>
          <w:rFonts w:ascii="Cambria" w:hAnsi="Cambria"/>
          <w:b/>
          <w:i/>
          <w:color w:val="457b9d"/>
          <w:sz w:val="20"/>
        </w:rPr>
        <w:t xml:space="preserve">OPERATIVE AND BINDING</w:t>
      </w:r>
    </w:p>
    <w:p>
      <w:pPr>
        <w:pStyle w:val="Heading2"/>
        <w:keepNext/>
        <w:keepLines/>
        <w:spacing w:before="320" w:after="120"/>
      </w:pPr>
      <w:r>
        <w:rPr>
          <w:rFonts w:ascii="Cambria" w:hAnsi="Cambria"/>
          <w:b/>
          <w:color w:val="1d3557"/>
          <w:sz w:val="26"/>
        </w:rPr>
        <w:t xml:space="preserve">3.1 Verification Standards</w:t>
      </w:r>
    </w:p>
    <w:p>
      <w:pPr>
        <w:spacing w:before="120" w:after="160" w:line="276" w:lineRule="auto"/>
        <w:jc w:val="both"/>
      </w:pPr>
      <w:r>
        <w:rPr>
          <w:rFonts w:ascii="Cambria" w:hAnsi="Cambria"/>
          <w:color w:val="1d3557"/>
          <w:sz w:val="22"/>
        </w:rPr>
        <w:t xml:space="preserve">A violation of Article 2 requires verification by credible, specific, and corroborated evidence from at least two independent sources. The accuser bears the burden of proof in all proceedings under this Annex.</w:t>
      </w:r>
    </w:p>
    <w:p>
      <w:pPr>
        <w:keepNext/>
        <w:spacing w:before="360" w:after="120"/>
      </w:pPr>
      <w:r>
        <w:rPr>
          <w:rFonts w:ascii="Cambria" w:hAnsi="Cambria"/>
          <w:b/>
          <w:color w:val="3d5a80"/>
          <w:sz w:val="22"/>
        </w:rPr>
        <w:t xml:space="preserve">Acceptable Evidence Types</w:t>
      </w:r>
    </w:p>
    <w:p>
      <w:pPr>
        <w:spacing w:before="120" w:after="160" w:line="276" w:lineRule="auto"/>
        <w:jc w:val="both"/>
      </w:pPr>
      <w:r>
        <w:rPr>
          <w:rFonts w:ascii="Cambria" w:hAnsi="Cambria"/>
          <w:color w:val="1d3557"/>
          <w:sz w:val="22"/>
        </w:rPr>
        <w:t xml:space="preserve">Evidence is evaluated for credibility, specificity, and chain of custody. Acceptable evidence types include:</w:t>
      </w:r>
    </w:p>
    <w:p>
      <w:pPr>
        <w:spacing w:before="80" w:after="80" w:line="276" w:lineRule="auto"/>
        <w:ind w:left="360" w:hanging="360"/>
      </w:pPr>
      <w:r>
        <w:rPr>
          <w:rFonts w:ascii="Cambria" w:hAnsi="Cambria"/>
          <w:b/>
          <w:color w:val="1d3557"/>
          <w:sz w:val="22"/>
        </w:rPr>
        <w:t xml:space="preserve">1. </w:t>
      </w:r>
      <w:r>
        <w:rPr>
          <w:rFonts w:ascii="Cambria" w:hAnsi="Cambria"/>
          <w:color w:val="1d3557"/>
          <w:sz w:val="22"/>
        </w:rPr>
        <w:t xml:space="preserve">National technical means (NTM) — satellite imagery, signals intelligence (SIGINT), communications intercepts</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Human intelligence (HUMINT) — provided with verifiable chain-of-custody documentation and corroboration</w:t>
      </w:r>
    </w:p>
    <w:p>
      <w:pPr>
        <w:spacing w:before="80" w:after="80" w:line="276" w:lineRule="auto"/>
        <w:ind w:left="360" w:hanging="360"/>
      </w:pPr>
      <w:r>
        <w:rPr>
          <w:rFonts w:ascii="Cambria" w:hAnsi="Cambria"/>
          <w:b/>
          <w:color w:val="1d3557"/>
          <w:sz w:val="22"/>
        </w:rPr>
        <w:t xml:space="preserve">3. </w:t>
      </w:r>
      <w:r>
        <w:rPr>
          <w:rFonts w:ascii="Cambria" w:hAnsi="Cambria"/>
          <w:color w:val="1d3557"/>
          <w:sz w:val="22"/>
        </w:rPr>
        <w:t xml:space="preserve">Financial tracking — documented money flows with specific designation for attack operations</w:t>
      </w:r>
    </w:p>
    <w:p>
      <w:pPr>
        <w:spacing w:before="80" w:after="80" w:line="276" w:lineRule="auto"/>
        <w:ind w:left="360" w:hanging="360"/>
      </w:pPr>
      <w:r>
        <w:rPr>
          <w:rFonts w:ascii="Cambria" w:hAnsi="Cambria"/>
          <w:b/>
          <w:color w:val="1d3557"/>
          <w:sz w:val="22"/>
        </w:rPr>
        <w:t xml:space="preserve">4. </w:t>
      </w:r>
      <w:r>
        <w:rPr>
          <w:rFonts w:ascii="Cambria" w:hAnsi="Cambria"/>
          <w:color w:val="1d3557"/>
          <w:sz w:val="22"/>
        </w:rPr>
        <w:t xml:space="preserve">Physical evidence — seized weapons with traceable provenance, recovered documents, or forensic material</w:t>
      </w:r>
    </w:p>
    <w:p>
      <w:pPr>
        <w:spacing w:before="80" w:after="80" w:line="276" w:lineRule="auto"/>
        <w:ind w:left="360" w:hanging="360"/>
      </w:pPr>
      <w:r>
        <w:rPr>
          <w:rFonts w:ascii="Cambria" w:hAnsi="Cambria"/>
          <w:b/>
          <w:color w:val="1d3557"/>
          <w:sz w:val="22"/>
        </w:rPr>
        <w:t xml:space="preserve">5. </w:t>
      </w:r>
      <w:r>
        <w:rPr>
          <w:rFonts w:ascii="Cambria" w:hAnsi="Cambria"/>
          <w:color w:val="1d3557"/>
          <w:sz w:val="22"/>
        </w:rPr>
        <w:t xml:space="preserve">Third-party observer reports — UN Interim Force in Lebanon (UNIFIL) incident reports, Joint Humanitarian Transit Authority observations, or other neutral observer documentation</w:t>
      </w:r>
    </w:p>
    <w:p>
      <w:pPr>
        <w:keepNext/>
        <w:spacing w:before="360" w:after="120"/>
      </w:pPr>
      <w:r>
        <w:rPr>
          <w:rFonts w:ascii="Cambria" w:hAnsi="Cambria"/>
          <w:b/>
          <w:color w:val="3d5a80"/>
          <w:sz w:val="22"/>
        </w:rPr>
        <w:t xml:space="preserve">Burden of Proof</w:t>
      </w:r>
    </w:p>
    <w:p>
      <w:pPr>
        <w:spacing w:before="120" w:after="160" w:line="276" w:lineRule="auto"/>
        <w:jc w:val="both"/>
      </w:pPr>
      <w:r>
        <w:rPr>
          <w:rFonts w:ascii="Cambria" w:hAnsi="Cambria"/>
          <w:color w:val="1d3557"/>
          <w:sz w:val="22"/>
        </w:rPr>
        <w:t xml:space="preserve">The accuser (the Party alleging a violation) bears the burden of demonstrating, by credible and corroborated evidence, that:</w:t>
      </w:r>
    </w:p>
    <w:p>
      <w:pPr>
        <w:spacing w:before="80" w:after="80" w:line="276" w:lineRule="auto"/>
        <w:ind w:left="360" w:hanging="360"/>
      </w:pPr>
      <w:r>
        <w:rPr>
          <w:rFonts w:ascii="Cambria" w:hAnsi="Cambria"/>
          <w:b/>
          <w:color w:val="1d3557"/>
          <w:sz w:val="22"/>
        </w:rPr>
        <w:t xml:space="preserve">(a). </w:t>
      </w:r>
      <w:r>
        <w:rPr>
          <w:rFonts w:ascii="Cambria" w:hAnsi="Cambria"/>
          <w:color w:val="1d3557"/>
          <w:sz w:val="22"/>
        </w:rPr>
        <w:t xml:space="preserve">A cross-border attack occurred or was imminent</w:t>
      </w:r>
    </w:p>
    <w:p>
      <w:pPr>
        <w:spacing w:before="80" w:after="80" w:line="276" w:lineRule="auto"/>
        <w:ind w:left="360" w:hanging="360"/>
      </w:pPr>
      <w:r>
        <w:rPr>
          <w:rFonts w:ascii="Cambria" w:hAnsi="Cambria"/>
          <w:b/>
          <w:color w:val="1d3557"/>
          <w:sz w:val="22"/>
        </w:rPr>
        <w:t xml:space="preserve">(b). </w:t>
      </w:r>
      <w:r>
        <w:rPr>
          <w:rFonts w:ascii="Cambria" w:hAnsi="Cambria"/>
          <w:color w:val="1d3557"/>
          <w:sz w:val="22"/>
        </w:rPr>
        <w:t xml:space="preserve">The accused Party provided direct material support as defined in Article 2.2</w:t>
      </w:r>
    </w:p>
    <w:p>
      <w:pPr>
        <w:spacing w:before="80" w:after="80" w:line="276" w:lineRule="auto"/>
        <w:ind w:left="360" w:hanging="360"/>
      </w:pPr>
      <w:r>
        <w:rPr>
          <w:rFonts w:ascii="Cambria" w:hAnsi="Cambria"/>
          <w:b/>
          <w:color w:val="1d3557"/>
          <w:sz w:val="22"/>
        </w:rPr>
        <w:t xml:space="preserve">(c). </w:t>
      </w:r>
      <w:r>
        <w:rPr>
          <w:rFonts w:ascii="Cambria" w:hAnsi="Cambria"/>
          <w:color w:val="1d3557"/>
          <w:sz w:val="22"/>
        </w:rPr>
        <w:t xml:space="preserve">A direct nexus exists between the support and the attack</w:t>
      </w:r>
    </w:p>
    <w:p>
      <w:pPr>
        <w:spacing w:before="120" w:after="160" w:line="276" w:lineRule="auto"/>
        <w:jc w:val="both"/>
      </w:pPr>
      <w:r>
        <w:rPr>
          <w:rFonts w:ascii="Cambria" w:hAnsi="Cambria"/>
          <w:color w:val="1d3557"/>
          <w:sz w:val="22"/>
        </w:rPr>
        <w:t xml:space="preserve">If the accuser fails to demonstrate all three elements, the PCC dismisses the complaint. A single-source allegation, without corroboration, is insufficient to sustain a finding of violation.</w:t>
      </w:r>
    </w:p>
    <w:p>
      <w:pPr>
        <w:keepNext/>
        <w:spacing w:before="360" w:after="120"/>
      </w:pPr>
      <w:r>
        <w:rPr>
          <w:rFonts w:ascii="Cambria" w:hAnsi="Cambria"/>
          <w:b/>
          <w:color w:val="3d5a80"/>
          <w:sz w:val="22"/>
        </w:rPr>
        <w:t xml:space="preserve">PCC Review Process</w:t>
      </w:r>
    </w:p>
    <w:p>
      <w:pPr>
        <w:spacing w:before="120" w:after="160" w:line="276" w:lineRule="auto"/>
        <w:jc w:val="both"/>
      </w:pPr>
      <w:r>
        <w:rPr>
          <w:rFonts w:ascii="Cambria" w:hAnsi="Cambria"/>
          <w:color w:val="1d3557"/>
          <w:sz w:val="22"/>
        </w:rPr>
        <w:t xml:space="preserve">The PCC reviews all evidence within 72 hours of a formal complaint. The PCC requests additional information from either Party or from guarantor states as needed. The PCC's review is confidential and does not prejudice either Party's public position.</w:t>
      </w:r>
    </w:p>
    <w:p>
      <w:pPr>
        <w:spacing w:before="120" w:after="160" w:line="276" w:lineRule="auto"/>
        <w:jc w:val="both"/>
      </w:pPr>
      <w:r>
        <w:rPr>
          <w:rFonts w:ascii="Cambria" w:hAnsi="Cambria"/>
          <w:color w:val="1d3557"/>
          <w:sz w:val="22"/>
        </w:rPr>
        <w:t xml:space="preserve">During the 72-hour PCC review period, the Escalation Buffer Period under Annex R, Article 4, activates automatically if the alleged violation involves a kinetic event. The buffer provides time for evidence assessment before either Party takes responsive action.</w:t>
      </w:r>
    </w:p>
    <w:p>
      <w:pPr>
        <w:pStyle w:val="Heading2"/>
        <w:keepNext/>
        <w:keepLines/>
        <w:spacing w:before="320" w:after="120"/>
      </w:pPr>
      <w:r>
        <w:rPr>
          <w:rFonts w:ascii="Cambria" w:hAnsi="Cambria"/>
          <w:b/>
          <w:color w:val="1d3557"/>
          <w:sz w:val="26"/>
        </w:rPr>
        <w:t xml:space="preserve">3.2 Tier Classification</w:t>
      </w:r>
    </w:p>
    <w:p>
      <w:pPr>
        <w:spacing w:before="120" w:after="160" w:line="276" w:lineRule="auto"/>
        <w:jc w:val="both"/>
      </w:pPr>
      <w:r>
        <w:rPr>
          <w:rFonts w:ascii="Cambria" w:hAnsi="Cambria"/>
          <w:color w:val="1d3557"/>
          <w:sz w:val="22"/>
        </w:rPr>
        <w:t xml:space="preserve">A verified violation of Article 2 is classified as a Tier 2 Material Disruption under Annex T. Consequences are limited to the regional and ceasefire module:</w:t>
      </w:r>
    </w:p>
    <w:p>
      <w:pPr>
        <w:spacing w:before="80" w:after="80" w:line="276" w:lineRule="auto"/>
        <w:ind w:left="360" w:hanging="360"/>
      </w:pPr>
      <w:r>
        <w:rPr>
          <w:rFonts w:ascii="Cambria" w:hAnsi="Cambria"/>
          <w:b/>
          <w:color w:val="1d3557"/>
          <w:sz w:val="22"/>
        </w:rPr>
        <w:t xml:space="preserve">1. </w:t>
      </w:r>
      <w:r>
        <w:rPr>
          <w:rFonts w:ascii="Cambria" w:hAnsi="Cambria"/>
          <w:color w:val="1d3557"/>
          <w:sz w:val="22"/>
        </w:rPr>
        <w:t xml:space="preserve">Graduated step-back: 10% reduction in non-humanitarian benefits for a first violation; 25% reduction for a second or subsequent violation within any 180-day period</w:t>
      </w:r>
    </w:p>
    <w:p>
      <w:pPr>
        <w:spacing w:before="80" w:after="80" w:line="276" w:lineRule="auto"/>
        <w:ind w:left="360" w:hanging="360"/>
      </w:pPr>
      <w:r>
        <w:rPr>
          <w:rFonts w:ascii="Cambria" w:hAnsi="Cambria"/>
          <w:b/>
          <w:color w:val="1d3557"/>
          <w:sz w:val="22"/>
        </w:rPr>
        <w:t xml:space="preserve">2. </w:t>
      </w:r>
      <w:r>
        <w:rPr>
          <w:rFonts w:ascii="Cambria" w:hAnsi="Cambria"/>
          <w:color w:val="1d3557"/>
          <w:sz w:val="22"/>
        </w:rPr>
        <w:t xml:space="preserve">A 30-day remediation window during which the accused Party demonstrates cessation of the prohibited activity</w:t>
      </w:r>
    </w:p>
    <w:p>
      <w:pPr>
        <w:spacing w:before="80" w:after="80" w:line="276" w:lineRule="auto"/>
        <w:ind w:left="360" w:hanging="360"/>
      </w:pPr>
      <w:r>
        <w:rPr>
          <w:rFonts w:ascii="Cambria" w:hAnsi="Cambria"/>
          <w:b/>
          <w:color w:val="1d3557"/>
          <w:sz w:val="22"/>
        </w:rPr>
        <w:t xml:space="preserve">3. </w:t>
      </w:r>
      <w:r>
        <w:rPr>
          <w:rFonts w:ascii="Cambria" w:hAnsi="Cambria"/>
          <w:color w:val="1d3557"/>
          <w:sz w:val="22"/>
        </w:rPr>
        <w:t xml:space="preserve">Full earn-back upon 14 consecutive days of clean compliance after remediation completion</w:t>
      </w:r>
    </w:p>
    <w:p>
      <w:pPr>
        <w:spacing w:before="120" w:after="160" w:line="276" w:lineRule="auto"/>
        <w:jc w:val="both"/>
      </w:pPr>
      <w:r>
        <w:rPr>
          <w:rFonts w:ascii="Cambria" w:hAnsi="Cambria"/>
          <w:color w:val="1d3557"/>
          <w:sz w:val="22"/>
        </w:rPr>
        <w:t xml:space="preserve">The step-back applies only to benefits within the regional and ceasefire module (parent MOU governance provisions, regional cooperation track). No nuclear or maritime benefits are affected.</w:t>
      </w:r>
    </w:p>
    <w:p>
      <w:pPr>
        <w:keepNext/>
        <w:spacing w:before="360" w:after="120"/>
      </w:pPr>
      <w:r>
        <w:rPr>
          <w:rFonts w:ascii="Cambria" w:hAnsi="Cambria"/>
          <w:b/>
          <w:color w:val="3d5a80"/>
          <w:sz w:val="22"/>
        </w:rPr>
        <w:t xml:space="preserve">No Automatic Humanitarian Impact</w:t>
      </w:r>
    </w:p>
    <w:p>
      <w:pPr>
        <w:spacing w:before="120" w:after="160" w:line="276" w:lineRule="auto"/>
        <w:jc w:val="both"/>
      </w:pPr>
      <w:r>
        <w:rPr>
          <w:rFonts w:ascii="Cambria" w:hAnsi="Cambria"/>
          <w:color w:val="1d3557"/>
          <w:sz w:val="22"/>
        </w:rPr>
        <w:t xml:space="preserve">The $250M humanitarian tranche (parent MOU governance provisions) remains protected. No Tier 2 classification under this Annex affects humanitarian funds, humanitarian corridor access, or medical and disaster relief operations.</w:t>
      </w:r>
    </w:p>
    <w:p>
      <w:pPr>
        <w:pStyle w:val="Heading2"/>
        <w:keepNext/>
        <w:keepLines/>
        <w:spacing w:before="320" w:after="120"/>
      </w:pPr>
      <w:r>
        <w:rPr>
          <w:rFonts w:ascii="Cambria" w:hAnsi="Cambria"/>
          <w:b/>
          <w:color w:val="1d3557"/>
          <w:sz w:val="26"/>
        </w:rPr>
        <w:t xml:space="preserve">3.3 No Automatic Cross-Module Suspension</w:t>
      </w:r>
    </w:p>
    <w:p>
      <w:pPr>
        <w:spacing w:before="120" w:after="160" w:line="276" w:lineRule="auto"/>
        <w:jc w:val="both"/>
      </w:pPr>
      <w:r>
        <w:rPr>
          <w:rFonts w:ascii="Cambria" w:hAnsi="Cambria"/>
          <w:color w:val="1d3557"/>
          <w:sz w:val="22"/>
        </w:rPr>
        <w:t xml:space="preserve">A violation of this Annex does not automatically suspend, impair, or trigger step-back in the nuclear or maritime cores (parent MOU Articles 2-5). Cross-module spillover requires a separate PCC determination by two-thirds majority vote that the violation directly and materially impairs the other Party's ability to perform nuclear or maritime obligations.</w:t>
      </w:r>
    </w:p>
    <w:p>
      <w:pPr>
        <w:spacing w:before="120" w:after="160" w:line="276" w:lineRule="auto"/>
        <w:jc w:val="both"/>
      </w:pPr>
      <w:r>
        <w:rPr>
          <w:rFonts w:ascii="Cambria" w:hAnsi="Cambria"/>
          <w:color w:val="1d3557"/>
          <w:sz w:val="22"/>
        </w:rPr>
        <w:t xml:space="preserve">The PCC considers the following factors in a cross-module determination:</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Whether the violation is part of a pattern of conduct that threatens the overall framework</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Whether the violation involves a state actor rather than a non-state actor</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Whether the violation is accompanied by Iranian government statements or actions that contradict the MOU's nuclear or maritime commitments</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Whether the violation creates a security environment that makes IAEA inspection or Hormuz transit unsafe</w:t>
      </w:r>
    </w:p>
    <w:p>
      <w:pPr>
        <w:spacing w:before="120" w:after="160" w:line="276" w:lineRule="auto"/>
        <w:jc w:val="both"/>
      </w:pPr>
      <w:r>
        <w:rPr>
          <w:rFonts w:ascii="Cambria" w:hAnsi="Cambria"/>
          <w:color w:val="1d3557"/>
          <w:sz w:val="22"/>
        </w:rPr>
        <w:t xml:space="preserve">A cross-module determination is not automatic. It requires affirmative PCC action. The presumption is that regional module violations remain within the regional module.</w:t>
      </w:r>
    </w:p>
    <w:p>
      <w:pPr>
        <w:pStyle w:val="Heading2"/>
        <w:keepNext/>
        <w:keepLines/>
        <w:spacing w:before="320" w:after="120"/>
      </w:pPr>
      <w:r>
        <w:rPr>
          <w:rFonts w:ascii="Cambria" w:hAnsi="Cambria"/>
          <w:b/>
          <w:color w:val="1d3557"/>
          <w:sz w:val="26"/>
        </w:rPr>
        <w:t xml:space="preserve">3.4 Good-Faith Disputes</w:t>
      </w:r>
    </w:p>
    <w:p>
      <w:pPr>
        <w:spacing w:before="120" w:after="160" w:line="276" w:lineRule="auto"/>
        <w:jc w:val="both"/>
      </w:pPr>
      <w:r>
        <w:rPr>
          <w:rFonts w:ascii="Cambria" w:hAnsi="Cambria"/>
          <w:color w:val="1d3557"/>
          <w:sz w:val="22"/>
        </w:rPr>
        <w:t xml:space="preserve">If the Parties disagree on whether a violation occurred, the dispute is resolved through the standard PCC consultation process under Annex R. No automatic step-back applies pending resolution.</w:t>
      </w:r>
    </w:p>
    <w:p>
      <w:pPr>
        <w:spacing w:before="120" w:after="160" w:line="276" w:lineRule="auto"/>
        <w:jc w:val="both"/>
      </w:pPr>
      <w:r>
        <w:rPr>
          <w:rFonts w:ascii="Cambria" w:hAnsi="Cambria"/>
          <w:color w:val="1d3557"/>
          <w:sz w:val="22"/>
        </w:rPr>
        <w:t xml:space="preserve">A good-faith dispute exists when:</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Both Parties present credible but conflicting evidence</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The evidence is ambiguous or susceptible to multiple interpretations</w:t>
      </w:r>
    </w:p>
    <w:p>
      <w:pPr>
        <w:spacing w:before="40" w:after="40" w:line="276" w:lineRule="auto"/>
        <w:ind w:left="720" w:hanging="360"/>
      </w:pPr>
      <w:r>
        <w:rPr>
          <w:rFonts w:ascii="Cambria" w:hAnsi="Cambria"/>
          <w:color w:val="457b9d"/>
          <w:sz w:val="22"/>
        </w:rPr>
        <w:t xml:space="preserve">• </w:t>
      </w:r>
      <w:r>
        <w:rPr>
          <w:rFonts w:ascii="Cambria" w:hAnsi="Cambria"/>
          <w:color w:val="1d3557"/>
          <w:sz w:val="22"/>
        </w:rPr>
        <w:t xml:space="preserve">The alleged support falls in a grey area between direct material support and excluded activity</w:t>
      </w:r>
    </w:p>
    <w:p>
      <w:pPr>
        <w:spacing w:before="120" w:after="160" w:line="276" w:lineRule="auto"/>
        <w:jc w:val="both"/>
      </w:pPr>
      <w:r>
        <w:rPr>
          <w:rFonts w:ascii="Cambria" w:hAnsi="Cambria"/>
          <w:color w:val="1d3557"/>
          <w:sz w:val="22"/>
        </w:rPr>
        <w:t xml:space="preserve">During a good-faith dispute, the Escalation Buffer Period under Annex R remains active. Neither Party takes unilateral action. The PCC issues a binding determination within 14 days. If the PCC cannot reach a determination, the matter is referred to PCA arbitration under Annex O, Article 6 (5-7 day ruling).</w:t>
      </w:r>
    </w:p>
    <w:p>
      <w:pPr>
        <w:pStyle w:val="Heading1"/>
        <w:keepNext/>
        <w:keepLines/>
        <w:spacing w:before="480" w:after="200"/>
      </w:pPr>
      <w:r>
        <w:rPr>
          <w:rFonts w:ascii="Cambria" w:hAnsi="Cambria"/>
          <w:b/>
          <w:color w:val="3d5a80"/>
          <w:sz w:val="32"/>
        </w:rPr>
        <w:t xml:space="preserve">Article 4: Relationship to Other Annexes</w:t>
      </w:r>
    </w:p>
    <w:p>
      <w:pPr>
        <w:keepNext/>
        <w:spacing w:before="200" w:after="80"/>
      </w:pPr>
      <w:r>
        <w:rPr>
          <w:rFonts w:ascii="Cambria" w:hAnsi="Cambria"/>
          <w:b/>
          <w:i/>
          <w:color w:val="457b9d"/>
          <w:sz w:val="20"/>
        </w:rPr>
        <w:t xml:space="preserve">OPERATIVE AND BINDING</w:t>
      </w:r>
    </w:p>
    <w:tbl>
      <w:tblPr>
        <w:tblW w:w="5000" w:type="pct"/>
        <w:tblBorders>
          <w:top w:val="single" w:color="3d5a80" w:sz="12"/>
          <w:left w:val="nil"/>
          <w:bottom w:val="single" w:color="3d5a80" w:sz="12"/>
          <w:right w:val="nil"/>
          <w:insideH w:val="single" w:color="d0d5dd" w:sz="4"/>
          <w:insideV w:val="nil"/>
        </w:tblBorders>
      </w:tblPr>
      <w:tblGrid>
        <w:gridCol w:w="2600"/>
        <w:gridCol w:w="6200"/>
      </w:tblGrid>
      <w:tr>
        <w:trPr>
          <w:tblHeader/>
        </w:trPr>
        <w:tc>
          <w:tcPr>
            <w:tcW w:w="2600" w:type="dxa"/>
            <w:shd w:val="clear" w:fill="e8ecf1"/>
          </w:tcPr>
          <w:p>
            <w:pPr>
              <w:spacing w:before="60" w:after="60" w:line="240" w:lineRule="auto"/>
            </w:pPr>
            <w:r>
              <w:rPr>
                <w:b/>
                <w:color w:val="1d3557"/>
                <w:sz w:val="20"/>
              </w:rPr>
              <w:t xml:space="preserve">Annex / Provision</w:t>
            </w:r>
          </w:p>
        </w:tc>
        <w:tc>
          <w:tcPr>
            <w:tcW w:w="6200" w:type="dxa"/>
            <w:shd w:val="clear" w:fill="e8ecf1"/>
          </w:tcPr>
          <w:p>
            <w:pPr>
              <w:spacing w:before="60" w:after="60" w:line="240" w:lineRule="auto"/>
            </w:pPr>
            <w:r>
              <w:rPr>
                <w:b/>
                <w:color w:val="1d3557"/>
                <w:sz w:val="20"/>
              </w:rPr>
              <w:t xml:space="preserve">Relationship</w:t>
            </w:r>
          </w:p>
        </w:tc>
      </w:tr>
      <w:tr>
        <w:tc>
          <w:tcPr>
            <w:tcW w:w="2600" w:type="dxa"/>
          </w:tcPr>
          <w:p>
            <w:pPr>
              <w:spacing w:before="60" w:after="60" w:line="240" w:lineRule="auto"/>
              <w:jc w:val="left"/>
            </w:pPr>
            <w:r>
              <w:rPr>
                <w:color w:val="457b9d"/>
                <w:sz w:val="20"/>
              </w:rPr>
              <w:t xml:space="preserve">MOU Article 6 (Regional Ceasefire)</w:t>
            </w:r>
          </w:p>
        </w:tc>
        <w:tc>
          <w:tcPr>
            <w:tcW w:w="6200" w:type="dxa"/>
          </w:tcPr>
          <w:p>
            <w:pPr>
              <w:spacing w:before="60" w:after="60" w:line="240" w:lineRule="auto"/>
              <w:jc w:val="left"/>
            </w:pPr>
            <w:r>
              <w:rPr>
                <w:color w:val="457b9d"/>
                <w:sz w:val="20"/>
              </w:rPr>
              <w:t xml:space="preserve">This Annex supplements the ceasefire and freeze-in-place provisions. A verified violation here is a breach of Article 6, but not of Articles 2-5.</w:t>
            </w:r>
          </w:p>
        </w:tc>
      </w:tr>
      <w:tr>
        <w:tc>
          <w:tcPr>
            <w:tcW w:w="2600" w:type="dxa"/>
          </w:tcPr>
          <w:p>
            <w:pPr>
              <w:spacing w:before="60" w:after="60" w:line="240" w:lineRule="auto"/>
              <w:jc w:val="left"/>
            </w:pPr>
            <w:r>
              <w:rPr>
                <w:color w:val="457b9d"/>
                <w:sz w:val="20"/>
              </w:rPr>
              <w:t xml:space="preserve">Annex U (Shared Digital Registry)</w:t>
            </w:r>
          </w:p>
        </w:tc>
        <w:tc>
          <w:tcPr>
            <w:tcW w:w="6200" w:type="dxa"/>
          </w:tcPr>
          <w:p>
            <w:pPr>
              <w:spacing w:before="60" w:after="60" w:line="240" w:lineRule="auto"/>
              <w:jc w:val="left"/>
            </w:pPr>
            <w:r>
              <w:rPr>
                <w:color w:val="457b9d"/>
                <w:sz w:val="20"/>
              </w:rPr>
              <w:t xml:space="preserve">Evidence and PCC findings are logged in the Shared Digital Registry. The Registry's geolocation and incident tracking tools apply to cross-border attacks.</w:t>
            </w:r>
          </w:p>
        </w:tc>
      </w:tr>
      <w:tr>
        <w:tc>
          <w:tcPr>
            <w:tcW w:w="2600" w:type="dxa"/>
          </w:tcPr>
          <w:p>
            <w:pPr>
              <w:spacing w:before="60" w:after="60" w:line="240" w:lineRule="auto"/>
              <w:jc w:val="left"/>
            </w:pPr>
            <w:r>
              <w:rPr>
                <w:color w:val="457b9d"/>
                <w:sz w:val="20"/>
              </w:rPr>
              <w:t xml:space="preserve">Annex T (Step-Back)</w:t>
            </w:r>
          </w:p>
        </w:tc>
        <w:tc>
          <w:tcPr>
            <w:tcW w:w="6200" w:type="dxa"/>
          </w:tcPr>
          <w:p>
            <w:pPr>
              <w:spacing w:before="60" w:after="60" w:line="240" w:lineRule="auto"/>
              <w:jc w:val="left"/>
            </w:pPr>
            <w:r>
              <w:rPr>
                <w:color w:val="457b9d"/>
                <w:sz w:val="20"/>
              </w:rPr>
              <w:t xml:space="preserve">Tier 2 consequences apply only to the regional module, not to nuclear or maritime cores. Earn-back follows Annex T procedures.</w:t>
            </w:r>
          </w:p>
        </w:tc>
      </w:tr>
      <w:tr>
        <w:tc>
          <w:tcPr>
            <w:tcW w:w="2600" w:type="dxa"/>
          </w:tcPr>
          <w:p>
            <w:pPr>
              <w:spacing w:before="60" w:after="60" w:line="240" w:lineRule="auto"/>
              <w:jc w:val="left"/>
            </w:pPr>
            <w:r>
              <w:rPr>
                <w:color w:val="457b9d"/>
                <w:sz w:val="20"/>
              </w:rPr>
              <w:t xml:space="preserve">Annex R / R.a (Escalation Buffer)</w:t>
            </w:r>
          </w:p>
        </w:tc>
        <w:tc>
          <w:tcPr>
            <w:tcW w:w="6200" w:type="dxa"/>
          </w:tcPr>
          <w:p>
            <w:pPr>
              <w:spacing w:before="60" w:after="60" w:line="240" w:lineRule="auto"/>
              <w:jc w:val="left"/>
            </w:pPr>
            <w:r>
              <w:rPr>
                <w:color w:val="457b9d"/>
                <w:sz w:val="20"/>
              </w:rPr>
              <w:t xml:space="preserve">The 72-hour buffer applies to any kinetic event that might be linked to a violation, but does not pre-classify the violation itself.</w:t>
            </w:r>
          </w:p>
        </w:tc>
      </w:tr>
      <w:tr>
        <w:tc>
          <w:tcPr>
            <w:tcW w:w="2600" w:type="dxa"/>
          </w:tcPr>
          <w:p>
            <w:pPr>
              <w:spacing w:before="60" w:after="60" w:line="240" w:lineRule="auto"/>
              <w:jc w:val="left"/>
            </w:pPr>
            <w:r>
              <w:rPr>
                <w:color w:val="457b9d"/>
                <w:sz w:val="20"/>
              </w:rPr>
              <w:t xml:space="preserve">Annex O (IAEA Access)</w:t>
            </w:r>
          </w:p>
        </w:tc>
        <w:tc>
          <w:tcPr>
            <w:tcW w:w="6200" w:type="dxa"/>
          </w:tcPr>
          <w:p>
            <w:pPr>
              <w:spacing w:before="60" w:after="60" w:line="240" w:lineRule="auto"/>
              <w:jc w:val="left"/>
            </w:pPr>
            <w:r>
              <w:rPr>
                <w:color w:val="457b9d"/>
                <w:sz w:val="20"/>
              </w:rPr>
              <w:t xml:space="preserve">If an alleged violation involves nuclear material or IAEA-monitored facilities, Annex O access procedures apply to any related inspection.</w:t>
            </w:r>
          </w:p>
        </w:tc>
      </w:tr>
    </w:tbl>
    <w:p>
      <w:pPr>
        <w:pStyle w:val="Heading1"/>
        <w:keepNext/>
        <w:keepLines/>
        <w:spacing w:before="480" w:after="200"/>
      </w:pPr>
      <w:r>
        <w:rPr>
          <w:rFonts w:ascii="Cambria" w:hAnsi="Cambria"/>
          <w:b/>
          <w:color w:val="3d5a80"/>
          <w:sz w:val="32"/>
        </w:rPr>
        <w:t xml:space="preserve">Article 5: Incorporation by Reference</w:t>
      </w:r>
    </w:p>
    <w:p>
      <w:pPr>
        <w:keepNext/>
        <w:spacing w:before="200" w:after="80"/>
      </w:pPr>
      <w:r>
        <w:rPr>
          <w:rFonts w:ascii="Cambria" w:hAnsi="Cambria"/>
          <w:b/>
          <w:i/>
          <w:color w:val="457b9d"/>
          <w:sz w:val="20"/>
        </w:rPr>
        <w:t xml:space="preserve">OPERATIVE AND BINDING</w:t>
      </w:r>
    </w:p>
    <w:p>
      <w:pPr>
        <w:spacing w:before="120" w:after="160" w:line="276" w:lineRule="auto"/>
        <w:jc w:val="both"/>
      </w:pPr>
      <w:r>
        <w:rPr>
          <w:rFonts w:ascii="Cambria" w:hAnsi="Cambria"/>
          <w:color w:val="1d3557"/>
          <w:sz w:val="22"/>
        </w:rPr>
        <w:t xml:space="preserve">This Annex G is incorporable into any existing or future agreement through the following adoption sentence:</w:t>
      </w:r>
    </w:p>
    <w:p>
      <w:pPr>
        <w:spacing w:before="120" w:after="120" w:line="276" w:lineRule="auto"/>
        <w:ind w:left="720" w:right="720"/>
      </w:pPr>
      <w:r>
        <w:rPr>
          <w:rFonts w:ascii="Cambria" w:hAnsi="Cambria"/>
          <w:i/>
          <w:color w:val="457b9d"/>
          <w:sz w:val="22"/>
        </w:rPr>
        <w:t xml:space="preserve">"The Parties adopt Annex G (Lebanon Non-State Actor Protocol) as an operative provision of this Agreement. This Annex acknowledges the presence of armed non-state actors in Lebanon, prohibits direct material support for cross-border attacks, does not require Iran to disarm or control any group, and subjects violations to Tier 2 step-back limited to the regional module."</w:t>
      </w:r>
    </w:p>
    <w:p>
      <w:pPr>
        <w:spacing w:before="120" w:after="160" w:line="276" w:lineRule="auto"/>
        <w:jc w:val="both"/>
      </w:pPr>
      <w:r>
        <w:rPr>
          <w:rFonts w:ascii="Cambria" w:hAnsi="Cambria"/>
          <w:color w:val="1d3557"/>
          <w:sz w:val="22"/>
        </w:rPr>
        <w:t xml:space="preserve">No amendment of the parent MOU is needed. This Annex enters into force upon signature by both Parties or provisional application by exchange of diplomatic notes.</w:t>
      </w:r>
    </w:p>
    <w:p>
      <w:pPr>
        <w:pStyle w:val="Heading1"/>
        <w:keepNext/>
        <w:keepLines/>
        <w:spacing w:before="480" w:after="200"/>
      </w:pPr>
      <w:r>
        <w:rPr>
          <w:rFonts w:ascii="Cambria" w:hAnsi="Cambria"/>
          <w:b/>
          <w:color w:val="3d5a80"/>
          <w:sz w:val="32"/>
        </w:rPr>
        <w:t xml:space="preserve">Signature Block</w:t>
      </w:r>
    </w:p>
    <w:p>
      <w:pPr>
        <w:spacing w:before="120" w:after="160" w:line="276" w:lineRule="auto"/>
        <w:jc w:val="both"/>
      </w:pPr>
      <w:r>
        <w:rPr>
          <w:rFonts w:ascii="Cambria" w:hAnsi="Cambria"/>
          <w:color w:val="1d3557"/>
          <w:sz w:val="22"/>
        </w:rPr>
        <w:t xml:space="preserve">In witness whereof, the undersigned, being duly authorized by their respective governments, have signed this Annex G: Lebanon Non-State Actor Protocol.</w:t>
      </w:r>
    </w:p>
    <w:p>
      <w:pPr>
        <w:spacing w:before="120" w:after="160" w:line="276" w:lineRule="auto"/>
        <w:jc w:val="both"/>
      </w:pPr>
      <w:r>
        <w:rPr>
          <w:rFonts w:ascii="Cambria" w:hAnsi="Cambria"/>
          <w:color w:val="1d3557"/>
          <w:sz w:val="22"/>
        </w:rPr>
        <w:t xml:space="preserve">Done at ____________________, this _______ day of _____________________, 2026, in triplicate in the English language.</w:t>
      </w:r>
    </w:p>
    <w:p>
      <w:pPr>
        <w:spacing w:before="600"/>
      </w:pPr>
    </w:p>
    <w:p>
      <w:r>
        <w:rPr>
          <w:rFonts w:ascii="Cambria" w:hAnsi="Cambria"/>
          <w:b/>
          <w:color w:val="1d3557"/>
          <w:sz w:val="22"/>
        </w:rPr>
        <w:t>For the Islamic Republic of Iran:</w:t>
      </w:r>
    </w:p>
    <w:p>
      <w:r>
        <w:t>Name: ____________________</w:t>
      </w:r>
    </w:p>
    <w:p>
      <w:r>
        <w:t>Title: ____________________</w:t>
      </w:r>
    </w:p>
    <w:p>
      <w:r>
        <w:t>Date: ____________________</w:t>
      </w:r>
    </w:p>
    <w:p>
      <w:pPr>
        <w:spacing w:before="400"/>
      </w:pPr>
    </w:p>
    <w:p>
      <w:r>
        <w:rPr>
          <w:rFonts w:ascii="Cambria" w:hAnsi="Cambria"/>
          <w:b/>
          <w:color w:val="1d3557"/>
          <w:sz w:val="22"/>
        </w:rPr>
        <w:t>For the United States of America:</w:t>
      </w:r>
    </w:p>
    <w:p>
      <w:r>
        <w:t>Name: ____________________</w:t>
      </w:r>
    </w:p>
    <w:p>
      <w:r>
        <w:t>Title: ____________________</w:t>
      </w:r>
    </w:p>
    <w:p>
      <w:r>
        <w:t>Date: ____________________</w:t>
      </w:r>
    </w:p>
    <w:p>
      <w:pPr>
        <w:spacing w:before="400"/>
      </w:pPr>
    </w:p>
    <w:p>
      <w:r>
        <w:rPr>
          <w:rFonts w:ascii="Cambria" w:hAnsi="Cambria"/>
          <w:b/>
          <w:color w:val="1d3557"/>
          <w:sz w:val="22"/>
        </w:rPr>
        <w:t>Witnessed by the Joint Secretariat (Muscat):</w:t>
      </w:r>
    </w:p>
    <w:p>
      <w:r>
        <w:t>Signature: ____________________</w:t>
      </w:r>
    </w:p>
    <w:p>
      <w:r>
        <w:t>Date: ____________________</w:t>
      </w:r>
    </w:p>
    <w:p>
      <w:pPr>
        <w:sectPr>
          <w:headerReference w:type="default" r:id="Re16575ecd5404f7d"/>
          <w:footerReference w:type="default" r:id="R3939406fc2284242"/>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cac81a1d4605417d"/>
                    <a:stretch>
                      <a:fillRect/>
                    </a:stretch>
                  </pic:blipFill>
                  <pic:spPr>
                    <a:xfrm>
                      <a:off x="0" y="0"/>
                      <a:ext cx="7560000" cy="10692000"/>
                    </a:xfrm>
                    <a:prstGeom prst="rect"/>
                  </pic:spPr>
                </pic:pic>
              </a:graphicData>
            </a:graphic>
          </wp:anchor>
        </w:drawing>
      </w:r>
    </w:p>
    <w:p>
      <w:pPr>
        <w:spacing w:before="7000"/>
      </w:pPr>
      <w:r/>
    </w:p>
    <w:p>
      <w:pPr>
        <w:jc w:val="center"/>
      </w:pPr>
      <w:r>
        <w:rPr>
          <w:rFonts w:ascii="Cambria" w:hAnsi="Cambria"/>
          <w:color w:val="e0e6ed"/>
          <w:spacing w:val="30"/>
          <w:sz w:val="48"/>
        </w:rPr>
        <w:t>Annex G</w:t>
      </w:r>
    </w:p>
    <w:p>
      <w:pPr>
        <w:spacing w:before="400"/>
        <w:jc w:val="center"/>
      </w:pPr>
      <w:r>
        <w:rPr>
          <w:rFonts w:ascii="Cambria" w:hAnsi="Cambria"/>
          <w:color w:val="e0e6ed"/>
          <w:sz w:val="28"/>
        </w:rPr>
        <w:t>Lebanon Non-State Actor Protocol</w:t>
      </w:r>
    </w:p>
    <w:p>
      <w:pPr>
        <w:spacing w:before="600"/>
        <w:jc w:val="center"/>
      </w:pPr>
      <w:r>
        <w:rPr>
          <w:rFonts w:ascii="Cambria" w:hAnsi="Cambria"/>
          <w:color w:val="b8860b"/>
          <w:sz w:val="20"/>
        </w:rPr>
        <w:t>Version 1.0  |  June 2026</w:t>
      </w:r>
    </w:p>
    <w:p>
      <w:pPr>
        <w:spacing w:before="200"/>
        <w:jc w:val="center"/>
      </w:pPr>
      <w:r>
        <w:rPr>
          <w:rFonts w:ascii="Cambria" w:hAnsi="Cambria"/>
          <w:color w:val="8d99ae"/>
          <w:sz w:val="18"/>
        </w:rPr>
        <w:t>No Control or Disarmament Required  |  Confidential  |  Authorized Negotiators Only</w:t>
      </w:r>
    </w:p>
    <w:sectPr>
      <w:pgSz w:w="11906" w:h="16838"/>
      <w:pgMar w:top="0" w:right="0" w:bottom="0" w:left="0" w:header="0" w:footer="0"/>
    </w:sectPr>
  </w:body>
</w:document>
</file>

<file path=word/footer1.xml><?xml version="1.0" encoding="utf-8"?>
<w:ftr xmlns:w="http://schemas.openxmlformats.org/wordprocessingml/2006/main">
  <w:p>
    <w:pPr>
      <w:jc w:val="center"/>
    </w:pPr>
    <w:r>
      <w:rPr>
        <w:rFonts w:ascii="Cambria" w:hAnsi="Cambria"/>
        <w:color w:val="8d99ae"/>
        <w:sz w:val="18"/>
      </w:rPr>
      <w:fldChar w:fldCharType="begin"/>
    </w:r>
    <w:r>
      <w:rPr>
        <w:rFonts w:ascii="Cambria" w:hAnsi="Cambria"/>
        <w:color w:val="8d99ae"/>
        <w:sz w:val="18"/>
      </w:rPr>
      <w:instrText xml:space="preserve"> PAGE </w:instrText>
    </w:r>
    <w:r>
      <w:rPr>
        <w:rFonts w:ascii="Cambria" w:hAnsi="Cambria"/>
        <w:color w:val="8d99ae"/>
        <w:sz w:val="18"/>
      </w:rPr>
      <w:fldChar w:fldCharType="separate"/>
    </w:r>
    <w:r>
      <w:rPr>
        <w:rFonts w:ascii="Cambria" w:hAnsi="Cambria"/>
        <w:color w:val="8d99ae"/>
        <w:sz w:val="18"/>
      </w:rPr>
      <w:t>1</w:t>
    </w:r>
    <w:r>
      <w:rPr>
        <w:rFonts w:ascii="Cambria" w:hAnsi="Cambria"/>
        <w:color w:val="8d99ae"/>
        <w:sz w:val="18"/>
      </w:rPr>
      <w:fldChar w:fldCharType="end"/>
    </w:r>
  </w:p>
</w:ftr>
</file>

<file path=word/header1.xml><?xml version="1.0" encoding="utf-8"?>
<w:hdr xmlns:w="http://schemas.openxmlformats.org/wordprocessingml/2006/main">
  <w:p>
    <w:pPr>
      <w:jc w:val="right"/>
    </w:pPr>
    <w:r>
      <w:rPr>
        <w:rFonts w:ascii="Cambria" w:hAnsi="Cambria"/>
        <w:color w:val="8d99ae"/>
        <w:sz w:val="18"/>
      </w:rPr>
      <w:t>Annex G  |  Lebanon Non-State Actor Protocol</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20" w:line="276" w:lineRule="auto"/>
    </w:pPr>
    <w:rPr>
      <w:rFonts w:ascii="Cambria" w:hAnsi="Cambria"/>
      <w:color w:val="1d3557"/>
      <w:sz w:val="22"/>
    </w:rPr>
  </w:style>
  <w:style w:type="paragraph" w:styleId="Heading1">
    <w:name w:val="heading 1"/>
    <w:basedOn w:val="Normal"/>
    <w:pPr>
      <w:keepNext/>
      <w:keepLines/>
      <w:spacing w:before="400" w:after="200"/>
      <w:outlineLvl w:val="0"/>
    </w:pPr>
    <w:rPr>
      <w:rFonts w:ascii="Cambria" w:hAnsi="Cambria"/>
      <w:b/>
      <w:color w:val="3d5a80"/>
      <w:sz w:val="32"/>
    </w:rPr>
  </w:style>
  <w:style w:type="paragraph" w:styleId="Heading2">
    <w:name w:val="heading 2"/>
    <w:basedOn w:val="Normal"/>
    <w:pPr>
      <w:keepNext/>
      <w:keepLines/>
      <w:spacing w:before="280" w:after="120"/>
      <w:outlineLvl w:val="1"/>
    </w:pPr>
    <w:rPr>
      <w:rFonts w:ascii="Cambria" w:hAnsi="Cambria"/>
      <w:b/>
      <w:color w:val="1d3557"/>
      <w:sz w:val="26"/>
    </w:rPr>
  </w:style>
</w:styles>
</file>

<file path=word/_rels/document.xml.rels><?xml version='1.0' encoding='UTF-8'?>
<Relationships xmlns="http://schemas.openxmlformats.org/package/2006/relationships"><Relationship Type="http://schemas.openxmlformats.org/officeDocument/2006/relationships/styles" Target="styles.xml" Id="R8fb34017373e4c12" /><Relationship Type="http://schemas.openxmlformats.org/officeDocument/2006/relationships/image" Target="media/image.png" Id="Re5255858803b4d0e" /><Relationship Type="http://schemas.openxmlformats.org/officeDocument/2006/relationships/image" Target="media/image2.png" Id="Rcac81a1d4605417d" /><Relationship Type="http://schemas.openxmlformats.org/officeDocument/2006/relationships/header" Target="header1.xml" Id="Re16575ecd5404f7d" /><Relationship Type="http://schemas.openxmlformats.org/officeDocument/2006/relationships/footer" Target="footer1.xml" Id="R3939406fc2284242" /><Relationship Type="http://schemas.openxmlformats.org/officeDocument/2006/relationships/settings" Target="settings.xml" Id="R31a4d73e82f24544" /></Relationships>
</file>