
<file path=[Content_Types].xml><?xml version="1.0" encoding="utf-8"?>
<Types xmlns="http://schemas.openxmlformats.org/package/2006/content-types">
  <Default Extension="xml" ContentType="application/xml"/>
  <Default Extension="rels" ContentType="application/vnd.openxmlformats-package.relationship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104a75fb4a0f4034" /></Relationships>
</file>

<file path=word/document.xml><?xml version="1.0" encoding="utf-8"?>
<w:document xmlns:r="http://schemas.openxmlformats.org/officeDocument/2006/relationships" xmlns:w="http://schemas.openxmlformats.org/wordprocessingml/2006/main">
  <w:body>
    <w:p>
      <w:pPr>
        <w:spacing w:before="200" w:after="100"/>
        <w:jc w:val="center"/>
      </w:pPr>
      <w:r>
        <w:rPr>
          <w:i/>
          <w:color w:val="7a7a7a"/>
          <w:sz w:val="18"/>
        </w:rPr>
        <w:t>MODULAR ANNEX</w:t>
      </w:r>
    </w:p>
    <w:p>
      <w:pPr>
        <w:spacing w:before="200" w:after="200"/>
        <w:jc w:val="center"/>
      </w:pPr>
      <w:r>
        <w:rPr>
          <w:b/>
          <w:color w:val="1E3A5F"/>
          <w:sz w:val="48"/>
        </w:rPr>
        <w:t>Annex I</w:t>
      </w:r>
    </w:p>
    <w:p>
      <w:pPr>
        <w:spacing w:before="0" w:after="60"/>
        <w:jc w:val="center"/>
      </w:pPr>
      <w:r>
        <w:rPr>
          <w:b/>
          <w:color w:val="1E3A5F"/>
          <w:sz w:val="28"/>
        </w:rPr>
        <w:t>BALLISTIC MISSILE DIALOGUE FRAMEWORK</w:t>
      </w:r>
    </w:p>
    <w:p>
      <w:pPr>
        <w:spacing w:before="0" w:after="200"/>
        <w:jc w:val="center"/>
      </w:pPr>
      <w:r>
        <w:rPr>
          <w:b/>
          <w:color w:val="4A6B8A"/>
          <w:sz w:val="22"/>
        </w:rPr>
        <w:t>Voluntary Transparency - Phase III Deferral</w:t>
      </w:r>
    </w:p>
    <w:p>
      <w:pPr>
        <w:spacing w:before="200" w:after="60"/>
        <w:jc w:val="center"/>
      </w:pPr>
      <w:r>
        <w:rPr>
          <w:color w:val="1a1a1a"/>
          <w:sz w:val="18"/>
        </w:rPr>
        <w:t>Modular - Incorporable by Reference - No Restrictions - No Linkage - No Compliance Mechanisms</w:t>
      </w:r>
    </w:p>
    <w:p>
      <w:pPr>
        <w:spacing w:before="200" w:after="40"/>
        <w:jc w:val="center"/>
      </w:pPr>
      <w:r>
        <w:rPr>
          <w:color w:val="1a1a1a"/>
          <w:sz w:val="18"/>
        </w:rPr>
        <w:t>Incorporated by reference into:</w:t>
      </w:r>
    </w:p>
    <w:p>
      <w:pPr>
        <w:spacing w:before="0" w:after="40"/>
        <w:jc w:val="center"/>
      </w:pPr>
      <w:r>
        <w:rPr>
          <w:color w:val="4a4a4a"/>
          <w:sz w:val="18"/>
        </w:rPr>
        <w:t>Memorandum of Understanding Pertaining to PEACE (v7.0)</w:t>
      </w:r>
    </w:p>
    <w:p>
      <w:pPr>
        <w:spacing w:before="0" w:after="100"/>
        <w:jc w:val="center"/>
      </w:pPr>
      <w:r>
        <w:rPr>
          <w:color w:val="4a4a4a"/>
          <w:sz w:val="18"/>
        </w:rPr>
        <w:t>and the Provisional Steps Framework (v1.8)</w:t>
      </w:r>
    </w:p>
    <w:p>
      <w:pPr>
        <w:spacing w:before="200" w:after="100"/>
        <w:jc w:val="center"/>
      </w:pPr>
      <w:r>
        <w:rPr>
          <w:color w:val="1a1a1a"/>
          <w:sz w:val="20"/>
        </w:rPr>
        <w:t>Version 1.0 - June 2026</w:t>
      </w:r>
    </w:p>
    <w:p>
      <w:pPr>
        <w:pBdr>
          <w:top w:val="single" w:color="8B0000" w:sz="12"/>
          <w:left w:val="single" w:color="8B0000" w:sz="12"/>
          <w:bottom w:val="single" w:color="8B0000" w:sz="12"/>
          <w:right w:val="single" w:color="8B0000" w:sz="12"/>
        </w:pBdr>
        <w:shd w:val="clear" w:fill="FFF8F8"/>
        <w:spacing w:before="200" w:after="400"/>
        <w:ind w:left="720" w:right="720"/>
        <w:jc w:val="center"/>
      </w:pPr>
      <w:r>
        <w:rPr>
          <w:b/>
          <w:color w:val="8B0000"/>
          <w:sz w:val="20"/>
        </w:rPr>
        <w:t>CLASSIFICATION: AUTHORIZED NEGOTIATORS ONLY - CONFIDENTIAL</w:t>
      </w:r>
      <w:r>
        <w:rPr>
          <w:color w:val="8B0000"/>
          <w:sz w:val="20"/>
        </w:rPr>
        <w:t> - NOT FOR PUBLIC DISTRIBUTION</w:t>
      </w:r>
    </w:p>
    <w:p>
      <w:r>
        <w:br w:type="page"/>
      </w:r>
    </w:p>
    <w:p>
      <w:pPr>
        <w:pStyle w:val="Heading1"/>
      </w:pPr>
      <w:r>
        <w:t>PREAMBLE</w:t>
      </w:r>
    </w:p>
    <w:p>
      <w:pPr>
        <w:spacing w:before="60" w:after="120"/>
      </w:pPr>
      <w:r>
        <w:rPr>
          <w:sz w:val="21"/>
        </w:rPr>
        <w:t>The Memorandum of Understanding Pertaining to PEACE addresses nuclear, maritime, and economic stabilization. It does not impose any restriction on Iran's ballistic missile program. The United States and Israel have raised concerns about missile proliferation, while Iran maintains that its missile program is a sovereign right for conventional defense.</w:t>
      </w:r>
    </w:p>
    <w:p>
      <w:pPr>
        <w:spacing w:before="60" w:after="120"/>
      </w:pPr>
      <w:r>
        <w:rPr>
          <w:sz w:val="21"/>
        </w:rPr>
        <w:t>This Annex establishes a possible future track for voluntary, non-binding transparency dialogue limited to confidence-building measures, to be considered in Phase III (normalization) if both Parties agree. Participation is optional, creates no obligations, and has no effect on any other provision of the MOU.</w:t>
      </w:r>
    </w:p>
    <w:p>
      <w:pPr>
        <w:spacing w:before="60" w:after="120"/>
      </w:pPr>
      <w:r>
        <w:rPr>
          <w:sz w:val="21"/>
        </w:rPr>
        <w:t>All obligations execute in the active present tense. No compliance mechanisms, step-back, or enforcement attach to this Annex.</w:t>
      </w:r>
    </w:p>
    <w:p>
      <w:pPr>
        <w:pStyle w:val="Heading2"/>
      </w:pPr>
      <w:r>
        <w:t>The Immutable Present-Tense Matrix (v2.5)</w:t>
      </w:r>
    </w:p>
    <w:p>
      <w:pPr>
        <w:spacing w:before="60" w:after="120"/>
      </w:pPr>
      <w:r>
        <w:rPr>
          <w:sz w:val="21"/>
        </w:rPr>
        <w:t>This Annex I operates under the Immutable Present-Tense Matrix v2.5. All clause construction adheres to the following governing constraints: The framework architecture excludes the vocabulary items "shall," "must," "can," "may," "should," and "will" from all operational provisions. Every sentence carries a clear, active subject performing a direct, present-tense action. The framework architecture excludes passive constructions, hierarchical ordering phrases, and unilateral restraint language. Every prohibitive commitment operates as a feature of the shared framework architecture, not as a concession or voluntary limitation by any single Party.</w:t>
      </w:r>
    </w:p>
    <w:p>
      <w:pPr>
        <w:spacing w:before="60" w:after="120"/>
      </w:pPr>
      <w:r>
        <w:rPr>
          <w:sz w:val="21"/>
        </w:rPr>
        <w:t>This Annex I is unique among the integrated annexes: it imposes no obligations, contains no automated consequences, and triggers no tier classification. Its present-tense construction is declarative and descriptive, not operative in the enforcement sense.</w:t>
      </w:r>
    </w:p>
    <w:p>
      <w:pPr>
        <w:pStyle w:val="Heading2"/>
      </w:pPr>
      <w:r>
        <w:t>Modularity Clause</w:t>
      </w:r>
    </w:p>
    <w:p>
      <w:pPr>
        <w:spacing w:before="60" w:after="120"/>
      </w:pPr>
      <w:r>
        <w:rPr>
          <w:sz w:val="21"/>
        </w:rPr>
        <w:t>This Annex I is self-contained and incorporates into the Memorandum of Understanding Pertaining to PEACE and the Provisional Steps Framework by the sentence of adoption in Part D-1 of the MOU. It does not amend or supersede conflicting provisions of any parent framework unless the Parties explicitly so agree. In the event of inconsistency, this Annex I governs with respect to the treatment of ballistic missile issues as a voluntary, non-binding, Phase III-deferred dialogue track.</w:t>
      </w:r>
    </w:p>
    <w:p>
      <w:pPr>
        <w:pStyle w:val="Heading1"/>
      </w:pPr>
      <w:r>
        <w:t>ARTICLE 1: NO RESTRICTIONS ON IRAN'S MISSILE PROGRAM</w:t>
      </w:r>
    </w:p>
    <w:p>
      <w:pPr>
        <w:pStyle w:val="Heading2"/>
      </w:pPr>
      <w:r>
        <w:t>1.1 Absolute Preservation of Sovereign Right</w:t>
      </w:r>
    </w:p>
    <w:p>
      <w:pPr>
        <w:spacing w:before="60" w:after="120"/>
      </w:pPr>
      <w:r>
        <w:rPr>
          <w:sz w:val="21"/>
        </w:rPr>
        <w:t>The MOU does not impose any restriction, limitation, or cap on Iran's ballistic missile program. Iran retains the full sovereign right to develop, test, produce, and deploy missiles of any range, payload, or capability. Nothing in this Annex or the parent MOU is interpreted to the contrary.</w:t>
      </w:r>
    </w:p>
    <w:p>
      <w:pPr>
        <w:pStyle w:val="Heading2"/>
      </w:pPr>
      <w:r>
        <w:t>1.2 No Verification or Monitoring</w:t>
      </w:r>
    </w:p>
    <w:p>
      <w:pPr>
        <w:spacing w:before="60" w:after="120"/>
      </w:pPr>
      <w:r>
        <w:rPr>
          <w:sz w:val="21"/>
        </w:rPr>
        <w:t>No IAEA inspection, PCC monitoring, telemetry review, or any other verification mechanism under the MOU applies to Iran's missile program. The missile program is outside the scope of the MOU entirely.</w:t>
      </w:r>
    </w:p>
    <w:p>
      <w:pPr>
        <w:pStyle w:val="Heading1"/>
      </w:pPr>
      <w:r>
        <w:t>ARTICLE 2: PHASE III TRANSPARENCY DIALOGUE (OPTIONAL)</w:t>
      </w:r>
    </w:p>
    <w:p>
      <w:pPr>
        <w:pStyle w:val="Heading2"/>
      </w:pPr>
      <w:r>
        <w:t>2.1 Voluntary Establishment</w:t>
      </w:r>
    </w:p>
    <w:p>
      <w:pPr>
        <w:spacing w:before="60" w:after="120"/>
      </w:pPr>
      <w:r>
        <w:rPr>
          <w:sz w:val="21"/>
        </w:rPr>
        <w:t>In Phase III (normalization, after the Kernel completion), if both Parties agree, they retain the right to establish a separate Missile Transparency Dialogue. The Dialogue possesses the following characteristics:</w:t>
      </w:r>
    </w:p>
    <w:p>
      <w:pPr>
        <w:numPr>
          <w:ilvl w:val="0"/>
          <w:numId w:val="2"/>
        </w:numPr>
        <w:spacing w:before="20" w:after="40"/>
      </w:pPr>
      <w:r>
        <w:rPr>
          <w:sz w:val="21"/>
        </w:rPr>
        <w:t>Voluntary: Neither Party is obliged to participate or to continue participating.</w:t>
      </w:r>
    </w:p>
    <w:p>
      <w:pPr>
        <w:numPr>
          <w:ilvl w:val="0"/>
          <w:numId w:val="2"/>
        </w:numPr>
        <w:spacing w:before="20" w:after="40"/>
      </w:pPr>
      <w:r>
        <w:rPr>
          <w:sz w:val="21"/>
        </w:rPr>
        <w:t>Non-binding: Any measures discussed or agreed are political commitments only, not legally binding.</w:t>
      </w:r>
    </w:p>
    <w:p>
      <w:pPr>
        <w:numPr>
          <w:ilvl w:val="0"/>
          <w:numId w:val="2"/>
        </w:numPr>
        <w:spacing w:before="20" w:after="40"/>
      </w:pPr>
      <w:r>
        <w:rPr>
          <w:sz w:val="21"/>
        </w:rPr>
        <w:t>Separate: The Dialogue is not part of the MOU's compliance architecture.</w:t>
      </w:r>
    </w:p>
    <w:p>
      <w:pPr>
        <w:pStyle w:val="Heading2"/>
      </w:pPr>
      <w:r>
        <w:t>2.2 Possible Confidence-Building Measures</w:t>
      </w:r>
    </w:p>
    <w:p>
      <w:pPr>
        <w:spacing w:before="60" w:after="120"/>
      </w:pPr>
      <w:r>
        <w:rPr>
          <w:sz w:val="21"/>
        </w:rPr>
        <w:t>If the Dialogue is established, the Parties retain the right to discuss measures such as:</w:t>
      </w:r>
    </w:p>
    <w:p>
      <w:pPr>
        <w:numPr>
          <w:ilvl w:val="0"/>
          <w:numId w:val="2"/>
        </w:numPr>
        <w:spacing w:before="20" w:after="40"/>
      </w:pPr>
      <w:r>
        <w:rPr>
          <w:sz w:val="21"/>
        </w:rPr>
        <w:t>Pre-notification of major missile tests (e.g., 48 hours in advance).</w:t>
      </w:r>
    </w:p>
    <w:p>
      <w:pPr>
        <w:numPr>
          <w:ilvl w:val="0"/>
          <w:numId w:val="2"/>
        </w:numPr>
        <w:spacing w:before="20" w:after="40"/>
      </w:pPr>
      <w:r>
        <w:rPr>
          <w:sz w:val="21"/>
        </w:rPr>
        <w:t>Exchange of data on missile flight trajectories for de-confliction (e.g., to avoid accidental airspace violations).</w:t>
      </w:r>
    </w:p>
    <w:p>
      <w:pPr>
        <w:numPr>
          <w:ilvl w:val="0"/>
          <w:numId w:val="2"/>
        </w:numPr>
        <w:spacing w:before="20" w:after="40"/>
      </w:pPr>
      <w:r>
        <w:rPr>
          <w:sz w:val="21"/>
        </w:rPr>
        <w:t>Discussion of regional missile risk reduction (e.g., hotlines for test notifications).</w:t>
      </w:r>
    </w:p>
    <w:p>
      <w:pPr>
        <w:numPr>
          <w:ilvl w:val="0"/>
          <w:numId w:val="2"/>
        </w:numPr>
        <w:spacing w:before="20" w:after="40"/>
      </w:pPr>
      <w:r>
        <w:rPr>
          <w:sz w:val="21"/>
        </w:rPr>
        <w:t>Any other measure mutually agreed.</w:t>
      </w:r>
    </w:p>
    <w:p>
      <w:pPr>
        <w:spacing w:before="60" w:after="120"/>
      </w:pPr>
      <w:r>
        <w:rPr>
          <w:sz w:val="21"/>
        </w:rPr>
        <w:t>No measure is mandatory. Either Party declines any proposal without penalty.</w:t>
      </w:r>
    </w:p>
    <w:p>
      <w:pPr>
        <w:pStyle w:val="Heading2"/>
      </w:pPr>
      <w:r>
        <w:t>2.3 No Third-Party Obligations</w:t>
      </w:r>
    </w:p>
    <w:p>
      <w:pPr>
        <w:spacing w:before="60" w:after="120"/>
      </w:pPr>
      <w:r>
        <w:rPr>
          <w:sz w:val="21"/>
        </w:rPr>
        <w:t>The Dialogue does not involve third parties (including Israel) unless both Parties explicitly invite them as observers. No Party outside the Dialogue holds any right to demand information or compliance.</w:t>
      </w:r>
    </w:p>
    <w:p>
      <w:pPr>
        <w:pStyle w:val="Heading1"/>
      </w:pPr>
      <w:r>
        <w:t>ARTICLE 3: NO LINKAGE TO NUCLEAR OR MARITIME RELIEF</w:t>
      </w:r>
    </w:p>
    <w:p>
      <w:pPr>
        <w:pStyle w:val="Heading2"/>
      </w:pPr>
      <w:r>
        <w:t>3.1 Absolute Non-Conditionality</w:t>
      </w:r>
    </w:p>
    <w:p>
      <w:pPr>
        <w:spacing w:before="60" w:after="120"/>
      </w:pPr>
      <w:r>
        <w:rPr>
          <w:sz w:val="21"/>
        </w:rPr>
        <w:t>The United States affirms, and this Annex records, that no nuclear or maritime relief under the MOU is conditioned on any missile-related commitment by Iran. This includes:</w:t>
      </w:r>
    </w:p>
    <w:p>
      <w:pPr>
        <w:numPr>
          <w:ilvl w:val="0"/>
          <w:numId w:val="2"/>
        </w:numPr>
        <w:spacing w:before="20" w:after="40"/>
      </w:pPr>
      <w:r>
        <w:rPr>
          <w:sz w:val="21"/>
        </w:rPr>
        <w:t>Sanctions relief tranches;</w:t>
      </w:r>
    </w:p>
    <w:p>
      <w:pPr>
        <w:numPr>
          <w:ilvl w:val="0"/>
          <w:numId w:val="2"/>
        </w:numPr>
        <w:spacing w:before="20" w:after="40"/>
      </w:pPr>
      <w:r>
        <w:rPr>
          <w:sz w:val="21"/>
        </w:rPr>
        <w:t>Frozen asset releases;</w:t>
      </w:r>
    </w:p>
    <w:p>
      <w:pPr>
        <w:numPr>
          <w:ilvl w:val="0"/>
          <w:numId w:val="2"/>
        </w:numPr>
        <w:spacing w:before="20" w:after="40"/>
      </w:pPr>
      <w:r>
        <w:rPr>
          <w:sz w:val="21"/>
        </w:rPr>
        <w:t>SWIFT reconnection;</w:t>
      </w:r>
    </w:p>
    <w:p>
      <w:pPr>
        <w:numPr>
          <w:ilvl w:val="0"/>
          <w:numId w:val="2"/>
        </w:numPr>
        <w:spacing w:before="20" w:after="40"/>
      </w:pPr>
      <w:r>
        <w:rPr>
          <w:sz w:val="21"/>
        </w:rPr>
        <w:t>IAEA custody and verification;</w:t>
      </w:r>
    </w:p>
    <w:p>
      <w:pPr>
        <w:numPr>
          <w:ilvl w:val="0"/>
          <w:numId w:val="2"/>
        </w:numPr>
        <w:spacing w:before="20" w:after="40"/>
      </w:pPr>
      <w:r>
        <w:rPr>
          <w:sz w:val="21"/>
        </w:rPr>
        <w:t>Hormuz transit guarantees;</w:t>
      </w:r>
    </w:p>
    <w:p>
      <w:pPr>
        <w:numPr>
          <w:ilvl w:val="0"/>
          <w:numId w:val="2"/>
        </w:numPr>
        <w:spacing w:before="20" w:after="40"/>
      </w:pPr>
      <w:r>
        <w:rPr>
          <w:sz w:val="21"/>
        </w:rPr>
        <w:t>Any other benefit under the MOU.</w:t>
      </w:r>
    </w:p>
    <w:p>
      <w:pPr>
        <w:pStyle w:val="Heading2"/>
      </w:pPr>
      <w:r>
        <w:t>3.2 Separate Track</w:t>
      </w:r>
    </w:p>
    <w:p>
      <w:pPr>
        <w:spacing w:before="60" w:after="120"/>
      </w:pPr>
      <w:r>
        <w:rPr>
          <w:sz w:val="21"/>
        </w:rPr>
        <w:t>The Missile Transparency Dialogue, if established, operates on a separate track from the MOU's core obligations. A Party's decision to participate, decline, or withdraw from the Dialogue does not:</w:t>
      </w:r>
    </w:p>
    <w:p>
      <w:pPr>
        <w:numPr>
          <w:ilvl w:val="0"/>
          <w:numId w:val="2"/>
        </w:numPr>
        <w:spacing w:before="20" w:after="40"/>
      </w:pPr>
      <w:r>
        <w:rPr>
          <w:sz w:val="21"/>
        </w:rPr>
        <w:t>Constitute a breach of the MOU;</w:t>
      </w:r>
    </w:p>
    <w:p>
      <w:pPr>
        <w:numPr>
          <w:ilvl w:val="0"/>
          <w:numId w:val="2"/>
        </w:numPr>
        <w:spacing w:before="20" w:after="40"/>
      </w:pPr>
      <w:r>
        <w:rPr>
          <w:sz w:val="21"/>
        </w:rPr>
        <w:t>Trigger any step-back under MOU Article 7.3;</w:t>
      </w:r>
    </w:p>
    <w:p>
      <w:pPr>
        <w:numPr>
          <w:ilvl w:val="0"/>
          <w:numId w:val="2"/>
        </w:numPr>
        <w:spacing w:before="20" w:after="40"/>
      </w:pPr>
      <w:r>
        <w:rPr>
          <w:sz w:val="21"/>
        </w:rPr>
        <w:t>Affect any other provision of the MOU.</w:t>
      </w:r>
    </w:p>
    <w:p>
      <w:pPr>
        <w:pStyle w:val="Heading1"/>
      </w:pPr>
      <w:r>
        <w:t>ARTICLE 4: DISPUTE RESOLUTION</w:t>
      </w:r>
    </w:p>
    <w:p>
      <w:pPr>
        <w:spacing w:before="60" w:after="120"/>
      </w:pPr>
      <w:r>
        <w:rPr>
          <w:sz w:val="21"/>
        </w:rPr>
        <w:t>Disputes arising under this Annex - for example, over the interpretation of "voluntary" or "non-binding" - resolve through political consultation only. No PCA arbitration, no PCC enforcement, and no step-back under MOU Article 7.3 apply to this Annex. If the Parties do not agree, the matter is simply not resolved; there is no consequence.</w:t>
      </w:r>
    </w:p>
    <w:p>
      <w:pPr>
        <w:pStyle w:val="Heading1"/>
      </w:pPr>
      <w:r>
        <w:t>ARTICLE 5: RELATIONSHIP TO OTHER ANNEXES</w:t>
      </w:r>
    </w:p>
    <w:tbl>
      <w:tblPr>
        <w:tblW w:w="5000" w:type="pct"/>
        <w:tblBorders>
          <w:top w:val="single" w:color="1E3A5F" w:sz="8"/>
          <w:left w:val="nil"/>
          <w:bottom w:val="single" w:color="1E3A5F" w:sz="8"/>
          <w:right w:val="nil"/>
          <w:insideH w:val="single" w:color="CCCCCC" w:sz="4"/>
          <w:insideV w:val="nil"/>
        </w:tblBorders>
      </w:tblPr>
      <w:tblGrid>
        <w:gridCol w:w="4000"/>
        <w:gridCol w:w="5000"/>
      </w:tblGrid>
      <w:tr>
        <w:trPr>
          <w:tblHeader/>
        </w:trPr>
        <w:tc>
          <w:tcPr>
            <w:tcW w:w="4000" w:type="dxa"/>
            <w:shd w:val="clear" w:fill="E8EDF2"/>
          </w:tcPr>
          <w:p>
            <w:pPr>
              <w:spacing w:before="40" w:after="40"/>
            </w:pPr>
            <w:r>
              <w:rPr>
                <w:b/>
                <w:color w:val="1a1a1a"/>
                <w:sz w:val="19"/>
              </w:rPr>
              <w:t>Annex / Provision</w:t>
            </w:r>
          </w:p>
        </w:tc>
        <w:tc>
          <w:tcPr>
            <w:tcW w:w="5000" w:type="dxa"/>
            <w:shd w:val="clear" w:fill="E8EDF2"/>
          </w:tcPr>
          <w:p>
            <w:pPr>
              <w:spacing w:before="40" w:after="40"/>
            </w:pPr>
            <w:r>
              <w:rPr>
                <w:b/>
                <w:color w:val="1a1a1a"/>
                <w:sz w:val="19"/>
              </w:rPr>
              <w:t>Relationship</w:t>
            </w:r>
          </w:p>
        </w:tc>
      </w:tr>
      <w:tr>
        <w:tc>
          <w:tcPr>
            <w:tcW w:w="4000" w:type="dxa"/>
          </w:tcPr>
          <w:p>
            <w:pPr>
              <w:spacing w:before="40" w:after="40"/>
            </w:pPr>
            <w:r>
              <w:rPr>
                <w:color w:val="4a4a4a"/>
                <w:sz w:val="19"/>
              </w:rPr>
              <w:t>MOU Articles 2-5 (Nuclear and maritime cores)</w:t>
            </w:r>
          </w:p>
        </w:tc>
        <w:tc>
          <w:tcPr>
            <w:tcW w:w="5000" w:type="dxa"/>
          </w:tcPr>
          <w:p>
            <w:pPr>
              <w:spacing w:before="40" w:after="40"/>
            </w:pPr>
            <w:r>
              <w:rPr>
                <w:color w:val="4a4a4a"/>
                <w:sz w:val="19"/>
              </w:rPr>
              <w:t>No effect. Missile dialogue does not condition or delay any relief.</w:t>
            </w:r>
          </w:p>
        </w:tc>
      </w:tr>
      <w:tr>
        <w:tc>
          <w:tcPr>
            <w:tcW w:w="4000" w:type="dxa"/>
          </w:tcPr>
          <w:p>
            <w:pPr>
              <w:spacing w:before="40" w:after="40"/>
            </w:pPr>
            <w:r>
              <w:rPr>
                <w:color w:val="4a4a4a"/>
                <w:sz w:val="19"/>
              </w:rPr>
              <w:t>MOU Article 7.3 (Step-Back/Earn-Back)</w:t>
            </w:r>
          </w:p>
        </w:tc>
        <w:tc>
          <w:tcPr>
            <w:tcW w:w="5000" w:type="dxa"/>
          </w:tcPr>
          <w:p>
            <w:pPr>
              <w:spacing w:before="40" w:after="40"/>
            </w:pPr>
            <w:r>
              <w:rPr>
                <w:color w:val="4a4a4a"/>
                <w:sz w:val="19"/>
              </w:rPr>
              <w:t>No step-back consequences attach to missile issues.</w:t>
            </w:r>
          </w:p>
        </w:tc>
      </w:tr>
      <w:tr>
        <w:tc>
          <w:tcPr>
            <w:tcW w:w="4000" w:type="dxa"/>
          </w:tcPr>
          <w:p>
            <w:pPr>
              <w:spacing w:before="40" w:after="40"/>
            </w:pPr>
            <w:r>
              <w:rPr>
                <w:color w:val="4a4a4a"/>
                <w:sz w:val="19"/>
              </w:rPr>
              <w:t>Annex X (Mutual Standstill Understanding)</w:t>
            </w:r>
          </w:p>
        </w:tc>
        <w:tc>
          <w:tcPr>
            <w:tcW w:w="5000" w:type="dxa"/>
          </w:tcPr>
          <w:p>
            <w:pPr>
              <w:spacing w:before="40" w:after="40"/>
            </w:pPr>
            <w:r>
              <w:rPr>
                <w:color w:val="4a4a4a"/>
                <w:sz w:val="19"/>
              </w:rPr>
              <w:t>This Annex I does not affect Israel's freedom of action. Israel raises missile concerns through the Tel Aviv Channel (MOU Article 13.6), but holds no veto.</w:t>
            </w:r>
          </w:p>
        </w:tc>
      </w:tr>
    </w:tbl>
    <w:p>
      <w:pPr>
        <w:pStyle w:val="Heading1"/>
      </w:pPr>
      <w:r>
        <w:t>ARTICLE 6: INCORPORATION BY REFERENCE</w:t>
      </w:r>
    </w:p>
    <w:p>
      <w:pPr>
        <w:spacing w:before="60" w:after="120"/>
      </w:pPr>
      <w:r>
        <w:rPr>
          <w:sz w:val="21"/>
        </w:rPr>
        <w:t>This Annex I incorporates into the Memorandum of Understanding Pertaining to PEACE and the Provisional Steps Framework by the following sentence of adoption:</w:t>
      </w:r>
    </w:p>
    <w:p>
      <w:pPr>
        <w:pBdr>
          <w:left w:val="single" w:color="1E3A5F" w:sz="18"/>
        </w:pBdr>
        <w:shd w:val="clear" w:fill="F5F5F5"/>
        <w:spacing w:before="200" w:after="200"/>
        <w:ind w:left="720" w:right="720"/>
      </w:pPr>
      <w:r>
        <w:rPr>
          <w:i/>
          <w:color w:val="1a1a1a"/>
          <w:sz w:val="20"/>
        </w:rPr>
        <w:t>"The Parties adopt Annex I (Ballistic Missile Dialogue Framework) as an operative provision of this Agreement. This Annex imposes no restrictions on Iran's missile program, creates no compliance mechanisms, and does not condition any nuclear or maritime relief on missile-related commitments."</w:t>
      </w:r>
    </w:p>
    <w:p>
      <w:pPr>
        <w:spacing w:before="60" w:after="120"/>
      </w:pPr>
      <w:r>
        <w:rPr>
          <w:sz w:val="21"/>
        </w:rPr>
        <w:t>No amendment of the parent MOU is required. This Annex enters into force upon signature by both Parties or provisional application by exchange of diplomatic notes.</w:t>
      </w:r>
    </w:p>
    <w:p>
      <w:pPr>
        <w:pStyle w:val="Heading1"/>
      </w:pPr>
      <w:r>
        <w:t>ARTICLE 7: PROVISIONAL APPLICATION</w:t>
      </w:r>
    </w:p>
    <w:p>
      <w:pPr>
        <w:spacing w:before="60" w:after="120"/>
      </w:pPr>
      <w:r>
        <w:rPr>
          <w:sz w:val="21"/>
        </w:rPr>
        <w:t>The Parties apply this Annex I provisionally for 90 days, pending formal incorporation. Exchange of diplomatic notes between the United States and the Islamic Republic of Iran effects provisional application, with notification to the PCC Secretariat.</w:t>
      </w:r>
    </w:p>
    <w:p>
      <w:pPr>
        <w:spacing w:before="60" w:after="120"/>
      </w:pPr>
      <w:r>
        <w:rPr>
          <w:sz w:val="21"/>
        </w:rPr>
        <w:t>During provisional application, all provisions of this Annex I are operative in their declarative and descriptive sense. No enforcement mechanism activates because this Annex contains none.</w:t>
      </w:r>
    </w:p>
    <w:p>
      <w:pPr>
        <w:spacing w:before="60" w:after="120"/>
      </w:pPr>
      <w:r>
        <w:rPr>
          <w:sz w:val="21"/>
        </w:rPr>
        <w:t>Either Party terminates provisional application with 14 days' written notice to the PCC Secretariat. Termination of provisional application does not affect any other Annex or provision of the MOU.</w:t>
      </w:r>
    </w:p>
    <w:p>
      <w:pPr>
        <w:pStyle w:val="Heading2"/>
      </w:pPr>
      <w:r>
        <w:t>Note on the Unique Status of This Annex</w:t>
      </w:r>
    </w:p>
    <w:p>
      <w:pPr>
        <w:spacing w:before="60" w:after="120"/>
      </w:pPr>
      <w:r>
        <w:rPr>
          <w:sz w:val="21"/>
        </w:rPr>
        <w:t>This Annex I is the only annex in the integrated register that contains no obligations, no automated consequences, and no tier classification. Its purpose is to document what the MOU does not do (restrict missiles) and to create a door for future voluntary dialogue if both Parties choose to open it. This architecture preserves Iran's red lines while giving the United States a procedural framework for raising missile concerns in Phase III without conditioning any existing relief.</w:t>
      </w:r>
    </w:p>
    <w:p>
      <w:pPr>
        <w:pStyle w:val="Heading1"/>
      </w:pPr>
      <w:r>
        <w:t>SIGNATURE BLOCK</w:t>
      </w:r>
    </w:p>
    <w:p>
      <w:pPr>
        <w:spacing w:before="400"/>
      </w:pPr>
    </w:p>
    <w:tbl>
      <w:tblPr>
        <w:tblW w:w="5000" w:type="pct"/>
        <w:tblBorders>
          <w:top w:val="nil"/>
          <w:left w:val="nil"/>
          <w:bottom w:val="nil"/>
          <w:right w:val="nil"/>
          <w:insideH w:val="nil"/>
          <w:insideV w:val="nil"/>
        </w:tblBorders>
      </w:tblPr>
      <w:tblGrid>
        <w:gridCol w:w="4500"/>
        <w:gridCol w:w="4500"/>
      </w:tblGrid>
      <w:tr>
        <w:tc>
          <w:tcPr>
            <w:tcW w:w="4500" w:type="dxa"/>
          </w:tcPr>
          <w:p>
            <w:pPr>
              <w:spacing w:before="60" w:after="60"/>
            </w:pPr>
            <w:r>
              <w:rPr>
                <w:sz w:val="21"/>
              </w:rPr>
              <w:t>For the Islamic Republic of Iran:</w:t>
            </w:r>
          </w:p>
        </w:tc>
        <w:tc>
          <w:tcPr>
            <w:tcW w:w="4500" w:type="dxa"/>
          </w:tcPr>
          <w:p>
            <w:pPr>
              <w:spacing w:before="60" w:after="60"/>
            </w:pPr>
            <w:r>
              <w:rPr>
                <w:sz w:val="21"/>
              </w:rPr>
              <w:t>For the United States of America:</w:t>
            </w:r>
          </w:p>
        </w:tc>
      </w:tr>
      <w:tr>
        <w:tc>
          <w:tcPr>
            <w:tcW w:w="4500" w:type="dxa"/>
          </w:tcPr>
          <w:p>
            <w:pPr>
              <w:spacing w:before="60" w:after="60"/>
            </w:pPr>
            <w:r>
              <w:rPr>
                <w:sz w:val="21"/>
              </w:rPr>
              <w:t/>
            </w:r>
          </w:p>
        </w:tc>
        <w:tc>
          <w:tcPr>
            <w:tcW w:w="4500" w:type="dxa"/>
          </w:tcPr>
          <w:p>
            <w:pPr>
              <w:spacing w:before="60" w:after="60"/>
            </w:pPr>
            <w:r>
              <w:rPr>
                <w:sz w:val="21"/>
              </w:rPr>
              <w:t/>
            </w:r>
          </w:p>
        </w:tc>
      </w:tr>
      <w:tr>
        <w:tc>
          <w:tcPr>
            <w:tcW w:w="4500" w:type="dxa"/>
          </w:tcPr>
          <w:p>
            <w:pPr>
              <w:spacing w:before="60" w:after="60"/>
            </w:pPr>
            <w:r>
              <w:rPr>
                <w:sz w:val="21"/>
              </w:rPr>
              <w:t/>
            </w:r>
          </w:p>
        </w:tc>
        <w:tc>
          <w:tcPr>
            <w:tcW w:w="4500" w:type="dxa"/>
          </w:tcPr>
          <w:p>
            <w:pPr>
              <w:spacing w:before="60" w:after="60"/>
            </w:pPr>
            <w:r>
              <w:rPr>
                <w:sz w:val="21"/>
              </w:rPr>
              <w:t/>
            </w:r>
          </w:p>
        </w:tc>
      </w:tr>
      <w:tr>
        <w:tc>
          <w:tcPr>
            <w:tcW w:w="4500" w:type="dxa"/>
          </w:tcPr>
          <w:p>
            <w:pPr>
              <w:spacing w:before="60" w:after="60"/>
            </w:pPr>
            <w:r>
              <w:rPr>
                <w:sz w:val="21"/>
              </w:rPr>
              <w:t>Name: _________________________</w:t>
            </w:r>
          </w:p>
        </w:tc>
        <w:tc>
          <w:tcPr>
            <w:tcW w:w="4500" w:type="dxa"/>
          </w:tcPr>
          <w:p>
            <w:pPr>
              <w:spacing w:before="60" w:after="60"/>
            </w:pPr>
            <w:r>
              <w:rPr>
                <w:sz w:val="21"/>
              </w:rPr>
              <w:t>Name: _________________________</w:t>
            </w:r>
          </w:p>
        </w:tc>
      </w:tr>
      <w:tr>
        <w:tc>
          <w:tcPr>
            <w:tcW w:w="4500" w:type="dxa"/>
          </w:tcPr>
          <w:p>
            <w:pPr>
              <w:spacing w:before="60" w:after="60"/>
            </w:pPr>
            <w:r>
              <w:rPr>
                <w:sz w:val="21"/>
              </w:rPr>
              <w:t>Title: ________________________</w:t>
            </w:r>
          </w:p>
        </w:tc>
        <w:tc>
          <w:tcPr>
            <w:tcW w:w="4500" w:type="dxa"/>
          </w:tcPr>
          <w:p>
            <w:pPr>
              <w:spacing w:before="60" w:after="60"/>
            </w:pPr>
            <w:r>
              <w:rPr>
                <w:sz w:val="21"/>
              </w:rPr>
              <w:t>Title: ________________________</w:t>
            </w:r>
          </w:p>
        </w:tc>
      </w:tr>
      <w:tr>
        <w:tc>
          <w:tcPr>
            <w:tcW w:w="4500" w:type="dxa"/>
          </w:tcPr>
          <w:p>
            <w:pPr>
              <w:spacing w:before="60" w:after="60"/>
            </w:pPr>
            <w:r>
              <w:rPr>
                <w:sz w:val="21"/>
              </w:rPr>
              <w:t>Date: _________________________</w:t>
            </w:r>
          </w:p>
        </w:tc>
        <w:tc>
          <w:tcPr>
            <w:tcW w:w="4500" w:type="dxa"/>
          </w:tcPr>
          <w:p>
            <w:pPr>
              <w:spacing w:before="60" w:after="60"/>
            </w:pPr>
            <w:r>
              <w:rPr>
                <w:sz w:val="21"/>
              </w:rPr>
              <w:t>Date: _________________________</w:t>
            </w:r>
          </w:p>
        </w:tc>
      </w:tr>
    </w:tbl>
    <w:p>
      <w:pPr>
        <w:spacing w:before="400"/>
      </w:pPr>
    </w:p>
    <w:p>
      <w:pPr>
        <w:spacing w:before="60" w:after="120"/>
      </w:pPr>
      <w:r>
        <w:rPr>
          <w:sz w:val="21"/>
        </w:rPr>
        <w:t>Witnessed by the Joint Secretariat (Muscat).</w:t>
      </w:r>
    </w:p>
    <w:p>
      <w:pPr>
        <w:spacing w:before="400"/>
      </w:pPr>
    </w:p>
    <w:p>
      <w:pPr>
        <w:spacing w:before="200" w:after="60"/>
        <w:jc w:val="center"/>
      </w:pPr>
      <w:r>
        <w:rPr>
          <w:i/>
          <w:color w:val="4a4a4a"/>
          <w:sz w:val="18"/>
        </w:rPr>
        <w:t>Annex I - Ballistic Missile Dialogue Framework - Version 1.0</w:t>
      </w:r>
    </w:p>
    <w:p>
      <w:pPr>
        <w:spacing w:before="0" w:after="60"/>
        <w:jc w:val="center"/>
      </w:pPr>
      <w:r>
        <w:rPr>
          <w:i/>
          <w:color w:val="7a7a7a"/>
          <w:sz w:val="16"/>
        </w:rPr>
        <w:t>All provisions are declarative and descriptive - No compliance mechanisms attach</w:t>
      </w:r>
    </w:p>
    <w:p>
      <w:pPr>
        <w:spacing w:before="0" w:after="200"/>
        <w:jc w:val="center"/>
      </w:pPr>
      <w:r>
        <w:rPr>
          <w:i/>
          <w:color w:val="7a7a7a"/>
          <w:sz w:val="16"/>
        </w:rPr>
        <w:t>Immutable Present-Tense Matrix v2.5 governs all clause construction</w:t>
      </w:r>
    </w:p>
    <w:sectPr>
      <w:headerReference w:type="default" r:id="R3e02d4f433b34522"/>
      <w:footerReference w:type="default" r:id="R1d828269e8d5437b"/>
      <w:pgSz w:w="11906" w:h="16838"/>
      <w:pgMar w:top="1440" w:right="1440" w:bottom="1440" w:left="1440" w:header="720" w:footer="720"/>
    </w:sectPr>
  </w:body>
</w:document>
</file>

<file path=word/footer1.xml><?xml version="1.0" encoding="utf-8"?>
<w:ftr xmlns:w="http://schemas.openxmlformats.org/wordprocessingml/2006/main">
  <w:p>
    <w:pPr>
      <w:pBdr>
        <w:top w:val="single" w:color="7a7a7a" w:sz="4"/>
      </w:pBdr>
      <w:jc w:val="center"/>
    </w:pPr>
    <w:r>
      <w:rPr>
        <w:color w:val="7a7a7a"/>
        <w:sz w:val="16"/>
      </w:rPr>
      <w:t>Authorized Negotiators Only - Confidential - Page </w:t>
    </w:r>
    <w:r>
      <w:rPr>
        <w:color w:val="7a7a7a"/>
        <w:sz w:val="16"/>
      </w:rPr>
      <w:fldChar w:fldCharType="begin"/>
    </w:r>
    <w:r>
      <w:rPr>
        <w:color w:val="7a7a7a"/>
        <w:sz w:val="16"/>
      </w:rPr>
      <w:instrText xml:space="preserve"> PAGE </w:instrText>
    </w:r>
    <w:r>
      <w:rPr>
        <w:color w:val="7a7a7a"/>
        <w:sz w:val="16"/>
      </w:rPr>
      <w:fldChar w:fldCharType="separate"/>
    </w:r>
    <w:r>
      <w:rPr>
        <w:color w:val="7a7a7a"/>
        <w:sz w:val="16"/>
      </w:rPr>
      <w:t>1</w:t>
    </w:r>
    <w:r>
      <w:rPr>
        <w:color w:val="7a7a7a"/>
        <w:sz w:val="16"/>
      </w:rPr>
      <w:fldChar w:fldCharType="end"/>
    </w:r>
  </w:p>
</w:ftr>
</file>

<file path=word/header1.xml><?xml version="1.0" encoding="utf-8"?>
<w:hdr xmlns:w="http://schemas.openxmlformats.org/wordprocessingml/2006/main">
  <w:p>
    <w:pPr>
      <w:pBdr>
        <w:bottom w:val="single" w:color="1E3A5F" w:sz="6"/>
      </w:pBdr>
      <w:jc w:val="center"/>
    </w:pPr>
    <w:r>
      <w:rPr>
        <w:caps/>
        <w:color w:val="7a7a7a"/>
        <w:sz w:val="16"/>
      </w:rPr>
      <w:t>Annex I: Ballistic Missile Dialogue Framework</w:t>
    </w:r>
  </w:p>
</w:hdr>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pPr>
      <w:spacing w:after="120" w:line="276" w:lineRule="auto"/>
      <w:jc w:val="both"/>
    </w:pPr>
    <w:rPr>
      <w:rFonts w:ascii="Times New Roman" w:hAnsi="Times New Roman"/>
      <w:color w:val="1a1a1a"/>
      <w:sz w:val="21"/>
    </w:rPr>
  </w:style>
  <w:style w:type="paragraph" w:styleId="Heading1">
    <w:name w:val="heading 1"/>
    <w:basedOn w:val="Normal"/>
    <w:pPr>
      <w:keepNext/>
      <w:keepLines/>
      <w:pageBreakBefore/>
      <w:spacing w:before="0" w:after="200"/>
      <w:outlineLvl w:val="0"/>
    </w:pPr>
    <w:rPr>
      <w:rFonts w:ascii="Times New Roman" w:hAnsi="Times New Roman"/>
      <w:b/>
      <w:color w:val="1E3A5F"/>
      <w:sz w:val="30"/>
    </w:rPr>
  </w:style>
  <w:style w:type="paragraph" w:styleId="Heading2">
    <w:name w:val="heading 2"/>
    <w:basedOn w:val="Normal"/>
    <w:pPr>
      <w:keepNext/>
      <w:keepLines/>
      <w:spacing w:before="280" w:after="100"/>
      <w:outlineLvl w:val="1"/>
    </w:pPr>
    <w:rPr>
      <w:rFonts w:ascii="Times New Roman" w:hAnsi="Times New Roman"/>
      <w:b/>
      <w:color w:val="4A6B8A"/>
      <w:sz w:val="23"/>
    </w:rPr>
  </w:style>
</w:styles>
</file>

<file path=word/_rels/document.xml.rels><?xml version='1.0' encoding='UTF-8'?>
<Relationships xmlns="http://schemas.openxmlformats.org/package/2006/relationships"><Relationship Type="http://schemas.openxmlformats.org/officeDocument/2006/relationships/styles" Target="styles.xml" Id="Rcd03a107da254714" /><Relationship Type="http://schemas.openxmlformats.org/officeDocument/2006/relationships/header" Target="header1.xml" Id="R3e02d4f433b34522" /><Relationship Type="http://schemas.openxmlformats.org/officeDocument/2006/relationships/footer" Target="footer1.xml" Id="R1d828269e8d5437b" /><Relationship Type="http://schemas.openxmlformats.org/officeDocument/2006/relationships/settings" Target="settings.xml" Id="Rd3c6ed2802e94ea2" /></Relationships>
</file>