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4059543ef224e77" /></Relationships>
</file>

<file path=word/document.xml><?xml version="1.0" encoding="utf-8"?>
<w:document xmlns:r="http://schemas.openxmlformats.org/officeDocument/2006/relationships" xmlns:w="http://schemas.openxmlformats.org/wordprocessingml/2006/main">
  <w:body>
    <w:p>
      <w:pPr>
        <w:spacing w:before="2400"/>
      </w:pPr>
      <w:r/>
    </w:p>
    <w:p>
      <w:pPr>
        <w:spacing w:after="600"/>
        <w:jc w:val="center"/>
      </w:pPr>
      <w:r>
        <w:rPr>
          <w:rFonts w:ascii="Georgia" w:hAnsi="Georgia"/>
          <w:color w:val="555555"/>
          <w:spacing w:val="60"/>
          <w:sz w:val="22"/>
        </w:rPr>
        <w:t>DIPLOMATIC WORKING DOCUMENT</w:t>
      </w:r>
    </w:p>
    <w:p>
      <w:pPr>
        <w:spacing w:after="400"/>
        <w:jc w:val="center"/>
      </w:pPr>
      <w:r>
        <w:rPr>
          <w:rFonts w:ascii="Georgia" w:hAnsi="Georgia"/>
          <w:b/>
          <w:color w:val="1a1a1a"/>
          <w:spacing w:val="40"/>
          <w:sz w:val="32"/>
        </w:rPr>
        <w:t>ANNEX LEB</w:t>
      </w:r>
    </w:p>
    <w:p>
      <w:pPr>
        <w:spacing w:after="200"/>
        <w:jc w:val="center"/>
      </w:pPr>
      <w:r>
        <w:rPr>
          <w:rFonts w:ascii="Georgia" w:hAnsi="Georgia"/>
          <w:b/>
          <w:color w:val="1a1a1a"/>
          <w:sz w:val="56"/>
        </w:rPr>
        <w:t>Lebanon Non-Linkage</w:t>
      </w:r>
    </w:p>
    <w:p>
      <w:pPr>
        <w:spacing w:after="600"/>
        <w:jc w:val="center"/>
      </w:pPr>
      <w:r>
        <w:rPr>
          <w:rFonts w:ascii="Georgia" w:hAnsi="Georgia"/>
          <w:b/>
          <w:color w:val="1a1a1a"/>
          <w:sz w:val="56"/>
        </w:rPr>
        <w:t>Clarification</w:t>
      </w:r>
    </w:p>
    <w:p>
      <w:pPr>
        <w:spacing w:after="1200"/>
        <w:jc w:val="center"/>
      </w:pPr>
      <w:r>
        <w:rPr>
          <w:rFonts w:ascii="Georgia" w:hAnsi="Georgia"/>
          <w:i/>
          <w:color w:val="555555"/>
          <w:sz w:val="24"/>
        </w:rPr>
        <w:t>Modular  ·  Self-Contained  ·  Incorporable by Reference</w:t>
      </w:r>
    </w:p>
    <w:p>
      <w:pPr>
        <w:pBdr>
          <w:top w:val="single" w:color="999999" w:sz="4"/>
          <w:bottom w:val="single" w:color="999999" w:sz="4"/>
        </w:pBdr>
        <w:spacing w:before="2400" w:after="0"/>
        <w:jc w:val="center"/>
      </w:pPr>
      <w:r>
        <w:rPr>
          <w:rFonts w:ascii="Georgia" w:hAnsi="Georgia"/>
          <w:color w:val="888888"/>
          <w:spacing w:val="30"/>
          <w:sz w:val="18"/>
        </w:rPr>
        <w:t>AUTHORIZED NEGOTIATORS ONLY  —  CONFIDENTIAL  —  NOT FOR PUBLIC DISTRIBUTION</w:t>
      </w:r>
    </w:p>
    <w:p>
      <w:pPr>
        <w:sectPr>
          <w:type w:val="nextPage"/>
          <w:pgSz w:w="11906" w:h="16838"/>
          <w:pgMar w:top="0" w:right="720" w:bottom="0" w:left="720" w:header="0" w:footer="0"/>
          <w:titlePg/>
        </w:sectPr>
      </w:pPr>
    </w:p>
    <w:p>
      <w:pPr>
        <w:spacing w:after="400"/>
        <w:jc w:val="center"/>
      </w:pPr>
      <w:r>
        <w:rPr>
          <w:rFonts w:ascii="Georgia" w:hAnsi="Georgia"/>
          <w:b/>
          <w:color w:val="1a1a1a"/>
          <w:sz w:val="40"/>
        </w:rPr>
        <w:t>Contents</w:t>
      </w:r>
    </w:p>
    <w:p>
      <w:r>
        <w:fldChar w:fldCharType="begin"/>
      </w:r>
      <w:r>
        <w:instrText xml:space="preserve"> TOC \o "1-3" \h \z \u </w:instrText>
      </w:r>
      <w:r>
        <w:fldChar w:fldCharType="separate"/>
      </w:r>
    </w:p>
    <w:p>
      <w:pPr>
        <w:pStyle w:val="TOC1"/>
      </w:pPr>
      <w:r>
        <w:t>Preamble</w:t>
      </w:r>
      <w:r>
        <w:tab/>
      </w:r>
      <w:r>
        <w:t>1</w:t>
      </w:r>
    </w:p>
    <w:p>
      <w:pPr>
        <w:pStyle w:val="TOC1"/>
      </w:pPr>
      <w:r>
        <w:t>Article 1 — Lebanon Not a Requirement for a Short-Term Agreement</w:t>
      </w:r>
      <w:r>
        <w:tab/>
      </w:r>
      <w:r>
        <w:t>1</w:t>
      </w:r>
    </w:p>
    <w:p>
      <w:pPr>
        <w:pStyle w:val="TOC2"/>
      </w:pPr>
      <w:r>
        <w:t>1.1 Non-Requirement Declaration</w:t>
      </w:r>
      <w:r>
        <w:tab/>
      </w:r>
      <w:r>
        <w:t>1</w:t>
      </w:r>
    </w:p>
    <w:p>
      <w:pPr>
        <w:pStyle w:val="TOC2"/>
      </w:pPr>
      <w:r>
        <w:t>1.2 No Prerequisite Status</w:t>
      </w:r>
      <w:r>
        <w:tab/>
      </w:r>
      <w:r>
        <w:t>1</w:t>
      </w:r>
    </w:p>
    <w:p>
      <w:pPr>
        <w:pStyle w:val="TOC2"/>
      </w:pPr>
      <w:r>
        <w:t>1.3 Independence from Regional Progress</w:t>
      </w:r>
      <w:r>
        <w:tab/>
      </w:r>
      <w:r>
        <w:t>1</w:t>
      </w:r>
    </w:p>
    <w:p>
      <w:pPr>
        <w:pStyle w:val="TOC1"/>
      </w:pPr>
      <w:r>
        <w:t>Article 2 — Decoupling of Regional Tracks</w:t>
      </w:r>
      <w:r>
        <w:tab/>
      </w:r>
      <w:r>
        <w:t>1</w:t>
      </w:r>
    </w:p>
    <w:p>
      <w:pPr>
        <w:pStyle w:val="TOC2"/>
      </w:pPr>
      <w:r>
        <w:t>2.1 Independent Operation of Lebanon Provisions</w:t>
      </w:r>
      <w:r>
        <w:tab/>
      </w:r>
      <w:r>
        <w:t>1</w:t>
      </w:r>
    </w:p>
    <w:p>
      <w:pPr>
        <w:pStyle w:val="TOC2"/>
      </w:pPr>
      <w:r>
        <w:t>2.2 Non-Invocation Pledge</w:t>
      </w:r>
      <w:r>
        <w:tab/>
      </w:r>
      <w:r>
        <w:t>1</w:t>
      </w:r>
    </w:p>
    <w:p>
      <w:pPr>
        <w:pStyle w:val="TOC2"/>
      </w:pPr>
      <w:r>
        <w:t>2.3 Unconditionality of Benefits</w:t>
      </w:r>
      <w:r>
        <w:tab/>
      </w:r>
      <w:r>
        <w:t>1</w:t>
      </w:r>
    </w:p>
    <w:p>
      <w:pPr>
        <w:pStyle w:val="TOC1"/>
      </w:pPr>
      <w:r>
        <w:t>Article 3 — Iran’s Position Unaffected</w:t>
      </w:r>
      <w:r>
        <w:tab/>
      </w:r>
      <w:r>
        <w:t>1</w:t>
      </w:r>
    </w:p>
    <w:p>
      <w:pPr>
        <w:pStyle w:val="TOC2"/>
      </w:pPr>
      <w:r>
        <w:t>3.1 No Recognition or Engagement Requirement</w:t>
      </w:r>
      <w:r>
        <w:tab/>
      </w:r>
      <w:r>
        <w:t>1</w:t>
      </w:r>
    </w:p>
    <w:p>
      <w:pPr>
        <w:pStyle w:val="TOC2"/>
      </w:pPr>
      <w:r>
        <w:t>3.2 Preservation of Sovereign Positions</w:t>
      </w:r>
      <w:r>
        <w:tab/>
      </w:r>
      <w:r>
        <w:t>1</w:t>
      </w:r>
    </w:p>
    <w:p>
      <w:pPr>
        <w:pStyle w:val="TOC1"/>
      </w:pPr>
      <w:r>
        <w:t>Article 4 — Relationship to Other Annexes</w:t>
      </w:r>
      <w:r>
        <w:tab/>
      </w:r>
      <w:r>
        <w:t>1</w:t>
      </w:r>
    </w:p>
    <w:p>
      <w:pPr>
        <w:pStyle w:val="TOC1"/>
      </w:pPr>
      <w:r>
        <w:t>Article 5 — Legal Status</w:t>
      </w:r>
      <w:r>
        <w:tab/>
      </w:r>
      <w:r>
        <w:t>1</w:t>
      </w:r>
    </w:p>
    <w:p>
      <w:pPr>
        <w:pStyle w:val="TOC2"/>
      </w:pPr>
      <w:r>
        <w:t>5.1 Interpretative and Clarifying Character</w:t>
      </w:r>
      <w:r>
        <w:tab/>
      </w:r>
      <w:r>
        <w:t>1</w:t>
      </w:r>
    </w:p>
    <w:p>
      <w:pPr>
        <w:pStyle w:val="TOC2"/>
      </w:pPr>
      <w:r>
        <w:t>5.2 Hierarchy of Provisions</w:t>
      </w:r>
      <w:r>
        <w:tab/>
      </w:r>
      <w:r>
        <w:t>1</w:t>
      </w:r>
    </w:p>
    <w:p>
      <w:pPr>
        <w:pStyle w:val="TOC2"/>
      </w:pPr>
      <w:r>
        <w:t>5.3 Binding Effect Without New Obligations</w:t>
      </w:r>
      <w:r>
        <w:tab/>
      </w:r>
      <w:r>
        <w:t>1</w:t>
      </w:r>
    </w:p>
    <w:p>
      <w:pPr>
        <w:pStyle w:val="TOC1"/>
      </w:pPr>
      <w:r>
        <w:t>Article 6 — Political Pitch Matrix (Informative)</w:t>
      </w:r>
      <w:r>
        <w:tab/>
      </w:r>
      <w:r>
        <w:t>1</w:t>
      </w:r>
    </w:p>
    <w:p>
      <w:pPr>
        <w:pStyle w:val="TOC1"/>
      </w:pPr>
      <w:r>
        <w:t>Article 7 — Incorporation by Reference</w:t>
      </w:r>
      <w:r>
        <w:tab/>
      </w:r>
      <w:r>
        <w:t>1</w:t>
      </w:r>
    </w:p>
    <w:p>
      <w:pPr>
        <w:pStyle w:val="TOC1"/>
      </w:pPr>
      <w:r>
        <w:t>Definitions</w:t>
      </w:r>
      <w:r>
        <w:tab/>
      </w:r>
      <w:r>
        <w:t>1</w:t>
      </w:r>
    </w:p>
    <w:p>
      <w:pPr>
        <w:pStyle w:val="TOC1"/>
      </w:pPr>
      <w:r>
        <w:t>Signature Block</w:t>
      </w:r>
      <w:r>
        <w:tab/>
      </w:r>
      <w:r>
        <w:t>1</w:t>
      </w:r>
    </w:p>
    <w:p>
      <w:r>
        <w:fldChar w:fldCharType="end"/>
      </w:r>
    </w:p>
    <w:p>
      <w:pPr>
        <w:sectPr>
          <w:type w:val="nextPage"/>
          <w:pgSz w:w="11906" w:h="16838"/>
          <w:pgMar w:top="1440" w:right="1440" w:bottom="1440" w:left="1440" w:header="720" w:footer="720"/>
        </w:sectPr>
      </w:pPr>
    </w:p>
    <w:p>
      <w:pPr>
        <w:pStyle w:val="Heading1"/>
      </w:pPr>
      <w:r>
        <w:t>Preamble</w:t>
      </w:r>
      <w:bookmarkStart w:name="_TocPreamble" w:id="1"/>
      <w:bookmarkEnd w:id="1"/>
    </w:p>
    <w:p>
      <w:pPr>
        <w:jc w:val="both"/>
      </w:pPr>
      <w:r>
        <w:t xml:space="preserve">The Parties recall that the Memorandum of Understanding Pertaining to PEACE (the “MOU”) establishes a rolling ceasefire across multiple fronts, including Lebanon, under Annexes M and U-1. The United States has publicly clarified that it does not require Lebanon’s participation in any short-term agreement with Iran as a condition for this MOU.</w:t>
      </w:r>
    </w:p>
    <w:p>
      <w:pPr>
        <w:jc w:val="both"/>
      </w:pPr>
      <w:r>
        <w:t xml:space="preserve">This Annex records that clarification as an operative part of the MOU architecture, without amending the existing ceasefire or regional provisions. It preserves the integrity of the MOU’s modular design: the nuclear core (Article 3), the maritime core (Article 4), and the economic core (Article 5) operate on their own verification and compliance tracks, and no regional development — whether progress or setback — gates any benefit within those cores.</w:t>
      </w:r>
    </w:p>
    <w:p>
      <w:pPr>
        <w:jc w:val="both"/>
      </w:pPr>
      <w:r>
        <w:t xml:space="preserve">The Parties affirm the following principles as governing the interpretation of this Annex:</w:t>
      </w:r>
    </w:p>
    <w:p>
      <w:pPr>
        <w:numPr>
          <w:ilvl w:val="0"/>
          <w:numId w:val="2"/>
        </w:numPr>
      </w:pPr>
      <w:r>
        <w:t xml:space="preserve">Present-tense mutual architecture: Each provision in this Annex is a feature of the shared framework, binding both Parties equally, rather than a unilateral concession by one Party for the benefit of the other.</w:t>
      </w:r>
    </w:p>
    <w:p>
      <w:pPr>
        <w:numPr>
          <w:ilvl w:val="0"/>
          <w:numId w:val="2"/>
        </w:numPr>
      </w:pPr>
      <w:r>
        <w:t xml:space="preserve">Non-recognition: Nothing in this Annex constitutes recognition of the other Party’s government, political system, or regional policies, consistent with MOU Article 1.5.</w:t>
      </w:r>
    </w:p>
    <w:p>
      <w:pPr>
        <w:numPr>
          <w:ilvl w:val="0"/>
          <w:numId w:val="2"/>
        </w:numPr>
      </w:pPr>
      <w:r>
        <w:t xml:space="preserve">Framing autonomy: Each Party describes this Annex to its own public in its own terminology; neither Party requires the other to adopt a specific label such as concession, waiver, or reversal, consistent with MOU Article 1.7.</w:t>
      </w:r>
    </w:p>
    <w:p>
      <w:pPr>
        <w:numPr>
          <w:ilvl w:val="0"/>
          <w:numId w:val="2"/>
        </w:numPr>
      </w:pPr>
      <w:r>
        <w:t xml:space="preserve">Interpretative only: This Annex creates no new obligations beyond those already stated in the MOU and its existing annexes. It records, clarifies, and makes operationally explicit what the United States has already stated publicly.</w:t>
      </w:r>
    </w:p>
    <w:p>
      <w:pPr>
        <w:pStyle w:val="Heading1"/>
      </w:pPr>
      <w:r>
        <w:t>Article 1 — Lebanon Not a Requirement for a Short-Term Agreement</w:t>
      </w:r>
      <w:bookmarkStart w:name="_TocArt1" w:id="2"/>
      <w:bookmarkEnd w:id="2"/>
    </w:p>
    <w:p>
      <w:pPr>
        <w:pStyle w:val="Heading2"/>
      </w:pPr>
      <w:r>
        <w:t>1.1 Non-Requirement Declaration</w:t>
      </w:r>
    </w:p>
    <w:p>
      <w:pPr>
        <w:jc w:val="both"/>
      </w:pPr>
      <w:r>
        <w:t xml:space="preserve">The United States does not demand that Lebanon be included in any short-term agreement with Iran. This declaration is a statement of the United States’ negotiating position, recorded here as an operative clarification. It means that the absence of a Lebanon-specific agreement, ceasefire, or political framework does not block, delay, or condition any provision of the MOU or any of its integrated annexes.</w:t>
      </w:r>
    </w:p>
    <w:p>
      <w:pPr>
        <w:pBdr>
          <w:left w:val="single" w:color="999999" w:sz="12"/>
        </w:pBdr>
        <w:shd w:val="clear" w:fill="fafaf8"/>
        <w:spacing w:before="120" w:after="120"/>
        <w:ind w:left="200" w:right="200"/>
      </w:pPr>
      <w:r>
        <w:rPr>
          <w:i/>
          <w:color w:val="555555"/>
          <w:sz w:val="20"/>
        </w:rPr>
        <w:t xml:space="preserve">For the avoidance of doubt: “short-term agreement” means any agreement whose primary deliverables execute within Phase I (Days 1-365) of the MOU timeline, including but not limited to the enrichment cap, the dual-lock custody placement, the escrow deposit, the blockade lift, and the frozen-asset tranches. This Article does not preclude Lebanon from being addressed in Phase II or Phase III on the binding timeline of MOU Article 11.</w:t>
      </w:r>
    </w:p>
    <w:p>
      <w:pPr>
        <w:pStyle w:val="Heading2"/>
      </w:pPr>
      <w:r>
        <w:t>1.2 No Prerequisite Status</w:t>
      </w:r>
    </w:p>
    <w:p>
      <w:pPr>
        <w:jc w:val="both"/>
      </w:pPr>
      <w:r>
        <w:t xml:space="preserve">Lebanon’s participation is not a prerequisite for the entry into force, implementation, or continuation of any provision of this MOU or any of its annexes. Specifically, and without limitation:</w:t>
      </w:r>
    </w:p>
    <w:p>
      <w:pPr>
        <w:numPr>
          <w:ilvl w:val="0"/>
          <w:numId w:val="1"/>
        </w:numPr>
      </w:pPr>
      <w:r>
        <w:t xml:space="preserve">The entry into force of Articles 1-13 of the MOU on signature is not conditioned on any Lebanese ceasefire, Lebanese political commitment, or Lebanese territorial arrangement.</w:t>
      </w:r>
    </w:p>
    <w:p>
      <w:pPr>
        <w:numPr>
          <w:ilvl w:val="0"/>
          <w:numId w:val="1"/>
        </w:numPr>
      </w:pPr>
      <w:r>
        <w:t xml:space="preserve">The Day-1 Mirror Pairings of MOU Article 2 execute regardless of the status of the Lebanon front.</w:t>
      </w:r>
    </w:p>
    <w:p>
      <w:pPr>
        <w:numPr>
          <w:ilvl w:val="0"/>
          <w:numId w:val="1"/>
        </w:numPr>
      </w:pPr>
      <w:r>
        <w:t xml:space="preserve">The IAEA verification timeline, the escrow release schedule, the SWIFT reconnection tiers, and the oil-export normalization permits proceed on their own compliance-gated tracks without reference to Lebanon.</w:t>
      </w:r>
    </w:p>
    <w:p>
      <w:pPr>
        <w:numPr>
          <w:ilvl w:val="0"/>
          <w:numId w:val="1"/>
        </w:numPr>
      </w:pPr>
      <w:r>
        <w:t xml:space="preserve">The step-back / earn-back ladder of MOU Article 7.3 applies only to violations of the nuclear, maritime, and economic cores, and Lebanon-related disputes do not trigger it absent a separate material-impairment finding under Annex J.</w:t>
      </w:r>
    </w:p>
    <w:p>
      <w:pPr>
        <w:pStyle w:val="Heading2"/>
      </w:pPr>
      <w:r>
        <w:t>1.3 Independence from Regional Progress</w:t>
      </w:r>
    </w:p>
    <w:p>
      <w:pPr>
        <w:jc w:val="both"/>
      </w:pPr>
      <w:r>
        <w:t xml:space="preserve">Progress on any regional conflict, including but not limited to the situation in Lebanon, the ceasefire along the Blue Line, the political status of southern Lebanon, the disarmament of non-state actors, or the formation of a Lebanese government, is not a condition for any nuclear, maritime, economic, or other benefit under this MOU.</w:t>
      </w:r>
    </w:p>
    <w:p>
      <w:pPr>
        <w:jc w:val="both"/>
      </w:pPr>
      <w:r>
        <w:t xml:space="preserve">The United States affirms that it does not maintain, and will not introduce, any implicit or explicit linkage between Lebanese political developments and the release of escrow funds, the restoration of SWIFT access, the issuance of oil-export permits, or any other benefit under the MOU. This affirmation is binding on the United States as a feature of the shared framework and is subject to the dispute-resolution provisions of MOU Article 7.4.</w:t>
      </w:r>
    </w:p>
    <w:p>
      <w:pPr>
        <w:pStyle w:val="Heading1"/>
      </w:pPr>
      <w:r>
        <w:t>Article 2 — Decoupling of Regional Tracks</w:t>
      </w:r>
      <w:bookmarkStart w:name="_TocArt2" w:id="3"/>
      <w:bookmarkEnd w:id="3"/>
    </w:p>
    <w:p>
      <w:pPr>
        <w:pStyle w:val="Heading2"/>
      </w:pPr>
      <w:r>
        <w:t>2.1 Independent Operation of Lebanon Provisions</w:t>
      </w:r>
    </w:p>
    <w:p>
      <w:pPr>
        <w:jc w:val="both"/>
      </w:pPr>
      <w:r>
        <w:t xml:space="preserve">The Lebanon-related provisions of Annex M (Territorial Baseline and Ceasefire Demarcation), Annex U-1 (Lebanon Ceasefire Implementation), and the Lebanon Ceasefire Monitoring Body operate independently of the nuclear and maritime cores. A delay, dispute, cessation, or non-renewal of those Lebanon-specific provisions does not constitute a breach of Articles 2-5 of the MOU.</w:t>
      </w:r>
    </w:p>
    <w:p>
      <w:pPr>
        <w:jc w:val="both"/>
      </w:pPr>
      <w:r>
        <w:t xml:space="preserve">The following rules govern the interaction between Lebanon-related provisions and the MOU cores:</w:t>
      </w:r>
    </w:p>
    <w:p>
      <w:pPr>
        <w:numPr>
          <w:ilvl w:val="0"/>
          <w:numId w:val="1"/>
        </w:numPr>
      </w:pPr>
      <w:r>
        <w:t xml:space="preserve">A verified breach of the Lebanon ceasefire triggers consultation in the Political &amp; Compliance Council within 24 hours, consistent with MOU Article 6.1, but it does not automatically suspend any nuclear, maritime, or economic benefit.</w:t>
      </w:r>
    </w:p>
    <w:p>
      <w:pPr>
        <w:numPr>
          <w:ilvl w:val="0"/>
          <w:numId w:val="1"/>
        </w:numPr>
      </w:pPr>
      <w:r>
        <w:t xml:space="preserve">If the PCC determines that the Lebanon breach materially and directly impairs the other Party’s ability to perform its nuclear or maritime obligations, the impaired Party may suspend non-core benefits for up to 30 days, consistent with MOU Article 6.1(b). Nuclear custody, freedom of navigation, and humanitarian escrow releases are excluded from any such suspension.</w:t>
      </w:r>
    </w:p>
    <w:p>
      <w:pPr>
        <w:numPr>
          <w:ilvl w:val="0"/>
          <w:numId w:val="1"/>
        </w:numPr>
      </w:pPr>
      <w:r>
        <w:t xml:space="preserve">Absent a PCC determination of material impairment under paragraph (2), the nuclear and maritime cores continue unchanged regardless of Lebanon ceasefire status.</w:t>
      </w:r>
    </w:p>
    <w:p>
      <w:pPr>
        <w:numPr>
          <w:ilvl w:val="0"/>
          <w:numId w:val="1"/>
        </w:numPr>
      </w:pPr>
      <w:r>
        <w:t xml:space="preserve">A Party claiming impairment proves specific, direct, and non-speculative causation to the PCC within 72 hours, consistent with MOU Article 6.1(c). Generalized assertions of regional instability do not satisfy this standard.</w:t>
      </w:r>
    </w:p>
    <w:p>
      <w:pPr>
        <w:pStyle w:val="Heading2"/>
      </w:pPr>
      <w:r>
        <w:t>2.2 Non-Invocation Pledge</w:t>
      </w:r>
    </w:p>
    <w:p>
      <w:pPr>
        <w:jc w:val="both"/>
      </w:pPr>
      <w:r>
        <w:t xml:space="preserve">Neither Party invokes the status of Lebanon-related discussions, negotiations, ceasefires, or political developments as a basis to delay, suspend, or condition its performance under the MOU. This pledge includes, without limitation:</w:t>
      </w:r>
    </w:p>
    <w:p>
      <w:pPr>
        <w:numPr>
          <w:ilvl w:val="0"/>
          <w:numId w:val="2"/>
        </w:numPr>
      </w:pPr>
      <w:r>
        <w:t xml:space="preserve">Neither Party may cite the absence of a Lebanon ceasefire as grounds for withholding its own MOU obligations.</w:t>
      </w:r>
    </w:p>
    <w:p>
      <w:pPr>
        <w:numPr>
          <w:ilvl w:val="0"/>
          <w:numId w:val="2"/>
        </w:numPr>
      </w:pPr>
      <w:r>
        <w:t xml:space="preserve">Neither Party may cite Hezbollah’s political role, military posture, or electoral position as affecting its own compliance with the nuclear, maritime, or economic cores.</w:t>
      </w:r>
    </w:p>
    <w:p>
      <w:pPr>
        <w:numPr>
          <w:ilvl w:val="0"/>
          <w:numId w:val="2"/>
        </w:numPr>
      </w:pPr>
      <w:r>
        <w:t xml:space="preserve">Neither Party may cite Israeli military operations in Lebanon as automatically triggering step-back under MOU Article 7.3, absent a separate PCC material-impairment finding.</w:t>
      </w:r>
    </w:p>
    <w:p>
      <w:pPr>
        <w:pStyle w:val="Heading2"/>
      </w:pPr>
      <w:r>
        <w:t>2.3 Unconditionality of Benefits</w:t>
      </w:r>
    </w:p>
    <w:p>
      <w:pPr>
        <w:jc w:val="both"/>
      </w:pPr>
      <w:r>
        <w:t xml:space="preserve">The United States affirms that it is not conditioning any sanctions relief, asset release, escrow disbursement, SWIFT reconnection, oil-export permit, development-finance matching, or other benefit under the MOU on any action or concession by Iran regarding Lebanon. This affirmation covers:</w:t>
      </w:r>
    </w:p>
    <w:p>
      <w:pPr>
        <w:numPr>
          <w:ilvl w:val="0"/>
          <w:numId w:val="2"/>
        </w:numPr>
      </w:pPr>
      <w:r>
        <w:t xml:space="preserve">All frozen-asset tranches, including the Day-30 Tranche 1 (15%), the Day-60 Tranche 2 (cumulative 30%), and all subsequent tranches on the schedule of MOU Article 5.3.</w:t>
      </w:r>
    </w:p>
    <w:p>
      <w:pPr>
        <w:numPr>
          <w:ilvl w:val="0"/>
          <w:numId w:val="2"/>
        </w:numPr>
      </w:pPr>
      <w:r>
        <w:t xml:space="preserve">The $5B mutual escrow deposit and its tranched release schedule of MOU Article 5.2.</w:t>
      </w:r>
    </w:p>
    <w:p>
      <w:pPr>
        <w:numPr>
          <w:ilvl w:val="0"/>
          <w:numId w:val="2"/>
        </w:numPr>
      </w:pPr>
      <w:r>
        <w:t xml:space="preserve">The Political Discretion Fund of MOU Article 5.6.</w:t>
      </w:r>
    </w:p>
    <w:p>
      <w:pPr>
        <w:numPr>
          <w:ilvl w:val="0"/>
          <w:numId w:val="2"/>
        </w:numPr>
      </w:pPr>
      <w:r>
        <w:t xml:space="preserve">The Joint Disposition Fund of MOU Article 3.6.</w:t>
      </w:r>
    </w:p>
    <w:p>
      <w:pPr>
        <w:numPr>
          <w:ilvl w:val="0"/>
          <w:numId w:val="2"/>
        </w:numPr>
      </w:pPr>
      <w:r>
        <w:t xml:space="preserve">The Agricultural Green Lane of MOU Article 5.7.</w:t>
      </w:r>
    </w:p>
    <w:p>
      <w:pPr>
        <w:numPr>
          <w:ilvl w:val="0"/>
          <w:numId w:val="2"/>
        </w:numPr>
      </w:pPr>
      <w:r>
        <w:t xml:space="preserve">All humanitarian-badged disbursements protected by the one-way firewall of MOU Article 5.4.</w:t>
      </w:r>
    </w:p>
    <w:p>
      <w:pPr>
        <w:pStyle w:val="Heading1"/>
      </w:pPr>
      <w:r>
        <w:t>Article 3 — Iran’s Position Unaffected</w:t>
      </w:r>
      <w:bookmarkStart w:name="_TocArt3" w:id="4"/>
      <w:bookmarkEnd w:id="4"/>
    </w:p>
    <w:p>
      <w:pPr>
        <w:pStyle w:val="Heading2"/>
      </w:pPr>
      <w:r>
        <w:t>3.1 No Recognition or Engagement Requirement</w:t>
      </w:r>
    </w:p>
    <w:p>
      <w:pPr>
        <w:jc w:val="both"/>
      </w:pPr>
      <w:r>
        <w:t xml:space="preserve">Nothing in this Annex requires Iran to recognize, engage with, or normalize relations with any party to the conflict in Lebanon, including the Government of Lebanon, Hezbollah, the Lebanese Armed Forces, the Multinational Force and Observers, or any other Lebanese political or military actor. This provision operates as a reaffirmation of MOU Article 1.5 (Non-Recognition and Non-Amnesty) and MOU Article 1.7 (Framing Autonomy and Sovereign Equality) within the Lebanon context.</w:t>
      </w:r>
    </w:p>
    <w:p>
      <w:pPr>
        <w:jc w:val="both"/>
      </w:pPr>
      <w:r>
        <w:t xml:space="preserve">Specifically:</w:t>
      </w:r>
    </w:p>
    <w:p>
      <w:pPr>
        <w:numPr>
          <w:ilvl w:val="0"/>
          <w:numId w:val="1"/>
        </w:numPr>
      </w:pPr>
      <w:r>
        <w:t xml:space="preserve">Iran is not required to endorse, support, or participate in any Lebanese political process, electoral arrangement, or government formation as a condition for any MOU benefit.</w:t>
      </w:r>
    </w:p>
    <w:p>
      <w:pPr>
        <w:numPr>
          <w:ilvl w:val="0"/>
          <w:numId w:val="1"/>
        </w:numPr>
      </w:pPr>
      <w:r>
        <w:t xml:space="preserve">Iran is not required to modify its stated positions regarding Hezbollah’s political or military role in Lebanon.</w:t>
      </w:r>
    </w:p>
    <w:p>
      <w:pPr>
        <w:numPr>
          <w:ilvl w:val="0"/>
          <w:numId w:val="1"/>
        </w:numPr>
      </w:pPr>
      <w:r>
        <w:t xml:space="preserve">Iran is not required to acknowledge, accept, or implement any UN Security Council resolution regarding Lebanon as a condition for MOU performance by either Party.</w:t>
      </w:r>
    </w:p>
    <w:p>
      <w:pPr>
        <w:pStyle w:val="Heading2"/>
      </w:pPr>
      <w:r>
        <w:t>3.2 Preservation of Sovereign Positions</w:t>
      </w:r>
    </w:p>
    <w:p>
      <w:pPr>
        <w:jc w:val="both"/>
      </w:pPr>
      <w:r>
        <w:t xml:space="preserve">Iran retains all its sovereign positions regarding Lebanon as expressed in the MOU and its annexes, and this Annex does not expand or contract any obligation Iran has under those instruments. In particular:</w:t>
      </w:r>
    </w:p>
    <w:p>
      <w:pPr>
        <w:numPr>
          <w:ilvl w:val="0"/>
          <w:numId w:val="2"/>
        </w:numPr>
      </w:pPr>
      <w:r>
        <w:t xml:space="preserve">Iran’s influence-commitment under Annex U-1 — to use its best efforts to prevent cross-border attacks from Lebanese territory — remains operative on its own terms and is not enlarged by this Annex.</w:t>
      </w:r>
    </w:p>
    <w:p>
      <w:pPr>
        <w:numPr>
          <w:ilvl w:val="0"/>
          <w:numId w:val="2"/>
        </w:numPr>
      </w:pPr>
      <w:r>
        <w:t xml:space="preserve">Iran’s non-responsibility for non-state actors, consistent with MOU Article 6.2, remains fully in force.</w:t>
      </w:r>
    </w:p>
    <w:p>
      <w:pPr>
        <w:numPr>
          <w:ilvl w:val="0"/>
          <w:numId w:val="2"/>
        </w:numPr>
      </w:pPr>
      <w:r>
        <w:t xml:space="preserve">Iran’s right to characterize this Annex as a U.S. clarification that changes nothing about Iran’s position is protected under the narrative dispute-resolution process of Annex R.b.</w:t>
      </w:r>
    </w:p>
    <w:p>
      <w:pPr>
        <w:pBdr>
          <w:left w:val="single" w:color="999999" w:sz="12"/>
        </w:pBdr>
        <w:shd w:val="clear" w:fill="fafaf8"/>
        <w:spacing w:before="120" w:after="120"/>
        <w:ind w:left="200" w:right="200"/>
      </w:pPr>
      <w:r>
        <w:rPr>
          <w:i/>
          <w:color w:val="555555"/>
          <w:sz w:val="20"/>
        </w:rPr>
        <w:t xml:space="preserve">This Article ensures that the United States’ clarification does not become, in effect, a new demand on Iran. The United States records its position; Iran’s position remains exactly what it was.</w:t>
      </w:r>
    </w:p>
    <w:p>
      <w:pPr>
        <w:pStyle w:val="Heading1"/>
      </w:pPr>
      <w:r>
        <w:t>Article 4 — Relationship to Other Annexes</w:t>
      </w:r>
      <w:bookmarkStart w:name="_TocArt4" w:id="5"/>
      <w:bookmarkEnd w:id="5"/>
    </w:p>
    <w:p>
      <w:pPr>
        <w:jc w:val="both"/>
      </w:pPr>
      <w:r>
        <w:t xml:space="preserve">The table below specifies the operative relationship between this Annex and each relevant provision of the MOU architecture. Where this Annex and another provision address the same subject, this Annex governs only the specific question of Lebanon’s status as a prerequisite for short-term agreement; all other matters remain governed by the provision cited.</w:t>
      </w:r>
    </w:p>
    <w:tbl>
      <w:tblPr>
        <w:tblW w:w="5000" w:type="pct"/>
        <w:tblBorders>
          <w:top w:val="single" w:color="1a1a1a" w:sz="12"/>
          <w:left w:val="nil"/>
          <w:bottom w:val="single" w:color="1a1a1a" w:sz="12"/>
          <w:right w:val="nil"/>
          <w:insideH w:val="single" w:color="999999" w:sz="4"/>
          <w:insideV w:val="nil"/>
        </w:tblBorders>
      </w:tblPr>
      <w:tblGrid>
        <w:gridCol w:w="2800"/>
        <w:gridCol w:w="7200"/>
      </w:tblGrid>
      <w:tr>
        <w:trPr>
          <w:tblHeader/>
        </w:trPr>
        <w:tc>
          <w:tcPr>
            <w:tcW w:w="2800" w:type="dxa"/>
            <w:tcBorders>
              <w:bottom w:val="single" w:color="1a1a1a" w:sz="6"/>
            </w:tcBorders>
            <w:shd w:val="clear" w:fill="f5f5f2"/>
          </w:tcPr>
          <w:p>
            <w:pPr>
              <w:keepNext/>
              <w:spacing w:before="80" w:after="80"/>
            </w:pPr>
            <w:r>
              <w:rPr>
                <w:b/>
                <w:color w:val="333333"/>
                <w:sz w:val="20"/>
              </w:rPr>
              <w:t xml:space="preserve">Annex / Provision</w:t>
            </w:r>
          </w:p>
        </w:tc>
        <w:tc>
          <w:tcPr>
            <w:tcW w:w="7200" w:type="dxa"/>
            <w:tcBorders>
              <w:bottom w:val="single" w:color="1a1a1a" w:sz="6"/>
            </w:tcBorders>
            <w:shd w:val="clear" w:fill="f5f5f2"/>
          </w:tcPr>
          <w:p>
            <w:pPr>
              <w:keepNext/>
              <w:spacing w:before="80" w:after="80"/>
            </w:pPr>
            <w:r>
              <w:rPr>
                <w:b/>
                <w:color w:val="333333"/>
                <w:sz w:val="20"/>
              </w:rPr>
              <w:t xml:space="preserve">Relationship</w:t>
            </w:r>
          </w:p>
        </w:tc>
      </w:tr>
      <w:tr>
        <w:tc>
          <w:tcPr>
            <w:tcW w:w="2800" w:type="dxa"/>
            <w:tcBorders>
              <w:bottom w:val="single" w:color="999999" w:sz="4"/>
            </w:tcBorders>
          </w:tcPr>
          <w:p>
            <w:pPr>
              <w:keepNext/>
              <w:spacing w:before="60" w:after="60"/>
            </w:pPr>
            <w:r>
              <w:rPr>
                <w:color w:val="333333"/>
                <w:sz w:val="20"/>
              </w:rPr>
              <w:t xml:space="preserve">Annex M
Territorial Baseline and Ceasefire Demarcation</w:t>
            </w:r>
          </w:p>
        </w:tc>
        <w:tc>
          <w:tcPr>
            <w:tcW w:w="7200" w:type="dxa"/>
            <w:tcBorders>
              <w:bottom w:val="single" w:color="999999" w:sz="4"/>
            </w:tcBorders>
          </w:tcPr>
          <w:p>
            <w:pPr>
              <w:keepNext/>
              <w:spacing w:before="60" w:after="60"/>
            </w:pPr>
            <w:r>
              <w:rPr>
                <w:color w:val="333333"/>
                <w:sz w:val="20"/>
              </w:rPr>
              <w:t xml:space="preserve">Unaffected. The territorial freeze-in-place, proportional penalty matrix, shared digital registry, and emergency fast-track arbitration continue to operate as written. This Annex only clarifies that a dispute under Annex M does not halt the nuclear or maritime cores.</w:t>
            </w:r>
          </w:p>
        </w:tc>
      </w:tr>
      <w:tr>
        <w:tc>
          <w:tcPr>
            <w:tcW w:w="2800" w:type="dxa"/>
            <w:tcBorders>
              <w:bottom w:val="single" w:color="999999" w:sz="4"/>
            </w:tcBorders>
          </w:tcPr>
          <w:p>
            <w:pPr>
              <w:keepNext/>
              <w:spacing w:before="60" w:after="60"/>
            </w:pPr>
            <w:r>
              <w:rPr>
                <w:color w:val="333333"/>
                <w:sz w:val="20"/>
              </w:rPr>
              <w:t xml:space="preserve">Annex U-1
Lebanon Ceasefire Implementation</w:t>
            </w:r>
          </w:p>
        </w:tc>
        <w:tc>
          <w:tcPr>
            <w:tcW w:w="7200" w:type="dxa"/>
            <w:tcBorders>
              <w:bottom w:val="single" w:color="999999" w:sz="4"/>
            </w:tcBorders>
          </w:tcPr>
          <w:p>
            <w:pPr>
              <w:keepNext/>
              <w:spacing w:before="60" w:after="60"/>
            </w:pPr>
            <w:r>
              <w:rPr>
                <w:color w:val="333333"/>
                <w:sz w:val="20"/>
              </w:rPr>
              <w:t xml:space="preserve">Unaffected. The ceasefire continues to operate as written, including Iran’s best-efforts influence commitment and the United States’ commitment to prevent Israeli operations that undermine the ceasefire. This Annex only clarifies that the operation of Annex U-1 is not a gate for other MOU benefits.</w:t>
            </w:r>
          </w:p>
        </w:tc>
      </w:tr>
      <w:tr>
        <w:tc>
          <w:tcPr>
            <w:tcW w:w="2800" w:type="dxa"/>
            <w:tcBorders>
              <w:bottom w:val="single" w:color="999999" w:sz="4"/>
            </w:tcBorders>
          </w:tcPr>
          <w:p>
            <w:pPr>
              <w:keepNext/>
              <w:spacing w:before="60" w:after="60"/>
            </w:pPr>
            <w:r>
              <w:rPr>
                <w:color w:val="333333"/>
                <w:sz w:val="20"/>
              </w:rPr>
              <w:t xml:space="preserve">MOU Article 6.1
Rolling Ceasefire</w:t>
            </w:r>
          </w:p>
        </w:tc>
        <w:tc>
          <w:tcPr>
            <w:tcW w:w="7200" w:type="dxa"/>
            <w:tcBorders>
              <w:bottom w:val="single" w:color="999999" w:sz="4"/>
            </w:tcBorders>
          </w:tcPr>
          <w:p>
            <w:pPr>
              <w:keepNext/>
              <w:spacing w:before="60" w:after="60"/>
            </w:pPr>
            <w:r>
              <w:rPr>
                <w:color w:val="333333"/>
                <w:sz w:val="20"/>
              </w:rPr>
              <w:t xml:space="preserve">The ceasefire remains in force. This Annex confirms that a dispute over its Lebanon component does not halt the rest of the MOU. The Regional Stabilization Rounds continue on their fixed calendar regardless of this Annex.</w:t>
            </w:r>
          </w:p>
        </w:tc>
      </w:tr>
      <w:tr>
        <w:tc>
          <w:tcPr>
            <w:tcW w:w="2800" w:type="dxa"/>
            <w:tcBorders>
              <w:bottom w:val="single" w:color="999999" w:sz="4"/>
            </w:tcBorders>
          </w:tcPr>
          <w:p>
            <w:pPr>
              <w:keepNext/>
              <w:spacing w:before="60" w:after="60"/>
            </w:pPr>
            <w:r>
              <w:rPr>
                <w:color w:val="333333"/>
                <w:sz w:val="20"/>
              </w:rPr>
              <w:t xml:space="preserve">MOU Article 6.2
Territorial Freeze-in-Place</w:t>
            </w:r>
          </w:p>
        </w:tc>
        <w:tc>
          <w:tcPr>
            <w:tcW w:w="7200" w:type="dxa"/>
            <w:tcBorders>
              <w:bottom w:val="single" w:color="999999" w:sz="4"/>
            </w:tcBorders>
          </w:tcPr>
          <w:p>
            <w:pPr>
              <w:keepNext/>
              <w:spacing w:before="60" w:after="60"/>
            </w:pPr>
            <w:r>
              <w:rPr>
                <w:color w:val="333333"/>
                <w:sz w:val="20"/>
              </w:rPr>
              <w:t xml:space="preserve">Unaffected. The freeze-in-place boundary, automatic breach triggers, and proportional penalty matrix govern the Lebanon and Gaza fronts independently.</w:t>
            </w:r>
          </w:p>
        </w:tc>
      </w:tr>
      <w:tr>
        <w:tc>
          <w:tcPr>
            <w:tcW w:w="2800" w:type="dxa"/>
            <w:tcBorders>
              <w:bottom w:val="single" w:color="999999" w:sz="4"/>
            </w:tcBorders>
          </w:tcPr>
          <w:p>
            <w:pPr>
              <w:keepNext/>
              <w:spacing w:before="60" w:after="60"/>
            </w:pPr>
            <w:r>
              <w:rPr>
                <w:color w:val="333333"/>
                <w:sz w:val="20"/>
              </w:rPr>
              <w:t xml:space="preserve">MOU Article 6.4
Third-Party Action Non-Liability</w:t>
            </w:r>
          </w:p>
        </w:tc>
        <w:tc>
          <w:tcPr>
            <w:tcW w:w="7200" w:type="dxa"/>
            <w:tcBorders>
              <w:bottom w:val="single" w:color="999999" w:sz="4"/>
            </w:tcBorders>
          </w:tcPr>
          <w:p>
            <w:pPr>
              <w:keepNext/>
              <w:spacing w:before="60" w:after="60"/>
            </w:pPr>
            <w:r>
              <w:rPr>
                <w:color w:val="333333"/>
                <w:sz w:val="20"/>
              </w:rPr>
              <w:t xml:space="preserve">Reinforced. This Annex is consistent with the principle that no non-Party action breaches the MOU. A third-party military operation in Lebanon does not constitute a breach by either Party.</w:t>
            </w:r>
          </w:p>
        </w:tc>
      </w:tr>
      <w:tr>
        <w:tc>
          <w:tcPr>
            <w:tcW w:w="2800" w:type="dxa"/>
            <w:tcBorders>
              <w:bottom w:val="single" w:color="999999" w:sz="4"/>
            </w:tcBorders>
          </w:tcPr>
          <w:p>
            <w:pPr>
              <w:keepNext/>
              <w:spacing w:before="60" w:after="60"/>
            </w:pPr>
            <w:r>
              <w:rPr>
                <w:color w:val="333333"/>
                <w:sz w:val="20"/>
              </w:rPr>
              <w:t xml:space="preserve">Annex T
Adaptive Stabilization and Compliance Resilience Matrix</w:t>
            </w:r>
          </w:p>
        </w:tc>
        <w:tc>
          <w:tcPr>
            <w:tcW w:w="7200" w:type="dxa"/>
            <w:tcBorders>
              <w:bottom w:val="single" w:color="999999" w:sz="4"/>
            </w:tcBorders>
          </w:tcPr>
          <w:p>
            <w:pPr>
              <w:keepNext/>
              <w:spacing w:before="60" w:after="60"/>
            </w:pPr>
            <w:r>
              <w:rPr>
                <w:color w:val="333333"/>
                <w:sz w:val="20"/>
              </w:rPr>
              <w:t xml:space="preserve">No step-back is triggered by Lebanon-related disputes unless the PCC makes a separate material-impairment finding under Annex J, Article 5. The sectoral firewalls of Annex T protect nuclear-linked, maritime-linked, and economic-linked benefit streams from cross-contamination by regional disputes.</w:t>
            </w:r>
          </w:p>
        </w:tc>
      </w:tr>
      <w:tr>
        <w:tc>
          <w:tcPr>
            <w:tcW w:w="2800" w:type="dxa"/>
            <w:tcBorders>
              <w:bottom w:val="single" w:color="999999" w:sz="4"/>
            </w:tcBorders>
          </w:tcPr>
          <w:p>
            <w:pPr>
              <w:keepNext/>
              <w:spacing w:before="60" w:after="60"/>
            </w:pPr>
            <w:r>
              <w:rPr>
                <w:color w:val="333333"/>
                <w:sz w:val="20"/>
              </w:rPr>
              <w:t xml:space="preserve">Annex R.b
Narrative Dispute Resolution</w:t>
            </w:r>
          </w:p>
        </w:tc>
        <w:tc>
          <w:tcPr>
            <w:tcW w:w="7200" w:type="dxa"/>
            <w:tcBorders>
              <w:bottom w:val="single" w:color="999999" w:sz="4"/>
            </w:tcBorders>
          </w:tcPr>
          <w:p>
            <w:pPr>
              <w:keepNext/>
              <w:spacing w:before="60" w:after="60"/>
            </w:pPr>
            <w:r>
              <w:rPr>
                <w:color w:val="333333"/>
                <w:sz w:val="20"/>
              </w:rPr>
              <w:t xml:space="preserve">Available. Either Party may invoke Annex R.b if the other Party’s public characterization of this Annex materially misrepresents a verified technical fact or the scope of the clarification recorded herein.</w:t>
            </w:r>
          </w:p>
        </w:tc>
      </w:tr>
      <w:tr>
        <w:tc>
          <w:tcPr>
            <w:tcW w:w="2800" w:type="dxa"/>
            <w:tcBorders>
              <w:bottom w:val="single" w:color="999999" w:sz="4"/>
            </w:tcBorders>
          </w:tcPr>
          <w:p>
            <w:pPr>
              <w:keepNext/>
              <w:spacing w:before="60" w:after="60"/>
            </w:pPr>
            <w:r>
              <w:rPr>
                <w:color w:val="333333"/>
                <w:sz w:val="20"/>
              </w:rPr>
              <w:t xml:space="preserve">MOU Article 13
Regional and Israel Coordination</w:t>
            </w:r>
          </w:p>
        </w:tc>
        <w:tc>
          <w:tcPr>
            <w:tcW w:w="7200" w:type="dxa"/>
            <w:tcBorders>
              <w:bottom w:val="single" w:color="999999" w:sz="4"/>
            </w:tcBorders>
          </w:tcPr>
          <w:p>
            <w:pPr>
              <w:keepNext/>
              <w:spacing w:before="60" w:after="60"/>
            </w:pPr>
            <w:r>
              <w:rPr>
                <w:color w:val="333333"/>
                <w:sz w:val="20"/>
              </w:rPr>
              <w:t xml:space="preserve">Complementary. Article 13.1 (Non-Impediment) and Article 13.5 (Syria Freedom of Action) operate independently of this Annex. This Annex addresses Lebanon specifically; Article 13 addresses the broader regional architecture.</w:t>
            </w:r>
          </w:p>
        </w:tc>
      </w:tr>
    </w:tbl>
    <w:p>
      <w:pPr>
        <w:pStyle w:val="Heading1"/>
      </w:pPr>
      <w:r>
        <w:t>Article 5 — Legal Status</w:t>
      </w:r>
      <w:bookmarkStart w:name="_TocArt5" w:id="6"/>
      <w:bookmarkEnd w:id="6"/>
    </w:p>
    <w:p>
      <w:pPr>
        <w:pStyle w:val="Heading2"/>
      </w:pPr>
      <w:r>
        <w:t>5.1 Interpretative and Clarifying Character</w:t>
      </w:r>
    </w:p>
    <w:p>
      <w:pPr>
        <w:jc w:val="both"/>
      </w:pPr>
      <w:r>
        <w:t xml:space="preserve">This Annex is an interpretative and clarifying instrument. It does not amend, supersede, or override any provision of the parent MOU or any of its other annexes except as explicitly stated herein. Its purpose is to record the United States’ position that Lebanon is not a requirement for a short-term agreement with Iran and to make that position operationally explicit within the MOU architecture.</w:t>
      </w:r>
    </w:p>
    <w:p>
      <w:pPr>
        <w:jc w:val="both"/>
      </w:pPr>
      <w:r>
        <w:t xml:space="preserve">An “interpretative instrument” for the purposes of this Article means a document that records the common understanding of the Parties as to the meaning or application of an existing provision without altering the provision’s text. A “clarifying instrument” means a document that removes ambiguity in the interpretation of existing provisions without adding new substantive obligations.</w:t>
      </w:r>
    </w:p>
    <w:p>
      <w:pPr>
        <w:pStyle w:val="Heading2"/>
      </w:pPr>
      <w:r>
        <w:t>5.2 Hierarchy of Provisions</w:t>
      </w:r>
    </w:p>
    <w:p>
      <w:pPr>
        <w:jc w:val="both"/>
      </w:pPr>
      <w:r>
        <w:t xml:space="preserve">In the event of any inconsistency between this Annex and any other provision of the MOU, the other provision governs. This Annex serves solely to record the United States’ position that Lebanon is not a requirement for a short-term agreement with Iran. It does not create any right, remedy, or obligation that is broader than, different from, or additional to the rights, remedies, and obligations already stated in the MOU and its existing annexes.</w:t>
      </w:r>
    </w:p>
    <w:p>
      <w:pPr>
        <w:jc w:val="both"/>
      </w:pPr>
      <w:r>
        <w:t xml:space="preserve">The hierarchy is as follows, from highest to lowest authority:</w:t>
      </w:r>
    </w:p>
    <w:p>
      <w:pPr>
        <w:numPr>
          <w:ilvl w:val="0"/>
          <w:numId w:val="1"/>
        </w:numPr>
      </w:pPr>
      <w:r>
        <w:t xml:space="preserve">The operative provisions of the MOU (Articles 1-13 of Part A).</w:t>
      </w:r>
    </w:p>
    <w:p>
      <w:pPr>
        <w:numPr>
          <w:ilvl w:val="0"/>
          <w:numId w:val="1"/>
        </w:numPr>
      </w:pPr>
      <w:r>
        <w:t xml:space="preserve">The integrated annexes of Part D, each governing within its subject matter.</w:t>
      </w:r>
    </w:p>
    <w:p>
      <w:pPr>
        <w:numPr>
          <w:ilvl w:val="0"/>
          <w:numId w:val="1"/>
        </w:numPr>
      </w:pPr>
      <w:r>
        <w:t xml:space="preserve">This Annex LEB, interpreting and clarifying the relationship between Lebanon-related provisions and the MOU cores.</w:t>
      </w:r>
    </w:p>
    <w:p>
      <w:pPr>
        <w:numPr>
          <w:ilvl w:val="0"/>
          <w:numId w:val="1"/>
        </w:numPr>
      </w:pPr>
      <w:r>
        <w:t xml:space="preserve">The Political Pitch Matrix of Article 6 (informative only, not operative).</w:t>
      </w:r>
    </w:p>
    <w:p>
      <w:pPr>
        <w:pStyle w:val="Heading2"/>
      </w:pPr>
      <w:r>
        <w:t>5.3 Binding Effect Without New Obligations</w:t>
      </w:r>
    </w:p>
    <w:p>
      <w:pPr>
        <w:jc w:val="both"/>
      </w:pPr>
      <w:r>
        <w:t xml:space="preserve">This Annex is binding on both Parties as an operative part of the MOU architecture, but it creates no new obligations beyond those already stated in the MOU and its existing annexes. The binding character of this Annex means:</w:t>
      </w:r>
    </w:p>
    <w:p>
      <w:pPr>
        <w:numPr>
          <w:ilvl w:val="0"/>
          <w:numId w:val="2"/>
        </w:numPr>
      </w:pPr>
      <w:r>
        <w:t xml:space="preserve">The United States is bound by the declarations in Articles 1.1, 1.2, 1.3, 2.2, and 2.3. A violation of these declarations is subject to the dispute-resolution process of MOU Article 7.4.</w:t>
      </w:r>
    </w:p>
    <w:p>
      <w:pPr>
        <w:numPr>
          <w:ilvl w:val="0"/>
          <w:numId w:val="2"/>
        </w:numPr>
      </w:pPr>
      <w:r>
        <w:t xml:space="preserve">Iran is bound by the reciprocal pledges in Article 2.2 (non-invocation) and Article 3.2 (preservation of existing positions).</w:t>
      </w:r>
    </w:p>
    <w:p>
      <w:pPr>
        <w:numPr>
          <w:ilvl w:val="0"/>
          <w:numId w:val="2"/>
        </w:numPr>
      </w:pPr>
      <w:r>
        <w:t xml:space="preserve">Neither Party is bound by Article 6 (Political Pitch Matrix), which is informative and not operative.</w:t>
      </w:r>
    </w:p>
    <w:p>
      <w:pPr>
        <w:pStyle w:val="Heading1"/>
      </w:pPr>
      <w:r>
        <w:t>Article 6 — Political Pitch Matrix (Informative, Not Operative)</w:t>
      </w:r>
      <w:bookmarkStart w:name="_TocArt6" w:id="7"/>
      <w:bookmarkEnd w:id="7"/>
    </w:p>
    <w:p>
      <w:pPr>
        <w:pBdr>
          <w:left w:val="single" w:color="999999" w:sz="12"/>
        </w:pBdr>
        <w:shd w:val="clear" w:fill="fafaf8"/>
        <w:spacing w:before="120" w:after="120"/>
        <w:ind w:left="200" w:right="200"/>
      </w:pPr>
      <w:r>
        <w:rPr>
          <w:i/>
          <w:color w:val="555555"/>
          <w:sz w:val="20"/>
        </w:rPr>
        <w:t xml:space="preserve">This Article is informative only and creates no legal obligation. It provides pre-cleared messaging for each audience, consistent with the performance-contingent messaging rule of MOU Article 1.7. Every public characterization acknowledges that benefits are conditional; a 24-hour embargo runs on contradictory messaging.</w:t>
      </w:r>
    </w:p>
    <w:tbl>
      <w:tblPr>
        <w:tblW w:w="5000" w:type="pct"/>
        <w:tblBorders>
          <w:top w:val="single" w:color="1a1a1a" w:sz="12"/>
          <w:left w:val="nil"/>
          <w:bottom w:val="single" w:color="1a1a1a" w:sz="12"/>
          <w:right w:val="nil"/>
          <w:insideH w:val="single" w:color="999999" w:sz="4"/>
          <w:insideV w:val="nil"/>
        </w:tblBorders>
      </w:tblPr>
      <w:tblGrid>
        <w:gridCol w:w="3200"/>
        <w:gridCol w:w="3200"/>
        <w:gridCol w:w="3600"/>
      </w:tblGrid>
      <w:tr>
        <w:trPr>
          <w:tblHeader/>
        </w:trPr>
        <w:tc>
          <w:tcPr>
            <w:tcW w:w="3200" w:type="dxa"/>
            <w:tcBorders>
              <w:bottom w:val="single" w:color="1a1a1a" w:sz="6"/>
            </w:tcBorders>
            <w:shd w:val="clear" w:fill="f5f5f2"/>
          </w:tcPr>
          <w:p>
            <w:pPr>
              <w:keepNext/>
              <w:spacing w:before="80" w:after="80"/>
            </w:pPr>
            <w:r>
              <w:rPr>
                <w:b/>
                <w:color w:val="333333"/>
                <w:sz w:val="20"/>
              </w:rPr>
              <w:t xml:space="preserve">To the United States</w:t>
            </w:r>
          </w:p>
        </w:tc>
        <w:tc>
          <w:tcPr>
            <w:tcW w:w="3200" w:type="dxa"/>
            <w:tcBorders>
              <w:bottom w:val="single" w:color="1a1a1a" w:sz="6"/>
            </w:tcBorders>
            <w:shd w:val="clear" w:fill="f5f5f2"/>
          </w:tcPr>
          <w:p>
            <w:pPr>
              <w:keepNext/>
              <w:spacing w:before="80" w:after="80"/>
            </w:pPr>
            <w:r>
              <w:rPr>
                <w:b/>
                <w:color w:val="333333"/>
                <w:sz w:val="20"/>
              </w:rPr>
              <w:t xml:space="preserve">To Iran</w:t>
            </w:r>
          </w:p>
        </w:tc>
        <w:tc>
          <w:tcPr>
            <w:tcW w:w="3600" w:type="dxa"/>
            <w:tcBorders>
              <w:bottom w:val="single" w:color="1a1a1a" w:sz="6"/>
            </w:tcBorders>
            <w:shd w:val="clear" w:fill="f5f5f2"/>
          </w:tcPr>
          <w:p>
            <w:pPr>
              <w:keepNext/>
              <w:spacing w:before="80" w:after="80"/>
            </w:pPr>
            <w:r>
              <w:rPr>
                <w:b/>
                <w:color w:val="333333"/>
                <w:sz w:val="20"/>
              </w:rPr>
              <w:t xml:space="preserve">To Facilitators</w:t>
            </w:r>
          </w:p>
        </w:tc>
      </w:tr>
      <w:tr>
        <w:tc>
          <w:tcPr>
            <w:tcW w:w="3200" w:type="dxa"/>
            <w:tcBorders>
              <w:bottom w:val="single" w:color="999999" w:sz="4"/>
            </w:tcBorders>
          </w:tcPr>
          <w:p>
            <w:pPr>
              <w:keepNext/>
              <w:spacing w:before="60" w:after="60"/>
            </w:pPr>
            <w:r>
              <w:rPr>
                <w:color w:val="333333"/>
                <w:sz w:val="20"/>
              </w:rPr>
              <w:t xml:space="preserve">“This Annex locks in the public statement: Lebanon is not a prerequisite. No one can later claim the deal requires Lebanese normalization. The nuclear cap, the dual-key lock, and the escrow schedule proceed on their own verification track.”</w:t>
            </w:r>
          </w:p>
        </w:tc>
        <w:tc>
          <w:tcPr>
            <w:tcW w:w="3200" w:type="dxa"/>
            <w:tcBorders>
              <w:bottom w:val="single" w:color="999999" w:sz="4"/>
            </w:tcBorders>
          </w:tcPr>
          <w:p>
            <w:pPr>
              <w:keepNext/>
              <w:spacing w:before="60" w:after="60"/>
            </w:pPr>
            <w:r>
              <w:rPr>
                <w:color w:val="333333"/>
                <w:sz w:val="20"/>
              </w:rPr>
              <w:t xml:space="preserve">“This Annex does not weaken your position on Lebanon. It merely records a U.S. clarification. All your rights under Annexes M and U-1 remain unchanged. You are not required to recognize, engage with, or normalize relations with any Lebanese actor.”</w:t>
            </w:r>
          </w:p>
        </w:tc>
        <w:tc>
          <w:tcPr>
            <w:tcW w:w="3600" w:type="dxa"/>
            <w:tcBorders>
              <w:bottom w:val="single" w:color="999999" w:sz="4"/>
            </w:tcBorders>
          </w:tcPr>
          <w:p>
            <w:pPr>
              <w:keepNext/>
              <w:spacing w:before="60" w:after="60"/>
            </w:pPr>
            <w:r>
              <w:rPr>
                <w:color w:val="333333"/>
                <w:sz w:val="20"/>
              </w:rPr>
              <w:t xml:space="preserve">“This Annex removes a lingering ambiguity without reopening any substantive negotiation. It is a clean, declarative side-record that makes the architecture more durable by clarifying what was already true.”</w:t>
            </w:r>
          </w:p>
        </w:tc>
      </w:tr>
      <w:tr>
        <w:tc>
          <w:tcPr>
            <w:tcW w:w="3200" w:type="dxa"/>
            <w:tcBorders>
              <w:bottom w:val="single" w:color="999999" w:sz="4"/>
            </w:tcBorders>
          </w:tcPr>
          <w:p>
            <w:pPr>
              <w:keepNext/>
              <w:spacing w:before="60" w:after="60"/>
            </w:pPr>
            <w:r>
              <w:rPr>
                <w:color w:val="333333"/>
                <w:sz w:val="20"/>
              </w:rPr>
              <w:t xml:space="preserve">“The MOU’s modular design is preserved. Each annex operates on its own track. Lebanon-related developments do not gate the verified, compliance-linked benefits that both Parties earn through performance.”</w:t>
            </w:r>
          </w:p>
        </w:tc>
        <w:tc>
          <w:tcPr>
            <w:tcW w:w="3200" w:type="dxa"/>
            <w:tcBorders>
              <w:bottom w:val="single" w:color="999999" w:sz="4"/>
            </w:tcBorders>
          </w:tcPr>
          <w:p>
            <w:pPr>
              <w:keepNext/>
              <w:spacing w:before="60" w:after="60"/>
            </w:pPr>
            <w:r>
              <w:rPr>
                <w:color w:val="333333"/>
                <w:sz w:val="20"/>
              </w:rPr>
              <w:t xml:space="preserve">“The step-back ladder still protects you. Lebanon-related disputes do not trigger economic penalties unless the PCC finds material impairment of the nuclear or maritime cores — a high threshold that generalized instability does not meet.”</w:t>
            </w:r>
          </w:p>
        </w:tc>
        <w:tc>
          <w:tcPr>
            <w:tcW w:w="3600" w:type="dxa"/>
            <w:tcBorders>
              <w:bottom w:val="single" w:color="999999" w:sz="4"/>
            </w:tcBorders>
          </w:tcPr>
          <w:p>
            <w:pPr>
              <w:keepNext/>
              <w:spacing w:before="60" w:after="60"/>
            </w:pPr>
            <w:r>
              <w:rPr>
                <w:color w:val="333333"/>
                <w:sz w:val="20"/>
              </w:rPr>
              <w:t xml:space="preserve">“The dispute-resolution channel stays open. If either Party feels the other is mischaracterizing this Annex, Annex R.b provides a confidential, non-escalatory path to resolve the dispute.”</w:t>
            </w:r>
          </w:p>
        </w:tc>
      </w:tr>
      <w:tr>
        <w:tc>
          <w:tcPr>
            <w:tcW w:w="3200" w:type="dxa"/>
            <w:tcBorders>
              <w:bottom w:val="single" w:color="999999" w:sz="4"/>
            </w:tcBorders>
          </w:tcPr>
          <w:p>
            <w:pPr>
              <w:keepNext/>
              <w:spacing w:before="60" w:after="60"/>
            </w:pPr>
            <w:r>
              <w:rPr>
                <w:color w:val="333333"/>
                <w:sz w:val="20"/>
              </w:rPr>
              <w:t xml:space="preserve">“This is transparency, not concession. Recording a negotiating position makes it enforceable through the PCC dispute process, which protects both Parties from post-signature reinterpretation.”</w:t>
            </w:r>
          </w:p>
        </w:tc>
        <w:tc>
          <w:tcPr>
            <w:tcW w:w="3200" w:type="dxa"/>
            <w:tcBorders>
              <w:bottom w:val="single" w:color="999999" w:sz="4"/>
            </w:tcBorders>
          </w:tcPr>
          <w:p>
            <w:pPr>
              <w:keepNext/>
              <w:spacing w:before="60" w:after="60"/>
            </w:pPr>
            <w:r>
              <w:rPr>
                <w:color w:val="333333"/>
                <w:sz w:val="20"/>
              </w:rPr>
              <w:t xml:space="preserve">“Your framing autonomy is protected. You may describe this Annex as a U.S. unilateral clarification that changes nothing about Iran’s sovereign positions. The narrative dispute-resolution process of Annex R.b backs that right.”</w:t>
            </w:r>
          </w:p>
        </w:tc>
        <w:tc>
          <w:tcPr>
            <w:tcW w:w="3600" w:type="dxa"/>
            <w:tcBorders>
              <w:bottom w:val="single" w:color="999999" w:sz="4"/>
            </w:tcBorders>
          </w:tcPr>
          <w:p>
            <w:pPr>
              <w:keepNext/>
              <w:spacing w:before="60" w:after="60"/>
            </w:pPr>
            <w:r>
              <w:rPr>
                <w:color w:val="333333"/>
                <w:sz w:val="20"/>
              </w:rPr>
              <w:t xml:space="preserve">“No new institutions, no new costs, no new veto points. This Annex clarifies; it does not complicate. The three governance bodies of MOU Article 9 continue unchanged.”</w:t>
            </w:r>
          </w:p>
        </w:tc>
      </w:tr>
    </w:tbl>
    <w:p>
      <w:pPr>
        <w:pStyle w:val="Heading1"/>
      </w:pPr>
      <w:r>
        <w:t>Article 7 — Incorporation by Reference</w:t>
      </w:r>
      <w:bookmarkStart w:name="_TocArt7" w:id="8"/>
      <w:bookmarkEnd w:id="8"/>
    </w:p>
    <w:p>
      <w:pPr>
        <w:jc w:val="both"/>
      </w:pPr>
      <w:r>
        <w:t xml:space="preserve">This Annex is incorporable into any existing or future agreement through the following adoption sentence:</w:t>
      </w:r>
    </w:p>
    <w:p>
      <w:pPr>
        <w:pBdr>
          <w:top w:val="single" w:color="999999" w:sz="4"/>
          <w:left w:val="single" w:color="999999" w:sz="4"/>
          <w:bottom w:val="single" w:color="999999" w:sz="4"/>
          <w:right w:val="single" w:color="999999" w:sz="4"/>
        </w:pBdr>
        <w:shd w:val="clear" w:fill="fafaf8"/>
        <w:spacing w:before="200" w:after="200"/>
        <w:ind w:left="200" w:right="200"/>
      </w:pPr>
      <w:r>
        <w:rPr>
          <w:i/>
          <w:color w:val="555555"/>
          <w:sz w:val="20"/>
        </w:rPr>
        <w:t>“The Parties adopt Annex LEB (Lebanon Non-Linkage Clarification) as an operative provision of this Agreement. This Annex clarifies that Lebanon is not a requirement for a short-term agreement between the United States and Iran and does not amend the parent MOU.”</w:t>
      </w:r>
    </w:p>
    <w:p>
      <w:pPr>
        <w:jc w:val="both"/>
      </w:pPr>
      <w:r>
        <w:t xml:space="preserve">No amendment of the parent MOU or any other annex is required for this Annex to enter into force. This Annex enters into force upon signature by both Parties or upon provisional application by exchange of diplomatic notes.</w:t>
      </w:r>
    </w:p>
    <w:p>
      <w:pPr>
        <w:jc w:val="both"/>
      </w:pPr>
      <w:r>
        <w:t xml:space="preserve">The entry-into-force mechanisms are:</w:t>
      </w:r>
    </w:p>
    <w:p>
      <w:pPr>
        <w:numPr>
          <w:ilvl w:val="0"/>
          <w:numId w:val="1"/>
        </w:numPr>
      </w:pPr>
      <w:r>
        <w:t xml:space="preserve">Signature: Physical or electronic signature by the authorized representative of each Party, consistent with MOU Article 12.</w:t>
      </w:r>
    </w:p>
    <w:p>
      <w:pPr>
        <w:numPr>
          <w:ilvl w:val="0"/>
          <w:numId w:val="1"/>
        </w:numPr>
      </w:pPr>
      <w:r>
        <w:t xml:space="preserve">Provisional application: Exchange of diplomatic notes confirming that each Party applies this Annex provisionally pending signature. Provisional application carries the same binding effect as signature for the duration of the provisional period.</w:t>
      </w:r>
    </w:p>
    <w:p>
      <w:pPr>
        <w:numPr>
          <w:ilvl w:val="0"/>
          <w:numId w:val="1"/>
        </w:numPr>
      </w:pPr>
      <w:r>
        <w:t xml:space="preserve">Automatic integration: If this Annex is adopted by the incorporation sentence of paragraph 1 above, it enters into force simultaneously with the agreement that adopts it, on the terms specified in that agreement’s entry-into-force provision.</w:t>
      </w:r>
    </w:p>
    <w:p>
      <w:pPr>
        <w:pBdr>
          <w:left w:val="single" w:color="999999" w:sz="12"/>
        </w:pBdr>
        <w:shd w:val="clear" w:fill="fafaf8"/>
        <w:spacing w:before="120" w:after="120"/>
        <w:ind w:left="200" w:right="200"/>
      </w:pPr>
      <w:r>
        <w:rPr>
          <w:i/>
          <w:color w:val="555555"/>
          <w:sz w:val="20"/>
        </w:rPr>
        <w:t xml:space="preserve">The incorporation sentence may be included in a stand-alone instrument, a side letter, an exchange of notes, or the body of any subsequent agreement between the Parties. The sentence operates as a self-executing adoption clause that requires no further act of either Party beyond the act that makes the adopting instrument binding.</w:t>
      </w:r>
    </w:p>
    <w:p>
      <w:pPr>
        <w:pStyle w:val="Heading1"/>
      </w:pPr>
      <w:r>
        <w:t>Definitions</w:t>
      </w:r>
      <w:bookmarkStart w:name="_TocDefs" w:id="9"/>
      <w:bookmarkEnd w:id="9"/>
    </w:p>
    <w:p>
      <w:pPr>
        <w:jc w:val="both"/>
      </w:pPr>
      <w:r>
        <w:t xml:space="preserve">For the purposes of this Annex, the following terms have the meanings set out below. Terms not defined here have the meanings given in MOU Article 1.6.</w:t>
      </w:r>
    </w:p>
    <w:tbl>
      <w:tblPr>
        <w:tblW w:w="5000" w:type="pct"/>
        <w:tblBorders>
          <w:top w:val="single" w:color="1a1a1a" w:sz="12"/>
          <w:left w:val="nil"/>
          <w:bottom w:val="single" w:color="1a1a1a" w:sz="12"/>
          <w:right w:val="nil"/>
          <w:insideH w:val="single" w:color="999999" w:sz="4"/>
          <w:insideV w:val="nil"/>
        </w:tblBorders>
      </w:tblPr>
      <w:tblGrid>
        <w:gridCol w:w="2800"/>
        <w:gridCol w:w="7200"/>
      </w:tblGrid>
      <w:tr>
        <w:trPr>
          <w:tblHeader/>
        </w:trPr>
        <w:tc>
          <w:tcPr>
            <w:tcW w:w="2800" w:type="dxa"/>
            <w:tcBorders>
              <w:bottom w:val="single" w:color="1a1a1a" w:sz="6"/>
            </w:tcBorders>
            <w:shd w:val="clear" w:fill="f5f5f2"/>
          </w:tcPr>
          <w:p>
            <w:pPr>
              <w:keepNext/>
              <w:spacing w:before="80" w:after="80"/>
            </w:pPr>
            <w:r>
              <w:rPr>
                <w:b/>
                <w:color w:val="333333"/>
                <w:sz w:val="20"/>
              </w:rPr>
              <w:t xml:space="preserve">Term</w:t>
            </w:r>
          </w:p>
        </w:tc>
        <w:tc>
          <w:tcPr>
            <w:tcW w:w="7200" w:type="dxa"/>
            <w:tcBorders>
              <w:bottom w:val="single" w:color="1a1a1a" w:sz="6"/>
            </w:tcBorders>
            <w:shd w:val="clear" w:fill="f5f5f2"/>
          </w:tcPr>
          <w:p>
            <w:pPr>
              <w:keepNext/>
              <w:spacing w:before="80" w:after="80"/>
            </w:pPr>
            <w:r>
              <w:rPr>
                <w:b/>
                <w:color w:val="333333"/>
                <w:sz w:val="20"/>
              </w:rPr>
              <w:t xml:space="preserve">Meaning</w:t>
            </w:r>
          </w:p>
        </w:tc>
      </w:tr>
      <w:tr>
        <w:tc>
          <w:tcPr>
            <w:tcW w:w="2800" w:type="dxa"/>
            <w:tcBorders>
              <w:bottom w:val="single" w:color="999999" w:sz="4"/>
            </w:tcBorders>
          </w:tcPr>
          <w:p>
            <w:pPr>
              <w:keepNext/>
              <w:spacing w:before="60" w:after="60"/>
            </w:pPr>
            <w:r>
              <w:rPr>
                <w:color w:val="333333"/>
                <w:sz w:val="20"/>
              </w:rPr>
              <w:t xml:space="preserve">“Short-term agreement”</w:t>
            </w:r>
          </w:p>
        </w:tc>
        <w:tc>
          <w:tcPr>
            <w:tcW w:w="7200" w:type="dxa"/>
            <w:tcBorders>
              <w:bottom w:val="single" w:color="999999" w:sz="4"/>
            </w:tcBorders>
          </w:tcPr>
          <w:p>
            <w:pPr>
              <w:keepNext/>
              <w:spacing w:before="60" w:after="60"/>
            </w:pPr>
            <w:r>
              <w:rPr>
                <w:color w:val="333333"/>
                <w:sz w:val="20"/>
              </w:rPr>
              <w:t xml:space="preserve">Any agreement between the Parties whose primary deliverables execute within Phase I (Days 1-365) of the MOU timeline, including the MOU itself and any side letters, exchanges of notes, or technical protocols entered into during Phase I.</w:t>
            </w:r>
          </w:p>
        </w:tc>
      </w:tr>
      <w:tr>
        <w:tc>
          <w:tcPr>
            <w:tcW w:w="2800" w:type="dxa"/>
            <w:tcBorders>
              <w:bottom w:val="single" w:color="999999" w:sz="4"/>
            </w:tcBorders>
          </w:tcPr>
          <w:p>
            <w:pPr>
              <w:keepNext/>
              <w:spacing w:before="60" w:after="60"/>
            </w:pPr>
            <w:r>
              <w:rPr>
                <w:color w:val="333333"/>
                <w:sz w:val="20"/>
              </w:rPr>
              <w:t xml:space="preserve">“Lebanon-related provisions”</w:t>
            </w:r>
          </w:p>
        </w:tc>
        <w:tc>
          <w:tcPr>
            <w:tcW w:w="7200" w:type="dxa"/>
            <w:tcBorders>
              <w:bottom w:val="single" w:color="999999" w:sz="4"/>
            </w:tcBorders>
          </w:tcPr>
          <w:p>
            <w:pPr>
              <w:keepNext/>
              <w:spacing w:before="60" w:after="60"/>
            </w:pPr>
            <w:r>
              <w:rPr>
                <w:color w:val="333333"/>
                <w:sz w:val="20"/>
              </w:rPr>
              <w:t xml:space="preserve">All provisions of the MOU and its annexes that address the territory of Lebanon, the ceasefire along the Blue Line, the political status of southern Lebanon, non-state actors operating in Lebanon, or the relationship between the Parties and any Lebanese political or military actor.</w:t>
            </w:r>
          </w:p>
        </w:tc>
      </w:tr>
      <w:tr>
        <w:tc>
          <w:tcPr>
            <w:tcW w:w="2800" w:type="dxa"/>
            <w:tcBorders>
              <w:bottom w:val="single" w:color="999999" w:sz="4"/>
            </w:tcBorders>
          </w:tcPr>
          <w:p>
            <w:pPr>
              <w:keepNext/>
              <w:spacing w:before="60" w:after="60"/>
            </w:pPr>
            <w:r>
              <w:rPr>
                <w:color w:val="333333"/>
                <w:sz w:val="20"/>
              </w:rPr>
              <w:t xml:space="preserve">“MOU cores”</w:t>
            </w:r>
          </w:p>
        </w:tc>
        <w:tc>
          <w:tcPr>
            <w:tcW w:w="7200" w:type="dxa"/>
            <w:tcBorders>
              <w:bottom w:val="single" w:color="999999" w:sz="4"/>
            </w:tcBorders>
          </w:tcPr>
          <w:p>
            <w:pPr>
              <w:keepNext/>
              <w:spacing w:before="60" w:after="60"/>
            </w:pPr>
            <w:r>
              <w:rPr>
                <w:color w:val="333333"/>
                <w:sz w:val="20"/>
              </w:rPr>
              <w:t xml:space="preserve">The nuclear stabilization core (MOU Article 3), the maritime stabilization core (MOU Article 4), and the economic normalization core (MOU Article 5), collectively.</w:t>
            </w:r>
          </w:p>
        </w:tc>
      </w:tr>
      <w:tr>
        <w:tc>
          <w:tcPr>
            <w:tcW w:w="2800" w:type="dxa"/>
            <w:tcBorders>
              <w:bottom w:val="single" w:color="999999" w:sz="4"/>
            </w:tcBorders>
          </w:tcPr>
          <w:p>
            <w:pPr>
              <w:keepNext/>
              <w:spacing w:before="60" w:after="60"/>
            </w:pPr>
            <w:r>
              <w:rPr>
                <w:color w:val="333333"/>
                <w:sz w:val="20"/>
              </w:rPr>
              <w:t xml:space="preserve">“Material impairment”</w:t>
            </w:r>
          </w:p>
        </w:tc>
        <w:tc>
          <w:tcPr>
            <w:tcW w:w="7200" w:type="dxa"/>
            <w:tcBorders>
              <w:bottom w:val="single" w:color="999999" w:sz="4"/>
            </w:tcBorders>
          </w:tcPr>
          <w:p>
            <w:pPr>
              <w:keepNext/>
              <w:spacing w:before="60" w:after="60"/>
            </w:pPr>
            <w:r>
              <w:rPr>
                <w:color w:val="333333"/>
                <w:sz w:val="20"/>
              </w:rPr>
              <w:t xml:space="preserve">A finding by the PCC that a Lebanon-related event directly and specifically prevents a Party from performing its obligations under Articles 2-5 of the MOU, as distinct from generalized regional instability or political inconvenience.</w:t>
            </w:r>
          </w:p>
        </w:tc>
      </w:tr>
      <w:tr>
        <w:tc>
          <w:tcPr>
            <w:tcW w:w="2800" w:type="dxa"/>
            <w:tcBorders>
              <w:bottom w:val="single" w:color="999999" w:sz="4"/>
            </w:tcBorders>
          </w:tcPr>
          <w:p>
            <w:pPr>
              <w:keepNext/>
              <w:spacing w:before="60" w:after="60"/>
            </w:pPr>
            <w:r>
              <w:rPr>
                <w:color w:val="333333"/>
                <w:sz w:val="20"/>
              </w:rPr>
              <w:t xml:space="preserve">“Non-core benefits”</w:t>
            </w:r>
          </w:p>
        </w:tc>
        <w:tc>
          <w:tcPr>
            <w:tcW w:w="7200" w:type="dxa"/>
            <w:tcBorders>
              <w:bottom w:val="single" w:color="999999" w:sz="4"/>
            </w:tcBorders>
          </w:tcPr>
          <w:p>
            <w:pPr>
              <w:keepNext/>
              <w:spacing w:before="60" w:after="60"/>
            </w:pPr>
            <w:r>
              <w:rPr>
                <w:color w:val="333333"/>
                <w:sz w:val="20"/>
              </w:rPr>
              <w:t xml:space="preserve">All benefits under the MOU other than nuclear custody, freedom of navigation, and humanitarian escrow releases. The term has the same meaning as in MOU Article 6.1.</w:t>
            </w:r>
          </w:p>
        </w:tc>
      </w:tr>
      <w:tr>
        <w:tc>
          <w:tcPr>
            <w:tcW w:w="2800" w:type="dxa"/>
            <w:tcBorders>
              <w:bottom w:val="single" w:color="999999" w:sz="4"/>
            </w:tcBorders>
          </w:tcPr>
          <w:p>
            <w:pPr>
              <w:keepNext/>
              <w:spacing w:before="60" w:after="60"/>
            </w:pPr>
            <w:r>
              <w:rPr>
                <w:color w:val="333333"/>
                <w:sz w:val="20"/>
              </w:rPr>
              <w:t xml:space="preserve">“Interpretative instrument”</w:t>
            </w:r>
          </w:p>
        </w:tc>
        <w:tc>
          <w:tcPr>
            <w:tcW w:w="7200" w:type="dxa"/>
            <w:tcBorders>
              <w:bottom w:val="single" w:color="999999" w:sz="4"/>
            </w:tcBorders>
          </w:tcPr>
          <w:p>
            <w:pPr>
              <w:keepNext/>
              <w:spacing w:before="60" w:after="60"/>
            </w:pPr>
            <w:r>
              <w:rPr>
                <w:color w:val="333333"/>
                <w:sz w:val="20"/>
              </w:rPr>
              <w:t xml:space="preserve">A document that records the common understanding of the Parties as to the meaning or application of an existing provision without altering the provision’s text.</w:t>
            </w:r>
          </w:p>
        </w:tc>
      </w:tr>
      <w:tr>
        <w:tc>
          <w:tcPr>
            <w:tcW w:w="2800" w:type="dxa"/>
            <w:tcBorders>
              <w:bottom w:val="single" w:color="999999" w:sz="4"/>
            </w:tcBorders>
          </w:tcPr>
          <w:p>
            <w:pPr>
              <w:keepNext/>
              <w:spacing w:before="60" w:after="60"/>
            </w:pPr>
            <w:r>
              <w:rPr>
                <w:color w:val="333333"/>
                <w:sz w:val="20"/>
              </w:rPr>
              <w:t xml:space="preserve">“Clarifying instrument”</w:t>
            </w:r>
          </w:p>
        </w:tc>
        <w:tc>
          <w:tcPr>
            <w:tcW w:w="7200" w:type="dxa"/>
            <w:tcBorders>
              <w:bottom w:val="single" w:color="999999" w:sz="4"/>
            </w:tcBorders>
          </w:tcPr>
          <w:p>
            <w:pPr>
              <w:keepNext/>
              <w:spacing w:before="60" w:after="60"/>
            </w:pPr>
            <w:r>
              <w:rPr>
                <w:color w:val="333333"/>
                <w:sz w:val="20"/>
              </w:rPr>
              <w:t xml:space="preserve">A document that removes ambiguity in the interpretation of existing provisions without adding new substantive obligations.</w:t>
            </w:r>
          </w:p>
        </w:tc>
      </w:tr>
    </w:tbl>
    <w:p>
      <w:pPr>
        <w:pStyle w:val="Heading1"/>
      </w:pPr>
      <w:r>
        <w:t>Signature Block</w:t>
      </w:r>
      <w:bookmarkStart w:name="_TocSig" w:id="10"/>
      <w:bookmarkEnd w:id="10"/>
    </w:p>
    <w:p>
      <w:pPr>
        <w:jc w:val="both"/>
      </w:pPr>
      <w:r>
        <w:t xml:space="preserve">In witness whereof, the undersigned, being duly authorized by their respective governments, have signed this Annex LEB: Lebanon Non-Linkage Clarification.</w:t>
      </w:r>
    </w:p>
    <w:p>
      <w:pPr>
        <w:pBdr>
          <w:left w:val="single" w:color="999999" w:sz="12"/>
        </w:pBdr>
        <w:shd w:val="clear" w:fill="fafaf8"/>
        <w:spacing w:before="120" w:after="120"/>
        <w:ind w:left="200" w:right="200"/>
      </w:pPr>
      <w:r>
        <w:rPr>
          <w:i/>
          <w:color w:val="555555"/>
          <w:sz w:val="20"/>
        </w:rPr>
        <w:t xml:space="preserve">Done at _________________, this ____ day of ____________, 2026, in duplicate in the English language.</w:t>
      </w:r>
    </w:p>
    <w:p>
      <w:pPr>
        <w:spacing w:before="600"/>
      </w:pPr>
      <w:r/>
    </w:p>
    <w:tbl>
      <w:tblPr>
        <w:tblW w:w="5000" w:type="pct"/>
        <w:tblBorders>
          <w:top w:val="nil"/>
          <w:left w:val="nil"/>
          <w:bottom w:val="nil"/>
          <w:right w:val="nil"/>
          <w:insideH w:val="nil"/>
          <w:insideV w:val="nil"/>
        </w:tblBorders>
      </w:tblPr>
      <w:tblGrid>
        <w:gridCol w:w="5000"/>
        <w:gridCol w:w="5000"/>
      </w:tblGrid>
      <w:tr>
        <w:tc>
          <w:tcPr>
            <w:tcW w:w="5000" w:type="dxa"/>
          </w:tcPr>
          <w:p>
            <w:pPr>
              <w:spacing w:before="400" w:after="200"/>
            </w:pPr>
            <w:r>
              <w:rPr>
                <w:b/>
                <w:color w:val="333333"/>
                <w:sz w:val="20"/>
              </w:rPr>
              <w:t xml:space="preserve">For the United States of America:</w:t>
            </w:r>
          </w:p>
        </w:tc>
        <w:tc>
          <w:tcPr>
            <w:tcW w:w="5000" w:type="dxa"/>
          </w:tcPr>
          <w:p>
            <w:pPr>
              <w:spacing w:before="400" w:after="200"/>
            </w:pPr>
            <w:r>
              <w:rPr>
                <w:b/>
                <w:color w:val="333333"/>
                <w:sz w:val="20"/>
              </w:rPr>
              <w:t xml:space="preserve">For the Islamic Republic of Iran:</w:t>
            </w:r>
          </w:p>
        </w:tc>
      </w:tr>
      <w:tr>
        <w:tc>
          <w:tcPr>
            <w:tcW w:w="5000" w:type="dxa"/>
          </w:tcPr>
          <w:p>
            <w:pPr>
              <w:spacing w:after="60"/>
            </w:pPr>
            <w:r>
              <w:rPr>
                <w:color w:val="333333"/>
                <w:sz w:val="20"/>
              </w:rPr>
              <w:t xml:space="preserve">
_________________________
Signature
_________________________
Name / Title
_________________________
Date</w:t>
            </w:r>
          </w:p>
        </w:tc>
        <w:tc>
          <w:tcPr>
            <w:tcW w:w="5000" w:type="dxa"/>
          </w:tcPr>
          <w:p>
            <w:pPr>
              <w:spacing w:after="60"/>
            </w:pPr>
            <w:r>
              <w:rPr>
                <w:color w:val="333333"/>
                <w:sz w:val="20"/>
              </w:rPr>
              <w:t xml:space="preserve">
_________________________
Signature
_________________________
Name / Title
_________________________
Date</w:t>
            </w:r>
          </w:p>
        </w:tc>
      </w:tr>
    </w:tbl>
    <w:sectPr>
      <w:headerReference w:type="default" r:id="R07ab0012f3d74e00"/>
      <w:footerReference w:type="default" r:id="R4020058f1cc944db"/>
      <w:pgSz w:w="11906" w:h="16838"/>
      <w:pgMar w:top="1440" w:right="1440" w:bottom="1440" w:left="1440" w:header="720" w:footer="720"/>
    </w:sectPr>
  </w:body>
</w:document>
</file>

<file path=word/footer1.xml><?xml version="1.0" encoding="utf-8"?>
<w:ftr xmlns:w="http://schemas.openxmlformats.org/wordprocessingml/2006/main">
  <w:p>
    <w:pPr>
      <w:jc w:val="center"/>
    </w:pPr>
    <w:r>
      <w:rPr>
        <w:color w:val="888888"/>
        <w:sz w:val="18"/>
      </w:rPr>
      <w:fldChar w:fldCharType="begin"/>
    </w:r>
    <w:r>
      <w:rPr>
        <w:color w:val="888888"/>
        <w:sz w:val="18"/>
      </w:rPr>
      <w:instrText xml:space="preserve"> PAGE </w:instrText>
    </w:r>
    <w:r>
      <w:rPr>
        <w:color w:val="888888"/>
        <w:sz w:val="18"/>
      </w:rPr>
      <w:fldChar w:fldCharType="separate"/>
    </w:r>
    <w:r>
      <w:rPr>
        <w:color w:val="888888"/>
        <w:sz w:val="18"/>
      </w:rPr>
      <w:t>1</w:t>
    </w:r>
    <w:r>
      <w:rPr>
        <w:color w:val="888888"/>
        <w:sz w:val="18"/>
      </w:rPr>
      <w:fldChar w:fldCharType="end"/>
    </w:r>
  </w:p>
</w:ftr>
</file>

<file path=word/header1.xml><?xml version="1.0" encoding="utf-8"?>
<w:hdr xmlns:w="http://schemas.openxmlformats.org/wordprocessingml/2006/main">
  <w:p>
    <w:pPr>
      <w:jc w:val="center"/>
    </w:pPr>
    <w:r>
      <w:rPr>
        <w:rFonts w:ascii="Georgia" w:hAnsi="Georgia"/>
        <w:i/>
        <w:color w:val="888888"/>
        <w:sz w:val="18"/>
      </w:rPr>
      <w:t>Annex LEB — Lebanon Non-Linkage Clarification</w:t>
    </w:r>
  </w:p>
</w:hdr>
</file>

<file path=word/numbering.xml><?xml version="1.0" encoding="utf-8"?>
<w:numbering xmlns:w="http://schemas.openxmlformats.org/wordprocessingml/2006/main">
  <w:abstractNum w:abstractNumId="1">
    <w:lvl w:ilvl="0">
      <w:numFmt w:val="decimal"/>
      <w:lvlText w:val="%1."/>
      <w:lvlJc w:val="left"/>
      <w:pPr>
        <w:ind w:left="720" w:hanging="360"/>
      </w:pPr>
    </w:lvl>
    <w:lvl w:ilvl="1">
      <w:numFmt w:val="bullet"/>
      <w:lvlText w:val="•"/>
      <w:lvlJc w:val="left"/>
      <w:pPr>
        <w:ind w:left="1080" w:hanging="360"/>
      </w:pPr>
    </w:lvl>
  </w:abstractNum>
  <w:num w:numId="1">
    <w:abstractNumId w:val="1"/>
  </w:num>
  <w:num w:numId="2">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88" w:lineRule="auto"/>
      <w:jc w:val="both"/>
    </w:pPr>
    <w:rPr>
      <w:rFonts w:ascii="Georgia" w:hAnsi="Georgia" w:eastAsia="SimSun"/>
      <w:color w:val="333333"/>
      <w:sz w:val="22"/>
    </w:rPr>
  </w:style>
  <w:style w:type="paragraph" w:styleId="Heading1">
    <w:name w:val="heading 1"/>
    <w:basedOn w:val="Normal"/>
    <w:pPr>
      <w:keepNext/>
      <w:keepLines/>
      <w:pageBreakBefore/>
      <w:spacing w:before="0" w:after="320"/>
      <w:outlineLvl w:val="0"/>
    </w:pPr>
    <w:rPr>
      <w:rFonts w:ascii="Georgia" w:hAnsi="Georgia"/>
      <w:b/>
      <w:color w:val="1a1a1a"/>
      <w:sz w:val="40"/>
    </w:rPr>
  </w:style>
  <w:style w:type="paragraph" w:styleId="Heading2">
    <w:name w:val="heading 2"/>
    <w:basedOn w:val="Normal"/>
    <w:pPr>
      <w:keepNext/>
      <w:keepLines/>
      <w:spacing w:before="360" w:after="200"/>
      <w:outlineLvl w:val="1"/>
    </w:pPr>
    <w:rPr>
      <w:b/>
      <w:color w:val="333333"/>
      <w:sz w:val="28"/>
    </w:rPr>
  </w:style>
  <w:style w:type="paragraph" w:styleId="Heading3">
    <w:name w:val="heading 3"/>
    <w:basedOn w:val="Normal"/>
    <w:pPr>
      <w:keepNext/>
      <w:keepLines/>
      <w:spacing w:before="280" w:after="120"/>
      <w:outlineLvl w:val="2"/>
    </w:pPr>
    <w:rPr>
      <w:b/>
      <w:i/>
      <w:color w:val="555555"/>
      <w:sz w:val="24"/>
    </w:rPr>
  </w:style>
  <w:style w:type="paragraph" w:styleId="TOC1">
    <w:name w:val="toc 1"/>
    <w:basedOn w:val="Normal"/>
    <w:pPr>
      <w:tabs>
        <w:tab w:val="right" w:leader="dot" w:pos="9355"/>
      </w:tabs>
      <w:spacing w:before="200" w:after="60"/>
    </w:pPr>
    <w:rPr>
      <w:b/>
      <w:color w:val="333333"/>
    </w:rPr>
  </w:style>
  <w:style w:type="paragraph" w:styleId="TOC2">
    <w:name w:val="toc 2"/>
    <w:basedOn w:val="Normal"/>
    <w:pPr>
      <w:tabs>
        <w:tab w:val="right" w:leader="dot" w:pos="9355"/>
      </w:tabs>
      <w:spacing w:before="60" w:after="40"/>
      <w:ind w:left="360"/>
    </w:pPr>
    <w:rPr>
      <w:color w:val="555555"/>
    </w:rPr>
  </w:style>
  <w:style w:type="paragraph" w:styleId="TOC3">
    <w:name w:val="toc 3"/>
    <w:basedOn w:val="Normal"/>
    <w:pPr>
      <w:tabs>
        <w:tab w:val="right" w:leader="dot" w:pos="9355"/>
      </w:tabs>
      <w:spacing w:before="40" w:after="20"/>
      <w:ind w:left="720"/>
    </w:pPr>
    <w:rPr>
      <w:color w:val="888888"/>
      <w:sz w:val="20"/>
    </w:rPr>
  </w:style>
</w:styles>
</file>

<file path=word/_rels/document.xml.rels><?xml version='1.0' encoding='UTF-8'?>
<Relationships xmlns="http://schemas.openxmlformats.org/package/2006/relationships"><Relationship Type="http://schemas.openxmlformats.org/officeDocument/2006/relationships/styles" Target="styles.xml" Id="R0066e73523e54324" /><Relationship Type="http://schemas.openxmlformats.org/officeDocument/2006/relationships/numbering" Target="numbering.xml" Id="R2dfe6e9b1079415f" /><Relationship Type="http://schemas.openxmlformats.org/officeDocument/2006/relationships/header" Target="header1.xml" Id="R07ab0012f3d74e00" /><Relationship Type="http://schemas.openxmlformats.org/officeDocument/2006/relationships/footer" Target="footer1.xml" Id="R4020058f1cc944db" /><Relationship Type="http://schemas.openxmlformats.org/officeDocument/2006/relationships/settings" Target="settings.xml" Id="R87f03ab969024385" /></Relationships>
</file>