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200"/>
        <w:jc w:val="center"/>
      </w:pPr>
      <w:r>
        <w:rPr>
          <w:rFonts w:ascii="Arial" w:cs="Arial" w:eastAsia="Arial" w:hAnsi="Arial"/>
          <w:b/>
          <w:bCs/>
          <w:color w:val="4A8C6F"/>
          <w:sz w:val="20"/>
          <w:szCs w:val="20"/>
        </w:rPr>
        <w:t xml:space="preserve">DIPLOMATIC WORKING DOCUMENT — MODULAR ANNEX</w:t>
      </w:r>
    </w:p>
    <w:p>
      <w:pPr>
        <w:spacing w:after="40" w:before="40"/>
      </w:pPr>
      <w:r>
        <w:t xml:space="preserve"/>
      </w:r>
    </w:p>
    <w:p>
      <w:pPr>
        <w:spacing w:after="60" w:before="200"/>
        <w:jc w:val="center"/>
      </w:pPr>
      <w:r>
        <w:rPr>
          <w:rFonts w:ascii="Arial" w:cs="Arial" w:eastAsia="Arial" w:hAnsi="Arial"/>
          <w:b/>
          <w:bCs/>
          <w:color w:val="1B3A2B"/>
          <w:sz w:val="60"/>
          <w:szCs w:val="60"/>
        </w:rPr>
        <w:t xml:space="preserve">Annex L</w:t>
      </w:r>
    </w:p>
    <w:p>
      <w:pPr>
        <w:spacing w:after="100" w:before="0"/>
        <w:jc w:val="center"/>
      </w:pPr>
      <w:r>
        <w:rPr>
          <w:rFonts w:ascii="Arial" w:cs="Arial" w:eastAsia="Arial" w:hAnsi="Arial"/>
          <w:b/>
          <w:bCs/>
          <w:color w:val="2E6048"/>
          <w:sz w:val="30"/>
          <w:szCs w:val="30"/>
        </w:rPr>
        <w:t xml:space="preserve">Pre-Signature IAEA Verification Restoration Protocol</w:t>
      </w:r>
    </w:p>
    <w:p>
      <w:pPr>
        <w:spacing w:after="200" w:before="0"/>
        <w:jc w:val="center"/>
      </w:pPr>
      <w:r>
        <w:rPr>
          <w:rFonts w:ascii="Arial" w:cs="Arial" w:eastAsia="Arial" w:hAnsi="Arial"/>
          <w:color w:val="1B3A2B"/>
          <w:sz w:val="24"/>
          <w:szCs w:val="24"/>
        </w:rPr>
        <w:t xml:space="preserve">Baseline Inventory, Damaged-Site Access, and Certification Framework</w:t>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000000"/>
          <w:sz w:val="22"/>
          <w:szCs w:val="22"/>
        </w:rPr>
        <w:t xml:space="preserve">Self-Contained  ·  Incorporable by Reference  ·  Pre-Phase I</w:t>
      </w:r>
    </w:p>
    <w:p>
      <w:pPr>
        <w:spacing w:after="40" w:before="40"/>
        <w:jc w:val="center"/>
      </w:pPr>
      <w:r>
        <w:rPr>
          <w:rFonts w:ascii="Arial" w:cs="Arial" w:eastAsia="Arial" w:hAnsi="Arial"/>
          <w:color w:val="1B3A2B"/>
          <w:sz w:val="22"/>
          <w:szCs w:val="22"/>
        </w:rPr>
        <w:t xml:space="preserve">Operationalizes Part 0 and Annex V-R of the MOU Pertaining to PEACE</w:t>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b/>
          <w:bCs/>
          <w:color w:val="2E6048"/>
          <w:sz w:val="22"/>
          <w:szCs w:val="22"/>
        </w:rPr>
        <w:t xml:space="preserve">Version 1.0 — June 2026</w:t>
      </w:r>
    </w:p>
    <w:p>
      <w:pPr>
        <w:spacing w:after="200" w:before="40"/>
        <w:jc w:val="center"/>
      </w:pPr>
      <w:r>
        <w:rPr>
          <w:rFonts w:ascii="Arial" w:cs="Arial" w:eastAsia="Arial" w:hAnsi="Arial"/>
          <w:color w:val="000000"/>
          <w:sz w:val="22"/>
          <w:szCs w:val="22"/>
        </w:rPr>
        <w:t xml:space="preserve">Closes Gap 1 (Pre-Signature Baseline): Verification Restoration Period</w:t>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60" w:before="60"/>
        <w:jc w:val="center"/>
      </w:pPr>
      <w:r>
        <w:rPr>
          <w:rFonts w:ascii="Arial" w:cs="Arial" w:eastAsia="Arial" w:hAnsi="Arial"/>
          <w:b/>
          <w:bCs/>
          <w:color w:val="4A8C6F"/>
          <w:sz w:val="18"/>
          <w:szCs w:val="18"/>
        </w:rPr>
        <w:t xml:space="preserve">AUTHORIZED NEGOTIATORS ONLY — CONFIDENTIAL — NOT FOR PUBLIC DISTRIBUTION</w:t>
      </w:r>
    </w:p>
    <w:p>
      <w:r>
        <w:br w:type="page"/>
      </w:r>
    </w:p>
    <w:p>
      <w:pPr>
        <w:pStyle w:val="Heading1"/>
        <w:shd w:fill="1B3A2B" w:val="clear"/>
        <w:spacing w:after="120" w:before="240"/>
      </w:pPr>
      <w:r>
        <w:rPr>
          <w:rFonts w:ascii="Arial" w:cs="Arial" w:eastAsia="Arial" w:hAnsi="Arial"/>
          <w:b/>
          <w:bCs/>
          <w:color w:val="FFFFFF"/>
          <w:sz w:val="30"/>
          <w:szCs w:val="30"/>
        </w:rPr>
        <w:t xml:space="preserve">Table of Contents</w:t>
      </w:r>
    </w:p>
    <w:p>
      <w:pPr>
        <w:spacing w:after="4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3A2B" w:val="clear"/>
        <w:spacing w:after="120" w:before="240"/>
      </w:pPr>
      <w:r>
        <w:rPr>
          <w:rFonts w:ascii="Arial" w:cs="Arial" w:eastAsia="Arial" w:hAnsi="Arial"/>
          <w:b/>
          <w:bCs/>
          <w:color w:val="FFFFFF"/>
          <w:sz w:val="30"/>
          <w:szCs w:val="30"/>
        </w:rPr>
        <w:t xml:space="preserve">Preamble</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Purpose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establishes the full operative architecture for the Verification Restoration Period (VRP) mandated in Part 0 of the Memorandum of Understanding Pertaining to PEACE. The VRP closes a foundational gap in the MOU's baseline assumptions: the HEU stockpile accounting, damaged-facility access, and Baseline Verification Certificate on which every downstream compliance obligation depends do not exist at the time of signature. This Annex creates them through a structured, time-bounded, IAEA-led process that imposes no pre-signature financial or political concessions on either Party.</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The Foundational Problem</w:t>
      </w:r>
    </w:p>
    <w:p>
      <w:pPr>
        <w:spacing w:after="80" w:before="80" w:line="276" w:lineRule="auto"/>
        <w:jc w:val="both"/>
      </w:pPr>
      <w:r>
        <w:rPr>
          <w:rFonts w:ascii="Arial" w:cs="Arial" w:eastAsia="Arial" w:hAnsi="Arial"/>
          <w:b w:val="false"/>
          <w:bCs w:val="false"/>
          <w:i w:val="false"/>
          <w:iCs w:val="false"/>
          <w:color w:val="000000"/>
          <w:sz w:val="22"/>
          <w:szCs w:val="22"/>
        </w:rPr>
        <w:t xml:space="preserve">The MOU's nuclear compliance architecture — Pathway A downblending timelines, dual-lock custody verification, Annex T Stepback/Earnback triggers, and Annex P damaged cylinder protocols — all presuppose a verified baseline inventory of Iran's enriched uranium stockpile. Military operations during 2025–2026 damaged multiple declared nuclear facilities, created radiological hazard zones, and introduced material accounting uncertainties that no pre-existing IAEA safeguards report fully captures. Without a verified baseline established before signature, every subsequent compliance determination operates against an unknown denominator.</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The Solution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Verification Restoration Period is a maximum 30-day window, activating before MOU entry into force, during which the IAEA conducts a full baseline inventory across four site categories — intact declared facilities, damaged declared facilities, undeclared sites with known or suspected nuclear material, and radiologically contaminated sites. The period produces a single operative document: the Baseline Verification Certificate (BVC). The BVC is the denominator against which all Phase I compliance is measured.</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Red-Line Architecture</w:t>
      </w:r>
    </w:p>
    <w:p>
      <w:pPr>
        <w:spacing w:after="80" w:before="80" w:line="276" w:lineRule="auto"/>
        <w:jc w:val="both"/>
      </w:pPr>
      <w:r>
        <w:rPr>
          <w:rFonts w:ascii="Arial" w:cs="Arial" w:eastAsia="Arial" w:hAnsi="Arial"/>
          <w:b w:val="false"/>
          <w:bCs w:val="false"/>
          <w:i w:val="false"/>
          <w:iCs w:val="false"/>
          <w:color w:val="000000"/>
          <w:sz w:val="22"/>
          <w:szCs w:val="22"/>
        </w:rPr>
        <w:t xml:space="preserve">The VRP is designed to stay within both Parties' non-negotiable positions: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United States: No upfront cash, no pre-signature sanctions relief, no military posture change, and no non-IAEA personnel entering Iranian nuclear sites. The VRP delivers only IAEA access and a verified baseline.</w:t>
      </w:r>
    </w:p>
    <w:p>
      <w:pPr>
        <w:pStyle w:val="ListParagraph"/>
        <w:numPr>
          <w:ilvl w:val="0"/>
          <w:numId w:val="2"/>
        </w:numPr>
        <w:spacing w:after="60" w:before="60"/>
      </w:pPr>
      <w:r>
        <w:rPr>
          <w:rFonts w:ascii="Arial" w:cs="Arial" w:eastAsia="Arial" w:hAnsi="Arial"/>
          <w:sz w:val="22"/>
          <w:szCs w:val="22"/>
        </w:rPr>
        <w:t xml:space="preserve">Iran: IAEA, not U.S., leads every inspection. No U.S. personnel enter any Iranian site. Damaged sites proceed under joint-sovereignty protocols established in Annexes O and V. Data ownership remains with the IAEA. The VRP creates no admission of safeguards violations and generates no new political obligation.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Relationship to Existing Instruments</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operationalizes and expands Part 0 and Annex V-R of the MOU. It does not replace Annex O (IAEA Access and Site Integrity Protocol), Annex V (Nuclear Dust Protocol), or Annex P (Damaged Material Protocol); it invokes them as governing technical frameworks for each site category. Where a conflict exists between this Annex and those instruments on a matter within the VRP's scope, this Annex governs.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Modularity Clause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self-contained and is incorporable into any existing or future agreement between the Parties through a single sentence of adoption. It does not amend or supersede conflicting provisions of any parent framework unless the Parties explicitly so agree.</w:t>
      </w:r>
    </w:p>
    <w:p>
      <w:r>
        <w:br w:type="page"/>
      </w:r>
    </w:p>
    <w:p>
      <w:pPr>
        <w:pStyle w:val="Heading1"/>
        <w:shd w:fill="1B3A2B" w:val="clear"/>
        <w:spacing w:after="120" w:before="240"/>
      </w:pPr>
      <w:r>
        <w:rPr>
          <w:rFonts w:ascii="Arial" w:cs="Arial" w:eastAsia="Arial" w:hAnsi="Arial"/>
          <w:b/>
          <w:bCs/>
          <w:color w:val="FFFFFF"/>
          <w:sz w:val="30"/>
          <w:szCs w:val="30"/>
        </w:rPr>
        <w:t xml:space="preserve">Article 1: Definitions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"Verification Restoration Period" (VRP)</w:t>
      </w:r>
    </w:p>
    <w:p>
      <w:pPr>
        <w:spacing w:after="80" w:before="80" w:line="276" w:lineRule="auto"/>
        <w:jc w:val="both"/>
      </w:pPr>
      <w:r>
        <w:rPr>
          <w:rFonts w:ascii="Arial" w:cs="Arial" w:eastAsia="Arial" w:hAnsi="Arial"/>
          <w:b w:val="false"/>
          <w:bCs w:val="false"/>
          <w:i w:val="false"/>
          <w:iCs w:val="false"/>
          <w:color w:val="000000"/>
          <w:sz w:val="22"/>
          <w:szCs w:val="22"/>
        </w:rPr>
        <w:t xml:space="preserve">The pre-signature window of up to 30 days, triggerable by mutual written agreement, during which the IAEA conducts the baseline inventory and damaged-site assessment described in this Annex. The VRP commences on the date both Parties transmit the VRP Commencement Notice to the IAEA Director General and ends upon issuance of the Baseline Verification Certificate or expiry of the applicable maximum period, whichever is earlier.</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"Baseline Verification Certificate" (BVC)</w:t>
      </w:r>
    </w:p>
    <w:p>
      <w:pPr>
        <w:spacing w:after="80" w:before="80" w:line="276" w:lineRule="auto"/>
        <w:jc w:val="both"/>
      </w:pPr>
      <w:r>
        <w:rPr>
          <w:rFonts w:ascii="Arial" w:cs="Arial" w:eastAsia="Arial" w:hAnsi="Arial"/>
          <w:b w:val="false"/>
          <w:bCs w:val="false"/>
          <w:i w:val="false"/>
          <w:iCs w:val="false"/>
          <w:color w:val="000000"/>
          <w:sz w:val="22"/>
          <w:szCs w:val="22"/>
        </w:rPr>
        <w:t xml:space="preserve">The operative document issued by the IAEA Director General at the conclusion of the VRP, certifying the verified inventory of all enriched uranium material at all sites in the V-R Site Register, the damage and accessibility status of all affected facilities, and any unresolved items or active safety holds. The BVC is the reference baseline for all Phase I compliance determinations under the MOU.</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"V-R Site Register"</w:t>
      </w:r>
    </w:p>
    <w:p>
      <w:pPr>
        <w:spacing w:after="80" w:before="80" w:line="276" w:lineRule="auto"/>
        <w:jc w:val="both"/>
      </w:pPr>
      <w:r>
        <w:rPr>
          <w:rFonts w:ascii="Arial" w:cs="Arial" w:eastAsia="Arial" w:hAnsi="Arial"/>
          <w:b w:val="false"/>
          <w:bCs w:val="false"/>
          <w:i w:val="false"/>
          <w:iCs w:val="false"/>
          <w:color w:val="000000"/>
          <w:sz w:val="22"/>
          <w:szCs w:val="22"/>
        </w:rPr>
        <w:t xml:space="preserve">The classified list of all sites subject to VRP access, deposited with the PCC Secretariat in a sealed classified annex at VRP commencement. The Register includes all declared nuclear facilities and all undeclared sites where nuclear material was known or suspected to be present prior to or during the 2025–2026 conflict. The Register is established by mutual agreement and is not unilaterally modifiable by either Party during the VRP.</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"Esfahan Baseline Certificate"</w:t>
      </w:r>
    </w:p>
    <w:p>
      <w:pPr>
        <w:spacing w:after="80" w:before="80" w:line="276" w:lineRule="auto"/>
        <w:jc w:val="both"/>
      </w:pPr>
      <w:r>
        <w:rPr>
          <w:rFonts w:ascii="Arial" w:cs="Arial" w:eastAsia="Arial" w:hAnsi="Arial"/>
          <w:b w:val="false"/>
          <w:bCs w:val="false"/>
          <w:i w:val="false"/>
          <w:iCs w:val="false"/>
          <w:color w:val="000000"/>
          <w:sz w:val="22"/>
          <w:szCs w:val="22"/>
        </w:rPr>
        <w:t xml:space="preserve">A preliminary certificate issued by the IAEA within 48 hours of completing the Category A inventory at the Esfahan Tunnel Complex, recording the verified HEU mass, enrichment level, and cylinder count at that facility. The Esfahan Baseline Certificate is operative as a partial BVC for the Esfahan facility immediately upon issuance, enabling early dual-lock custody activation at that site.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"Safety Hold"</w:t>
      </w:r>
    </w:p>
    <w:p>
      <w:pPr>
        <w:spacing w:after="80" w:before="80" w:line="276" w:lineRule="auto"/>
        <w:jc w:val="both"/>
      </w:pPr>
      <w:r>
        <w:rPr>
          <w:rFonts w:ascii="Arial" w:cs="Arial" w:eastAsia="Arial" w:hAnsi="Arial"/>
          <w:b w:val="false"/>
          <w:bCs w:val="false"/>
          <w:i w:val="false"/>
          <w:iCs w:val="false"/>
          <w:color w:val="000000"/>
          <w:sz w:val="22"/>
          <w:szCs w:val="22"/>
        </w:rPr>
        <w:t xml:space="preserve">A time-limited deferral of physical access to a specific site, invoked by Iran on the grounds of imminent radiological or structural safety hazards to IAEA inspectors, governed by Article 5 of this Annex. A Safety Hold is not a refusal of access; it is a managed delay with defined outer limits.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"Signature-Delay Trigger"</w:t>
      </w:r>
    </w:p>
    <w:p>
      <w:pPr>
        <w:spacing w:after="80" w:before="80" w:line="276" w:lineRule="auto"/>
        <w:jc w:val="both"/>
      </w:pPr>
      <w:r>
        <w:rPr>
          <w:rFonts w:ascii="Arial" w:cs="Arial" w:eastAsia="Arial" w:hAnsi="Arial"/>
          <w:b w:val="false"/>
          <w:bCs w:val="false"/>
          <w:i w:val="false"/>
          <w:iCs w:val="false"/>
          <w:color w:val="000000"/>
          <w:sz w:val="22"/>
          <w:szCs w:val="22"/>
        </w:rPr>
        <w:t xml:space="preserve">The mechanism by which the United States delays MOU signature where Iran refuses access to a V-R Site Register site without invoking a legitimate Safety Hold and without credible safety justification. A signature delay under this trigger is not a breach by either Party and does not activate any penalty under Annex T.</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"Joint Technical Team"</w:t>
      </w:r>
    </w:p>
    <w:p>
      <w:pPr>
        <w:spacing w:after="80" w:before="80" w:line="276" w:lineRule="auto"/>
        <w:jc w:val="both"/>
      </w:pPr>
      <w:r>
        <w:rPr>
          <w:rFonts w:ascii="Arial" w:cs="Arial" w:eastAsia="Arial" w:hAnsi="Arial"/>
          <w:b w:val="false"/>
          <w:bCs w:val="false"/>
          <w:i w:val="false"/>
          <w:iCs w:val="false"/>
          <w:color w:val="000000"/>
          <w:sz w:val="22"/>
          <w:szCs w:val="22"/>
        </w:rPr>
        <w:t xml:space="preserve">A team comprising IAEA inspectors and Iranian nuclear safety officials, operating under the protocols of Annex O, Article 2, with the authority to conduct joint damage assessment, remote sensing, environmental sampling, and robotic inspection at Category B, C, and D sites. The Joint Technical Team is IAEA-led; Iranian officials participate as active technical partners, not as escorts.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"Remote Sensing Survey Report"</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IAEA's intermediate report, issued at the midpoint of the VRP, covering all Category B and C sites surveyed by remote sensing prior to any physical or robotic access. The Report is transmitted to Iran and the PCC Secretariat and feeds directly into the BVC.</w:t>
      </w:r>
    </w:p>
    <w:p>
      <w:r>
        <w:br w:type="page"/>
      </w:r>
    </w:p>
    <w:p>
      <w:pPr>
        <w:pStyle w:val="Heading1"/>
        <w:shd w:fill="1B3A2B" w:val="clear"/>
        <w:spacing w:after="120" w:before="240"/>
      </w:pPr>
      <w:r>
        <w:rPr>
          <w:rFonts w:ascii="Arial" w:cs="Arial" w:eastAsia="Arial" w:hAnsi="Arial"/>
          <w:b/>
          <w:bCs/>
          <w:color w:val="FFFFFF"/>
          <w:sz w:val="30"/>
          <w:szCs w:val="30"/>
        </w:rPr>
        <w:t xml:space="preserve">Article 2: Trigger and Commencement</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2.1  Trigger Mechanism</w:t>
      </w:r>
    </w:p>
    <w:p>
      <w:pPr>
        <w:spacing w:after="80" w:before="80" w:line="276" w:lineRule="auto"/>
        <w:jc w:val="both"/>
      </w:pPr>
      <w:r>
        <w:rPr>
          <w:rFonts w:ascii="Arial" w:cs="Arial" w:eastAsia="Arial" w:hAnsi="Arial"/>
          <w:b w:val="false"/>
          <w:bCs w:val="false"/>
          <w:i w:val="false"/>
          <w:iCs w:val="false"/>
          <w:color w:val="000000"/>
          <w:sz w:val="22"/>
          <w:szCs w:val="22"/>
        </w:rPr>
        <w:t xml:space="preserve">The Verification Restoration Period commences upon the simultaneous transmission by both Parties of a VRP Commencement Notice to the IAEA Director General, the PCC Secretariat in Geneva, and all endorsing guarantor states. The Notice specifies the VRP commencement date, the maximum duration selected (up to 30 days), and the classified location where the V-R Site Register annex is deposited.</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2.2  Mutual Written Agreement Requirement</w:t>
      </w:r>
    </w:p>
    <w:p>
      <w:pPr>
        <w:spacing w:after="80" w:before="80" w:line="276" w:lineRule="auto"/>
        <w:jc w:val="both"/>
      </w:pPr>
      <w:r>
        <w:rPr>
          <w:rFonts w:ascii="Arial" w:cs="Arial" w:eastAsia="Arial" w:hAnsi="Arial"/>
          <w:b w:val="false"/>
          <w:bCs w:val="false"/>
          <w:i w:val="false"/>
          <w:iCs w:val="false"/>
          <w:color w:val="000000"/>
          <w:sz w:val="22"/>
          <w:szCs w:val="22"/>
        </w:rPr>
        <w:t xml:space="preserve">Neither Party initiates the VRP unilaterally. The mutual written agreement triggering the VRP takes the form of: (a) an exchange of diplomatic notes signed by the designated senior official of each Party at Deputy Minister / Deputy Secretary level or above; or (b) a joint statement transmitted through the Pakistan/Oman facilitation team and countersigned by both Parties.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2.3  Relationship to MOU Entry into Force</w:t>
      </w:r>
    </w:p>
    <w:p>
      <w:pPr>
        <w:spacing w:after="80" w:before="80" w:line="276" w:lineRule="auto"/>
        <w:jc w:val="both"/>
      </w:pPr>
      <w:r>
        <w:rPr>
          <w:rFonts w:ascii="Arial" w:cs="Arial" w:eastAsia="Arial" w:hAnsi="Arial"/>
          <w:b w:val="false"/>
          <w:bCs w:val="false"/>
          <w:i w:val="false"/>
          <w:iCs w:val="false"/>
          <w:color w:val="000000"/>
          <w:sz w:val="22"/>
          <w:szCs w:val="22"/>
        </w:rPr>
        <w:t xml:space="preserve">The MOU does not enter into force during the VRP. The VRP is a pre-signature technical prerequisite, not a provisional application of the MOU. No financial obligations, sanctions relief measures, or military posture changes under the MOU are operative during the VRP. The Humanitarian Firewall of Annex T is not yet applicable; humanitarian flows continue under any existing arrangements independently of this Annex.</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2.4  Triggering the VRP Does Not Commit Either Party to MOU Signature</w:t>
      </w:r>
    </w:p>
    <w:p>
      <w:pPr>
        <w:spacing w:after="80" w:before="80" w:line="276" w:lineRule="auto"/>
        <w:jc w:val="both"/>
      </w:pPr>
      <w:r>
        <w:rPr>
          <w:rFonts w:ascii="Arial" w:cs="Arial" w:eastAsia="Arial" w:hAnsi="Arial"/>
          <w:b w:val="false"/>
          <w:bCs w:val="false"/>
          <w:i w:val="false"/>
          <w:iCs w:val="false"/>
          <w:color w:val="000000"/>
          <w:sz w:val="22"/>
          <w:szCs w:val="22"/>
        </w:rPr>
        <w:t xml:space="preserve">Commencement of the VRP is not an irrevocable commitment to sign the MOU. Either Party withdraws from the VRP on 72 hours' written notice to the IAEA Director General and the PCC Secretariat. Withdrawal from the VRP does not constitute a breach under any existing agreement and does not trigger any automatic consequence. VRP withdrawal does not prejudice either Party's ability to re-initiate the VRP at a later date.</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2.5  V-R Site Register Composition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V-R Site Register includes, at minimum:</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All sites listed in the IAEA's most recent safeguards implementation report for Iran as declared nuclear facilities;</w:t>
      </w:r>
    </w:p>
    <w:p>
      <w:pPr>
        <w:pStyle w:val="ListParagraph"/>
        <w:numPr>
          <w:ilvl w:val="0"/>
          <w:numId w:val="2"/>
        </w:numPr>
        <w:spacing w:after="60" w:before="60"/>
      </w:pPr>
      <w:r>
        <w:rPr>
          <w:rFonts w:ascii="Arial" w:cs="Arial" w:eastAsia="Arial" w:hAnsi="Arial"/>
          <w:sz w:val="22"/>
          <w:szCs w:val="22"/>
        </w:rPr>
        <w:t xml:space="preserve">All sites identified in any IAEA inspection report or Board of Governors resolution as sites where nuclear material was known or suspected to be present;</w:t>
      </w:r>
    </w:p>
    <w:p>
      <w:pPr>
        <w:pStyle w:val="ListParagraph"/>
        <w:numPr>
          <w:ilvl w:val="0"/>
          <w:numId w:val="2"/>
        </w:numPr>
        <w:spacing w:after="60" w:before="60"/>
      </w:pPr>
      <w:r>
        <w:rPr>
          <w:rFonts w:ascii="Arial" w:cs="Arial" w:eastAsia="Arial" w:hAnsi="Arial"/>
          <w:sz w:val="22"/>
          <w:szCs w:val="22"/>
        </w:rPr>
        <w:t xml:space="preserve">All sites at which military operations during 2025–2026 are credibly assessed to have affected nuclear material storage or handling infrastructure, as identified by mutual agreement of the Parties in consultation with the IAEA;</w:t>
      </w:r>
    </w:p>
    <w:p>
      <w:pPr>
        <w:pStyle w:val="ListParagraph"/>
        <w:numPr>
          <w:ilvl w:val="0"/>
          <w:numId w:val="2"/>
        </w:numPr>
        <w:spacing w:after="60" w:before="60"/>
      </w:pPr>
      <w:r>
        <w:rPr>
          <w:rFonts w:ascii="Arial" w:cs="Arial" w:eastAsia="Arial" w:hAnsi="Arial"/>
          <w:sz w:val="22"/>
          <w:szCs w:val="22"/>
        </w:rPr>
        <w:t xml:space="preserve">Any additional sites that either Party proposes for inclusion on verified technical grounds, subject to mutual agreement and PCC confirmation.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V-R Site Register is not a public document. Its contents are classified at Confidential and distributed only to the Parties, the IAEA Director General, and the PCC Secretariat. The Register does not constitute admission by Iran of any safeguards violation and does not create any legal precedent regarding the status of any site.</w:t>
      </w:r>
    </w:p>
    <w:p>
      <w:r>
        <w:br w:type="page"/>
      </w:r>
    </w:p>
    <w:p>
      <w:pPr>
        <w:pStyle w:val="Heading1"/>
        <w:shd w:fill="1B3A2B" w:val="clear"/>
        <w:spacing w:after="120" w:before="240"/>
      </w:pPr>
      <w:r>
        <w:rPr>
          <w:rFonts w:ascii="Arial" w:cs="Arial" w:eastAsia="Arial" w:hAnsi="Arial"/>
          <w:b/>
          <w:bCs/>
          <w:color w:val="FFFFFF"/>
          <w:sz w:val="30"/>
          <w:szCs w:val="30"/>
        </w:rPr>
        <w:t xml:space="preserve">Article 3: Site Categories and Access Rules</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All sites in the V-R Site Register are assigned to one of four categories at VRP commencement, based on their physical condition and nuclear material status as assessed from pre-VRP satellite and technical data. Categorization is an operational tool, not a legal determination. The IAEA reclassifies a site during the VRP on technical grounds where warranted; reclassification is notified to both Parties within 12 hours.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L-1: Site Categories and Access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30"/>
        <w:gridCol w:w="2630"/>
      </w:tblGrid>
      <w:tr>
        <w:trPr>
          <w:tblHeader/>
        </w:trPr>
        <w:tc>
          <w:tcPr>
            <w:tcW w:type="dxa" w:w="16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CATEGORY</w:t>
            </w:r>
          </w:p>
        </w:tc>
        <w:tc>
          <w:tcPr>
            <w:tcW w:type="dxa" w:w="25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SITE TYPE</w:t>
            </w:r>
          </w:p>
        </w:tc>
        <w:tc>
          <w:tcPr>
            <w:tcW w:type="dxa" w:w="263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ACCESS MODALITY</w:t>
            </w:r>
          </w:p>
        </w:tc>
        <w:tc>
          <w:tcPr>
            <w:tcW w:type="dxa" w:w="263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GOVERNING PROTOCOL</w:t>
            </w:r>
          </w:p>
        </w:tc>
      </w:tr>
      <w:tr>
        <w:trPr>
          <w:tblHeader w:val="false"/>
        </w:trPr>
        <w:tc>
          <w:tcPr>
            <w:tcW w:type="dxa" w:w="16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Category A</w:t>
            </w:r>
          </w:p>
        </w:tc>
        <w:tc>
          <w:tcPr>
            <w:tcW w:type="dxa" w:w="25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Declared nuclear facilities — fully intact (Natanz, Fordow, Arak, Esfahan Tunnel Complex, Bushehr)</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Standard IAEA safeguards access; physical entry; resident inspector deployment within 48 hours</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Safeguards Agreement (INFCIRC/214); Additional Protocol (INFCIRC/214/Add.1); Annex O, Article 1</w:t>
            </w:r>
          </w:p>
        </w:tc>
      </w:tr>
      <w:tr>
        <w:trPr>
          <w:tblHeader w:val="false"/>
        </w:trPr>
        <w:tc>
          <w:tcPr>
            <w:tcW w:type="dxa" w:w="16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Category B</w:t>
            </w:r>
          </w:p>
        </w:tc>
        <w:tc>
          <w:tcPr>
            <w:tcW w:type="dxa" w:w="25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Declared nuclear facilities — damaged or partially inaccessible due to 2025–2026 conflict operations</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Remote sensing first; physical access where safe; robotic or drone inspection where physical entry is hazardous; IAEA Radiation Safety Officer present</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2 (Joint Damage Assessment); Annex P (Damaged Material Protocol); Annex V-R, Article 3</w:t>
            </w:r>
          </w:p>
        </w:tc>
      </w:tr>
      <w:tr>
        <w:trPr>
          <w:tblHeader w:val="false"/>
        </w:trPr>
        <w:tc>
          <w:tcPr>
            <w:tcW w:type="dxa" w:w="16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Category C</w:t>
            </w:r>
          </w:p>
        </w:tc>
        <w:tc>
          <w:tcPr>
            <w:tcW w:type="dxa" w:w="25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Undeclared sites — where nuclear material was known or suspected to be present prior to conflict operations, as listed in the V-R Site Register</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IAEA-led access following 72-hour advance notification to Iran; joint technical team accompanies; remote sensing where physical access is denied on safety grounds</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Additional Protocol (INFCIRC/214/Add.1) complementary access; Annex O, Article 3; Annex Q (IRGC Access Compliance)</w:t>
            </w:r>
          </w:p>
        </w:tc>
      </w:tr>
      <w:tr>
        <w:trPr>
          <w:tblHeader w:val="false"/>
        </w:trPr>
        <w:tc>
          <w:tcPr>
            <w:tcW w:type="dxa" w:w="16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Category D</w:t>
            </w:r>
          </w:p>
        </w:tc>
        <w:tc>
          <w:tcPr>
            <w:tcW w:type="dxa" w:w="25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Sites with confirmed or suspected radiological contamination from structural collapse, cylinder rupture, or dispersal of nuclear material</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Remote and robotic assessment only until joint safety clearance is issued; Nuclear Dust Protocol (Annex V) governs; 14-day safety hold available</w:t>
            </w:r>
          </w:p>
        </w:tc>
        <w:tc>
          <w:tcPr>
            <w:tcW w:type="dxa" w:w="263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V (Nuclear Dust Protocol — CANDOR); Annex L, Article 5 (Safety Hold); Annex P, Article 2</w:t>
            </w:r>
          </w:p>
        </w:tc>
      </w:tr>
    </w:tbl>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3.1  Priority Sequence</w:t>
      </w:r>
    </w:p>
    <w:p>
      <w:pPr>
        <w:spacing w:after="80" w:before="80" w:line="276" w:lineRule="auto"/>
        <w:jc w:val="both"/>
      </w:pPr>
      <w:r>
        <w:rPr>
          <w:rFonts w:ascii="Arial" w:cs="Arial" w:eastAsia="Arial" w:hAnsi="Arial"/>
          <w:b w:val="false"/>
          <w:bCs w:val="false"/>
          <w:i w:val="false"/>
          <w:iCs w:val="false"/>
          <w:color w:val="000000"/>
          <w:sz w:val="22"/>
          <w:szCs w:val="22"/>
        </w:rPr>
        <w:t xml:space="preserve">Category A sites receive access first, beginning within 48 hours of VRP commencement. Category B and Category C remote sensing surveys run in parallel with Category A physical access, commencing no later than VRP Day 7. Physical or robotic access to Category B and Category C sites commences after remote sensing surveys are complete. Category D sites receive remote and robotic assessment only; physical access is available only after joint safety clearance and only where the IAEA determines physical access is necessary to complete the BVC.</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3.2  IRGC-Controlled Sites</w:t>
      </w:r>
    </w:p>
    <w:p>
      <w:pPr>
        <w:spacing w:after="80" w:before="80" w:line="276" w:lineRule="auto"/>
        <w:jc w:val="both"/>
      </w:pPr>
      <w:r>
        <w:rPr>
          <w:rFonts w:ascii="Arial" w:cs="Arial" w:eastAsia="Arial" w:hAnsi="Arial"/>
          <w:b w:val="false"/>
          <w:bCs w:val="false"/>
          <w:i w:val="false"/>
          <w:iCs w:val="false"/>
          <w:color w:val="000000"/>
          <w:sz w:val="22"/>
          <w:szCs w:val="22"/>
        </w:rPr>
        <w:t xml:space="preserve">Where a Category A, B, or C site is under IRGC operational control, the access protocols of Annex Q (IRGC Access Compliance) govern. An IRGC denial of access at any site in the V-R Site Register is treated as an Iranian denial under Annex Q. Iran takes the steps necessary to ensure that IRGC-controlled sites grant access to IAEA inspection teams within the timelines established in Article 3.1. An IRGC denial during the VRP is reportable by the IAEA Director General to the PCC within 6 hours and is subject to the dispute resolution mechanism of Article 7.</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3.3  No Expansion Beyond the V-R Site Register</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does not use the VRP to request access to sites not listed in the V-R Site Register. Any IAEA request for access to an unlisted site during the VRP is treated as an access request under the Additional Protocol (INFCIRC/214/Add.1) and is subject to the complementary access procedures of that protocol, not to this Annex. Neither Party uses the VRP as leverage to expand the V-R Site Register beyond its agreed composition.</w:t>
      </w:r>
    </w:p>
    <w:p>
      <w:r>
        <w:br w:type="page"/>
      </w:r>
    </w:p>
    <w:p>
      <w:pPr>
        <w:pStyle w:val="Heading1"/>
        <w:shd w:fill="1B3A2B" w:val="clear"/>
        <w:spacing w:after="120" w:before="240"/>
      </w:pPr>
      <w:r>
        <w:rPr>
          <w:rFonts w:ascii="Arial" w:cs="Arial" w:eastAsia="Arial" w:hAnsi="Arial"/>
          <w:b/>
          <w:bCs/>
          <w:color w:val="FFFFFF"/>
          <w:sz w:val="30"/>
          <w:szCs w:val="30"/>
        </w:rPr>
        <w:t xml:space="preserve">Article 4: IAEA Access Procedures</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4.1  Inspection Team Composition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inspection team conducting VRP activities comprises: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 Lead Inspector with safeguards inspection authority under the IAEA Safeguards Agreement (INFCIRC/214);</w:t>
      </w:r>
    </w:p>
    <w:p>
      <w:pPr>
        <w:pStyle w:val="ListParagraph"/>
        <w:numPr>
          <w:ilvl w:val="0"/>
          <w:numId w:val="2"/>
        </w:numPr>
        <w:spacing w:after="60" w:before="60"/>
      </w:pPr>
      <w:r>
        <w:rPr>
          <w:rFonts w:ascii="Arial" w:cs="Arial" w:eastAsia="Arial" w:hAnsi="Arial"/>
          <w:sz w:val="22"/>
          <w:szCs w:val="22"/>
        </w:rPr>
        <w:t xml:space="preserve">Nuclear material accountancy specialists with mass spectrometry and non-destructive assay expertise;</w:t>
      </w:r>
    </w:p>
    <w:p>
      <w:pPr>
        <w:pStyle w:val="ListParagraph"/>
        <w:numPr>
          <w:ilvl w:val="0"/>
          <w:numId w:val="2"/>
        </w:numPr>
        <w:spacing w:after="60" w:before="60"/>
      </w:pPr>
      <w:r>
        <w:rPr>
          <w:rFonts w:ascii="Arial" w:cs="Arial" w:eastAsia="Arial" w:hAnsi="Arial"/>
          <w:sz w:val="22"/>
          <w:szCs w:val="22"/>
        </w:rPr>
        <w:t xml:space="preserve">A Radiation Safety Officer with authority to halt operations at any site for safety reasons;</w:t>
      </w:r>
    </w:p>
    <w:p>
      <w:pPr>
        <w:pStyle w:val="ListParagraph"/>
        <w:numPr>
          <w:ilvl w:val="0"/>
          <w:numId w:val="2"/>
        </w:numPr>
        <w:spacing w:after="60" w:before="60"/>
      </w:pPr>
      <w:r>
        <w:rPr>
          <w:rFonts w:ascii="Arial" w:cs="Arial" w:eastAsia="Arial" w:hAnsi="Arial"/>
          <w:sz w:val="22"/>
          <w:szCs w:val="22"/>
        </w:rPr>
        <w:t xml:space="preserve">Remote sensing and environmental sampling specialists;</w:t>
      </w:r>
    </w:p>
    <w:p>
      <w:pPr>
        <w:pStyle w:val="ListParagraph"/>
        <w:numPr>
          <w:ilvl w:val="0"/>
          <w:numId w:val="2"/>
        </w:numPr>
        <w:spacing w:after="60" w:before="60"/>
      </w:pPr>
      <w:r>
        <w:rPr>
          <w:rFonts w:ascii="Arial" w:cs="Arial" w:eastAsia="Arial" w:hAnsi="Arial"/>
          <w:sz w:val="22"/>
          <w:szCs w:val="22"/>
        </w:rPr>
        <w:t xml:space="preserve">A data security officer responsible for encrypted transmission of all findings to IAEA Vienna.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U.S. government personnel or U.S.-designated technical agents accompany the IAEA inspection team at any site during the VRP. A U.S. technical observer accesses IAEA findings only through the BVC and its classified appendices, under the data distribution provisions of Article 6 of this Annex.</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4.2  Iranian Facilitation Obligations</w:t>
      </w:r>
    </w:p>
    <w:p>
      <w:pPr>
        <w:spacing w:after="80" w:before="80" w:line="276" w:lineRule="auto"/>
        <w:jc w:val="both"/>
      </w:pPr>
      <w:r>
        <w:rPr>
          <w:rFonts w:ascii="Arial" w:cs="Arial" w:eastAsia="Arial" w:hAnsi="Arial"/>
          <w:b w:val="false"/>
          <w:bCs w:val="false"/>
          <w:i w:val="false"/>
          <w:iCs w:val="false"/>
          <w:color w:val="000000"/>
          <w:sz w:val="22"/>
          <w:szCs w:val="22"/>
        </w:rPr>
        <w:t xml:space="preserve">Iran provides the following facilitation to enable VRP activities within the timelines established in Article 4.4:</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Border crossing and visa clearances for all named IAEA team members within 24 hours of VRP commencement;</w:t>
      </w:r>
    </w:p>
    <w:p>
      <w:pPr>
        <w:pStyle w:val="ListParagraph"/>
        <w:numPr>
          <w:ilvl w:val="0"/>
          <w:numId w:val="2"/>
        </w:numPr>
        <w:spacing w:after="60" w:before="60"/>
      </w:pPr>
      <w:r>
        <w:rPr>
          <w:rFonts w:ascii="Arial" w:cs="Arial" w:eastAsia="Arial" w:hAnsi="Arial"/>
          <w:sz w:val="22"/>
          <w:szCs w:val="22"/>
        </w:rPr>
        <w:t xml:space="preserve">Safe and unimpeded access to all Category A sites within 48 hours of VRP commencement;</w:t>
      </w:r>
    </w:p>
    <w:p>
      <w:pPr>
        <w:pStyle w:val="ListParagraph"/>
        <w:numPr>
          <w:ilvl w:val="0"/>
          <w:numId w:val="2"/>
        </w:numPr>
        <w:spacing w:after="60" w:before="60"/>
      </w:pPr>
      <w:r>
        <w:rPr>
          <w:rFonts w:ascii="Arial" w:cs="Arial" w:eastAsia="Arial" w:hAnsi="Arial"/>
          <w:sz w:val="22"/>
          <w:szCs w:val="22"/>
        </w:rPr>
        <w:t xml:space="preserve">Safe access routes, debris clearance, and temporary structural support at Category B and C sites as the Joint Safety Plan requires;</w:t>
      </w:r>
    </w:p>
    <w:p>
      <w:pPr>
        <w:pStyle w:val="ListParagraph"/>
        <w:numPr>
          <w:ilvl w:val="0"/>
          <w:numId w:val="2"/>
        </w:numPr>
        <w:spacing w:after="60" w:before="60"/>
      </w:pPr>
      <w:r>
        <w:rPr>
          <w:rFonts w:ascii="Arial" w:cs="Arial" w:eastAsia="Arial" w:hAnsi="Arial"/>
          <w:sz w:val="22"/>
          <w:szCs w:val="22"/>
        </w:rPr>
        <w:t xml:space="preserve">Environmental safety data for all Category D sites within 48 hours of VRP commencement;</w:t>
      </w:r>
    </w:p>
    <w:p>
      <w:pPr>
        <w:pStyle w:val="ListParagraph"/>
        <w:numPr>
          <w:ilvl w:val="0"/>
          <w:numId w:val="2"/>
        </w:numPr>
        <w:spacing w:after="60" w:before="60"/>
      </w:pPr>
      <w:r>
        <w:rPr>
          <w:rFonts w:ascii="Arial" w:cs="Arial" w:eastAsia="Arial" w:hAnsi="Arial"/>
          <w:sz w:val="22"/>
          <w:szCs w:val="22"/>
        </w:rPr>
        <w:t xml:space="preserve">A designated senior Iranian nuclear official as the primary point of contact for Joint Technical Team coordination throughout the VRP;</w:t>
      </w:r>
    </w:p>
    <w:p>
      <w:pPr>
        <w:pStyle w:val="ListParagraph"/>
        <w:numPr>
          <w:ilvl w:val="0"/>
          <w:numId w:val="2"/>
        </w:numPr>
        <w:spacing w:after="60" w:before="60"/>
      </w:pPr>
      <w:r>
        <w:rPr>
          <w:rFonts w:ascii="Arial" w:cs="Arial" w:eastAsia="Arial" w:hAnsi="Arial"/>
          <w:sz w:val="22"/>
          <w:szCs w:val="22"/>
        </w:rPr>
        <w:t xml:space="preserve">Secure encrypted communications infrastructure for IAEA-to-Vienna data transmission at each inspection site.</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4.3  Access Modalities by Site Category</w:t>
      </w:r>
    </w:p>
    <w:p>
      <w:pPr>
        <w:spacing w:after="80" w:before="80" w:line="276" w:lineRule="auto"/>
        <w:jc w:val="both"/>
      </w:pPr>
      <w:r>
        <w:rPr>
          <w:rFonts w:ascii="Arial" w:cs="Arial" w:eastAsia="Arial" w:hAnsi="Arial"/>
          <w:b w:val="false"/>
          <w:bCs w:val="false"/>
          <w:i w:val="false"/>
          <w:iCs w:val="false"/>
          <w:color w:val="000000"/>
          <w:sz w:val="22"/>
          <w:szCs w:val="22"/>
        </w:rPr>
        <w:t xml:space="preserve">Physical access with IAEA resident inspector presence is the default modality for Category A sites. Remote sensing, drone overflight, and ground-based robotics are the default modalities for Category B and C sites pending Joint Technical Team safety assessment. Category D sites receive remote and robotic assessment only until joint safety clearance is issued under Article 5.4. The IAEA Radiation Safety Officer makes all final determinations on access modality at any specific site; those determinations are not subject to Iranian veto.</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4.4  VRP Timeline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L-2: Verification Restoration Period Operational Timeline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34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ACTION</w:t>
            </w:r>
          </w:p>
        </w:tc>
        <w:tc>
          <w:tcPr>
            <w:tcW w:type="dxa" w:w="44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DELIVERABLE / MILESTONE</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D-30
(VRP Day 0)</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Both Parties transmit the mutual written agreement triggering the VRP to the IAEA Director General and PCC Secretariat. The V-R Site Register is deposited with the PCC Secretariat in its classified annex.</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VRP Commencement Notice issued by IAEA. V-R Site Register classified annex sealed. PCC Secretariat acknowledges receipt.</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D-30 to D-27</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deploys advance inspection team to Tehran. Iran grants border crossing and visa clearances within 24 hours of VRP commencement. IAEA establishes secure data link to Vienna.</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advance team arrival confirmed. Secure Vienna data link operational. Category A site access schedule agreed.</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D-27 to D-20</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conducts mass spectrometry baseline inventory at all Category A sites. Esfahan Tunnel Complex inventory completes first; Esfahan Baseline Certificate issues within 48 hours of completion. Natanz, Fordow, and Arak inventories follow in parallel.</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Esfahan Baseline Certificate issued. Category A site inventories complete. All 60% HEU locations recorded. Dual-lock custody baseline established.</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D-20 to D-10</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and Iranian joint technical teams conduct remote sensing surveys of all Category B and Category C sites using technologies authorized under Annex O, Article 5 and Annex P, Article 2. Safety holds activate for Category D sites where required.</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Remote Sensing Survey Report delivered to IAEA Director General and PCC. Category D safety hold determinations issued. Joint technical team access schedule for Category B/C sites confirmed.</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D-10 to D-3</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Physical or robotic access to Category B and Category C sites where safe. Environmental sampling conducted at all accessible damaged sites per Annex V (CANDOR protocols). All cylinder locations and inventory discrepancies are documented.</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Damaged Site Inventory Report delivered to IAEA Director General and PCC. Environmental sampling results transmitted to Vienna. V-R Site Register updated with findings.</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D-3 to D-0</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compiles all Category A through D findings into the Baseline Verification Certificate. IAEA Director General reviews and signs. Certificate transmitted to Iran, the United States, and the PCC Secretariat.</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Baseline Verification Certificate issued. MOU signature window opens. PCC Secretariat records BVC receipt.</w:t>
            </w:r>
          </w:p>
        </w:tc>
      </w:tr>
      <w:tr>
        <w:trPr>
          <w:tblHeader w:val="false"/>
        </w:trPr>
        <w:tc>
          <w:tcPr>
            <w:tcW w:type="dxa" w:w="1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Extension
(D+1 to D+15)</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Available once, on PCC recommendation, where verified technical or security conditions prevent completion. Extension covers only incomplete site categories. Completed inventories are not repeated.</w:t>
            </w:r>
          </w:p>
        </w:tc>
        <w:tc>
          <w:tcPr>
            <w:tcW w:type="dxa" w:w="4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Extension Notice issued by PCC. Partial BVC covering completed sites is operative for those sites immediately. Full BVC issues upon extension completion.</w:t>
            </w:r>
          </w:p>
        </w:tc>
      </w:tr>
    </w:tbl>
    <w:p>
      <w:r>
        <w:br w:type="page"/>
      </w:r>
    </w:p>
    <w:p>
      <w:pPr>
        <w:pStyle w:val="Heading1"/>
        <w:shd w:fill="1B3A2B" w:val="clear"/>
        <w:spacing w:after="120" w:before="240"/>
      </w:pPr>
      <w:r>
        <w:rPr>
          <w:rFonts w:ascii="Arial" w:cs="Arial" w:eastAsia="Arial" w:hAnsi="Arial"/>
          <w:b/>
          <w:bCs/>
          <w:color w:val="FFFFFF"/>
          <w:sz w:val="30"/>
          <w:szCs w:val="30"/>
        </w:rPr>
        <w:t xml:space="preserve">Article 5: Safety Hold Mechanism</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5.1  Right to Invoke a Safety Hold</w:t>
      </w:r>
    </w:p>
    <w:p>
      <w:pPr>
        <w:spacing w:after="80" w:before="80" w:line="276" w:lineRule="auto"/>
        <w:jc w:val="both"/>
      </w:pPr>
      <w:r>
        <w:rPr>
          <w:rFonts w:ascii="Arial" w:cs="Arial" w:eastAsia="Arial" w:hAnsi="Arial"/>
          <w:b w:val="false"/>
          <w:bCs w:val="false"/>
          <w:i w:val="false"/>
          <w:iCs w:val="false"/>
          <w:color w:val="000000"/>
          <w:sz w:val="22"/>
          <w:szCs w:val="22"/>
        </w:rPr>
        <w:t xml:space="preserve">Iran invokes a Safety Hold for any specific site in the V-R Site Register where Iran determines that the site poses imminent radiological or structural safety hazards to IAEA inspectors. A Safety Hold is available only for Category B, C, and D sites; Category A intact declared facilities are not subject to a Safety Hold.</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5.2  Invocation Procedure</w:t>
      </w:r>
    </w:p>
    <w:p>
      <w:pPr>
        <w:spacing w:after="80" w:before="80" w:line="276" w:lineRule="auto"/>
        <w:jc w:val="both"/>
      </w:pPr>
      <w:r>
        <w:rPr>
          <w:rFonts w:ascii="Arial" w:cs="Arial" w:eastAsia="Arial" w:hAnsi="Arial"/>
          <w:b w:val="false"/>
          <w:bCs w:val="false"/>
          <w:i w:val="false"/>
          <w:iCs w:val="false"/>
          <w:color w:val="000000"/>
          <w:sz w:val="22"/>
          <w:szCs w:val="22"/>
        </w:rPr>
        <w:t xml:space="preserve">Iran invokes a Safety Hold by transmitting written notification to the IAEA Director General, the PCC Secretariat, and the United States within 6 hours of making the safety determination. The notification specifies: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site identifier and category;</w:t>
      </w:r>
    </w:p>
    <w:p>
      <w:pPr>
        <w:pStyle w:val="ListParagraph"/>
        <w:numPr>
          <w:ilvl w:val="0"/>
          <w:numId w:val="2"/>
        </w:numPr>
        <w:spacing w:after="60" w:before="60"/>
      </w:pPr>
      <w:r>
        <w:rPr>
          <w:rFonts w:ascii="Arial" w:cs="Arial" w:eastAsia="Arial" w:hAnsi="Arial"/>
          <w:sz w:val="22"/>
          <w:szCs w:val="22"/>
        </w:rPr>
        <w:t xml:space="preserve">The nature of the safety hazard (radiological, structural, chemical, or combined);</w:t>
      </w:r>
    </w:p>
    <w:p>
      <w:pPr>
        <w:pStyle w:val="ListParagraph"/>
        <w:numPr>
          <w:ilvl w:val="0"/>
          <w:numId w:val="2"/>
        </w:numPr>
        <w:spacing w:after="60" w:before="60"/>
      </w:pPr>
      <w:r>
        <w:rPr>
          <w:rFonts w:ascii="Arial" w:cs="Arial" w:eastAsia="Arial" w:hAnsi="Arial"/>
          <w:sz w:val="22"/>
          <w:szCs w:val="22"/>
        </w:rPr>
        <w:t xml:space="preserve">The available technical evidence supporting the determination;</w:t>
      </w:r>
    </w:p>
    <w:p>
      <w:pPr>
        <w:pStyle w:val="ListParagraph"/>
        <w:numPr>
          <w:ilvl w:val="0"/>
          <w:numId w:val="2"/>
        </w:numPr>
        <w:spacing w:after="60" w:before="60"/>
      </w:pPr>
      <w:r>
        <w:rPr>
          <w:rFonts w:ascii="Arial" w:cs="Arial" w:eastAsia="Arial" w:hAnsi="Arial"/>
          <w:sz w:val="22"/>
          <w:szCs w:val="22"/>
        </w:rPr>
        <w:t xml:space="preserve">The anticipated duration of the hold;</w:t>
      </w:r>
    </w:p>
    <w:p>
      <w:pPr>
        <w:pStyle w:val="ListParagraph"/>
        <w:numPr>
          <w:ilvl w:val="0"/>
          <w:numId w:val="2"/>
        </w:numPr>
        <w:spacing w:after="60" w:before="60"/>
      </w:pPr>
      <w:r>
        <w:rPr>
          <w:rFonts w:ascii="Arial" w:cs="Arial" w:eastAsia="Arial" w:hAnsi="Arial"/>
          <w:sz w:val="22"/>
          <w:szCs w:val="22"/>
        </w:rPr>
        <w:t xml:space="preserve">The alternative data provision Iran offers during the hold period (telemetry, environmental sampling, existing Iranian technical assessments).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5.3  Hold Duration and Obligations During the Hold</w:t>
      </w:r>
    </w:p>
    <w:p>
      <w:pPr>
        <w:spacing w:after="80" w:before="80" w:line="276" w:lineRule="auto"/>
        <w:jc w:val="both"/>
      </w:pPr>
      <w:r>
        <w:rPr>
          <w:rFonts w:ascii="Arial" w:cs="Arial" w:eastAsia="Arial" w:hAnsi="Arial"/>
          <w:b w:val="false"/>
          <w:bCs w:val="false"/>
          <w:i w:val="false"/>
          <w:iCs w:val="false"/>
          <w:color w:val="000000"/>
          <w:sz w:val="22"/>
          <w:szCs w:val="22"/>
        </w:rPr>
        <w:t xml:space="preserve">A Safety Hold is valid for up to 14 days from the date of invocation. During the hold period, Iran provides all available telemetry, environmental data, existing technical assessments, and any satellite or aerial data within its possession to the IAEA. Joint technical teams (IAEA + Iranian nuclear safety officials) conduct a remote or robotic assessment of the site during the hold period. The IAEA Radiation Safety Officer and Iranian nuclear safety authorities issue a joint safety assessment within 10 days of hold invocation.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5.4  Outcomes of the Joint Safety Assessment</w:t>
      </w:r>
    </w:p>
    <w:p>
      <w:pPr>
        <w:spacing w:after="80" w:before="80" w:line="276" w:lineRule="auto"/>
        <w:jc w:val="both"/>
      </w:pPr>
      <w:r>
        <w:rPr>
          <w:rFonts w:ascii="Arial" w:cs="Arial" w:eastAsia="Arial" w:hAnsi="Arial"/>
          <w:b w:val="false"/>
          <w:bCs w:val="false"/>
          <w:i w:val="false"/>
          <w:iCs w:val="false"/>
          <w:color w:val="000000"/>
          <w:sz w:val="22"/>
          <w:szCs w:val="22"/>
        </w:rPr>
        <w:t xml:space="preserve">The joint safety assessment produces one of three outcomes: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  Site access is safe: Physical or robotic access proceeds within 48 hours of the safety assessment. The Safety Hold terminates.</w:t>
      </w:r>
    </w:p>
    <w:p>
      <w:pPr>
        <w:pStyle w:val="ListParagraph"/>
        <w:numPr>
          <w:ilvl w:val="0"/>
          <w:numId w:val="2"/>
        </w:numPr>
        <w:spacing w:after="60" w:before="60"/>
      </w:pPr>
      <w:r>
        <w:rPr>
          <w:rFonts w:ascii="Arial" w:cs="Arial" w:eastAsia="Arial" w:hAnsi="Arial"/>
          <w:sz w:val="22"/>
          <w:szCs w:val="22"/>
        </w:rPr>
        <w:t xml:space="preserve">b.  Modified access is safe: A modified access protocol — specifying protective equipment, entry routes, maximum exposure times, and monitoring requirements — is adopted. Access proceeds within 48 hours under the modified protocol. The Safety Hold terminates.</w:t>
      </w:r>
    </w:p>
    <w:p>
      <w:pPr>
        <w:pStyle w:val="ListParagraph"/>
        <w:numPr>
          <w:ilvl w:val="0"/>
          <w:numId w:val="2"/>
        </w:numPr>
        <w:spacing w:after="60" w:before="60"/>
      </w:pPr>
      <w:r>
        <w:rPr>
          <w:rFonts w:ascii="Arial" w:cs="Arial" w:eastAsia="Arial" w:hAnsi="Arial"/>
          <w:sz w:val="22"/>
          <w:szCs w:val="22"/>
        </w:rPr>
        <w:t xml:space="preserve">c.  Access remains unsafe: Access is deferred for the remainder of the VRP. The IAEA notes the deferral in the BVC and assigns the site a provisional status based on remote sensing and available data. The BVC is operative for all other sites. A partial inventory covering the deferred site issues when access becomes feasible.</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5.5  Unjustified Safety Hold</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IAEA Radiation Safety Officer and at least one guarantor-state technical observer independently determine that the safety justification for a hold is not credible, the hold is treated as an access refusal under the Signature-Delay Trigger provisions of Article 8. The determination is made in consultation with the PCC technical subcommittee and is subject to expedited dispute resolution under Article 7.</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5.6  No Step-Back During Safety Hold</w:t>
      </w:r>
    </w:p>
    <w:p>
      <w:pPr>
        <w:spacing w:after="80" w:before="80" w:line="276" w:lineRule="auto"/>
        <w:jc w:val="both"/>
      </w:pPr>
      <w:r>
        <w:rPr>
          <w:rFonts w:ascii="Arial" w:cs="Arial" w:eastAsia="Arial" w:hAnsi="Arial"/>
          <w:b w:val="false"/>
          <w:bCs w:val="false"/>
          <w:i w:val="false"/>
          <w:iCs w:val="false"/>
          <w:color w:val="000000"/>
          <w:sz w:val="22"/>
          <w:szCs w:val="22"/>
        </w:rPr>
        <w:t xml:space="preserve">No automatic step-back, penalty, or adverse compliance finding under Annex T or any other instrument attaches to a properly invoked Safety Hold. The Safety Hold is a legitimate technical mechanism. The United States does not characterize a properly invoked Safety Hold as non-cooperation or an access denial.</w:t>
      </w:r>
    </w:p>
    <w:p>
      <w:r>
        <w:br w:type="page"/>
      </w:r>
    </w:p>
    <w:p>
      <w:pPr>
        <w:pStyle w:val="Heading1"/>
        <w:shd w:fill="1B3A2B" w:val="clear"/>
        <w:spacing w:after="120" w:before="240"/>
      </w:pPr>
      <w:r>
        <w:rPr>
          <w:rFonts w:ascii="Arial" w:cs="Arial" w:eastAsia="Arial" w:hAnsi="Arial"/>
          <w:b/>
          <w:bCs/>
          <w:color w:val="FFFFFF"/>
          <w:sz w:val="30"/>
          <w:szCs w:val="30"/>
        </w:rPr>
        <w:t xml:space="preserve">Article 6: Baseline Verification Certificate</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6.1  Issuance</w:t>
      </w:r>
    </w:p>
    <w:p>
      <w:pPr>
        <w:spacing w:after="80" w:before="80" w:line="276" w:lineRule="auto"/>
        <w:jc w:val="both"/>
      </w:pPr>
      <w:r>
        <w:rPr>
          <w:rFonts w:ascii="Arial" w:cs="Arial" w:eastAsia="Arial" w:hAnsi="Arial"/>
          <w:b w:val="false"/>
          <w:bCs w:val="false"/>
          <w:i w:val="false"/>
          <w:iCs w:val="false"/>
          <w:color w:val="000000"/>
          <w:sz w:val="22"/>
          <w:szCs w:val="22"/>
        </w:rPr>
        <w:t xml:space="preserve">The IAEA Director General issues the Baseline Verification Certificate upon completion of the VRP or, where a one-time extension applies, upon completion of the extended period. The BVC issues within 72 hours of the IAEA compiling final findings from all site categories for which access was available. Where Category D sites or individual safety-hold sites remain unresolved at time of issuance, the BVC so notes and includes the best available assessment for those sites based on remote sensing and alternative data.</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6.2  Contents of the BVC</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L-4: Baseline Verification Certificate Contents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SECTION</w:t>
            </w:r>
          </w:p>
        </w:tc>
        <w:tc>
          <w:tcPr>
            <w:tcW w:type="dxa" w:w="456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CONTENT</w:t>
            </w:r>
          </w:p>
        </w:tc>
        <w:tc>
          <w:tcPr>
            <w:tcW w:type="dxa" w:w="24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CLASSIFICATION</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1: Category A Findings</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Total mass and enrichment level of all HEU (60% U-235) at declared intact facilities; mass spectrometry results by facility; comparison against last pre-conflict IAEA safeguards report baseline; any discrepancies noted</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Confidential — distributed to Iran, United States, PCC Secretariat, and IAEA Board of Governors in restricted session</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2: Category B Findings</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Inventory of HEU cylinders at damaged facilities by category (I, II-A, II-B, III, IV per Annex O/P classification); remote sensing findings; damage assessment per Annex P, Article 2; recommended disposition pathway</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Confidential — same distribution as Section 1</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3: Category C Findings</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Verification of presence or absence of nuclear material at each listed undeclared site; environmental sampling results; any nuclear material identified and its disposition status</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Highly Confidential — distributed to IAEA Director General, Iran, and United States only; not to PCC Secretariat pending mutual agreement on distribution</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4: Category D Findings</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Radiological contamination mapping; containment status of each Category D site; Nuclear Dust Protocol assessment per Annex V; recommended remediation pathway; any immediate proliferation risk determinations</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Confidential — same distribution as Section 1</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5: Aggregate Baseline</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Total verified HEU stockpile in kilograms at each enrichment level; total LEU (19.75% and below) stockpile; total material in damaged or inaccessible status; aggregate material unaccounted for (if any) with status classification</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Confidential — same distribution as Section 1; aggregate totals provided to endorsing guarantor states in summary form</w:t>
            </w:r>
          </w:p>
        </w:tc>
      </w:tr>
      <w:tr>
        <w:trPr>
          <w:tblHeader w:val="false"/>
        </w:trPr>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Section 6: Certification Statement</w:t>
            </w:r>
          </w:p>
        </w:tc>
        <w:tc>
          <w:tcPr>
            <w:tcW w:type="dxa" w:w="456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Director General's statement that the VRP access was sufficient to establish the baseline; any access limitations or unresolved items; any sites remaining under safety hold at time of certification; the operative date of the baseline</w:t>
            </w:r>
          </w:p>
        </w:tc>
        <w:tc>
          <w:tcPr>
            <w:tcW w:type="dxa" w:w="24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Restricted — distributed to Iran, United States, PCC Secretariat, IAEA Board of Governors, and all endorsing guarantor states</w:t>
            </w:r>
          </w:p>
        </w:tc>
      </w:tr>
    </w:tbl>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6.3  Operative Effect of the BVC</w:t>
      </w:r>
    </w:p>
    <w:p>
      <w:pPr>
        <w:spacing w:after="80" w:before="80" w:line="276" w:lineRule="auto"/>
        <w:jc w:val="both"/>
      </w:pPr>
      <w:r>
        <w:rPr>
          <w:rFonts w:ascii="Arial" w:cs="Arial" w:eastAsia="Arial" w:hAnsi="Arial"/>
          <w:b w:val="false"/>
          <w:bCs w:val="false"/>
          <w:i w:val="false"/>
          <w:iCs w:val="false"/>
          <w:color w:val="000000"/>
          <w:sz w:val="22"/>
          <w:szCs w:val="22"/>
        </w:rPr>
        <w:t xml:space="preserve">The BVC is the reference baseline for all Phase I compliance determinations. All obligations under the MOU that reference the HEU stockpile — including Annex T Block 1 (dual-lock custody verification), the 75-day downblending rate protocol (MOU Article 3.2(a)), and Annex P cylinder categorization — are measured against the aggregate totals and site-specific inventories in the BVC. Any discrepancy between the BVC and subsequent IAEA findings is treated as a potential material deviation under Annex T, Article II.1, and triggers the Human-in-the-Loop review process.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6.4  Partial BVC</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VRP completes for some but not all site categories, the IAEA issues a Partial BVC covering completed categories. The Partial BVC is immediately operative for those categories. The MOU signature window opens upon issuance of a Partial BVC covering at minimum all Category A sites, provided the IAEA Director General certifies that the unresolved sites do not contain quantities of nuclear material that materially affect the aggregate baseline. The full BVC issues when access to remaining sites is achieved.</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6.5  Distribution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BVC and its classified appendices are distributed as set forth in Table L-4. No Party publishes, leaks, or characterizes the contents of the BVC in any public forum prior to mutual agreement on a joint summary statement. A joint summary statement, agreed by both Parties, is released simultaneously with MOU signature to confirm that the baseline inventory is complete and the MOU enters into force on a verified foundation.</w:t>
      </w:r>
    </w:p>
    <w:p>
      <w:r>
        <w:br w:type="page"/>
      </w:r>
    </w:p>
    <w:p>
      <w:pPr>
        <w:pStyle w:val="Heading1"/>
        <w:shd w:fill="1B3A2B" w:val="clear"/>
        <w:spacing w:after="120" w:before="240"/>
      </w:pPr>
      <w:r>
        <w:rPr>
          <w:rFonts w:ascii="Arial" w:cs="Arial" w:eastAsia="Arial" w:hAnsi="Arial"/>
          <w:b/>
          <w:bCs/>
          <w:color w:val="FFFFFF"/>
          <w:sz w:val="30"/>
          <w:szCs w:val="30"/>
        </w:rPr>
        <w:t xml:space="preserve">Article 7: Dispute Resolution</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7.1  Disputes Subject to This Article</w:t>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disputes arising during the VRP are subject to the resolution mechanisms of this Article:</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Site classification disagreements between the IAEA and Iran;</w:t>
      </w:r>
    </w:p>
    <w:p>
      <w:pPr>
        <w:pStyle w:val="ListParagraph"/>
        <w:numPr>
          <w:ilvl w:val="0"/>
          <w:numId w:val="2"/>
        </w:numPr>
        <w:spacing w:after="60" w:before="60"/>
      </w:pPr>
      <w:r>
        <w:rPr>
          <w:rFonts w:ascii="Arial" w:cs="Arial" w:eastAsia="Arial" w:hAnsi="Arial"/>
          <w:sz w:val="22"/>
          <w:szCs w:val="22"/>
        </w:rPr>
        <w:t xml:space="preserve">Access refusal claims and Safety Hold legitimacy determinations;</w:t>
      </w:r>
    </w:p>
    <w:p>
      <w:pPr>
        <w:pStyle w:val="ListParagraph"/>
        <w:numPr>
          <w:ilvl w:val="0"/>
          <w:numId w:val="2"/>
        </w:numPr>
        <w:spacing w:after="60" w:before="60"/>
      </w:pPr>
      <w:r>
        <w:rPr>
          <w:rFonts w:ascii="Arial" w:cs="Arial" w:eastAsia="Arial" w:hAnsi="Arial"/>
          <w:sz w:val="22"/>
          <w:szCs w:val="22"/>
        </w:rPr>
        <w:t xml:space="preserve">V-R Site Register composition disputes;</w:t>
      </w:r>
    </w:p>
    <w:p>
      <w:pPr>
        <w:pStyle w:val="ListParagraph"/>
        <w:numPr>
          <w:ilvl w:val="0"/>
          <w:numId w:val="2"/>
        </w:numPr>
        <w:spacing w:after="60" w:before="60"/>
      </w:pPr>
      <w:r>
        <w:rPr>
          <w:rFonts w:ascii="Arial" w:cs="Arial" w:eastAsia="Arial" w:hAnsi="Arial"/>
          <w:sz w:val="22"/>
          <w:szCs w:val="22"/>
        </w:rPr>
        <w:t xml:space="preserve">Data ownership and distribution disputes;</w:t>
      </w:r>
    </w:p>
    <w:p>
      <w:pPr>
        <w:pStyle w:val="ListParagraph"/>
        <w:numPr>
          <w:ilvl w:val="0"/>
          <w:numId w:val="2"/>
        </w:numPr>
        <w:spacing w:after="60" w:before="60"/>
      </w:pPr>
      <w:r>
        <w:rPr>
          <w:rFonts w:ascii="Arial" w:cs="Arial" w:eastAsia="Arial" w:hAnsi="Arial"/>
          <w:sz w:val="22"/>
          <w:szCs w:val="22"/>
        </w:rPr>
        <w:t xml:space="preserve">Disputes over the content, completeness, or operative effect of the BVC;</w:t>
      </w:r>
    </w:p>
    <w:p>
      <w:pPr>
        <w:pStyle w:val="ListParagraph"/>
        <w:numPr>
          <w:ilvl w:val="0"/>
          <w:numId w:val="2"/>
        </w:numPr>
        <w:spacing w:after="60" w:before="60"/>
      </w:pPr>
      <w:r>
        <w:rPr>
          <w:rFonts w:ascii="Arial" w:cs="Arial" w:eastAsia="Arial" w:hAnsi="Arial"/>
          <w:sz w:val="22"/>
          <w:szCs w:val="22"/>
        </w:rPr>
        <w:t xml:space="preserve">Any claim that a Party has used the VRP to exceed the scope limitations of Article 3.3.</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L-5: VRP Access Dispute Resolution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DISPUTE TYPE</w:t>
            </w:r>
          </w:p>
        </w:tc>
        <w:tc>
          <w:tcPr>
            <w:tcW w:type="dxa" w:w="34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RESOLUTION MECHANISM</w:t>
            </w:r>
          </w:p>
        </w:tc>
        <w:tc>
          <w:tcPr>
            <w:tcW w:type="dxa" w:w="36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TIMELINE</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Site classification disagreement (e.g., Iran classifies as Category D; IAEA classifies as Category B)</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Joint technical assessment by IAEA Radiation Safety Officer and Iranian nuclear safety authority; if unresolved, PCC technical determination by consensus-minus-one</w:t>
            </w:r>
          </w:p>
        </w:tc>
        <w:tc>
          <w:tcPr>
            <w:tcW w:type="dxa" w:w="36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Joint assessment: 48 hours. PCC determination: 72 hours. Safety hold remains in effect pending resolution.</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Access refusal not accompanied by safety justification</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Director General notifies PCC within 6 hours. PCC convenes emergency session within 24 hours. United States may invoke signature-delay trigger after 72 hours of unresolved refusal.</w:t>
            </w:r>
          </w:p>
        </w:tc>
        <w:tc>
          <w:tcPr>
            <w:tcW w:type="dxa" w:w="36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Notification: 6 hours. PCC session: 24 hours. Signature-delay trigger available: 72 hours after refusal.</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Dispute over V-R Site Register composition (Party disputes inclusion or exclusion of a specific site)</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PCC technical subcommittee reviews inclusion criteria within 48 hours. IAEA technical advisor provides independent assessment. PCC decision by consensus-minus-one is final.</w:t>
            </w:r>
          </w:p>
        </w:tc>
        <w:tc>
          <w:tcPr>
            <w:tcW w:type="dxa" w:w="36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48 hours for PCC review. IAEA assessment: simultaneous. Decision: binding upon issuance.</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Data ownership dispute (disagreement over distribution or use of VRP findings)</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O, Article 5.3 (data ownership provisions) governs. PCC Secretariat administers distribution. Any Party challenges distribution within 24 hours of receipt.</w:t>
            </w:r>
          </w:p>
        </w:tc>
        <w:tc>
          <w:tcPr>
            <w:tcW w:type="dxa" w:w="36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Challenge window: 24 hours. PCC review: 48 hours. Distribution suspended pending PCC ruling.</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Safety hold duration dispute (one Party disputes whether safety hold is legitimate or prolonged)</w:t>
            </w:r>
          </w:p>
        </w:tc>
        <w:tc>
          <w:tcPr>
            <w:tcW w:type="dxa" w:w="34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Joint technical teams (IAEA + Iranian nuclear safety officials + guarantor-state technical observer if requested) conduct independent assessment. PCC reviews findings.</w:t>
            </w:r>
          </w:p>
        </w:tc>
        <w:tc>
          <w:tcPr>
            <w:tcW w:type="dxa" w:w="36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Independent assessment: 7 days. PCC review: 72 hours after assessment. No automatic step-back during review.</w:t>
            </w:r>
          </w:p>
        </w:tc>
      </w:tr>
    </w:tbl>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7.2  No Suspension of VRP During Dispute</w:t>
      </w:r>
    </w:p>
    <w:p>
      <w:pPr>
        <w:spacing w:after="80" w:before="80" w:line="276" w:lineRule="auto"/>
        <w:jc w:val="both"/>
      </w:pPr>
      <w:r>
        <w:rPr>
          <w:rFonts w:ascii="Arial" w:cs="Arial" w:eastAsia="Arial" w:hAnsi="Arial"/>
          <w:b w:val="false"/>
          <w:bCs w:val="false"/>
          <w:i w:val="false"/>
          <w:iCs w:val="false"/>
          <w:color w:val="000000"/>
          <w:sz w:val="22"/>
          <w:szCs w:val="22"/>
        </w:rPr>
        <w:t xml:space="preserve">A dispute under this Article does not suspend VRP activities at sites not subject to the dispute. The VRP continues for all uncontested sites during any dispute proceeding. The contested site is placed in provisional status pending resolution.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7.3  PCC as Primary Dispute Body</w:t>
      </w:r>
    </w:p>
    <w:p>
      <w:pPr>
        <w:spacing w:after="80" w:before="80" w:line="276" w:lineRule="auto"/>
        <w:jc w:val="both"/>
      </w:pPr>
      <w:r>
        <w:rPr>
          <w:rFonts w:ascii="Arial" w:cs="Arial" w:eastAsia="Arial" w:hAnsi="Arial"/>
          <w:b w:val="false"/>
          <w:bCs w:val="false"/>
          <w:i w:val="false"/>
          <w:iCs w:val="false"/>
          <w:color w:val="000000"/>
          <w:sz w:val="22"/>
          <w:szCs w:val="22"/>
        </w:rPr>
        <w:t xml:space="preserve">The PCC is the primary dispute body for all VRP disputes. The PCC technical subcommittee handles technical classification and access disputes. The PCC full body handles V-R Site Register and data disputes. PCC decisions are by consensus-minus-one and are binding on both Parties for VRP purposes.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7.4  IAEA Director General's Authority</w:t>
      </w:r>
    </w:p>
    <w:p>
      <w:pPr>
        <w:spacing w:after="80" w:before="80" w:line="276" w:lineRule="auto"/>
        <w:jc w:val="both"/>
      </w:pPr>
      <w:r>
        <w:rPr>
          <w:rFonts w:ascii="Arial" w:cs="Arial" w:eastAsia="Arial" w:hAnsi="Arial"/>
          <w:b w:val="false"/>
          <w:bCs w:val="false"/>
          <w:i w:val="false"/>
          <w:iCs w:val="false"/>
          <w:color w:val="000000"/>
          <w:sz w:val="22"/>
          <w:szCs w:val="22"/>
        </w:rPr>
        <w:t xml:space="preserve">On purely technical matters within the IAEA's mandate — site access modality, safety hold legitimacy, BVC content, and inspection methodology — the IAEA Director General's determination is final and is not subject to PCC override. The PCC reviews, but does not overrule, IAEA technical judgments on these matters.</w:t>
      </w:r>
    </w:p>
    <w:p>
      <w:r>
        <w:br w:type="page"/>
      </w:r>
    </w:p>
    <w:p>
      <w:pPr>
        <w:pStyle w:val="Heading1"/>
        <w:shd w:fill="1B3A2B" w:val="clear"/>
        <w:spacing w:after="120" w:before="240"/>
      </w:pPr>
      <w:r>
        <w:rPr>
          <w:rFonts w:ascii="Arial" w:cs="Arial" w:eastAsia="Arial" w:hAnsi="Arial"/>
          <w:b/>
          <w:bCs/>
          <w:color w:val="FFFFFF"/>
          <w:sz w:val="30"/>
          <w:szCs w:val="30"/>
        </w:rPr>
        <w:t xml:space="preserve">Article 8: Signature-Delay Trigger and Red-Line Protections</w:t>
      </w:r>
    </w:p>
    <w:p>
      <w:pPr>
        <w:shd w:fill="2E6048"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8.1  Signature-Delay Trigger Conditions</w:t>
      </w:r>
    </w:p>
    <w:p>
      <w:pPr>
        <w:spacing w:after="80" w:before="80" w:line="276" w:lineRule="auto"/>
        <w:jc w:val="both"/>
      </w:pPr>
      <w:r>
        <w:rPr>
          <w:rFonts w:ascii="Arial" w:cs="Arial" w:eastAsia="Arial" w:hAnsi="Arial"/>
          <w:b w:val="false"/>
          <w:bCs w:val="false"/>
          <w:i w:val="false"/>
          <w:iCs w:val="false"/>
          <w:color w:val="000000"/>
          <w:sz w:val="22"/>
          <w:szCs w:val="22"/>
        </w:rPr>
        <w:t xml:space="preserve">The United States invokes the Signature-Delay Trigger — deferring MOU signature — only where all of the following conditions are met:</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Iran has refused access to one or more V-R Site Register sites;</w:t>
      </w:r>
    </w:p>
    <w:p>
      <w:pPr>
        <w:pStyle w:val="ListParagraph"/>
        <w:numPr>
          <w:ilvl w:val="0"/>
          <w:numId w:val="2"/>
        </w:numPr>
        <w:spacing w:after="60" w:before="60"/>
      </w:pPr>
      <w:r>
        <w:rPr>
          <w:rFonts w:ascii="Arial" w:cs="Arial" w:eastAsia="Arial" w:hAnsi="Arial"/>
          <w:sz w:val="22"/>
          <w:szCs w:val="22"/>
        </w:rPr>
        <w:t xml:space="preserve">The refused access is not covered by a legitimately invoked Safety Hold under Article 5;</w:t>
      </w:r>
    </w:p>
    <w:p>
      <w:pPr>
        <w:pStyle w:val="ListParagraph"/>
        <w:numPr>
          <w:ilvl w:val="0"/>
          <w:numId w:val="2"/>
        </w:numPr>
        <w:spacing w:after="60" w:before="60"/>
      </w:pPr>
      <w:r>
        <w:rPr>
          <w:rFonts w:ascii="Arial" w:cs="Arial" w:eastAsia="Arial" w:hAnsi="Arial"/>
          <w:sz w:val="22"/>
          <w:szCs w:val="22"/>
        </w:rPr>
        <w:t xml:space="preserve">The IAEA Director General has notified both Parties that the refusal materially prevents issuance of a complete BVC;</w:t>
      </w:r>
    </w:p>
    <w:p>
      <w:pPr>
        <w:pStyle w:val="ListParagraph"/>
        <w:numPr>
          <w:ilvl w:val="0"/>
          <w:numId w:val="2"/>
        </w:numPr>
        <w:spacing w:after="60" w:before="60"/>
      </w:pPr>
      <w:r>
        <w:rPr>
          <w:rFonts w:ascii="Arial" w:cs="Arial" w:eastAsia="Arial" w:hAnsi="Arial"/>
          <w:sz w:val="22"/>
          <w:szCs w:val="22"/>
        </w:rPr>
        <w:t xml:space="preserve">72 hours have elapsed since the PCC was notified of the access refusal without resolution.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8.2  Nature of the Signature Delay</w:t>
      </w:r>
    </w:p>
    <w:p>
      <w:pPr>
        <w:spacing w:after="80" w:before="80" w:line="276" w:lineRule="auto"/>
        <w:jc w:val="both"/>
      </w:pPr>
      <w:r>
        <w:rPr>
          <w:rFonts w:ascii="Arial" w:cs="Arial" w:eastAsia="Arial" w:hAnsi="Arial"/>
          <w:b w:val="false"/>
          <w:bCs w:val="false"/>
          <w:i w:val="false"/>
          <w:iCs w:val="false"/>
          <w:color w:val="000000"/>
          <w:sz w:val="22"/>
          <w:szCs w:val="22"/>
        </w:rPr>
        <w:t xml:space="preserve">A signature delay under this trigger is not a breach, a step-back event, or a penalty under any existing instrument. The delay is a neutral technical hold that preserves the MOU's verified-baseline integrity. The delay continues until Iran grants the refused access and the IAEA completes the relevant inventory. No financial or military consequences attach to the delay.</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8.3  Red-Line Protections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L-3: Red-Line Protections Matrix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PROTECTION</w:t>
            </w:r>
          </w:p>
        </w:tc>
        <w:tc>
          <w:tcPr>
            <w:tcW w:type="dxa" w:w="35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UNITED STATES RED LINE</w:t>
            </w:r>
          </w:p>
        </w:tc>
        <w:tc>
          <w:tcPr>
            <w:tcW w:type="dxa" w:w="3580"/>
            <w:tcBorders>
              <w:top w:val="single" w:color="8AB9A4" w:sz="2"/>
              <w:left w:val="single" w:color="8AB9A4" w:sz="2"/>
              <w:bottom w:val="single" w:color="8AB9A4" w:sz="2"/>
              <w:right w:val="single" w:color="8AB9A4" w:sz="2"/>
            </w:tcBorders>
            <w:shd w:fill="2E6048"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IRAN RED LINE</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Access leadership</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leads all access. No U.S. personnel enter any Iranian nuclear site. The U.S.-designated technical agent's role is verification architecture, not physical presence.</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All access is IAEA-led. No U.S. government personnel accompany any inspection team. The IAEA is the sole external physical presence at all sites.</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Scope limitation</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Access is restricted to the V-R Site Register. The IAEA does not use this period to pursue general intelligence about Iranian military or non-nuclear facilities.</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United States does not use the VRP to expand beyond the V-R Site Register. No ad hoc requests for additional sites are permitted during the VRP window.</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No pre-signature concessions</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 cash, no sanctions relief, no asset release, and no military posture change precedes or accompanies the VRP. The VRP is a technical precondition, not a reward for Iran.</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VRP produces no legal obligation beyond access provision. Iran's participation does not constitute admission of any safeguards violation or concession on any political matter.</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Sovereign data control</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All data generated under the VRP is IAEA property. The United States receives only the Baseline Verification Certificate and site-specific summaries, not raw telemetry.</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receives the same data summaries as the United States. All raw telemetry remains with the IAEA under the data ownership provisions of Annex O, Article 5.3.</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Safety hold right</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safety hold (Article 5) is a legitimate mechanism. The United States does not treat a properly invoked safety hold as a denial of access.</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invokes the safety hold only on genuine radiological or structural safety grounds. The hold is time-limited and subject to independent verification by joint technical teams.</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No political conditioning</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United States does not link VRP completion to any political demand beyond the access itself.</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does not condition access on unrelated political concessions — sanctions relief, diplomatic recognition, or regional policy changes.</w:t>
            </w:r>
          </w:p>
        </w:tc>
      </w:tr>
      <w:tr>
        <w:trPr>
          <w:tblHeader w:val="false"/>
        </w:trPr>
        <w:tc>
          <w:tcPr>
            <w:tcW w:type="dxa" w:w="220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Signature-delay trigger</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Iran refuses access without legitimate safety justification, the United States delays signature until access is granted. The delay is not a breach and does not trigger any penalty under Annex T.</w:t>
            </w:r>
          </w:p>
        </w:tc>
        <w:tc>
          <w:tcPr>
            <w:tcW w:type="dxa" w:w="3580"/>
            <w:tcBorders>
              <w:top w:val="single" w:color="8AB9A4" w:sz="2"/>
              <w:left w:val="single" w:color="8AB9A4" w:sz="2"/>
              <w:bottom w:val="single" w:color="8AB9A4" w:sz="2"/>
              <w:right w:val="single" w:color="8AB9A4"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signature-delay trigger is limited to unjustified access refusal. It does not activate for safety holds, technical delays, or access disputes that are in arbitration under Article 7 of this Annex.</w:t>
            </w:r>
          </w:p>
        </w:tc>
      </w:tr>
    </w:tbl>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8.4  No U.S. Personnel on Iranian Soil</w:t>
      </w:r>
    </w:p>
    <w:p>
      <w:pPr>
        <w:spacing w:after="80" w:before="80" w:line="276" w:lineRule="auto"/>
        <w:jc w:val="both"/>
      </w:pPr>
      <w:r>
        <w:rPr>
          <w:rFonts w:ascii="Arial" w:cs="Arial" w:eastAsia="Arial" w:hAnsi="Arial"/>
          <w:b w:val="false"/>
          <w:bCs w:val="false"/>
          <w:i w:val="false"/>
          <w:iCs w:val="false"/>
          <w:color w:val="000000"/>
          <w:sz w:val="22"/>
          <w:szCs w:val="22"/>
        </w:rPr>
        <w:t xml:space="preserve">The framework architecture excludes U.S. government personnel from physical presence at any Iranian nuclear site during the VRP or at any subsequent stage unless Iran extends an explicit, per-visit, revocable invitation consistent with MOU Article 3.5. This exclusion is absolute and non-waivable; it applies to intelligence officers, military personnel, technical contractors, and diplomatic observers equally.</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8.5  IAEA Data Sovereignty</w:t>
      </w:r>
    </w:p>
    <w:p>
      <w:pPr>
        <w:spacing w:after="80" w:before="80" w:line="276" w:lineRule="auto"/>
        <w:jc w:val="both"/>
      </w:pPr>
      <w:r>
        <w:rPr>
          <w:rFonts w:ascii="Arial" w:cs="Arial" w:eastAsia="Arial" w:hAnsi="Arial"/>
          <w:b w:val="false"/>
          <w:bCs w:val="false"/>
          <w:i w:val="false"/>
          <w:iCs w:val="false"/>
          <w:color w:val="000000"/>
          <w:sz w:val="22"/>
          <w:szCs w:val="22"/>
        </w:rPr>
        <w:t xml:space="preserve">All raw telemetry, mass spectrometry data, environmental sampling results, and inspection records generated during the VRP are IAEA property under the IAEA Statute and the applicable Safeguards Agreement. Neither Party holds independent access to raw VRP data. The United States receives only the BVC and its classified appendices as described in Article 6. Iran receives the same distribution. Neither Party uses VRP data for intelligence, military targeting, or political purposes beyond treaty compliance verification.</w:t>
      </w:r>
    </w:p>
    <w:p>
      <w:r>
        <w:br w:type="page"/>
      </w:r>
    </w:p>
    <w:p>
      <w:pPr>
        <w:pStyle w:val="Heading1"/>
        <w:shd w:fill="1B3A2B" w:val="clear"/>
        <w:spacing w:after="120" w:before="240"/>
      </w:pPr>
      <w:r>
        <w:rPr>
          <w:rFonts w:ascii="Arial" w:cs="Arial" w:eastAsia="Arial" w:hAnsi="Arial"/>
          <w:b/>
          <w:bCs/>
          <w:color w:val="FFFFFF"/>
          <w:sz w:val="30"/>
          <w:szCs w:val="30"/>
        </w:rPr>
        <w:t xml:space="preserve">Article 9: Extension Mechanism</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9.1  One-Time Extension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IAEA cannot complete the baseline inventory within the initial 30-day period due to verified technical or security conditions, the VRP extends once by up to 15 days on PCC recommendation. The extension covers only the incomplete site categories. Completed inventories are not repeated. The Partial BVC covering completed sites issues on Day 30 and is operative immediately.</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9.2  Conditions for Extension</w:t>
      </w:r>
    </w:p>
    <w:p>
      <w:pPr>
        <w:spacing w:after="80" w:before="80" w:line="276" w:lineRule="auto"/>
        <w:jc w:val="both"/>
      </w:pPr>
      <w:r>
        <w:rPr>
          <w:rFonts w:ascii="Arial" w:cs="Arial" w:eastAsia="Arial" w:hAnsi="Arial"/>
          <w:b w:val="false"/>
          <w:bCs w:val="false"/>
          <w:i w:val="false"/>
          <w:iCs w:val="false"/>
          <w:color w:val="000000"/>
          <w:sz w:val="22"/>
          <w:szCs w:val="22"/>
        </w:rPr>
        <w:t xml:space="preserve">The PCC recommends an extension only where:</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IAEA Director General certifies that the remaining work cannot be completed within the initial 30-day period for technical or verified security reasons;</w:t>
      </w:r>
    </w:p>
    <w:p>
      <w:pPr>
        <w:pStyle w:val="ListParagraph"/>
        <w:numPr>
          <w:ilvl w:val="0"/>
          <w:numId w:val="2"/>
        </w:numPr>
        <w:spacing w:after="60" w:before="60"/>
      </w:pPr>
      <w:r>
        <w:rPr>
          <w:rFonts w:ascii="Arial" w:cs="Arial" w:eastAsia="Arial" w:hAnsi="Arial"/>
          <w:sz w:val="22"/>
          <w:szCs w:val="22"/>
        </w:rPr>
        <w:t xml:space="preserve">The incomplete categories represent material quantities of nuclear material relevant to the BVC aggregate baseline;</w:t>
      </w:r>
    </w:p>
    <w:p>
      <w:pPr>
        <w:pStyle w:val="ListParagraph"/>
        <w:numPr>
          <w:ilvl w:val="0"/>
          <w:numId w:val="2"/>
        </w:numPr>
        <w:spacing w:after="60" w:before="60"/>
      </w:pPr>
      <w:r>
        <w:rPr>
          <w:rFonts w:ascii="Arial" w:cs="Arial" w:eastAsia="Arial" w:hAnsi="Arial"/>
          <w:sz w:val="22"/>
          <w:szCs w:val="22"/>
        </w:rPr>
        <w:t xml:space="preserve">The incomplete categories are not the result of Iranian access refusal without legitimate safety justification.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9.3  Extension Is Not a Breach</w:t>
      </w:r>
    </w:p>
    <w:p>
      <w:pPr>
        <w:spacing w:after="80" w:before="80" w:line="276" w:lineRule="auto"/>
        <w:jc w:val="both"/>
      </w:pPr>
      <w:r>
        <w:rPr>
          <w:rFonts w:ascii="Arial" w:cs="Arial" w:eastAsia="Arial" w:hAnsi="Arial"/>
          <w:b w:val="false"/>
          <w:bCs w:val="false"/>
          <w:i w:val="false"/>
          <w:iCs w:val="false"/>
          <w:color w:val="000000"/>
          <w:sz w:val="22"/>
          <w:szCs w:val="22"/>
        </w:rPr>
        <w:t xml:space="preserve">A VRP extension does not constitute a breach by either Party. A single extension is the maximum available; no further extensions are available under this Annex. Where work remains incomplete after the extended period for reasons other than verified technical conditions or active Safety Holds, the IAEA Director General so notes in the BVC and both Parties treat the matter under the dispute resolution provisions of Article 7.</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9.4  No Extension for Iranian Access Refusal</w:t>
      </w:r>
    </w:p>
    <w:p>
      <w:pPr>
        <w:spacing w:after="80" w:before="80" w:line="276" w:lineRule="auto"/>
        <w:jc w:val="both"/>
      </w:pPr>
      <w:r>
        <w:rPr>
          <w:rFonts w:ascii="Arial" w:cs="Arial" w:eastAsia="Arial" w:hAnsi="Arial"/>
          <w:b w:val="false"/>
          <w:bCs w:val="false"/>
          <w:i w:val="false"/>
          <w:iCs w:val="false"/>
          <w:color w:val="000000"/>
          <w:sz w:val="22"/>
          <w:szCs w:val="22"/>
        </w:rPr>
        <w:t xml:space="preserve">An extension is not available as a substitute for access that Iran refuses without legitimate Safety Hold grounds. Where incomplete categories result from unjustified access refusal, the Signature-Delay Trigger of Article 8 governs — not the extension mechanism.</w:t>
      </w:r>
    </w:p>
    <w:p>
      <w:r>
        <w:br w:type="page"/>
      </w:r>
    </w:p>
    <w:p>
      <w:pPr>
        <w:pStyle w:val="Heading1"/>
        <w:shd w:fill="1B3A2B" w:val="clear"/>
        <w:spacing w:after="120" w:before="240"/>
      </w:pPr>
      <w:r>
        <w:rPr>
          <w:rFonts w:ascii="Arial" w:cs="Arial" w:eastAsia="Arial" w:hAnsi="Arial"/>
          <w:b/>
          <w:bCs/>
          <w:color w:val="FFFFFF"/>
          <w:sz w:val="30"/>
          <w:szCs w:val="30"/>
        </w:rPr>
        <w:t xml:space="preserve">Article 10: Relationship to Other Instruments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10.1  Relationship to Part 0 and Annex V-R of the MOU</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operationalizes and expands Part 0 (Verification Restoration Period) and the stub text of Annex V-R of the MOU Pertaining to PEACE v7.0. Where this Annex and Part 0 or Annex V-R conflict on a matter within the VRP's scope, this Annex governs. This Annex does not modify or replace any other operative provision of the MOU.</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10.2  Relationship to Annex O</w:t>
      </w:r>
    </w:p>
    <w:p>
      <w:pPr>
        <w:spacing w:after="80" w:before="80" w:line="276" w:lineRule="auto"/>
        <w:jc w:val="both"/>
      </w:pPr>
      <w:r>
        <w:rPr>
          <w:rFonts w:ascii="Arial" w:cs="Arial" w:eastAsia="Arial" w:hAnsi="Arial"/>
          <w:b w:val="false"/>
          <w:bCs w:val="false"/>
          <w:i w:val="false"/>
          <w:iCs w:val="false"/>
          <w:color w:val="000000"/>
          <w:sz w:val="22"/>
          <w:szCs w:val="22"/>
        </w:rPr>
        <w:t xml:space="preserve">Annex O (IAEA Access and Site Integrity Protocol) governs all IAEA access procedures, Joint Technical Team composition and authority, remote sensing technology authorization, damage assessment methodology, and data ownership at all VRP sites. This Annex invokes Annex O as its technical governing framework for site access and does not duplicate those provisions. In the event of conflict between this Annex and Annex O on a matter of VRP access procedure, Annex O governs.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10.3  Relationship to Annex V (Nuclear Dust Protocol)</w:t>
      </w:r>
    </w:p>
    <w:p>
      <w:pPr>
        <w:spacing w:after="80" w:before="80" w:line="276" w:lineRule="auto"/>
        <w:jc w:val="both"/>
      </w:pPr>
      <w:r>
        <w:rPr>
          <w:rFonts w:ascii="Arial" w:cs="Arial" w:eastAsia="Arial" w:hAnsi="Arial"/>
          <w:b w:val="false"/>
          <w:bCs w:val="false"/>
          <w:i w:val="false"/>
          <w:iCs w:val="false"/>
          <w:color w:val="000000"/>
          <w:sz w:val="22"/>
          <w:szCs w:val="22"/>
        </w:rPr>
        <w:t xml:space="preserve">Annex V (Nuclear Dust Protocol — CANDOR) governs all sub-surface remediation, dispersed material assessment, and joint-sovereignty access at Category D sites. This Annex invokes Annex V for all Category D activities. In the event of conflict between this Annex and Annex V on a matter of Category D site assessment, Annex V governs.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10.4  Relationship to Annex P (Damaged Material Protocol)</w:t>
      </w:r>
    </w:p>
    <w:p>
      <w:pPr>
        <w:spacing w:after="80" w:before="80" w:line="276" w:lineRule="auto"/>
        <w:jc w:val="both"/>
      </w:pPr>
      <w:r>
        <w:rPr>
          <w:rFonts w:ascii="Arial" w:cs="Arial" w:eastAsia="Arial" w:hAnsi="Arial"/>
          <w:b w:val="false"/>
          <w:bCs w:val="false"/>
          <w:i w:val="false"/>
          <w:iCs w:val="false"/>
          <w:color w:val="000000"/>
          <w:sz w:val="22"/>
          <w:szCs w:val="22"/>
        </w:rPr>
        <w:t xml:space="preserve">Annex P (Damaged Material Protocol) governs disposition of HEU cylinders identified as Category II or III during VRP assessment. Where the VRP identifies damaged cylinders at Category B or C sites, those cylinders are immediately classified under the Annex P framework. Annex P's in-situ downblending default and engineering solution provisions apply from the date of BVC issuance. The VRP does not initiate downblending or disposition activities; it identifies and classifies material for disposition under Annex P's operative architecture.</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10.5  Relationship to Annex Q (IRGC Access Compliance)</w:t>
      </w:r>
    </w:p>
    <w:p>
      <w:pPr>
        <w:spacing w:after="80" w:before="80" w:line="276" w:lineRule="auto"/>
        <w:jc w:val="both"/>
      </w:pPr>
      <w:r>
        <w:rPr>
          <w:rFonts w:ascii="Arial" w:cs="Arial" w:eastAsia="Arial" w:hAnsi="Arial"/>
          <w:b w:val="false"/>
          <w:bCs w:val="false"/>
          <w:i w:val="false"/>
          <w:iCs w:val="false"/>
          <w:color w:val="000000"/>
          <w:sz w:val="22"/>
          <w:szCs w:val="22"/>
        </w:rPr>
        <w:t xml:space="preserve">Annex Q governs all access compliance at IRGC-controlled sites. An IRGC access denial at any VRP site is treated under Annex Q's provisions as an Iranian denial. The access denial consequences of Annex Q apply from the date of denial regardless of VRP status.</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10.6  Relationship to Annex T (Adaptive Stabilization and Compliance Resilience Matrix)</w:t>
      </w:r>
    </w:p>
    <w:p>
      <w:pPr>
        <w:spacing w:after="80" w:before="80" w:line="276" w:lineRule="auto"/>
        <w:jc w:val="both"/>
      </w:pPr>
      <w:r>
        <w:rPr>
          <w:rFonts w:ascii="Arial" w:cs="Arial" w:eastAsia="Arial" w:hAnsi="Arial"/>
          <w:b w:val="false"/>
          <w:bCs w:val="false"/>
          <w:i w:val="false"/>
          <w:iCs w:val="false"/>
          <w:color w:val="000000"/>
          <w:sz w:val="22"/>
          <w:szCs w:val="22"/>
        </w:rPr>
        <w:t xml:space="preserve">Annex T is not operative during the VRP, which precedes MOU entry into force. However, the BVC that the VRP produces is the baseline against which all Annex T compliance determinations in Phase I are made. Discrepancies between BVC findings and Phase I IAEA monitoring data trigger the Human-in-the-Loop review process of Annex T, Article II.2. No Stepback or Earnback mechanism under Annex T applies to VRP activities.</w:t>
      </w:r>
    </w:p>
    <w:p>
      <w:r>
        <w:br w:type="page"/>
      </w:r>
    </w:p>
    <w:p>
      <w:pPr>
        <w:pStyle w:val="Heading1"/>
        <w:shd w:fill="1B3A2B" w:val="clear"/>
        <w:spacing w:after="120" w:before="240"/>
      </w:pPr>
      <w:r>
        <w:rPr>
          <w:rFonts w:ascii="Arial" w:cs="Arial" w:eastAsia="Arial" w:hAnsi="Arial"/>
          <w:b/>
          <w:bCs/>
          <w:color w:val="FFFFFF"/>
          <w:sz w:val="30"/>
          <w:szCs w:val="30"/>
        </w:rPr>
        <w:t xml:space="preserve">Article 11: Incorporation by Reference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incorporable into any existing or future agreement through the following sentence:</w:t>
      </w:r>
    </w:p>
    <w:p>
      <w:pPr>
        <w:spacing w:after="40" w:before="40"/>
      </w:pPr>
      <w:r>
        <w:t xml:space="preserve"/>
      </w:r>
    </w:p>
    <w:p>
      <w:pPr>
        <w:pBdr>
          <w:left w:val="single" w:color="2E6048" w:sz="8"/>
        </w:pBdr>
        <w:spacing w:after="120" w:before="120"/>
        <w:ind w:left="720"/>
        <w:jc w:val="both"/>
      </w:pPr>
      <w:r>
        <w:rPr>
          <w:rFonts w:ascii="Arial" w:cs="Arial" w:eastAsia="Arial" w:hAnsi="Arial"/>
          <w:sz w:val="22"/>
          <w:szCs w:val="22"/>
        </w:rPr>
        <w:t xml:space="preserve">"The Parties adopt Annex L (Pre-Signature IAEA Verification Restoration Protocol) as an operative provision of this Agreement. In the event of any inconsistency, Annex L governs with respect to the Verification Restoration Period, the V-R Site Register, the Safety Hold mechanism, and the issuance and operative effect of the Baseline Verification Certificate."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further amendment of the parent framework is required. This Annex enters into force upon the later of: (a) signature by both Parties; or (b) the effective date of the parent framework incorporating it. This Annex is operative exclusively during the pre-signature VRP window; it does not remain operative after MOU entry into force except with respect to the continuing legal status of the BVC and any unresolved access disputes still pending before the PCC.</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Relationship to Annex S</w:t>
      </w:r>
    </w:p>
    <w:p>
      <w:pPr>
        <w:spacing w:after="80" w:before="80" w:line="276" w:lineRule="auto"/>
        <w:jc w:val="both"/>
      </w:pPr>
      <w:r>
        <w:rPr>
          <w:rFonts w:ascii="Arial" w:cs="Arial" w:eastAsia="Arial" w:hAnsi="Arial"/>
          <w:b w:val="false"/>
          <w:bCs w:val="false"/>
          <w:i w:val="false"/>
          <w:iCs w:val="false"/>
          <w:color w:val="000000"/>
          <w:sz w:val="22"/>
          <w:szCs w:val="22"/>
        </w:rPr>
        <w:t xml:space="preserve">The 30-Day Stabilization Block schedule of Annex T, Article V does not commence until the BVC issues and the MOU enters into force. The VRP timeline of this Annex runs prior to and independently of Annex T's Block schedule. The BVC issuance date is the operative reference date for all Phase I day-count calculations.</w:t>
      </w:r>
    </w:p>
    <w:p>
      <w:r>
        <w:br w:type="page"/>
      </w:r>
    </w:p>
    <w:p>
      <w:pPr>
        <w:pStyle w:val="Heading1"/>
        <w:shd w:fill="1B3A2B" w:val="clear"/>
        <w:spacing w:after="120" w:before="240"/>
      </w:pPr>
      <w:r>
        <w:rPr>
          <w:rFonts w:ascii="Arial" w:cs="Arial" w:eastAsia="Arial" w:hAnsi="Arial"/>
          <w:b/>
          <w:bCs/>
          <w:color w:val="FFFFFF"/>
          <w:sz w:val="30"/>
          <w:szCs w:val="30"/>
        </w:rPr>
        <w:t xml:space="preserve">Article 12: Provisional Application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Parties elect to begin VRP activities prior to formal incorporation of this Annex into the parent framework, the Parties effect provisional application through an exchange of diplomatic notes. During provisional application, all provisions of this Annex are operative and binding.</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terminates provisional application with 72 hours' written notice to the IAEA Director General and the PCC Secretariat. Termination of provisional application suspends — but does not void — any VRP activities already completed. Completed inventories and issued certificates remain valid and are not re-conducted upon re-initiation.</w:t>
      </w:r>
    </w:p>
    <w:p>
      <w:pPr>
        <w:spacing w:after="40" w:before="40"/>
      </w:pPr>
      <w:r>
        <w:t xml:space="preserve"/>
      </w:r>
    </w:p>
    <w:p>
      <w:pPr>
        <w:pBdr>
          <w:left w:val="single" w:color="4A8C6F" w:sz="8"/>
        </w:pBdr>
        <w:spacing w:after="80" w:before="80"/>
        <w:ind w:left="360"/>
        <w:jc w:val="both"/>
      </w:pPr>
      <w:r>
        <w:rPr>
          <w:rFonts w:ascii="Arial" w:cs="Arial" w:eastAsia="Arial" w:hAnsi="Arial"/>
          <w:color w:val="1B3A2B"/>
          <w:sz w:val="20"/>
          <w:szCs w:val="20"/>
        </w:rPr>
        <w:t xml:space="preserve">Note: The 72-hour termination notice for VRP provisional application is shorter than the 14-day notice in other Annexes because the VRP is a pre-signature technical window, not an ongoing compliance obligation. The shorter notice reflects the VRP's bounded, time-limited character.</w:t>
      </w:r>
    </w:p>
    <w:p>
      <w:r>
        <w:br w:type="page"/>
      </w:r>
    </w:p>
    <w:p>
      <w:pPr>
        <w:pStyle w:val="Heading1"/>
        <w:shd w:fill="1B3A2B" w:val="clear"/>
        <w:spacing w:after="120" w:before="240"/>
      </w:pPr>
      <w:r>
        <w:rPr>
          <w:rFonts w:ascii="Arial" w:cs="Arial" w:eastAsia="Arial" w:hAnsi="Arial"/>
          <w:b/>
          <w:bCs/>
          <w:color w:val="FFFFFF"/>
          <w:sz w:val="30"/>
          <w:szCs w:val="30"/>
        </w:rPr>
        <w:t xml:space="preserve">Article 13: Why This Stays Within Both Parties' Red Lines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Article preserves the negotiating record on red-line compliance. It is a reference document for each delegation's internal use, not an operative legal provision.</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13.1  United States Red Lines — All Preserved</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No upfront cash: The VRP delivers no financial transfer, escrow deposit, or asset release. The $5B mutual escrow deposit does not trigger until MOU Day 1, after the BVC issues and the MOU enters into force.</w:t>
      </w:r>
    </w:p>
    <w:p>
      <w:pPr>
        <w:pStyle w:val="ListParagraph"/>
        <w:numPr>
          <w:ilvl w:val="0"/>
          <w:numId w:val="2"/>
        </w:numPr>
        <w:spacing w:after="60" w:before="60"/>
      </w:pPr>
      <w:r>
        <w:rPr>
          <w:rFonts w:ascii="Arial" w:cs="Arial" w:eastAsia="Arial" w:hAnsi="Arial"/>
          <w:sz w:val="22"/>
          <w:szCs w:val="22"/>
        </w:rPr>
        <w:t xml:space="preserve">No pre-signature concessions: The United States provides IAEA access facilitation support (visa clearances, secure communication infrastructure, guarantor-state technical observer participation) only — not economic value.</w:t>
      </w:r>
    </w:p>
    <w:p>
      <w:pPr>
        <w:pStyle w:val="ListParagraph"/>
        <w:numPr>
          <w:ilvl w:val="0"/>
          <w:numId w:val="2"/>
        </w:numPr>
        <w:spacing w:after="60" w:before="60"/>
      </w:pPr>
      <w:r>
        <w:rPr>
          <w:rFonts w:ascii="Arial" w:cs="Arial" w:eastAsia="Arial" w:hAnsi="Arial"/>
          <w:sz w:val="22"/>
          <w:szCs w:val="22"/>
        </w:rPr>
        <w:t xml:space="preserve">No U.S. boots on ground: No U.S. government personnel enter any Iranian nuclear site during the VRP. The IAEA is the sole external physical presence.</w:t>
      </w:r>
    </w:p>
    <w:p>
      <w:pPr>
        <w:pStyle w:val="ListParagraph"/>
        <w:numPr>
          <w:ilvl w:val="0"/>
          <w:numId w:val="2"/>
        </w:numPr>
        <w:spacing w:after="60" w:before="60"/>
      </w:pPr>
      <w:r>
        <w:rPr>
          <w:rFonts w:ascii="Arial" w:cs="Arial" w:eastAsia="Arial" w:hAnsi="Arial"/>
          <w:sz w:val="22"/>
          <w:szCs w:val="22"/>
        </w:rPr>
        <w:t xml:space="preserve">Verified baseline before signature: The BVC requirement means the United States never signs the MOU against an unverified denominator. If Iran refuses access, signature delays without penalty.</w:t>
      </w:r>
    </w:p>
    <w:p>
      <w:pPr>
        <w:pStyle w:val="ListParagraph"/>
        <w:numPr>
          <w:ilvl w:val="0"/>
          <w:numId w:val="2"/>
        </w:numPr>
        <w:spacing w:after="60" w:before="60"/>
      </w:pPr>
      <w:r>
        <w:rPr>
          <w:rFonts w:ascii="Arial" w:cs="Arial" w:eastAsia="Arial" w:hAnsi="Arial"/>
          <w:sz w:val="22"/>
          <w:szCs w:val="22"/>
        </w:rPr>
        <w:t xml:space="preserve">Annex T compliance architecture intact: The BVC feeds directly into Annex T's Block 1 verification; the United States retains full Stepback rights from Day 1 of the MOU based on verified baseline data.</w:t>
      </w:r>
    </w:p>
    <w:p>
      <w:pPr>
        <w:spacing w:after="40" w:before="40"/>
      </w:pPr>
      <w:r>
        <w:t xml:space="preserve"/>
      </w:r>
    </w:p>
    <w:p>
      <w:pPr>
        <w:pStyle w:val="Heading2"/>
        <w:shd w:fill="2E6048" w:val="clear"/>
        <w:spacing w:after="100" w:before="200"/>
      </w:pPr>
      <w:r>
        <w:rPr>
          <w:rFonts w:ascii="Arial" w:cs="Arial" w:eastAsia="Arial" w:hAnsi="Arial"/>
          <w:b/>
          <w:bCs/>
          <w:color w:val="FFFFFF"/>
          <w:sz w:val="26"/>
          <w:szCs w:val="26"/>
        </w:rPr>
        <w:t xml:space="preserve">13.2  Iranian Red Lines — All Preserved</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IAEA, not U.S., leads: Every VRP inspection is IAEA-led under the Safeguards Agreement. No U.S. personnel accompany any inspection team at any site.</w:t>
      </w:r>
    </w:p>
    <w:p>
      <w:pPr>
        <w:pStyle w:val="ListParagraph"/>
        <w:numPr>
          <w:ilvl w:val="0"/>
          <w:numId w:val="2"/>
        </w:numPr>
        <w:spacing w:after="60" w:before="60"/>
      </w:pPr>
      <w:r>
        <w:rPr>
          <w:rFonts w:ascii="Arial" w:cs="Arial" w:eastAsia="Arial" w:hAnsi="Arial"/>
          <w:sz w:val="22"/>
          <w:szCs w:val="22"/>
        </w:rPr>
        <w:t xml:space="preserve">Joint-sovereignty protocols for damaged sites: Category B, C, and D sites operate under Annex O and Annex V joint-sovereignty frameworks, not U.S.-dictated access terms.</w:t>
      </w:r>
    </w:p>
    <w:p>
      <w:pPr>
        <w:pStyle w:val="ListParagraph"/>
        <w:numPr>
          <w:ilvl w:val="0"/>
          <w:numId w:val="2"/>
        </w:numPr>
        <w:spacing w:after="60" w:before="60"/>
      </w:pPr>
      <w:r>
        <w:rPr>
          <w:rFonts w:ascii="Arial" w:cs="Arial" w:eastAsia="Arial" w:hAnsi="Arial"/>
          <w:sz w:val="22"/>
          <w:szCs w:val="22"/>
        </w:rPr>
        <w:t xml:space="preserve">No admission of violation: VRP participation creates no legal admission of safeguards non-compliance and generates no adverse finding under the IAEA Statute or NPT.</w:t>
      </w:r>
    </w:p>
    <w:p>
      <w:pPr>
        <w:pStyle w:val="ListParagraph"/>
        <w:numPr>
          <w:ilvl w:val="0"/>
          <w:numId w:val="2"/>
        </w:numPr>
        <w:spacing w:after="60" w:before="60"/>
      </w:pPr>
      <w:r>
        <w:rPr>
          <w:rFonts w:ascii="Arial" w:cs="Arial" w:eastAsia="Arial" w:hAnsi="Arial"/>
          <w:sz w:val="22"/>
          <w:szCs w:val="22"/>
        </w:rPr>
        <w:t xml:space="preserve">Data sovereignty: All raw VRP data is IAEA property. Iran receives the same BVC distribution as the United States. No raw telemetry or environmental data goes directly to U.S. agencies.</w:t>
      </w:r>
    </w:p>
    <w:p>
      <w:pPr>
        <w:pStyle w:val="ListParagraph"/>
        <w:numPr>
          <w:ilvl w:val="0"/>
          <w:numId w:val="2"/>
        </w:numPr>
        <w:spacing w:after="60" w:before="60"/>
      </w:pPr>
      <w:r>
        <w:rPr>
          <w:rFonts w:ascii="Arial" w:cs="Arial" w:eastAsia="Arial" w:hAnsi="Arial"/>
          <w:sz w:val="22"/>
          <w:szCs w:val="22"/>
        </w:rPr>
        <w:t xml:space="preserve">Safety hold right: Iran retains the right to invoke a Safety Hold on genuine safety grounds. The hold is managed, time-limited, and does not constitute non-cooperation.</w:t>
      </w:r>
    </w:p>
    <w:p>
      <w:pPr>
        <w:pStyle w:val="ListParagraph"/>
        <w:numPr>
          <w:ilvl w:val="0"/>
          <w:numId w:val="2"/>
        </w:numPr>
        <w:spacing w:after="60" w:before="60"/>
      </w:pPr>
      <w:r>
        <w:rPr>
          <w:rFonts w:ascii="Arial" w:cs="Arial" w:eastAsia="Arial" w:hAnsi="Arial"/>
          <w:sz w:val="22"/>
          <w:szCs w:val="22"/>
        </w:rPr>
        <w:t xml:space="preserve">No political conditioning: The VRP is not linked to any political demand. The United States does not use the VRP as leverage on non-nuclear issues.</w:t>
      </w:r>
    </w:p>
    <w:p>
      <w:pPr>
        <w:pStyle w:val="ListParagraph"/>
        <w:numPr>
          <w:ilvl w:val="0"/>
          <w:numId w:val="2"/>
        </w:numPr>
        <w:spacing w:after="60" w:before="60"/>
      </w:pPr>
      <w:r>
        <w:rPr>
          <w:rFonts w:ascii="Arial" w:cs="Arial" w:eastAsia="Arial" w:hAnsi="Arial"/>
          <w:sz w:val="22"/>
          <w:szCs w:val="22"/>
        </w:rPr>
        <w:t xml:space="preserve">Reversibility: Either Party withdraws from the VRP on 72 hours' notice with no penalty. Withdrawal does not commit either Party to the MOU.</w:t>
      </w:r>
    </w:p>
    <w:p>
      <w:r>
        <w:br w:type="page"/>
      </w:r>
    </w:p>
    <w:p>
      <w:pPr>
        <w:pStyle w:val="Heading1"/>
        <w:shd w:fill="1B3A2B" w:val="clear"/>
        <w:spacing w:after="120" w:before="240"/>
      </w:pPr>
      <w:r>
        <w:rPr>
          <w:rFonts w:ascii="Arial" w:cs="Arial" w:eastAsia="Arial" w:hAnsi="Arial"/>
          <w:b/>
          <w:bCs/>
          <w:color w:val="FFFFFF"/>
          <w:sz w:val="30"/>
          <w:szCs w:val="30"/>
        </w:rPr>
        <w:t xml:space="preserve">Signature Block</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In witness whereof, the undersigned, being duly authorized by their respective governments, have signed this Annex L: Pre-Signature IAEA Verification Restoration Protocol.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Done at __________________________, this _______ day of _____________________, 2026, in triplicate in the English language.</w:t>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Islamic Republic of Iran: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United States of America: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International Atomic Energy Agency (as technical authority):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Rafael Mariano Grossi, Director General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Witnessed by the Pakistan / Oman Facilitation Team and Guarantor States: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Pakistan (Primary Mediator)</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Oman (Co-Facilitator)</w:t>
            </w:r>
          </w:p>
        </w:tc>
      </w:tr>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Qatar</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European Union (E3+)</w:t>
            </w:r>
          </w:p>
        </w:tc>
      </w:tr>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People's Republic of China</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Russian Federation</w:t>
            </w:r>
          </w:p>
        </w:tc>
      </w:tr>
    </w:tbl>
    <w:p>
      <w:pPr>
        <w:spacing w:after="40" w:before="40"/>
      </w:pPr>
      <w:r>
        <w:t xml:space="preserve"/>
      </w:r>
    </w:p>
    <w:p>
      <w:pPr>
        <w:spacing w:after="40" w:before="40"/>
      </w:pPr>
      <w:r>
        <w:t xml:space="preserve"/>
      </w:r>
    </w:p>
    <w:p>
      <w:pPr>
        <w:pBdr>
          <w:bottom w:val="single" w:color="1B3A2B"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2E6048"/>
          <w:sz w:val="20"/>
          <w:szCs w:val="20"/>
        </w:rPr>
        <w:t xml:space="preserve">Annex L — Pre-Signature IAEA Verification Restoration Protocol — Version 1.0</w:t>
      </w:r>
    </w:p>
    <w:p>
      <w:pPr>
        <w:spacing w:after="80" w:before="40"/>
        <w:jc w:val="center"/>
      </w:pPr>
      <w:r>
        <w:rPr>
          <w:rFonts w:ascii="Arial" w:cs="Arial" w:eastAsia="Arial" w:hAnsi="Arial"/>
          <w:color w:val="2E6048"/>
          <w:sz w:val="20"/>
          <w:szCs w:val="20"/>
        </w:rPr>
        <w:t xml:space="preserve">Diplomatic Working Document — Modular Annex — Pre-Phase I Instrument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B" w:sz="4"/>
      </w:pBdr>
      <w:tabs>
        <w:tab w:val="right" w:pos="9360"/>
      </w:tabs>
      <w:spacing w:after="40" w:before="40"/>
    </w:pPr>
    <w:r>
      <w:rPr>
        <w:rFonts w:ascii="Arial" w:cs="Arial" w:eastAsia="Arial" w:hAnsi="Arial"/>
        <w:b/>
        <w:bCs/>
        <w:color w:val="1B3A2B"/>
        <w:sz w:val="16"/>
        <w:szCs w:val="16"/>
      </w:rPr>
      <w:t xml:space="preserve">AUTHORIZED NEGOTIATORS ONLY — CONFIDENTIAL — NOT FOR PUBLIC DISTRIBUTION	</w:t>
    </w:r>
    <w:r>
      <w:rPr>
        <w:rFonts w:ascii="Arial" w:cs="Arial" w:eastAsia="Arial" w:hAnsi="Arial"/>
        <w:color w:val="1B3A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2B" w:sz="4"/>
      </w:pBdr>
      <w:tabs>
        <w:tab w:val="right" w:pos="9360"/>
      </w:tabs>
      <w:spacing w:after="40" w:before="40"/>
    </w:pPr>
    <w:r>
      <w:rPr>
        <w:rFonts w:ascii="Arial" w:cs="Arial" w:eastAsia="Arial" w:hAnsi="Arial"/>
        <w:b/>
        <w:bCs/>
        <w:color w:val="1B3A2B"/>
        <w:sz w:val="16"/>
        <w:szCs w:val="16"/>
      </w:rPr>
      <w:t xml:space="preserve">DIPLOMATIC WORKING DOCUMENT — MODULAR ANNEX</w:t>
    </w:r>
    <w:r>
      <w:rPr>
        <w:rFonts w:ascii="Arial" w:cs="Arial" w:eastAsia="Arial" w:hAnsi="Arial"/>
        <w:color w:val="4A8C6F"/>
        <w:sz w:val="16"/>
        <w:szCs w:val="16"/>
      </w:rPr>
      <w:t xml:space="preserve">	Annex L — Pre-Signature IAEA Verification Restoration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2B" w:val="clea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hd w:fill="2E6048" w:val="clea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2026-06-07T03:18:17.171Z</dcterms:created>
  <dcterms:modified xsi:type="dcterms:W3CDTF">2026-06-07T03:18:17.171Z</dcterms:modified>
</cp:coreProperties>
</file>

<file path=docProps/custom.xml><?xml version="1.0" encoding="utf-8"?>
<Properties xmlns="http://schemas.openxmlformats.org/officeDocument/2006/custom-properties" xmlns:vt="http://schemas.openxmlformats.org/officeDocument/2006/docPropsVTypes"/>
</file>