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44dc80b923645c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828e9d696c048f9"/>
                    <a:stretch>
                      <a:fillRect/>
                    </a:stretch>
                  </pic:blipFill>
                  <pic:spPr>
                    <a:xfrm>
                      <a:off x="0" y="0"/>
                      <a:ext cx="7560000" cy="10692000"/>
                    </a:xfrm>
                    <a:prstGeom prst="rect"/>
                  </pic:spPr>
                </pic:pic>
              </a:graphicData>
            </a:graphic>
          </wp:anchor>
        </w:drawing>
      </w:r>
    </w:p>
    <w:p>
      <w:pPr>
        <w:spacing w:before="4400"/>
      </w:pPr>
      <w:r/>
    </w:p>
    <w:p>
      <w:pPr>
        <w:spacing w:after="400"/>
        <w:jc w:val="center"/>
      </w:pPr>
      <w:r>
        <w:rPr>
          <w:rFonts w:ascii="Cambria" w:hAnsi="Cambria"/>
          <w:color w:val="b8860b"/>
          <w:spacing w:val="60"/>
          <w:sz w:val="20"/>
        </w:rPr>
        <w:t>FOUNDATIONAL REFERENCE DOCUMENT FOR ANNEX U</w:t>
      </w:r>
    </w:p>
    <w:p>
      <w:pPr>
        <w:spacing w:after="200"/>
        <w:jc w:val="center"/>
      </w:pPr>
      <w:r>
        <w:rPr>
          <w:rFonts w:ascii="Cambria" w:hAnsi="Cambria"/>
          <w:b/>
          <w:color w:val="e0e6ed"/>
          <w:spacing w:val="30"/>
          <w:sz w:val="72"/>
        </w:rPr>
        <w:t>Annex M</w:t>
      </w:r>
    </w:p>
    <w:p>
      <w:pPr>
        <w:spacing w:after="120"/>
        <w:jc w:val="center"/>
      </w:pPr>
      <w:r>
        <w:rPr>
          <w:rFonts w:ascii="Cambria" w:hAnsi="Cambria"/>
          <w:color w:val="e0e6ed"/>
          <w:spacing w:val="20"/>
          <w:sz w:val="36"/>
        </w:rPr>
        <w:t>Territorial Baseline and Ceasefire Demarcation Protocol</w:t>
      </w:r>
    </w:p>
    <w:p>
      <w:pPr>
        <w:spacing w:after="400"/>
        <w:jc w:val="center"/>
      </w:pPr>
      <w:r>
        <w:rPr>
          <w:rFonts w:ascii="Cambria" w:hAnsi="Cambria"/>
          <w:i/>
          <w:color w:val="8d99ae"/>
          <w:sz w:val="22"/>
        </w:rPr>
        <w:t>Establishes the factual and legal baseline for all territorial ceilings</w:t>
      </w:r>
    </w:p>
    <w:p>
      <w:pPr>
        <w:spacing w:after="600"/>
        <w:jc w:val="center"/>
      </w:pPr>
      <w:r>
        <w:rPr>
          <w:color w:val="b8860b"/>
          <w:sz w:val="18"/>
        </w:rPr>
        <w:t>————————————————————</w:t>
      </w:r>
    </w:p>
    <w:p>
      <w:pPr>
        <w:spacing w:after="80"/>
        <w:jc w:val="center"/>
      </w:pPr>
      <w:r>
        <w:rPr>
          <w:color w:val="8d99ae"/>
          <w:spacing w:val="40"/>
          <w:sz w:val="20"/>
        </w:rPr>
        <w:t>Self-Contained  •  Incorporable by Reference  •  Emergency Stabilization Measure</w:t>
      </w:r>
    </w:p>
    <w:p>
      <w:pPr>
        <w:spacing w:after="120"/>
        <w:jc w:val="center"/>
      </w:pPr>
      <w:r>
        <w:rPr>
          <w:color w:val="8d99ae"/>
          <w:sz w:val="20"/>
        </w:rPr>
        <w:t>Version 1.0  —  June 2026</w:t>
      </w:r>
    </w:p>
    <w:p>
      <w:pPr>
        <w:spacing w:after="2000"/>
        <w:jc w:val="center"/>
      </w:pPr>
      <w:r>
        <w:rPr>
          <w:i/>
          <w:color w:val="8d99ae"/>
          <w:sz w:val="18"/>
        </w:rPr>
        <w:t>Expires automatically upon conclusion of the 60-day truce unless renewed</w:t>
      </w:r>
    </w:p>
    <w:p>
      <w:pPr>
        <w:jc w:val="center"/>
      </w:pPr>
      <w:r>
        <w:rPr>
          <w:color w:val="b8860b"/>
          <w:sz w:val="18"/>
        </w:rPr>
        <w:t>AUTHORIZED NEGOTIATORS ONLY — CONFIDENTIAL — NOT FOR PUBLIC DISTRIBUTION</w:t>
      </w:r>
    </w:p>
    <w:p>
      <w:pPr>
        <w:sectPr>
          <w:type w:val="nextPage"/>
          <w:pgSz w:w="11906" w:h="16838"/>
          <w:pgMar w:top="0" w:right="0" w:bottom="0" w:left="0" w:header="0" w:footer="0"/>
          <w:titlePg/>
        </w:sectPr>
      </w:pPr>
    </w:p>
    <w:p>
      <w:pPr>
        <w:spacing w:before="400" w:after="200"/>
        <w:jc w:val="left"/>
      </w:pPr>
      <w:r>
        <w:rPr>
          <w:rFonts w:ascii="Cambria" w:hAnsi="Cambria"/>
          <w:b/>
          <w:color w:val="3d5a80"/>
          <w:sz w:val="32"/>
        </w:rPr>
        <w:t>Contents</w:t>
      </w:r>
    </w:p>
    <w:p>
      <w:pPr>
        <w:spacing w:after="300"/>
      </w:pPr>
      <w:r>
        <w:rPr>
          <w:i/>
          <w:color w:val="8d99a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Purpose, Background, and Modularity Clause</w:t>
      </w:r>
      <w:r>
        <w:tab/>
      </w:r>
      <w:r>
        <w:t>1</w:t>
      </w:r>
    </w:p>
    <w:p>
      <w:pPr>
        <w:pStyle w:val="TOC1"/>
      </w:pPr>
      <w:r>
        <w:t>Article 1: Definitions and Reference Points</w:t>
      </w:r>
      <w:r>
        <w:tab/>
      </w:r>
      <w:r>
        <w:t>2</w:t>
      </w:r>
    </w:p>
    <w:p>
      <w:pPr>
        <w:pStyle w:val="TOC2"/>
      </w:pPr>
      <w:r>
        <w:t>1.1 Codified Reference Points</w:t>
      </w:r>
      <w:r>
        <w:tab/>
      </w:r>
      <w:r>
        <w:t>2</w:t>
      </w:r>
    </w:p>
    <w:p>
      <w:pPr>
        <w:pStyle w:val="TOC2"/>
      </w:pPr>
      <w:r>
        <w:t>1.2 Classified Coordinate Appendix</w:t>
      </w:r>
      <w:r>
        <w:tab/>
      </w:r>
      <w:r>
        <w:t>3</w:t>
      </w:r>
    </w:p>
    <w:p>
      <w:pPr>
        <w:pStyle w:val="TOC2"/>
      </w:pPr>
      <w:r>
        <w:t>1.3 Prohibition on Unilateral Alteration</w:t>
      </w:r>
      <w:r>
        <w:tab/>
      </w:r>
      <w:r>
        <w:t>3</w:t>
      </w:r>
    </w:p>
    <w:p>
      <w:pPr>
        <w:pStyle w:val="TOC1"/>
      </w:pPr>
      <w:r>
        <w:t>Article 2: Ceasefire Baseline Affirmation</w:t>
      </w:r>
      <w:r>
        <w:tab/>
      </w:r>
      <w:r>
        <w:t>4</w:t>
      </w:r>
    </w:p>
    <w:p>
      <w:pPr>
        <w:pStyle w:val="TOC2"/>
      </w:pPr>
      <w:r>
        <w:t>2.1 Authoritative Legal Framework</w:t>
      </w:r>
      <w:r>
        <w:tab/>
      </w:r>
      <w:r>
        <w:t>4</w:t>
      </w:r>
    </w:p>
    <w:p>
      <w:pPr>
        <w:pStyle w:val="TOC2"/>
      </w:pPr>
      <w:r>
        <w:t>2.2 Acknowledgment of Expanded Footprint</w:t>
      </w:r>
      <w:r>
        <w:tab/>
      </w:r>
      <w:r>
        <w:t>4</w:t>
      </w:r>
    </w:p>
    <w:p>
      <w:pPr>
        <w:pStyle w:val="TOC2"/>
      </w:pPr>
      <w:r>
        <w:t>2.3 No Legal Precedent for Expansion</w:t>
      </w:r>
      <w:r>
        <w:tab/>
      </w:r>
      <w:r>
        <w:t>4</w:t>
      </w:r>
    </w:p>
    <w:p>
      <w:pPr>
        <w:pStyle w:val="TOC2"/>
      </w:pPr>
      <w:r>
        <w:t>2.4 Preservation of UNSCR 2803 Status</w:t>
      </w:r>
      <w:r>
        <w:tab/>
      </w:r>
      <w:r>
        <w:t>5</w:t>
      </w:r>
    </w:p>
    <w:p>
      <w:pPr>
        <w:pStyle w:val="TOC1"/>
      </w:pPr>
      <w:r>
        <w:t>Article 3: Territorial Integrity and Non-Advancement Commitment</w:t>
      </w:r>
      <w:r>
        <w:tab/>
      </w:r>
      <w:r>
        <w:t>5</w:t>
      </w:r>
    </w:p>
    <w:p>
      <w:pPr>
        <w:pStyle w:val="TOC2"/>
      </w:pPr>
      <w:r>
        <w:t>3.1 Binding Nature of Territorial Ceilings</w:t>
      </w:r>
      <w:r>
        <w:tab/>
      </w:r>
      <w:r>
        <w:t>5</w:t>
      </w:r>
    </w:p>
    <w:p>
      <w:pPr>
        <w:pStyle w:val="TOC2"/>
      </w:pPr>
      <w:r>
        <w:t>3.2 Inconsistency of the 70% Directive</w:t>
      </w:r>
      <w:r>
        <w:tab/>
      </w:r>
      <w:r>
        <w:t>5</w:t>
      </w:r>
    </w:p>
    <w:p>
      <w:pPr>
        <w:pStyle w:val="TOC2"/>
      </w:pPr>
      <w:r>
        <w:t>3.3 Framework Exclusion of the 70% Directive</w:t>
      </w:r>
      <w:r>
        <w:tab/>
      </w:r>
      <w:r>
        <w:t>6</w:t>
      </w:r>
    </w:p>
    <w:p>
      <w:pPr>
        <w:pStyle w:val="TOC2"/>
      </w:pPr>
      <w:r>
        <w:t>3.4 US Commitment to Ensure Compliance</w:t>
      </w:r>
      <w:r>
        <w:tab/>
      </w:r>
      <w:r>
        <w:t>6</w:t>
      </w:r>
    </w:p>
    <w:p>
      <w:pPr>
        <w:pStyle w:val="TOC1"/>
      </w:pPr>
      <w:r>
        <w:t>Article 4: Lebanon Front Territorial Baseline</w:t>
      </w:r>
      <w:r>
        <w:tab/>
      </w:r>
      <w:r>
        <w:t>6</w:t>
      </w:r>
    </w:p>
    <w:p>
      <w:pPr>
        <w:pStyle w:val="TOC2"/>
      </w:pPr>
      <w:r>
        <w:t>4.1 Verification Sources for Lebanon Baseline</w:t>
      </w:r>
      <w:r>
        <w:tab/>
      </w:r>
      <w:r>
        <w:t>6</w:t>
      </w:r>
    </w:p>
    <w:p>
      <w:pPr>
        <w:pStyle w:val="TOC2"/>
      </w:pPr>
      <w:r>
        <w:t>4.2 Blue Line Non-Advancement Obligation</w:t>
      </w:r>
      <w:r>
        <w:tab/>
      </w:r>
      <w:r>
        <w:t>7</w:t>
      </w:r>
    </w:p>
    <w:p>
      <w:pPr>
        <w:pStyle w:val="TOC2"/>
      </w:pPr>
      <w:r>
        <w:t>4.3 Automatic Breach for Blue Line Violations</w:t>
      </w:r>
      <w:r>
        <w:tab/>
      </w:r>
      <w:r>
        <w:t>7</w:t>
      </w:r>
    </w:p>
    <w:p>
      <w:pPr>
        <w:pStyle w:val="TOC1"/>
      </w:pPr>
      <w:r>
        <w:t>Article 5: Relationship to Annex U and Other Annexes</w:t>
      </w:r>
      <w:r>
        <w:tab/>
      </w:r>
      <w:r>
        <w:t>7</w:t>
      </w:r>
    </w:p>
    <w:p>
      <w:pPr>
        <w:pStyle w:val="TOC1"/>
      </w:pPr>
      <w:r>
        <w:t>Article 6: Shared Digital Registry Integration</w:t>
      </w:r>
      <w:r>
        <w:tab/>
      </w:r>
      <w:r>
        <w:t>8</w:t>
      </w:r>
    </w:p>
    <w:p>
      <w:pPr>
        <w:pStyle w:val="TOC1"/>
      </w:pPr>
      <w:r>
        <w:t>Article 7: Amendment and Review</w:t>
      </w:r>
      <w:r>
        <w:tab/>
      </w:r>
      <w:r>
        <w:t>9</w:t>
      </w:r>
    </w:p>
    <w:p>
      <w:pPr>
        <w:pStyle w:val="TOC1"/>
      </w:pPr>
      <w:r>
        <w:t>Article 8: Incorporation by Reference</w:t>
      </w:r>
      <w:r>
        <w:tab/>
      </w:r>
      <w:r>
        <w:t>9</w:t>
      </w:r>
    </w:p>
    <w:p>
      <w:pPr>
        <w:pStyle w:val="TOC1"/>
      </w:pPr>
      <w:r>
        <w:t>Article 9: Provisional Application</w:t>
      </w:r>
      <w:r>
        <w:tab/>
      </w:r>
      <w:r>
        <w:t>10</w:t>
      </w:r>
    </w:p>
    <w:p>
      <w:pPr>
        <w:pStyle w:val="TOC1"/>
      </w:pPr>
      <w:r>
        <w:t>Signature Block</w:t>
      </w:r>
      <w:r>
        <w:tab/>
      </w:r>
      <w:r>
        <w:t>10</w:t>
      </w:r>
    </w:p>
    <w:p>
      <w:r>
        <w:fldChar w:fldCharType="end"/>
      </w:r>
    </w:p>
    <w:p>
      <w:pPr>
        <w:sectPr>
          <w:type w:val="nextPage"/>
          <w:pgSz w:w="11906" w:h="16838"/>
          <w:pgMar w:top="1800" w:right="1440" w:bottom="1440" w:left="1440" w:header="720" w:footer="720"/>
        </w:sectPr>
      </w:pPr>
    </w:p>
    <w:p>
      <w:pPr>
        <w:pStyle w:val="Heading1"/>
      </w:pPr>
      <w:r>
        <w:t xml:space="preserve">Preamble</w:t>
      </w:r>
    </w:p>
    <w:p>
      <w:pPr>
        <w:pStyle w:val="Heading2"/>
      </w:pPr>
      <w:r>
        <w:t xml:space="preserve">Purpose</w:t>
      </w:r>
    </w:p>
    <w:p>
      <w:pPr>
        <w:ind w:firstLine="480"/>
      </w:pPr>
      <w:r>
        <w:t xml:space="preserve">UN Security Council Resolution 2803 (October 2025) established a temporary ceasefire and demarcation boundary (the "Yellow Line") in the Gaza Strip, capping Israeli military control at approximately 53% of the territory. Subsequent military operations altered the operational footprint on the ground. The Parties require an agreed factual baseline from which all freeze-in-place and penalty provisions derive.</w:t>
      </w:r>
    </w:p>
    <w:p>
      <w:pPr>
        <w:ind w:firstLine="480"/>
      </w:pPr>
      <w:r>
        <w:t xml:space="preserve">This Annex M establishes the authoritative reference points for all territorial provisions in Annex U and any associated protocols.</w:t>
      </w:r>
    </w:p>
    <w:p>
      <w:pPr>
        <w:ind w:firstLine="480"/>
      </w:pPr>
      <w:r>
        <w:t xml:space="preserve">This Annex is a foundational reference document. It does not amend the parent framework or Annex U. It provides the factual and legal baselines that Annex U enforces.</w:t>
      </w:r>
    </w:p>
    <w:p>
      <w:pPr>
        <w:pStyle w:val="Heading2"/>
      </w:pPr>
      <w:r>
        <w:t xml:space="preserve">Background</w:t>
      </w:r>
    </w:p>
    <w:p>
      <w:pPr>
        <w:ind w:firstLine="480"/>
      </w:pPr>
      <w:r>
        <w:t xml:space="preserve">The parent framework — the Memorandum of Understanding Pertaining to PEACE — establishes in Article 6.2 a territorial freeze-in-place for the Lebanon and Gaza fronts, with automatic breach triggers and a proportional penalty matrix. The Provisional Steps Framework v1.8 establishes in Appendix E the Lebanon and Levant Front Stabilization Protocol, including a three-tier escalation ladder for the Lebanon front.</w:t>
      </w:r>
    </w:p>
    <w:p>
      <w:pPr>
        <w:ind w:firstLine="480"/>
      </w:pPr>
      <w:r>
        <w:t xml:space="preserve">This Annex M operationalizes those provisions by codifying the precise territorial reference points, verification sources, and non-advancement commitments that govern the freeze-in-place. It constitutes a self-contained, modular instrument.</w:t>
      </w:r>
    </w:p>
    <w:p>
      <w:pPr>
        <w:pStyle w:val="Heading2"/>
      </w:pPr>
      <w:r>
        <w:t xml:space="preserve">Relationship to Parent Framework</w:t>
      </w:r>
    </w:p>
    <w:p>
      <w:pPr>
        <w:ind w:firstLine="480"/>
      </w:pPr>
      <w:r>
        <w:t xml:space="preserve">This Annex supplements the territorial architecture of MOU Article 6.2 and Appendix E. Where this Annex provides specific reference points and baselines, the provisions of this Annex govern interpretation of all territorial provisions in Annex U and associated protocols.</w:t>
      </w:r>
    </w:p>
    <w:p>
      <w:pPr>
        <w:pStyle w:val="Heading2"/>
      </w:pPr>
      <w:r>
        <w:t xml:space="preserve">Modularity Clause</w:t>
      </w:r>
    </w:p>
    <w:p>
      <w:pPr>
        <w:ind w:firstLine="480"/>
      </w:pPr>
      <w:r>
        <w:t xml:space="preserve">This Annex is self-contained and incorporates into any existing or future agreement between the Parties by a single sentence of adoption. It does not amend or supersede conflicting provisions of any parent framework unless the Parties explicitly so agree. In the event of inconsistency between this Annex and any parent framework provision, this Annex's factual and legal baselines control interpretation of territorial provisions in Annex U and any associated protocols.</w:t>
      </w:r>
    </w:p>
    <w:p>
      <w:pPr>
        <w:pStyle w:val="Heading1"/>
      </w:pPr>
      <w:r>
        <w:t xml:space="preserve">Article 1: Definitions and Reference Points</w:t>
      </w:r>
    </w:p>
    <w:p>
      <w:pPr>
        <w:spacing w:before="80" w:after="160"/>
      </w:pPr>
      <w:r>
        <w:rPr>
          <w:rFonts w:ascii="Cambria" w:hAnsi="Cambria"/>
          <w:b/>
          <w:color w:val="457b9d"/>
          <w:sz w:val="20"/>
        </w:rPr>
        <w:t>OPERATIVE AND BINDING</w:t>
      </w:r>
    </w:p>
    <w:p>
      <w:pPr>
        <w:pStyle w:val="Heading2"/>
      </w:pPr>
      <w:r>
        <w:t xml:space="preserve">1.1 Codified Reference Points</w:t>
      </w:r>
    </w:p>
    <w:p>
      <w:pPr>
        <w:ind w:firstLine="480"/>
      </w:pPr>
      <w:r>
        <w:t xml:space="preserve">The following reference points constitute the factual and legal baseline for all territorial provisions in the parent framework and its addenda:</w:t>
      </w:r>
    </w:p>
    <w:tbl>
      <w:tblPr>
        <w:tblW w:w="5000" w:type="pct"/>
        <w:tblBorders>
          <w:top w:val="single" w:color="3d5a80" w:sz="12"/>
          <w:left w:val="nil"/>
          <w:bottom w:val="single" w:color="3d5a80" w:sz="12"/>
          <w:right w:val="nil"/>
          <w:insideH w:val="single" w:color="c8d6e5" w:sz="4"/>
          <w:insideV w:val="nil"/>
        </w:tblBorders>
      </w:tblPr>
      <w:tblGrid>
        <w:gridCol w:w="2200"/>
        <w:gridCol w:w="3200"/>
        <w:gridCol w:w="2200"/>
        <w:gridCol w:w="2400"/>
      </w:tblGrid>
      <w:tr>
        <w:trPr>
          <w:tblHeader/>
        </w:trPr>
        <w:tc>
          <w:tcPr>
            <w:tcW w:w="2200" w:type="dxa"/>
            <w:shd w:val="clear" w:fill="e8f0f8"/>
          </w:tcPr>
          <w:p>
            <w:pPr>
              <w:spacing w:before="60" w:after="60" w:line="240" w:lineRule="auto"/>
            </w:pPr>
            <w:r>
              <w:rPr>
                <w:b/>
                <w:color w:val="1d3557"/>
                <w:sz w:val="20"/>
              </w:rPr>
              <w:t xml:space="preserve">Reference Point</w:t>
            </w:r>
          </w:p>
        </w:tc>
        <w:tc>
          <w:tcPr>
            <w:tcW w:w="3200" w:type="dxa"/>
            <w:shd w:val="clear" w:fill="e8f0f8"/>
          </w:tcPr>
          <w:p>
            <w:pPr>
              <w:spacing w:before="60" w:after="60" w:line="240" w:lineRule="auto"/>
            </w:pPr>
            <w:r>
              <w:rPr>
                <w:b/>
                <w:color w:val="1d3557"/>
                <w:sz w:val="20"/>
              </w:rPr>
              <w:t xml:space="preserve">Description</w:t>
            </w:r>
          </w:p>
        </w:tc>
        <w:tc>
          <w:tcPr>
            <w:tcW w:w="2200" w:type="dxa"/>
            <w:shd w:val="clear" w:fill="e8f0f8"/>
          </w:tcPr>
          <w:p>
            <w:pPr>
              <w:spacing w:before="60" w:after="60" w:line="240" w:lineRule="auto"/>
            </w:pPr>
            <w:r>
              <w:rPr>
                <w:b/>
                <w:color w:val="1d3557"/>
                <w:sz w:val="20"/>
              </w:rPr>
              <w:t xml:space="preserve">Legal Basis</w:t>
            </w:r>
          </w:p>
        </w:tc>
        <w:tc>
          <w:tcPr>
            <w:tcW w:w="2400" w:type="dxa"/>
            <w:shd w:val="clear" w:fill="e8f0f8"/>
          </w:tcPr>
          <w:p>
            <w:pPr>
              <w:spacing w:before="60" w:after="60" w:line="240" w:lineRule="auto"/>
            </w:pPr>
            <w:r>
              <w:rPr>
                <w:b/>
                <w:color w:val="1d3557"/>
                <w:sz w:val="20"/>
              </w:rPr>
              <w:t xml:space="preserve">Geographic Status</w:t>
            </w:r>
          </w:p>
        </w:tc>
      </w:tr>
      <w:tr>
        <w:tc>
          <w:tcPr>
            <w:tcW w:w="2200" w:type="dxa"/>
          </w:tcPr>
          <w:p>
            <w:pPr>
              <w:spacing w:before="60" w:after="60" w:line="240" w:lineRule="auto"/>
              <w:jc w:val="left"/>
            </w:pPr>
            <w:r>
              <w:rPr>
                <w:color w:val="457b9d"/>
                <w:sz w:val="20"/>
              </w:rPr>
              <w:t xml:space="preserve">UNSCR 2803 Line (October 2025)</w:t>
            </w:r>
          </w:p>
        </w:tc>
        <w:tc>
          <w:tcPr>
            <w:tcW w:w="3200" w:type="dxa"/>
          </w:tcPr>
          <w:p>
            <w:pPr>
              <w:spacing w:before="60" w:after="60" w:line="240" w:lineRule="auto"/>
              <w:jc w:val="left"/>
            </w:pPr>
            <w:r>
              <w:rPr>
                <w:color w:val="457b9d"/>
                <w:sz w:val="20"/>
              </w:rPr>
              <w:t xml:space="preserve">The original ceasefire demarcation boundary, capping Israeli military control at approximately 53% of the Gaza Strip</w:t>
            </w:r>
          </w:p>
        </w:tc>
        <w:tc>
          <w:tcPr>
            <w:tcW w:w="2200" w:type="dxa"/>
          </w:tcPr>
          <w:p>
            <w:pPr>
              <w:spacing w:before="60" w:after="60" w:line="240" w:lineRule="auto"/>
              <w:jc w:val="left"/>
            </w:pPr>
            <w:r>
              <w:rPr>
                <w:color w:val="457b9d"/>
                <w:sz w:val="20"/>
              </w:rPr>
              <w:t xml:space="preserve">UN Security Council Resolution 2803 (October 2025)</w:t>
            </w:r>
          </w:p>
        </w:tc>
        <w:tc>
          <w:tcPr>
            <w:tcW w:w="2400" w:type="dxa"/>
          </w:tcPr>
          <w:p>
            <w:pPr>
              <w:spacing w:before="60" w:after="60" w:line="240" w:lineRule="auto"/>
              <w:jc w:val="left"/>
            </w:pPr>
            <w:r>
              <w:rPr>
                <w:color w:val="457b9d"/>
                <w:sz w:val="20"/>
              </w:rPr>
              <w:t xml:space="preserve">Historical baseline; not currently operative on the ground</w:t>
            </w:r>
          </w:p>
        </w:tc>
      </w:tr>
      <w:tr>
        <w:tc>
          <w:tcPr>
            <w:tcW w:w="2200" w:type="dxa"/>
          </w:tcPr>
          <w:p>
            <w:pPr>
              <w:spacing w:before="60" w:after="60" w:line="240" w:lineRule="auto"/>
              <w:jc w:val="left"/>
            </w:pPr>
            <w:r>
              <w:rPr>
                <w:color w:val="457b9d"/>
                <w:sz w:val="20"/>
              </w:rPr>
              <w:t xml:space="preserve">Current Operational Footprint (Date of Annex M signature)</w:t>
            </w:r>
          </w:p>
        </w:tc>
        <w:tc>
          <w:tcPr>
            <w:tcW w:w="3200" w:type="dxa"/>
          </w:tcPr>
          <w:p>
            <w:pPr>
              <w:spacing w:before="60" w:after="60" w:line="240" w:lineRule="auto"/>
              <w:jc w:val="left"/>
            </w:pPr>
            <w:r>
              <w:rPr>
                <w:color w:val="457b9d"/>
                <w:sz w:val="20"/>
              </w:rPr>
              <w:t xml:space="preserve">The geographic area of Israeli military control as verified by satellite telemetry at 00:00 UTC on the date of Annex M signature, estimated at approximately 60% of the Gaza Strip</w:t>
            </w:r>
          </w:p>
        </w:tc>
        <w:tc>
          <w:tcPr>
            <w:tcW w:w="2200" w:type="dxa"/>
          </w:tcPr>
          <w:p>
            <w:pPr>
              <w:spacing w:before="60" w:after="60" w:line="240" w:lineRule="auto"/>
              <w:jc w:val="left"/>
            </w:pPr>
            <w:r>
              <w:rPr>
                <w:color w:val="457b9d"/>
                <w:sz w:val="20"/>
              </w:rPr>
              <w:t xml:space="preserve">Verified by Shared Digital Registry (Annex U, Article 5)</w:t>
            </w:r>
          </w:p>
        </w:tc>
        <w:tc>
          <w:tcPr>
            <w:tcW w:w="2400" w:type="dxa"/>
          </w:tcPr>
          <w:p>
            <w:pPr>
              <w:spacing w:before="60" w:after="60" w:line="240" w:lineRule="auto"/>
              <w:jc w:val="left"/>
            </w:pPr>
            <w:r>
              <w:rPr>
                <w:color w:val="457b9d"/>
                <w:sz w:val="20"/>
              </w:rPr>
              <w:t xml:space="preserve">Operative baseline for freeze-in-place</w:t>
            </w:r>
          </w:p>
        </w:tc>
      </w:tr>
      <w:tr>
        <w:tc>
          <w:tcPr>
            <w:tcW w:w="2200" w:type="dxa"/>
          </w:tcPr>
          <w:p>
            <w:pPr>
              <w:spacing w:before="60" w:after="60" w:line="240" w:lineRule="auto"/>
              <w:jc w:val="left"/>
            </w:pPr>
            <w:r>
              <w:rPr>
                <w:color w:val="457b9d"/>
                <w:sz w:val="20"/>
              </w:rPr>
              <w:t xml:space="preserve">The 70% Directive</w:t>
            </w:r>
          </w:p>
        </w:tc>
        <w:tc>
          <w:tcPr>
            <w:tcW w:w="3200" w:type="dxa"/>
          </w:tcPr>
          <w:p>
            <w:pPr>
              <w:spacing w:before="60" w:after="60" w:line="240" w:lineRule="auto"/>
              <w:jc w:val="left"/>
            </w:pPr>
            <w:r>
              <w:rPr>
                <w:color w:val="457b9d"/>
                <w:sz w:val="20"/>
              </w:rPr>
              <w:t xml:space="preserve">The public directive issued by the Prime Minister of Israel ordering the Israeli military to expand control to approximately 70% of the Gaza Strip</w:t>
            </w:r>
          </w:p>
        </w:tc>
        <w:tc>
          <w:tcPr>
            <w:tcW w:w="2200" w:type="dxa"/>
          </w:tcPr>
          <w:p>
            <w:pPr>
              <w:spacing w:before="60" w:after="60" w:line="240" w:lineRule="auto"/>
              <w:jc w:val="left"/>
            </w:pPr>
            <w:r>
              <w:rPr>
                <w:color w:val="457b9d"/>
                <w:sz w:val="20"/>
              </w:rPr>
              <w:t xml:space="preserve">Public record; official government communication</w:t>
            </w:r>
          </w:p>
        </w:tc>
        <w:tc>
          <w:tcPr>
            <w:tcW w:w="2400" w:type="dxa"/>
          </w:tcPr>
          <w:p>
            <w:pPr>
              <w:spacing w:before="60" w:after="60" w:line="240" w:lineRule="auto"/>
              <w:jc w:val="left"/>
            </w:pPr>
            <w:r>
              <w:rPr>
                <w:color w:val="457b9d"/>
                <w:sz w:val="20"/>
              </w:rPr>
              <w:t xml:space="preserve">Prohibited ceiling; any movement toward this line constitutes a material breach</w:t>
            </w:r>
          </w:p>
        </w:tc>
      </w:tr>
    </w:tbl>
    <w:p>
      <w:pPr>
        <w:pStyle w:val="Heading2"/>
      </w:pPr>
      <w:r>
        <w:t xml:space="preserve">1.2 Classified Coordinate Appendix</w:t>
      </w:r>
    </w:p>
    <w:p>
      <w:pPr>
        <w:ind w:firstLine="480"/>
      </w:pPr>
      <w:r>
        <w:t xml:space="preserve">The precise geographic coordinates of the Current Operational Footprint are set forth in the classified appendix to this Annex M, deposited with the Joint Secretariat in Muscat and accessible to all Parties and guarantor states upon request.</w:t>
      </w:r>
    </w:p>
    <w:p>
      <w:pPr>
        <w:pStyle w:val="Heading2"/>
      </w:pPr>
      <w:r>
        <w:t xml:space="preserve">1.3 Prohibition on Unilateral Alteration</w:t>
      </w:r>
    </w:p>
    <w:p>
      <w:pPr>
        <w:ind w:firstLine="480"/>
      </w:pPr>
      <w:r>
        <w:t xml:space="preserve">The framework architecture prohibits unilateral alteration, reinterpretation, or expansion of the coordinates of the Current Operational Footprint. Any adjustment requires mutual written agreement of the Parties and notification to the Joint Secretariat and all guarantor states.</w:t>
      </w:r>
    </w:p>
    <w:p>
      <w:pPr>
        <w:pStyle w:val="Heading1"/>
      </w:pPr>
      <w:r>
        <w:t xml:space="preserve">Article 2: Ceasefire Baseline Affirmation</w:t>
      </w:r>
    </w:p>
    <w:p>
      <w:pPr>
        <w:spacing w:before="80" w:after="160"/>
      </w:pPr>
      <w:r>
        <w:rPr>
          <w:rFonts w:ascii="Cambria" w:hAnsi="Cambria"/>
          <w:b/>
          <w:color w:val="457b9d"/>
          <w:sz w:val="20"/>
        </w:rPr>
        <w:t>OPERATIVE AND BINDING</w:t>
      </w:r>
    </w:p>
    <w:p>
      <w:pPr>
        <w:pStyle w:val="Heading2"/>
      </w:pPr>
      <w:r>
        <w:t xml:space="preserve">2.1 Authoritative Legal Framework</w:t>
      </w:r>
    </w:p>
    <w:p>
      <w:pPr>
        <w:ind w:firstLine="480"/>
      </w:pPr>
      <w:r>
        <w:t xml:space="preserve">The Parties affirm that UNSCR 2803 (October 2025) remains the authoritative legal framework for the Gaza ceasefire, notwithstanding subsequent operational changes on the ground.</w:t>
      </w:r>
    </w:p>
    <w:p>
      <w:pPr>
        <w:pStyle w:val="Heading2"/>
      </w:pPr>
      <w:r>
        <w:t xml:space="preserve">2.2 Acknowledgment of Expanded Footprint</w:t>
      </w:r>
    </w:p>
    <w:p>
      <w:pPr>
        <w:ind w:firstLine="480"/>
      </w:pPr>
      <w:r>
        <w:t xml:space="preserve">The Parties acknowledge that the Current Operational Footprint (approximately 60%) exceeds the original Yellow Line (approximately 53%) by approximately 7 percentage points.</w:t>
      </w:r>
    </w:p>
    <w:p>
      <w:pPr>
        <w:pStyle w:val="Heading2"/>
      </w:pPr>
      <w:r>
        <w:t xml:space="preserve">2.3 No Legal Precedent for Expansion</w:t>
      </w:r>
    </w:p>
    <w:p>
      <w:pPr>
        <w:ind w:firstLine="480"/>
      </w:pPr>
      <w:r>
        <w:t xml:space="preserve">The Parties agree that this 7% expansion does not constitute a legal right or precedent for further expansion. It is acknowledged as a factual reality to be frozen, not a legal entitlement to be extended.</w:t>
      </w:r>
    </w:p>
    <w:p>
      <w:pPr>
        <w:pStyle w:val="Heading2"/>
      </w:pPr>
      <w:r>
        <w:t xml:space="preserve">2.4 Preservation of UNSCR 2803 Status</w:t>
      </w:r>
    </w:p>
    <w:p>
      <w:pPr>
        <w:ind w:firstLine="480"/>
      </w:pPr>
      <w:r>
        <w:t xml:space="preserve">Neither Party cites the Current Operational Footprint as evidence that the original Yellow Line has been abandoned or superseded. UNSCR 2803 remains in full force except as explicitly modified by Annex U for the duration of the 60-day truce.</w:t>
      </w:r>
    </w:p>
    <w:p>
      <w:pPr>
        <w:pStyle w:val="Heading1"/>
      </w:pPr>
      <w:r>
        <w:t xml:space="preserve">Article 3: Territorial Integrity and Non-Advancement Commitment</w:t>
      </w:r>
    </w:p>
    <w:p>
      <w:pPr>
        <w:spacing w:before="80" w:after="160"/>
      </w:pPr>
      <w:r>
        <w:rPr>
          <w:rFonts w:ascii="Cambria" w:hAnsi="Cambria"/>
          <w:b/>
          <w:color w:val="457b9d"/>
          <w:sz w:val="20"/>
        </w:rPr>
        <w:t>OPERATIVE AND BINDING</w:t>
      </w:r>
    </w:p>
    <w:p>
      <w:pPr>
        <w:pStyle w:val="Heading2"/>
      </w:pPr>
      <w:r>
        <w:t xml:space="preserve">3.1 Binding Nature of Territorial Ceilings</w:t>
      </w:r>
    </w:p>
    <w:p>
      <w:pPr>
        <w:ind w:firstLine="480"/>
      </w:pPr>
      <w:r>
        <w:t xml:space="preserve">The Parties affirm the principle that territorial ceilings established in internationally brokered ceasefires are binding obligations, not negotiating floors.</w:t>
      </w:r>
    </w:p>
    <w:p>
      <w:pPr>
        <w:pStyle w:val="Heading2"/>
      </w:pPr>
      <w:r>
        <w:t xml:space="preserve">3.2 Inconsistency of the 70% Directive</w:t>
      </w:r>
    </w:p>
    <w:p>
      <w:pPr>
        <w:ind w:firstLine="480"/>
      </w:pPr>
      <w:r>
        <w:t xml:space="preserve">The framework architecture recognizes the Prime Minister of Israel's 70% Directive — the public directive ordering the Israeli military to expand control to approximately 70% of the Gaza Strip — as inconsistent with the territorial integrity provisions of UNSCR 2803 and the parent framework.</w:t>
      </w:r>
    </w:p>
    <w:p>
      <w:pPr>
        <w:pStyle w:val="Heading2"/>
      </w:pPr>
      <w:r>
        <w:t xml:space="preserve">3.3 Framework Exclusion of the 70% Directive</w:t>
      </w:r>
    </w:p>
    <w:p>
      <w:pPr>
        <w:ind w:firstLine="480"/>
      </w:pPr>
      <w:r>
        <w:t xml:space="preserve">The Government of Israel confirms that the framework architecture excludes implementation, execution, or any steps toward the 70% Directive for the duration of the 60-day truce. Any movement beyond the Current Operational Footprint constitutes a material breach under Annex U, Article 3.</w:t>
      </w:r>
    </w:p>
    <w:p>
      <w:pPr>
        <w:pStyle w:val="Heading2"/>
      </w:pPr>
      <w:r>
        <w:t xml:space="preserve">3.4 US Commitment to Ensure Compliance</w:t>
      </w:r>
    </w:p>
    <w:p>
      <w:pPr>
        <w:ind w:firstLine="480"/>
      </w:pPr>
      <w:r>
        <w:t xml:space="preserve">The United States, as the primary broker of UNSCR 2803 and the parent framework, confirms its commitment to ensuring compliance with this Article and uses its diplomatic and, where necessary, economic leverage to prevent advancement beyond the Current Operational Footprint.</w:t>
      </w:r>
    </w:p>
    <w:p>
      <w:pPr>
        <w:pStyle w:val="Heading1"/>
      </w:pPr>
      <w:r>
        <w:t xml:space="preserve">Article 4: Lebanon Front Territorial Baseline</w:t>
      </w:r>
    </w:p>
    <w:p>
      <w:pPr>
        <w:spacing w:before="80" w:after="160"/>
      </w:pPr>
      <w:r>
        <w:rPr>
          <w:rFonts w:ascii="Cambria" w:hAnsi="Cambria"/>
          <w:b/>
          <w:color w:val="457b9d"/>
          <w:sz w:val="20"/>
        </w:rPr>
        <w:t>OPERATIVE AND BINDING</w:t>
      </w:r>
    </w:p>
    <w:p>
      <w:pPr>
        <w:pStyle w:val="Heading2"/>
      </w:pPr>
      <w:r>
        <w:t xml:space="preserve">4.1 Verification Sources for Lebanon Baseline</w:t>
      </w:r>
    </w:p>
    <w:p>
      <w:pPr>
        <w:ind w:firstLine="480"/>
      </w:pPr>
      <w:r>
        <w:t xml:space="preserve">The territorial baseline for the Lebanon front (southern Lebanon, Blue Line) is the status quo ante as of the entry into force of the parent framework, as verified by:</w:t>
      </w:r>
    </w:p>
    <w:p>
      <w:pPr>
        <w:spacing w:after="60"/>
        <w:ind w:left="720" w:hanging="240"/>
      </w:pPr>
      <w:r>
        <w:rPr>
          <w:color w:val="3d5a80"/>
        </w:rPr>
        <w:t xml:space="preserve">• </w:t>
      </w:r>
      <w:r>
        <w:t xml:space="preserve">UNIFIL ground patrol reports.</w:t>
      </w:r>
    </w:p>
    <w:p>
      <w:pPr>
        <w:spacing w:after="60"/>
        <w:ind w:left="720" w:hanging="240"/>
      </w:pPr>
      <w:r>
        <w:rPr>
          <w:color w:val="3d5a80"/>
        </w:rPr>
        <w:t xml:space="preserve">• </w:t>
      </w:r>
      <w:r>
        <w:t xml:space="preserve">Israeli military intelligence assessments shared through the Tel Aviv Channel (MOU Article 13.6).</w:t>
      </w:r>
    </w:p>
    <w:p>
      <w:pPr>
        <w:spacing w:after="60"/>
        <w:ind w:left="720" w:hanging="240"/>
      </w:pPr>
      <w:r>
        <w:rPr>
          <w:color w:val="3d5a80"/>
        </w:rPr>
        <w:t xml:space="preserve">• </w:t>
      </w:r>
      <w:r>
        <w:t xml:space="preserve">Lebanese Armed Forces liaison reports.</w:t>
      </w:r>
    </w:p>
    <w:p>
      <w:pPr>
        <w:spacing w:after="60"/>
        <w:ind w:left="720" w:hanging="240"/>
      </w:pPr>
      <w:r>
        <w:rPr>
          <w:color w:val="3d5a80"/>
        </w:rPr>
        <w:t xml:space="preserve">• </w:t>
      </w:r>
      <w:r>
        <w:t xml:space="preserve">Satellite telemetry deposited in the Shared Digital Registry (Annex U, Article 5).</w:t>
      </w:r>
    </w:p>
    <w:p>
      <w:pPr>
        <w:pStyle w:val="Heading2"/>
      </w:pPr>
      <w:r>
        <w:t xml:space="preserve">4.2 Blue Line Non-Advancement Obligation</w:t>
      </w:r>
    </w:p>
    <w:p>
      <w:pPr>
        <w:ind w:firstLine="480"/>
      </w:pPr>
      <w:r>
        <w:t xml:space="preserve">The framework architecture prohibits advancement, repositioning, or expansion of military presence beyond the Blue Line as defined in UNSCR 1701 (2006) and subsequent implementing agreements.</w:t>
      </w:r>
    </w:p>
    <w:p>
      <w:pPr>
        <w:pStyle w:val="Heading2"/>
      </w:pPr>
      <w:r>
        <w:t xml:space="preserve">4.3 Automatic Breach for Blue Line Violations</w:t>
      </w:r>
    </w:p>
    <w:p>
      <w:pPr>
        <w:ind w:firstLine="480"/>
      </w:pPr>
      <w:r>
        <w:t xml:space="preserve">Any violation of the Blue Line territorial baseline constitutes an automatic breach under Annex U, Article 3, with consequences proportional to the scale of the violation as the Shared Digital Registry determines.</w:t>
      </w:r>
    </w:p>
    <w:p>
      <w:pPr>
        <w:pStyle w:val="Heading1"/>
      </w:pPr>
      <w:r>
        <w:t xml:space="preserve">Article 5: Relationship to Annex U and Other Annexes</w:t>
      </w:r>
    </w:p>
    <w:p>
      <w:pPr>
        <w:spacing w:before="80" w:after="160"/>
      </w:pPr>
      <w:r>
        <w:rPr>
          <w:rFonts w:ascii="Cambria" w:hAnsi="Cambria"/>
          <w:b/>
          <w:color w:val="457b9d"/>
          <w:sz w:val="20"/>
        </w:rPr>
        <w:t>OPERATIVE AND BINDING</w:t>
      </w:r>
    </w:p>
    <w:p>
      <w:pPr>
        <w:pStyle w:val="Heading2"/>
      </w:pPr>
      <w:r>
        <w:t xml:space="preserve">5.1 Foundational Status</w:t>
      </w:r>
    </w:p>
    <w:p>
      <w:pPr>
        <w:ind w:firstLine="480"/>
      </w:pPr>
      <w:r>
        <w:t xml:space="preserve">Annex M is the foundational reference document for Annex U. All territorial ceilings, breach calculations, and penalty provisions in Annex U derive from the reference points established in this Annex M.</w:t>
      </w:r>
    </w:p>
    <w:p>
      <w:pPr>
        <w:pStyle w:val="Heading2"/>
      </w:pPr>
      <w:r>
        <w:t xml:space="preserve">5.2 Interpretive Hierarchy</w:t>
      </w:r>
    </w:p>
    <w:p>
      <w:pPr>
        <w:ind w:firstLine="480"/>
      </w:pPr>
      <w:r>
        <w:t xml:space="preserve">In the event of any inconsistency between Annex M and Annex U, Annex U's operative provisions govern, but Annex M's factual and legal baselines control interpretation.</w:t>
      </w:r>
    </w:p>
    <w:p>
      <w:pPr>
        <w:pStyle w:val="Heading2"/>
      </w:pPr>
      <w:r>
        <w:t xml:space="preserve">5.3 Conjunction with Appendix E</w:t>
      </w:r>
    </w:p>
    <w:p>
      <w:pPr>
        <w:ind w:firstLine="480"/>
      </w:pPr>
      <w:r>
        <w:t xml:space="preserve">Annex M operates in conjunction with Appendix E (Lebanon and Levant Front Stabilization Protocol) of the parent framework. Any territorial violation on the Lebanon front is treated as a violation of Appendix E.1 (Proxy Operational Pause) with all associated consequences.</w:t>
      </w:r>
    </w:p>
    <w:p>
      <w:pPr>
        <w:pStyle w:val="Heading2"/>
      </w:pPr>
      <w:r>
        <w:t xml:space="preserve">5.4 No Amendment of Parent Framework</w:t>
      </w:r>
    </w:p>
    <w:p>
      <w:pPr>
        <w:ind w:firstLine="480"/>
      </w:pPr>
      <w:r>
        <w:t xml:space="preserve">Annex M does not amend the parent framework. It is a modular, self-contained addendum that establishes the factual record for all territorial provisions.</w:t>
      </w:r>
    </w:p>
    <w:p>
      <w:pPr>
        <w:pStyle w:val="Heading1"/>
      </w:pPr>
      <w:r>
        <w:t xml:space="preserve">Article 6: Shared Digital Registry Integration</w:t>
      </w:r>
    </w:p>
    <w:p>
      <w:pPr>
        <w:spacing w:before="80" w:after="160"/>
      </w:pPr>
      <w:r>
        <w:rPr>
          <w:rFonts w:ascii="Cambria" w:hAnsi="Cambria"/>
          <w:b/>
          <w:color w:val="457b9d"/>
          <w:sz w:val="20"/>
        </w:rPr>
        <w:t>OPERATIVE AND BINDING</w:t>
      </w:r>
    </w:p>
    <w:p>
      <w:pPr>
        <w:pStyle w:val="Heading2"/>
      </w:pPr>
      <w:r>
        <w:t xml:space="preserve">6.1 Encoding of Baselines</w:t>
      </w:r>
    </w:p>
    <w:p>
      <w:pPr>
        <w:ind w:firstLine="480"/>
      </w:pPr>
      <w:r>
        <w:t xml:space="preserve">The Shared Digital Registry (Annex U, Article 5) encodes all reference points established in this Annex M as immutable baselines.</w:t>
      </w:r>
    </w:p>
    <w:p>
      <w:pPr>
        <w:pStyle w:val="Heading2"/>
      </w:pPr>
      <w:r>
        <w:t xml:space="preserve">6.2 Historical Record Maintenance</w:t>
      </w:r>
    </w:p>
    <w:p>
      <w:pPr>
        <w:ind w:firstLine="480"/>
      </w:pPr>
      <w:r>
        <w:t xml:space="preserve">The Shared Digital Registry maintains a rolling 90-day historical record of all territorial movements relative to the Annex M baselines.</w:t>
      </w:r>
    </w:p>
    <w:p>
      <w:pPr>
        <w:pStyle w:val="Heading2"/>
      </w:pPr>
      <w:r>
        <w:t xml:space="preserve">6.3 Automated Geolocation Determination</w:t>
      </w:r>
    </w:p>
    <w:p>
      <w:pPr>
        <w:ind w:firstLine="480"/>
      </w:pPr>
      <w:r>
        <w:t xml:space="preserve">Any Party queries the Shared Digital Registry to determine whether a specific geographic coordinate lies within, at, or beyond the Current Operational Footprint. The Registry's automated geolocation tool provides a binding preliminary determination within 15 minutes.</w:t>
      </w:r>
    </w:p>
    <w:p>
      <w:pPr>
        <w:pStyle w:val="Heading1"/>
      </w:pPr>
      <w:r>
        <w:t xml:space="preserve">Article 7: Amendment and Review</w:t>
      </w:r>
    </w:p>
    <w:p>
      <w:pPr>
        <w:spacing w:before="80" w:after="160"/>
      </w:pPr>
      <w:r>
        <w:rPr>
          <w:rFonts w:ascii="Cambria" w:hAnsi="Cambria"/>
          <w:b/>
          <w:color w:val="457b9d"/>
          <w:sz w:val="20"/>
        </w:rPr>
        <w:t>OPERATIVE AND BINDING</w:t>
      </w:r>
    </w:p>
    <w:p>
      <w:pPr>
        <w:pStyle w:val="Heading2"/>
      </w:pPr>
      <w:r>
        <w:t xml:space="preserve">7.1 Amendment Procedure</w:t>
      </w:r>
    </w:p>
    <w:p>
      <w:pPr>
        <w:ind w:firstLine="480"/>
      </w:pPr>
      <w:r>
        <w:t xml:space="preserve">Amendment of Annex M requires mutual written agreement of all Parties and ratification by the Joint Secretariat.</w:t>
      </w:r>
    </w:p>
    <w:p>
      <w:pPr>
        <w:pStyle w:val="Heading2"/>
      </w:pPr>
      <w:r>
        <w:t xml:space="preserve">7.2 Technical Review Cycle</w:t>
      </w:r>
    </w:p>
    <w:p>
      <w:pPr>
        <w:ind w:firstLine="480"/>
      </w:pPr>
      <w:r>
        <w:t xml:space="preserve">The IAEA reviews the geographic coordinates of the Current Operational Footprint every 30 days to ensure accuracy. Adjustments for technical correction (for example: GPS drift, mapping errors) do not require formal amendment.</w:t>
      </w:r>
    </w:p>
    <w:p>
      <w:pPr>
        <w:pStyle w:val="Heading2"/>
      </w:pPr>
      <w:r>
        <w:t xml:space="preserve">7.3 Formal Review Request</w:t>
      </w:r>
    </w:p>
    <w:p>
      <w:pPr>
        <w:ind w:firstLine="480"/>
      </w:pPr>
      <w:r>
        <w:t xml:space="preserve">Any Party requests a formal review of the Current Operational Footprint coordinates if it believes the footprint has changed due to unrecorded military movements. The IAEA responds within 48 hours with an updated telemetry assessment.</w:t>
      </w:r>
    </w:p>
    <w:p>
      <w:pPr>
        <w:pStyle w:val="Heading1"/>
      </w:pPr>
      <w:r>
        <w:t xml:space="preserve">Article 8: Incorporation by Reference</w:t>
      </w:r>
    </w:p>
    <w:p>
      <w:pPr>
        <w:spacing w:before="80" w:after="160"/>
      </w:pPr>
      <w:r>
        <w:rPr>
          <w:rFonts w:ascii="Cambria" w:hAnsi="Cambria"/>
          <w:b/>
          <w:color w:val="457b9d"/>
          <w:sz w:val="20"/>
        </w:rPr>
        <w:t>OPERATIVE AND BINDING</w:t>
      </w:r>
    </w:p>
    <w:p>
      <w:pPr>
        <w:ind w:firstLine="480"/>
      </w:pPr>
      <w:r>
        <w:t xml:space="preserve">This Annex M incorporates into any existing or future agreement by the following adoption sentence:</w:t>
      </w:r>
    </w:p>
    <w:p>
      <w:pPr>
        <w:pBdr>
          <w:left w:val="single" w:color="3d5a80" w:sz="12" w:space="12"/>
        </w:pBdr>
        <w:spacing w:before="200" w:after="200"/>
        <w:ind w:left="720" w:right="720"/>
        <w:jc w:val="both"/>
      </w:pPr>
      <w:r>
        <w:rPr>
          <w:i/>
          <w:color w:val="1d3557"/>
          <w:sz w:val="22"/>
        </w:rPr>
        <w:t xml:space="preserve">"The Parties adopt Annex M (Territorial Baseline and Ceasefire Demarcation Protocol) as the foundational reference document for all territorial ceilings, freeze-in-place provisions, and breach calculations in the parent framework and its addenda. Annex M's factual and legal baselines control interpretation of Annex U and any associated territorial protocols."</w:t>
      </w:r>
    </w:p>
    <w:p>
      <w:pPr>
        <w:ind w:firstLine="480"/>
      </w:pPr>
      <w:r>
        <w:t xml:space="preserve">No amendment of the parent framework is required. This Annex M enters into force upon signature by both Parties or upon provisional application by exchange of diplomatic notes.</w:t>
      </w:r>
    </w:p>
    <w:p>
      <w:pPr>
        <w:pStyle w:val="Heading1"/>
      </w:pPr>
      <w:r>
        <w:t xml:space="preserve">Article 9: Provisional Application</w:t>
      </w:r>
    </w:p>
    <w:p>
      <w:pPr>
        <w:spacing w:before="80" w:after="160"/>
      </w:pPr>
      <w:r>
        <w:rPr>
          <w:rFonts w:ascii="Cambria" w:hAnsi="Cambria"/>
          <w:b/>
          <w:color w:val="457b9d"/>
          <w:sz w:val="20"/>
        </w:rPr>
        <w:t>OPERATIVE AND BINDING</w:t>
      </w:r>
    </w:p>
    <w:p>
      <w:pPr>
        <w:pStyle w:val="Heading2"/>
      </w:pPr>
      <w:r>
        <w:t xml:space="preserve">9.1 Provisional Application Period</w:t>
      </w:r>
    </w:p>
    <w:p>
      <w:pPr>
        <w:ind w:firstLine="480"/>
      </w:pPr>
      <w:r>
        <w:t xml:space="preserve">The Parties apply this Annex M provisionally for 90 days, pending formal incorporation.</w:t>
      </w:r>
    </w:p>
    <w:p>
      <w:pPr>
        <w:pStyle w:val="Heading2"/>
      </w:pPr>
      <w:r>
        <w:t xml:space="preserve">9.2 Termination of Provisional Application</w:t>
      </w:r>
    </w:p>
    <w:p>
      <w:pPr>
        <w:ind w:firstLine="480"/>
      </w:pPr>
      <w:r>
        <w:t xml:space="preserve">Either Party terminates provisional application with 14 days' written notice. Termination does not affect territorial baselines established prior to termination; those remain authoritative for any breaches that occurred during provisional application.</w:t>
      </w:r>
    </w:p>
    <w:p>
      <w:pPr>
        <w:pStyle w:val="Heading1"/>
      </w:pPr>
      <w:r>
        <w:t xml:space="preserve">Signature Block</w:t>
      </w:r>
    </w:p>
    <w:p>
      <w:pPr>
        <w:ind w:firstLine="480"/>
      </w:pPr>
      <w:r>
        <w:t xml:space="preserve">In witness whereof, the undersigned, being duly authorized by their respective governments, have signed this Annex M: Territorial Baseline and Ceasefire Demarcation Protocol.</w:t>
      </w:r>
    </w:p>
    <w:p>
      <w:pPr>
        <w:ind w:firstLine="480"/>
      </w:pPr>
      <w:r>
        <w:t xml:space="preserve">Done at ____________________, this _______ day of _____________________, 2026, in quadruplicate in the English language.</w:t>
      </w:r>
    </w:p>
    <w:p>
      <w:pPr>
        <w:ind w:firstLine="480"/>
      </w:pPr>
      <w:r>
        <w:t xml:space="preserve"/>
      </w:r>
    </w:p>
    <w:p>
      <w:pPr>
        <w:spacing w:before="300" w:after="40"/>
      </w:pPr>
      <w:r>
        <w:rPr>
          <w:b/>
          <w:color w:val="1d3557"/>
          <w:sz w:val="22"/>
        </w:rPr>
        <w:t>For the Government of Israel (as affected Party):</w:t>
      </w:r>
    </w:p>
    <w:p>
      <w:pPr>
        <w:spacing w:before="300" w:after="40"/>
      </w:pPr>
      <w:r>
        <w:rPr>
          <w:b/>
          <w:color w:val="1d3557"/>
          <w:sz w:val="22"/>
        </w:rPr>
        <w:t>For the United States of America (as endorsing Party):</w:t>
      </w:r>
    </w:p>
    <w:p>
      <w:pPr>
        <w:spacing w:before="300" w:after="40"/>
      </w:pPr>
      <w:r>
        <w:rPr>
          <w:b/>
          <w:color w:val="1d3557"/>
          <w:sz w:val="22"/>
        </w:rPr>
        <w:t>For the Islamic Republic of Iran (as endorsing Party):</w:t>
      </w:r>
    </w:p>
    <w:p>
      <w:pPr>
        <w:ind w:firstLine="480"/>
      </w:pPr>
      <w:r>
        <w:t xml:space="preserve"/>
      </w:r>
    </w:p>
    <w:p>
      <w:pPr>
        <w:spacing w:before="200"/>
      </w:pPr>
      <w:r>
        <w:rPr>
          <w:i/>
          <w:color w:val="457b9d"/>
          <w:sz w:val="21"/>
        </w:rPr>
        <w:t xml:space="preserve">For the Joint Secretariat (Muscat) — Depository of Geographic Coordinates:</w:t>
      </w:r>
    </w:p>
    <w:p>
      <w:pPr>
        <w:spacing w:before="100"/>
      </w:pPr>
      <w:r>
        <w:rPr>
          <w:color w:val="1d3557"/>
          <w:sz w:val="21"/>
        </w:rPr>
        <w:t>Signature: ____________________    Date: ____________________</w:t>
      </w:r>
    </w:p>
    <w:p>
      <w:pPr>
        <w:sectPr>
          <w:headerReference w:type="default" r:id="Rdb4fb441bdfe4a8c"/>
          <w:footerReference w:type="default" r:id="R7e4a794fa8c441d9"/>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45512852c44b473c"/>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Cambria" w:hAnsi="Cambria"/>
          <w:b/>
          <w:color w:val="e0e6ed"/>
          <w:sz w:val="48"/>
        </w:rPr>
        <w:t>Annex M</w:t>
      </w:r>
    </w:p>
    <w:p>
      <w:pPr>
        <w:spacing w:after="400"/>
        <w:jc w:val="center"/>
      </w:pPr>
      <w:r>
        <w:rPr>
          <w:rFonts w:ascii="Cambria" w:hAnsi="Cambria"/>
          <w:color w:val="8d99ae"/>
          <w:sz w:val="24"/>
        </w:rPr>
        <w:t>Territorial Baseline and Ceasefire Demarcation Protocol</w:t>
      </w:r>
    </w:p>
    <w:p>
      <w:pPr>
        <w:spacing w:after="100"/>
        <w:jc w:val="center"/>
      </w:pPr>
      <w:r>
        <w:rPr>
          <w:color w:val="b8860b"/>
          <w:sz w:val="18"/>
        </w:rPr>
        <w:t>————————————————</w:t>
      </w:r>
    </w:p>
    <w:p>
      <w:pPr>
        <w:spacing w:before="400"/>
        <w:jc w:val="center"/>
      </w:pPr>
      <w:r>
        <w:rPr>
          <w:color w:val="8d99ae"/>
          <w:sz w:val="18"/>
        </w:rPr>
        <w:t>Self-Contained  •  Incorporable by Reference  •  Emergency Stabilization Measure</w:t>
      </w:r>
    </w:p>
    <w:p>
      <w:pPr>
        <w:spacing w:before="200"/>
        <w:jc w:val="center"/>
      </w:pPr>
      <w:r>
        <w:rPr>
          <w:color w:val="8d99ae"/>
          <w:sz w:val="16"/>
        </w:rPr>
        <w:t>Version 1.0  —  June 2026</w:t>
      </w:r>
    </w:p>
    <w:p>
      <w:pPr>
        <w:spacing w:before="200"/>
        <w:jc w:val="center"/>
      </w:pPr>
      <w:r>
        <w:rPr>
          <w:i/>
          <w:color w:val="8d99ae"/>
          <w:sz w:val="16"/>
        </w:rPr>
        <w:t>Expires automatically at 23:59 UTC on Day 60 of the truce unless renewed by mutual agreement</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M — Territorial Baseline and Ceasefire Demarcation Protocol</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Type="http://schemas.openxmlformats.org/officeDocument/2006/relationships/styles" Target="styles.xml" Id="R4b5bdfd54f9c4003" /><Relationship Type="http://schemas.openxmlformats.org/officeDocument/2006/relationships/image" Target="media/image.png" Id="R0828e9d696c048f9" /><Relationship Type="http://schemas.openxmlformats.org/officeDocument/2006/relationships/image" Target="media/image2.png" Id="R45512852c44b473c" /><Relationship Type="http://schemas.openxmlformats.org/officeDocument/2006/relationships/header" Target="header1.xml" Id="Rdb4fb441bdfe4a8c" /><Relationship Type="http://schemas.openxmlformats.org/officeDocument/2006/relationships/footer" Target="footer1.xml" Id="R7e4a794fa8c441d9" /><Relationship Type="http://schemas.openxmlformats.org/officeDocument/2006/relationships/settings" Target="settings.xml" Id="R9099c53048484b8f" /></Relationships>
</file>