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Type="http://schemas.openxmlformats.org/officeDocument/2006/relationships/officeDocument" Target="word/document.xml" Id="R695910e541ed4b20" /></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w:body>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1" name="CoverBg"/>
            <wp:cNvGraphicFramePr>
              <a:graphicFrameLocks noChangeAspect="1"/>
            </wp:cNvGraphicFramePr>
            <a:graphic>
              <a:graphicData uri="http://schemas.openxmlformats.org/drawingml/2006/picture">
                <pic:pic>
                  <pic:nvPicPr>
                    <pic:cNvPr id="0" name="CoverBg.png"/>
                    <pic:cNvPicPr/>
                  </pic:nvPicPr>
                  <pic:blipFill>
                    <a:blip r:embed="R054d14ed489d4e8a"/>
                    <a:stretch>
                      <a:fillRect/>
                    </a:stretch>
                  </pic:blipFill>
                  <pic:spPr>
                    <a:xfrm>
                      <a:off x="0" y="0"/>
                      <a:ext cx="7560000" cy="10692000"/>
                    </a:xfrm>
                    <a:prstGeom prst="rect"/>
                  </pic:spPr>
                </pic:pic>
              </a:graphicData>
            </a:graphic>
          </wp:anchor>
        </w:drawing>
      </w:r>
    </w:p>
    <w:p>
      <w:pPr>
        <w:spacing w:before="4800"/>
      </w:pPr>
      <w:r/>
    </w:p>
    <w:p>
      <w:pPr>
        <w:spacing w:after="600"/>
        <w:jc w:val="center"/>
      </w:pPr>
      <w:r>
        <w:rPr>
          <w:rFonts w:ascii="Cambria" w:hAnsi="Cambria"/>
          <w:color w:val="b8860b"/>
          <w:spacing w:val="60"/>
          <w:sz w:val="20"/>
        </w:rPr>
        <w:t>DIPLOMATIC WORKING DOCUMENT — INDEPENDENT INSTRUMENT</w:t>
      </w:r>
    </w:p>
    <w:p>
      <w:pPr>
        <w:spacing w:after="200"/>
        <w:jc w:val="center"/>
      </w:pPr>
      <w:r>
        <w:rPr>
          <w:rFonts w:ascii="Cambria" w:hAnsi="Cambria"/>
          <w:b/>
          <w:color w:val="e0e6ed"/>
          <w:spacing w:val="30"/>
          <w:sz w:val="72"/>
        </w:rPr>
        <w:t>Annex NORM</w:t>
      </w:r>
    </w:p>
    <w:p>
      <w:pPr>
        <w:spacing w:after="120"/>
        <w:jc w:val="center"/>
      </w:pPr>
      <w:r>
        <w:rPr>
          <w:rFonts w:ascii="Cambria" w:hAnsi="Cambria"/>
          <w:color w:val="e0e6ed"/>
          <w:spacing w:val="20"/>
          <w:sz w:val="36"/>
        </w:rPr>
        <w:t>Regional Economic and Diplomatic Normalization Framework</w:t>
      </w:r>
    </w:p>
    <w:p>
      <w:pPr>
        <w:spacing w:after="400"/>
        <w:jc w:val="center"/>
      </w:pPr>
      <w:r>
        <w:rPr>
          <w:rFonts w:ascii="Cambria" w:hAnsi="Cambria"/>
          <w:i/>
          <w:color w:val="8d99ae"/>
          <w:sz w:val="22"/>
        </w:rPr>
        <w:t>Iran as Non-Participating Observer</w:t>
      </w:r>
    </w:p>
    <w:p>
      <w:pPr>
        <w:spacing w:after="600"/>
        <w:jc w:val="center"/>
      </w:pPr>
      <w:r>
        <w:rPr>
          <w:color w:val="b8860b"/>
          <w:sz w:val="18"/>
        </w:rPr>
        <w:t>————————————————————</w:t>
      </w:r>
    </w:p>
    <w:p>
      <w:pPr>
        <w:spacing w:after="80"/>
        <w:jc w:val="center"/>
      </w:pPr>
      <w:r>
        <w:rPr>
          <w:color w:val="8d99ae"/>
          <w:spacing w:val="40"/>
          <w:sz w:val="20"/>
        </w:rPr>
        <w:t>Modular  •  Incorporable by Reference  •  Parallel Track to US-Iran MOU</w:t>
      </w:r>
    </w:p>
    <w:p>
      <w:pPr>
        <w:spacing w:after="2400"/>
        <w:jc w:val="center"/>
      </w:pPr>
      <w:r>
        <w:rPr>
          <w:color w:val="8d99ae"/>
          <w:sz w:val="20"/>
        </w:rPr>
        <w:t>Version 1.0  —  June 2026</w:t>
      </w:r>
    </w:p>
    <w:p>
      <w:pPr>
        <w:jc w:val="center"/>
      </w:pPr>
      <w:r>
        <w:rPr>
          <w:color w:val="b8860b"/>
          <w:sz w:val="18"/>
        </w:rPr>
        <w:t>AUTHORIZED NEGOTIATORS ONLY — CONFIDENTIAL — NOT FOR PUBLIC DISTRIBUTION</w:t>
      </w:r>
    </w:p>
    <w:p>
      <w:pPr>
        <w:sectPr>
          <w:type w:val="nextPage"/>
          <w:pgSz w:w="11906" w:h="16838"/>
          <w:pgMar w:top="0" w:right="0" w:bottom="0" w:left="0" w:header="0" w:footer="0"/>
          <w:titlePg/>
        </w:sectPr>
      </w:pPr>
    </w:p>
    <w:p>
      <w:pPr>
        <w:spacing w:before="400" w:after="200"/>
        <w:jc w:val="left"/>
      </w:pPr>
      <w:r>
        <w:rPr>
          <w:rFonts w:ascii="Cambria" w:hAnsi="Cambria"/>
          <w:b/>
          <w:color w:val="3d5a80"/>
          <w:sz w:val="32"/>
        </w:rPr>
        <w:t>Contents</w:t>
      </w:r>
    </w:p>
    <w:p>
      <w:pPr>
        <w:spacing w:after="300"/>
      </w:pPr>
      <w:r>
        <w:rPr>
          <w:i/>
          <w:color w:val="8d99ae"/>
          <w:sz w:val="18"/>
        </w:rPr>
        <w:t>Right-click the TOC and select "Update Field" to refresh page numbers</w:t>
      </w:r>
    </w:p>
    <w:p>
      <w:r>
        <w:fldChar w:fldCharType="begin"/>
      </w:r>
      <w:r>
        <w:instrText xml:space="preserve"> TOC \o "1-3" \h \z \u </w:instrText>
      </w:r>
      <w:r>
        <w:fldChar w:fldCharType="separate"/>
      </w:r>
    </w:p>
    <w:p>
      <w:pPr>
        <w:pStyle w:val="TOC1"/>
      </w:pPr>
      <w:r>
        <w:t>Preamble</w:t>
      </w:r>
      <w:r>
        <w:tab/>
      </w:r>
      <w:r>
        <w:t>1</w:t>
      </w:r>
    </w:p>
    <w:p>
      <w:pPr>
        <w:pStyle w:val="TOC1"/>
      </w:pPr>
      <w:r>
        <w:t>Purpose, Background, and Independence Clause</w:t>
      </w:r>
      <w:r>
        <w:tab/>
      </w:r>
      <w:r>
        <w:t>1</w:t>
      </w:r>
    </w:p>
    <w:p>
      <w:pPr>
        <w:pStyle w:val="TOC1"/>
      </w:pPr>
      <w:r>
        <w:t>Article 1: Objectives</w:t>
      </w:r>
      <w:r>
        <w:tab/>
      </w:r>
      <w:r>
        <w:t>2</w:t>
      </w:r>
    </w:p>
    <w:p>
      <w:pPr>
        <w:pStyle w:val="TOC1"/>
      </w:pPr>
      <w:r>
        <w:t>Article 2: Institutional Framework</w:t>
      </w:r>
      <w:r>
        <w:tab/>
      </w:r>
      <w:r>
        <w:t>3</w:t>
      </w:r>
    </w:p>
    <w:p>
      <w:pPr>
        <w:pStyle w:val="TOC2"/>
      </w:pPr>
      <w:r>
        <w:t>2.1 Normalization Steering Committee</w:t>
      </w:r>
      <w:r>
        <w:tab/>
      </w:r>
      <w:r>
        <w:t>3</w:t>
      </w:r>
    </w:p>
    <w:p>
      <w:pPr>
        <w:pStyle w:val="TOC2"/>
      </w:pPr>
      <w:r>
        <w:t>2.2 Working Groups</w:t>
      </w:r>
      <w:r>
        <w:tab/>
      </w:r>
      <w:r>
        <w:t>4</w:t>
      </w:r>
    </w:p>
    <w:p>
      <w:pPr>
        <w:pStyle w:val="TOC2"/>
      </w:pPr>
      <w:r>
        <w:t>2.3 Observer Status</w:t>
      </w:r>
      <w:r>
        <w:tab/>
      </w:r>
      <w:r>
        <w:t>4</w:t>
      </w:r>
    </w:p>
    <w:p>
      <w:pPr>
        <w:pStyle w:val="TOC1"/>
      </w:pPr>
      <w:r>
        <w:t>Article 3: Economic and Development Initiatives</w:t>
      </w:r>
      <w:r>
        <w:tab/>
      </w:r>
      <w:r>
        <w:t>5</w:t>
      </w:r>
    </w:p>
    <w:p>
      <w:pPr>
        <w:pStyle w:val="TOC2"/>
      </w:pPr>
      <w:r>
        <w:t>3.1 Regional Development Fund</w:t>
      </w:r>
      <w:r>
        <w:tab/>
      </w:r>
      <w:r>
        <w:t>5</w:t>
      </w:r>
    </w:p>
    <w:p>
      <w:pPr>
        <w:pStyle w:val="TOC2"/>
      </w:pPr>
      <w:r>
        <w:t>3.2 Trade Facilitation</w:t>
      </w:r>
      <w:r>
        <w:tab/>
      </w:r>
      <w:r>
        <w:t>5</w:t>
      </w:r>
    </w:p>
    <w:p>
      <w:pPr>
        <w:pStyle w:val="TOC2"/>
      </w:pPr>
      <w:r>
        <w:t>3.3 Energy Cooperation</w:t>
      </w:r>
      <w:r>
        <w:tab/>
      </w:r>
      <w:r>
        <w:t>6</w:t>
      </w:r>
    </w:p>
    <w:p>
      <w:pPr>
        <w:pStyle w:val="TOC1"/>
      </w:pPr>
      <w:r>
        <w:t>Article 4: Diplomatic Normalization Steps</w:t>
      </w:r>
      <w:r>
        <w:tab/>
      </w:r>
      <w:r>
        <w:t>6</w:t>
      </w:r>
    </w:p>
    <w:p>
      <w:pPr>
        <w:pStyle w:val="TOC2"/>
      </w:pPr>
      <w:r>
        <w:t>4.1 Existing Normalization</w:t>
      </w:r>
      <w:r>
        <w:tab/>
      </w:r>
      <w:r>
        <w:t>6</w:t>
      </w:r>
    </w:p>
    <w:p>
      <w:pPr>
        <w:pStyle w:val="TOC2"/>
      </w:pPr>
      <w:r>
        <w:t>4.2 Stepwise Expansion</w:t>
      </w:r>
      <w:r>
        <w:tab/>
      </w:r>
      <w:r>
        <w:t>6</w:t>
      </w:r>
    </w:p>
    <w:p>
      <w:pPr>
        <w:pStyle w:val="TOC2"/>
      </w:pPr>
      <w:r>
        <w:t>4.3 Non-Impediment</w:t>
      </w:r>
      <w:r>
        <w:tab/>
      </w:r>
      <w:r>
        <w:t>7</w:t>
      </w:r>
    </w:p>
    <w:p>
      <w:pPr>
        <w:pStyle w:val="TOC1"/>
      </w:pPr>
      <w:r>
        <w:t>Article 5: Relationship to the US-Iran MOU</w:t>
      </w:r>
      <w:r>
        <w:tab/>
      </w:r>
      <w:r>
        <w:t>7</w:t>
      </w:r>
    </w:p>
    <w:p>
      <w:pPr>
        <w:pStyle w:val="TOC2"/>
      </w:pPr>
      <w:r>
        <w:t>5.1 Independence</w:t>
      </w:r>
      <w:r>
        <w:tab/>
      </w:r>
      <w:r>
        <w:t>7</w:t>
      </w:r>
    </w:p>
    <w:p>
      <w:pPr>
        <w:pStyle w:val="TOC2"/>
      </w:pPr>
      <w:r>
        <w:t>5.2 No Linkage</w:t>
      </w:r>
      <w:r>
        <w:tab/>
      </w:r>
      <w:r>
        <w:t>7</w:t>
      </w:r>
    </w:p>
    <w:p>
      <w:pPr>
        <w:pStyle w:val="TOC2"/>
      </w:pPr>
      <w:r>
        <w:t>5.3 Information Sharing</w:t>
      </w:r>
      <w:r>
        <w:tab/>
      </w:r>
      <w:r>
        <w:t>8</w:t>
      </w:r>
    </w:p>
    <w:p>
      <w:pPr>
        <w:pStyle w:val="TOC1"/>
      </w:pPr>
      <w:r>
        <w:t>Article 6: Dispute Resolution</w:t>
      </w:r>
      <w:r>
        <w:tab/>
      </w:r>
      <w:r>
        <w:t>8</w:t>
      </w:r>
    </w:p>
    <w:p>
      <w:pPr>
        <w:pStyle w:val="TOC1"/>
      </w:pPr>
      <w:r>
        <w:t>Article 7: Incorporation by Reference</w:t>
      </w:r>
      <w:r>
        <w:tab/>
      </w:r>
      <w:r>
        <w:t>9</w:t>
      </w:r>
    </w:p>
    <w:p>
      <w:pPr>
        <w:pStyle w:val="TOC1"/>
      </w:pPr>
      <w:r>
        <w:t>Signature Block</w:t>
      </w:r>
      <w:r>
        <w:tab/>
      </w:r>
      <w:r>
        <w:t>9</w:t>
      </w:r>
    </w:p>
    <w:p>
      <w:r>
        <w:fldChar w:fldCharType="end"/>
      </w:r>
    </w:p>
    <w:p>
      <w:pPr>
        <w:sectPr>
          <w:type w:val="nextPage"/>
          <w:pgSz w:w="11906" w:h="16838"/>
          <w:pgMar w:top="1800" w:right="1440" w:bottom="1440" w:left="1440" w:header="720" w:footer="720"/>
        </w:sectPr>
      </w:pPr>
    </w:p>
    <w:p>
      <w:pPr>
        <w:pStyle w:val="Heading1"/>
      </w:pPr>
      <w:r>
        <w:t xml:space="preserve">Preamble</w:t>
      </w:r>
    </w:p>
    <w:p>
      <w:pPr>
        <w:pStyle w:val="Heading2"/>
      </w:pPr>
      <w:r>
        <w:t xml:space="preserve">Purpose</w:t>
      </w:r>
    </w:p>
    <w:p>
      <w:pPr>
        <w:ind w:firstLine="480"/>
      </w:pPr>
      <w:r>
        <w:t xml:space="preserve">The Parties to this Annex (the United States, the Kingdom of Saudi Arabia, the United Arab Emirates, the Kingdom of Bahrain, the Kingdom of Morocco, and the State of Israel) affirm their interest in regional stability, economic integration, and diplomatic normalization. This Annex builds upon the framework of the Abraham Accords and subsequent normalization agreements. It operates independently of the US-Iran Memorandum of Understanding Pertaining to PEACE, and nothing in this Annex requires Iran to recognize, engage with, or normalize relations with the State of Israel or any other Party.</w:t>
      </w:r>
    </w:p>
    <w:p>
      <w:pPr>
        <w:ind w:firstLine="480"/>
      </w:pPr>
      <w:r>
        <w:t xml:space="preserve">Iran is a non-participating observer. It receives information and attends meetings at its discretion, but it holds no voting rights, no veto, and no obligations under this Annex. Iran's observer status does not constitute recognition or normalization.</w:t>
      </w:r>
    </w:p>
    <w:p>
      <w:pPr>
        <w:ind w:firstLine="480"/>
      </w:pPr>
      <w:r>
        <w:t xml:space="preserve">All obligations execute in the active present tense. The signatories resolve disputes among themselves without involving Iran.</w:t>
      </w:r>
    </w:p>
    <w:p>
      <w:pPr>
        <w:pStyle w:val="Heading2"/>
      </w:pPr>
      <w:r>
        <w:t xml:space="preserve">Background</w:t>
      </w:r>
    </w:p>
    <w:p>
      <w:pPr>
        <w:ind w:firstLine="480"/>
      </w:pPr>
      <w:r>
        <w:t xml:space="preserve">The parent framework — the Memorandum of Understanding Pertaining to PEACE — provides in Part C-3 for a Regional Normalization Track open to endorsing states. The MOU Article 13.1 establishes a non-impediment rule: nothing in the MOU restricts any regional state from establishing or expanding relations with the State of Israel. The MOU Article 13.4 establishes a Regional Connectivity Initiative with dedicated funding.</w:t>
      </w:r>
    </w:p>
    <w:p>
      <w:pPr>
        <w:ind w:firstLine="480"/>
      </w:pPr>
      <w:r>
        <w:t xml:space="preserve">This Annex NORM operationalizes those provisions as an independent instrument. It creates the institutional architecture for regional normalization, economic cooperation, and security coordination among signatory states, while preserving Iran's complete non-participation. The Annex constitutes a self-contained, modular instrument that does not amend the US-Iran MOU.</w:t>
      </w:r>
    </w:p>
    <w:p>
      <w:pPr>
        <w:pStyle w:val="Heading2"/>
      </w:pPr>
      <w:r>
        <w:t xml:space="preserve">Relationship to Parent Framework</w:t>
      </w:r>
    </w:p>
    <w:p>
      <w:pPr>
        <w:ind w:firstLine="480"/>
      </w:pPr>
      <w:r>
        <w:t xml:space="preserve">This Annex operates independently of the US-Iran MOU. It creates no obligations, rights, or benefits for Iran. The Joint Secretariat in Muscat receives NSC meeting minutes and RDF disbursement records for informational purposes only. The Joint Secretariat exercises no authority over this Annex.</w:t>
      </w:r>
    </w:p>
    <w:p>
      <w:pPr>
        <w:pStyle w:val="Heading2"/>
      </w:pPr>
      <w:r>
        <w:t xml:space="preserve">Independence Clause</w:t>
      </w:r>
    </w:p>
    <w:p>
      <w:pPr>
        <w:ind w:firstLine="480"/>
      </w:pPr>
      <w:r>
        <w:t xml:space="preserve">This Annex is a separate, independent instrument. It does not amend or supersede any provision of the US-Iran MOU. It enters into force upon signature by the signatory states specified in the Signature Block. Iran's status as a non-participating observer is permanent and does not convert into membership or accession under any circumstances.</w:t>
      </w:r>
    </w:p>
    <w:p>
      <w:pPr>
        <w:pStyle w:val="Heading1"/>
      </w:pPr>
      <w:r>
        <w:t xml:space="preserve">Article 1: Objectives</w:t>
      </w:r>
    </w:p>
    <w:p>
      <w:pPr>
        <w:spacing w:before="80" w:after="160"/>
      </w:pPr>
      <w:r>
        <w:rPr>
          <w:rFonts w:ascii="Cambria" w:hAnsi="Cambria"/>
          <w:b/>
          <w:color w:val="457b9d"/>
          <w:sz w:val="20"/>
        </w:rPr>
        <w:t>OPERATIVE AND BINDING</w:t>
      </w:r>
    </w:p>
    <w:p>
      <w:pPr>
        <w:ind w:firstLine="480"/>
      </w:pPr>
      <w:r>
        <w:t xml:space="preserve">The Parties pursue the following objectives:</w:t>
      </w:r>
    </w:p>
    <w:p>
      <w:pPr>
        <w:spacing w:after="80"/>
        <w:ind w:left="480" w:hanging="360"/>
      </w:pPr>
      <w:r>
        <w:rPr>
          <w:b/>
          <w:color w:val="3d5a80"/>
        </w:rPr>
        <w:t xml:space="preserve">1. </w:t>
      </w:r>
      <w:r>
        <w:t xml:space="preserve">Diplomatic normalization: Step-by-step establishment or expansion of diplomatic relations, including potential exchanges of ambassadors, opening of embassies, and mutual recognition where not already existing.</w:t>
      </w:r>
    </w:p>
    <w:p>
      <w:pPr>
        <w:spacing w:after="80"/>
        <w:ind w:left="480" w:hanging="360"/>
      </w:pPr>
      <w:r>
        <w:rPr>
          <w:b/>
          <w:color w:val="3d5a80"/>
        </w:rPr>
        <w:t xml:space="preserve">2. </w:t>
      </w:r>
      <w:r>
        <w:t xml:space="preserve">Economic integration: Removal of trade barriers, joint infrastructure projects, and facilitation of investment among the Parties.</w:t>
      </w:r>
    </w:p>
    <w:p>
      <w:pPr>
        <w:spacing w:after="80"/>
        <w:ind w:left="480" w:hanging="360"/>
      </w:pPr>
      <w:r>
        <w:rPr>
          <w:b/>
          <w:color w:val="3d5a80"/>
        </w:rPr>
        <w:t xml:space="preserve">3. </w:t>
      </w:r>
      <w:r>
        <w:t xml:space="preserve">Regional security cooperation: Confidence-building measures, de-confliction channels, and counter-terrorism coordination.</w:t>
      </w:r>
    </w:p>
    <w:p>
      <w:pPr>
        <w:spacing w:after="80"/>
        <w:ind w:left="480" w:hanging="360"/>
      </w:pPr>
      <w:r>
        <w:rPr>
          <w:b/>
          <w:color w:val="3d5a80"/>
        </w:rPr>
        <w:t xml:space="preserve">4. </w:t>
      </w:r>
      <w:r>
        <w:t xml:space="preserve">Civilian technology and innovation: Collaboration in water desalination, renewable energy, agriculture, health, and cyber security.</w:t>
      </w:r>
    </w:p>
    <w:p>
      <w:pPr>
        <w:spacing w:after="80"/>
        <w:ind w:left="480" w:hanging="360"/>
      </w:pPr>
      <w:r>
        <w:rPr>
          <w:b/>
          <w:color w:val="3d5a80"/>
        </w:rPr>
        <w:t xml:space="preserve">5. </w:t>
      </w:r>
      <w:r>
        <w:t xml:space="preserve">People-to-people exchanges: Cultural, educational, and tourism programs.</w:t>
      </w:r>
    </w:p>
    <w:p>
      <w:pPr>
        <w:pStyle w:val="Heading1"/>
      </w:pPr>
      <w:r>
        <w:t xml:space="preserve">Article 2: Institutional Framework</w:t>
      </w:r>
    </w:p>
    <w:p>
      <w:pPr>
        <w:spacing w:before="80" w:after="160"/>
      </w:pPr>
      <w:r>
        <w:rPr>
          <w:rFonts w:ascii="Cambria" w:hAnsi="Cambria"/>
          <w:b/>
          <w:color w:val="457b9d"/>
          <w:sz w:val="20"/>
        </w:rPr>
        <w:t>OPERATIVE AND BINDING</w:t>
      </w:r>
    </w:p>
    <w:p>
      <w:pPr>
        <w:pStyle w:val="Heading2"/>
      </w:pPr>
      <w:r>
        <w:t xml:space="preserve">2.1 Normalization Steering Committee</w:t>
      </w:r>
    </w:p>
    <w:p>
      <w:pPr>
        <w:ind w:firstLine="480"/>
      </w:pPr>
      <w:r>
        <w:t xml:space="preserve">The Parties establish a Normalization Steering Committee (NSC) composed of senior officials at deputy minister level or equivalent from each signatory state. The NSC performs the following functions:</w:t>
      </w:r>
    </w:p>
    <w:p>
      <w:pPr>
        <w:spacing w:after="60"/>
        <w:ind w:left="720" w:hanging="240"/>
      </w:pPr>
      <w:r>
        <w:rPr>
          <w:color w:val="3d5a80"/>
        </w:rPr>
        <w:t xml:space="preserve">• </w:t>
      </w:r>
      <w:r>
        <w:t xml:space="preserve">Meets quarterly at a neutral venue (Abu Dhabi, Manama, or Rabat, as the NSC determines).</w:t>
      </w:r>
    </w:p>
    <w:p>
      <w:pPr>
        <w:spacing w:after="60"/>
        <w:ind w:left="720" w:hanging="240"/>
      </w:pPr>
      <w:r>
        <w:rPr>
          <w:color w:val="3d5a80"/>
        </w:rPr>
        <w:t xml:space="preserve">• </w:t>
      </w:r>
      <w:r>
        <w:t xml:space="preserve">Sets the agenda for normalization steps, economic projects, and confidence-building measures.</w:t>
      </w:r>
    </w:p>
    <w:p>
      <w:pPr>
        <w:spacing w:after="60"/>
        <w:ind w:left="720" w:hanging="240"/>
      </w:pPr>
      <w:r>
        <w:rPr>
          <w:color w:val="3d5a80"/>
        </w:rPr>
        <w:t xml:space="preserve">• </w:t>
      </w:r>
      <w:r>
        <w:t xml:space="preserve">Issues non-binding recommendations; each Party implements them according to its domestic procedures.</w:t>
      </w:r>
    </w:p>
    <w:p>
      <w:pPr>
        <w:spacing w:after="60"/>
        <w:ind w:left="720" w:hanging="240"/>
      </w:pPr>
      <w:r>
        <w:rPr>
          <w:color w:val="3d5a80"/>
        </w:rPr>
        <w:t xml:space="preserve">• </w:t>
      </w:r>
      <w:r>
        <w:t xml:space="preserve">Reports progress to the Joint Secretariat (Muscat) for informational purposes only.</w:t>
      </w:r>
    </w:p>
    <w:p>
      <w:pPr>
        <w:pStyle w:val="Heading2"/>
      </w:pPr>
      <w:r>
        <w:t xml:space="preserve">2.2 Working Groups</w:t>
      </w:r>
    </w:p>
    <w:p>
      <w:pPr>
        <w:ind w:firstLine="480"/>
      </w:pPr>
      <w:r>
        <w:t xml:space="preserve">The NSC establishes ad hoc working groups on the following topics as needed:</w:t>
      </w:r>
    </w:p>
    <w:tbl>
      <w:tblPr>
        <w:tblW w:w="5000" w:type="pct"/>
        <w:tblBorders>
          <w:top w:val="single" w:color="3d5a80" w:sz="12"/>
          <w:left w:val="nil"/>
          <w:bottom w:val="single" w:color="3d5a80" w:sz="12"/>
          <w:right w:val="nil"/>
          <w:insideH w:val="single" w:color="c8d6e5" w:sz="4"/>
          <w:insideV w:val="nil"/>
        </w:tblBorders>
      </w:tblPr>
      <w:tblGrid>
        <w:gridCol w:w="3600"/>
        <w:gridCol w:w="5400"/>
      </w:tblGrid>
      <w:tr>
        <w:trPr>
          <w:tblHeader/>
        </w:trPr>
        <w:tc>
          <w:tcPr>
            <w:tcW w:w="3600" w:type="dxa"/>
            <w:shd w:val="clear" w:fill="e8f0f8"/>
          </w:tcPr>
          <w:p>
            <w:pPr>
              <w:spacing w:before="60" w:after="60" w:line="240" w:lineRule="auto"/>
            </w:pPr>
            <w:r>
              <w:rPr>
                <w:b/>
                <w:color w:val="1d3557"/>
                <w:sz w:val="20"/>
              </w:rPr>
              <w:t xml:space="preserve">Working Group</w:t>
            </w:r>
          </w:p>
        </w:tc>
        <w:tc>
          <w:tcPr>
            <w:tcW w:w="5400" w:type="dxa"/>
            <w:shd w:val="clear" w:fill="e8f0f8"/>
          </w:tcPr>
          <w:p>
            <w:pPr>
              <w:spacing w:before="60" w:after="60" w:line="240" w:lineRule="auto"/>
            </w:pPr>
            <w:r>
              <w:rPr>
                <w:b/>
                <w:color w:val="1d3557"/>
                <w:sz w:val="20"/>
              </w:rPr>
              <w:t xml:space="preserve">Focus</w:t>
            </w:r>
          </w:p>
        </w:tc>
      </w:tr>
      <w:tr>
        <w:tc>
          <w:tcPr>
            <w:tcW w:w="3600" w:type="dxa"/>
          </w:tcPr>
          <w:p>
            <w:pPr>
              <w:spacing w:before="60" w:after="60" w:line="240" w:lineRule="auto"/>
              <w:jc w:val="left"/>
            </w:pPr>
            <w:r>
              <w:rPr>
                <w:color w:val="457b9d"/>
                <w:sz w:val="20"/>
              </w:rPr>
              <w:t xml:space="preserve">Diplomatic affairs</w:t>
            </w:r>
          </w:p>
        </w:tc>
        <w:tc>
          <w:tcPr>
            <w:tcW w:w="5400" w:type="dxa"/>
          </w:tcPr>
          <w:p>
            <w:pPr>
              <w:spacing w:before="60" w:after="60" w:line="240" w:lineRule="auto"/>
              <w:jc w:val="left"/>
            </w:pPr>
            <w:r>
              <w:rPr>
                <w:color w:val="457b9d"/>
                <w:sz w:val="20"/>
              </w:rPr>
              <w:t xml:space="preserve">Ambassadorial exchanges, visa facilitation</w:t>
            </w:r>
          </w:p>
        </w:tc>
      </w:tr>
      <w:tr>
        <w:tc>
          <w:tcPr>
            <w:tcW w:w="3600" w:type="dxa"/>
          </w:tcPr>
          <w:p>
            <w:pPr>
              <w:spacing w:before="60" w:after="60" w:line="240" w:lineRule="auto"/>
              <w:jc w:val="left"/>
            </w:pPr>
            <w:r>
              <w:rPr>
                <w:color w:val="457b9d"/>
                <w:sz w:val="20"/>
              </w:rPr>
              <w:t xml:space="preserve">Trade and investment</w:t>
            </w:r>
          </w:p>
        </w:tc>
        <w:tc>
          <w:tcPr>
            <w:tcW w:w="5400" w:type="dxa"/>
          </w:tcPr>
          <w:p>
            <w:pPr>
              <w:spacing w:before="60" w:after="60" w:line="240" w:lineRule="auto"/>
              <w:jc w:val="left"/>
            </w:pPr>
            <w:r>
              <w:rPr>
                <w:color w:val="457b9d"/>
                <w:sz w:val="20"/>
              </w:rPr>
              <w:t xml:space="preserve">Tariff reduction, mutual recognition of standards</w:t>
            </w:r>
          </w:p>
        </w:tc>
      </w:tr>
      <w:tr>
        <w:tc>
          <w:tcPr>
            <w:tcW w:w="3600" w:type="dxa"/>
          </w:tcPr>
          <w:p>
            <w:pPr>
              <w:spacing w:before="60" w:after="60" w:line="240" w:lineRule="auto"/>
              <w:jc w:val="left"/>
            </w:pPr>
            <w:r>
              <w:rPr>
                <w:color w:val="457b9d"/>
                <w:sz w:val="20"/>
              </w:rPr>
              <w:t xml:space="preserve">Energy and water</w:t>
            </w:r>
          </w:p>
        </w:tc>
        <w:tc>
          <w:tcPr>
            <w:tcW w:w="5400" w:type="dxa"/>
          </w:tcPr>
          <w:p>
            <w:pPr>
              <w:spacing w:before="60" w:after="60" w:line="240" w:lineRule="auto"/>
              <w:jc w:val="left"/>
            </w:pPr>
            <w:r>
              <w:rPr>
                <w:color w:val="457b9d"/>
                <w:sz w:val="20"/>
              </w:rPr>
              <w:t xml:space="preserve">Desalination research, electricity grid interconnection</w:t>
            </w:r>
          </w:p>
        </w:tc>
      </w:tr>
      <w:tr>
        <w:tc>
          <w:tcPr>
            <w:tcW w:w="3600" w:type="dxa"/>
          </w:tcPr>
          <w:p>
            <w:pPr>
              <w:spacing w:before="60" w:after="60" w:line="240" w:lineRule="auto"/>
              <w:jc w:val="left"/>
            </w:pPr>
            <w:r>
              <w:rPr>
                <w:color w:val="457b9d"/>
                <w:sz w:val="20"/>
              </w:rPr>
              <w:t xml:space="preserve">Security and intelligence</w:t>
            </w:r>
          </w:p>
        </w:tc>
        <w:tc>
          <w:tcPr>
            <w:tcW w:w="5400" w:type="dxa"/>
          </w:tcPr>
          <w:p>
            <w:pPr>
              <w:spacing w:before="60" w:after="60" w:line="240" w:lineRule="auto"/>
              <w:jc w:val="left"/>
            </w:pPr>
            <w:r>
              <w:rPr>
                <w:color w:val="457b9d"/>
                <w:sz w:val="20"/>
              </w:rPr>
              <w:t xml:space="preserve">Information sharing on common threats</w:t>
            </w:r>
          </w:p>
        </w:tc>
      </w:tr>
      <w:tr>
        <w:tc>
          <w:tcPr>
            <w:tcW w:w="3600" w:type="dxa"/>
          </w:tcPr>
          <w:p>
            <w:pPr>
              <w:spacing w:before="60" w:after="60" w:line="240" w:lineRule="auto"/>
              <w:jc w:val="left"/>
            </w:pPr>
            <w:r>
              <w:rPr>
                <w:color w:val="457b9d"/>
                <w:sz w:val="20"/>
              </w:rPr>
              <w:t xml:space="preserve">Civil society and cultural exchange</w:t>
            </w:r>
          </w:p>
        </w:tc>
        <w:tc>
          <w:tcPr>
            <w:tcW w:w="5400" w:type="dxa"/>
          </w:tcPr>
          <w:p>
            <w:pPr>
              <w:spacing w:before="60" w:after="60" w:line="240" w:lineRule="auto"/>
              <w:jc w:val="left"/>
            </w:pPr>
            <w:r>
              <w:rPr>
                <w:color w:val="457b9d"/>
                <w:sz w:val="20"/>
              </w:rPr>
              <w:t xml:space="preserve">Educational, cultural, and tourism programs</w:t>
            </w:r>
          </w:p>
        </w:tc>
      </w:tr>
    </w:tbl>
    <w:p>
      <w:pPr>
        <w:pStyle w:val="Heading2"/>
      </w:pPr>
      <w:r>
        <w:t xml:space="preserve">2.3 Observer Status</w:t>
      </w:r>
    </w:p>
    <w:p>
      <w:pPr>
        <w:ind w:firstLine="480"/>
      </w:pPr>
      <w:r>
        <w:t xml:space="preserve">Iran, as a non-participating observer, receives all NSC meeting agendas, minutes, and working group reports. Iran designates a representative to attend NSC meetings as an observer without speaking rights or voting power. Iran withdraws from observer status at any time without penalty.</w:t>
      </w:r>
    </w:p>
    <w:p>
      <w:pPr>
        <w:ind w:firstLine="480"/>
      </w:pPr>
      <w:r>
        <w:t xml:space="preserve">Observer status does not constitute recognition of Israel or any other Party, and does not require Iran to alter its positions on any regional issue.</w:t>
      </w:r>
    </w:p>
    <w:p>
      <w:pPr>
        <w:pStyle w:val="Heading1"/>
      </w:pPr>
      <w:r>
        <w:t xml:space="preserve">Article 3: Economic and Development Initiatives</w:t>
      </w:r>
    </w:p>
    <w:p>
      <w:pPr>
        <w:spacing w:before="80" w:after="160"/>
      </w:pPr>
      <w:r>
        <w:rPr>
          <w:rFonts w:ascii="Cambria" w:hAnsi="Cambria"/>
          <w:b/>
          <w:color w:val="457b9d"/>
          <w:sz w:val="20"/>
        </w:rPr>
        <w:t>OPERATIVE AND BINDING</w:t>
      </w:r>
    </w:p>
    <w:p>
      <w:pPr>
        <w:pStyle w:val="Heading2"/>
      </w:pPr>
      <w:r>
        <w:t xml:space="preserve">3.1 Regional Development Fund</w:t>
      </w:r>
    </w:p>
    <w:p>
      <w:pPr>
        <w:ind w:firstLine="480"/>
      </w:pPr>
      <w:r>
        <w:t xml:space="preserve">The Parties contribute to a Regional Development Fund administered by the World Bank or a neutral financial institution (the Islamic Development Bank for certain projects). The RDF finances the following categories:</w:t>
      </w:r>
    </w:p>
    <w:p>
      <w:pPr>
        <w:spacing w:after="60"/>
        <w:ind w:left="720" w:hanging="240"/>
      </w:pPr>
      <w:r>
        <w:rPr>
          <w:color w:val="3d5a80"/>
        </w:rPr>
        <w:t xml:space="preserve">• </w:t>
      </w:r>
      <w:r>
        <w:t xml:space="preserve">Cross-border infrastructure: roads, ports, rail corridors.</w:t>
      </w:r>
    </w:p>
    <w:p>
      <w:pPr>
        <w:spacing w:after="60"/>
        <w:ind w:left="720" w:hanging="240"/>
      </w:pPr>
      <w:r>
        <w:rPr>
          <w:color w:val="3d5a80"/>
        </w:rPr>
        <w:t xml:space="preserve">• </w:t>
      </w:r>
      <w:r>
        <w:t xml:space="preserve">Water desalination and renewable energy projects.</w:t>
      </w:r>
    </w:p>
    <w:p>
      <w:pPr>
        <w:spacing w:after="60"/>
        <w:ind w:left="720" w:hanging="240"/>
      </w:pPr>
      <w:r>
        <w:rPr>
          <w:color w:val="3d5a80"/>
        </w:rPr>
        <w:t xml:space="preserve">• </w:t>
      </w:r>
      <w:r>
        <w:t xml:space="preserve">Agricultural technology and food security initiatives.</w:t>
      </w:r>
    </w:p>
    <w:p>
      <w:pPr>
        <w:spacing w:after="60"/>
        <w:ind w:left="720" w:hanging="240"/>
      </w:pPr>
      <w:r>
        <w:rPr>
          <w:color w:val="3d5a80"/>
        </w:rPr>
        <w:t xml:space="preserve">• </w:t>
      </w:r>
      <w:r>
        <w:t xml:space="preserve">Health and pandemic preparedness.</w:t>
      </w:r>
    </w:p>
    <w:p>
      <w:pPr>
        <w:ind w:firstLine="480"/>
      </w:pPr>
      <w:r>
        <w:t xml:space="preserve">Initial capitalization: $2 billion, with contributions proportional to GDP or as the Parties mutually agree. Iran is not required to contribute and does not receive disbursements unless it explicitly requests and qualifies for project-specific funding on a non-discriminatory basis.</w:t>
      </w:r>
    </w:p>
    <w:p>
      <w:pPr>
        <w:pStyle w:val="Heading2"/>
      </w:pPr>
      <w:r>
        <w:t xml:space="preserve">3.2 Trade Facilitation</w:t>
      </w:r>
    </w:p>
    <w:p>
      <w:pPr>
        <w:ind w:firstLine="480"/>
      </w:pPr>
      <w:r>
        <w:t xml:space="preserve">The Parties work toward the following measures:</w:t>
      </w:r>
    </w:p>
    <w:p>
      <w:pPr>
        <w:spacing w:after="60"/>
        <w:ind w:left="720" w:hanging="240"/>
      </w:pPr>
      <w:r>
        <w:rPr>
          <w:color w:val="3d5a80"/>
        </w:rPr>
        <w:t xml:space="preserve">• </w:t>
      </w:r>
      <w:r>
        <w:t xml:space="preserve">Reduction or elimination of tariffs on non-sensitive goods (agricultural, medical, industrial supplies).</w:t>
      </w:r>
    </w:p>
    <w:p>
      <w:pPr>
        <w:spacing w:after="60"/>
        <w:ind w:left="720" w:hanging="240"/>
      </w:pPr>
      <w:r>
        <w:rPr>
          <w:color w:val="3d5a80"/>
        </w:rPr>
        <w:t xml:space="preserve">• </w:t>
      </w:r>
      <w:r>
        <w:t xml:space="preserve">Mutual recognition of product standards and certification.</w:t>
      </w:r>
    </w:p>
    <w:p>
      <w:pPr>
        <w:spacing w:after="60"/>
        <w:ind w:left="720" w:hanging="240"/>
      </w:pPr>
      <w:r>
        <w:rPr>
          <w:color w:val="3d5a80"/>
        </w:rPr>
        <w:t xml:space="preserve">• </w:t>
      </w:r>
      <w:r>
        <w:t xml:space="preserve">Streamlined customs procedures at ports of entry.</w:t>
      </w:r>
    </w:p>
    <w:p>
      <w:pPr>
        <w:spacing w:after="60"/>
        <w:ind w:left="720" w:hanging="240"/>
      </w:pPr>
      <w:r>
        <w:rPr>
          <w:color w:val="3d5a80"/>
        </w:rPr>
        <w:t xml:space="preserve">• </w:t>
      </w:r>
      <w:r>
        <w:t xml:space="preserve">Promotion of direct air links among signatory states.</w:t>
      </w:r>
    </w:p>
    <w:p>
      <w:pPr>
        <w:pStyle w:val="Heading2"/>
      </w:pPr>
      <w:r>
        <w:t xml:space="preserve">3.3 Energy Cooperation</w:t>
      </w:r>
    </w:p>
    <w:p>
      <w:pPr>
        <w:ind w:firstLine="480"/>
      </w:pPr>
      <w:r>
        <w:t xml:space="preserve">The Parties promote the following initiatives:</w:t>
      </w:r>
    </w:p>
    <w:p>
      <w:pPr>
        <w:spacing w:after="60"/>
        <w:ind w:left="720" w:hanging="240"/>
      </w:pPr>
      <w:r>
        <w:rPr>
          <w:color w:val="3d5a80"/>
        </w:rPr>
        <w:t xml:space="preserve">• </w:t>
      </w:r>
      <w:r>
        <w:t xml:space="preserve">Electricity grid interconnection (for example: Jordan–Israel–UAE–Bahrain corridor).</w:t>
      </w:r>
    </w:p>
    <w:p>
      <w:pPr>
        <w:spacing w:after="60"/>
        <w:ind w:left="720" w:hanging="240"/>
      </w:pPr>
      <w:r>
        <w:rPr>
          <w:color w:val="3d5a80"/>
        </w:rPr>
        <w:t xml:space="preserve">• </w:t>
      </w:r>
      <w:r>
        <w:t xml:space="preserve">Natural gas and hydrogen trade.</w:t>
      </w:r>
    </w:p>
    <w:p>
      <w:pPr>
        <w:spacing w:after="60"/>
        <w:ind w:left="720" w:hanging="240"/>
      </w:pPr>
      <w:r>
        <w:rPr>
          <w:color w:val="3d5a80"/>
        </w:rPr>
        <w:t xml:space="preserve">• </w:t>
      </w:r>
      <w:r>
        <w:t xml:space="preserve">Joint research on desalination powered by solar energy.</w:t>
      </w:r>
    </w:p>
    <w:p>
      <w:pPr>
        <w:pStyle w:val="Heading1"/>
      </w:pPr>
      <w:r>
        <w:t xml:space="preserve">Article 4: Diplomatic Normalization Steps</w:t>
      </w:r>
    </w:p>
    <w:p>
      <w:pPr>
        <w:spacing w:before="80" w:after="160"/>
      </w:pPr>
      <w:r>
        <w:rPr>
          <w:rFonts w:ascii="Cambria" w:hAnsi="Cambria"/>
          <w:b/>
          <w:color w:val="457b9d"/>
          <w:sz w:val="20"/>
        </w:rPr>
        <w:t>OPERATIVE AND BINDING</w:t>
      </w:r>
    </w:p>
    <w:p>
      <w:pPr>
        <w:pStyle w:val="Heading2"/>
      </w:pPr>
      <w:r>
        <w:t xml:space="preserve">4.1 Existing Normalization</w:t>
      </w:r>
    </w:p>
    <w:p>
      <w:pPr>
        <w:ind w:firstLine="480"/>
      </w:pPr>
      <w:r>
        <w:t xml:space="preserve">The Parties acknowledge existing normalization agreements (UAE, Bahrain, Morocco) and commit to deepening those relationships through expanded trade, cultural exchange, and security cooperation.</w:t>
      </w:r>
    </w:p>
    <w:p>
      <w:pPr>
        <w:pStyle w:val="Heading2"/>
      </w:pPr>
      <w:r>
        <w:t xml:space="preserve">4.2 Stepwise Expansion</w:t>
      </w:r>
    </w:p>
    <w:p>
      <w:pPr>
        <w:ind w:firstLine="480"/>
      </w:pPr>
      <w:r>
        <w:t xml:space="preserve">The Parties, at their own pace and by mutual consent, undertake the following steps:</w:t>
      </w:r>
    </w:p>
    <w:p>
      <w:pPr>
        <w:spacing w:after="60"/>
        <w:ind w:left="720" w:hanging="240"/>
      </w:pPr>
      <w:r>
        <w:rPr>
          <w:color w:val="3d5a80"/>
        </w:rPr>
        <w:t xml:space="preserve">• </w:t>
      </w:r>
      <w:r>
        <w:t xml:space="preserve">Exchange ambassadors or charge d'affaires.</w:t>
      </w:r>
    </w:p>
    <w:p>
      <w:pPr>
        <w:spacing w:after="60"/>
        <w:ind w:left="720" w:hanging="240"/>
      </w:pPr>
      <w:r>
        <w:rPr>
          <w:color w:val="3d5a80"/>
        </w:rPr>
        <w:t xml:space="preserve">• </w:t>
      </w:r>
      <w:r>
        <w:t xml:space="preserve">Open embassies or diplomatic offices.</w:t>
      </w:r>
    </w:p>
    <w:p>
      <w:pPr>
        <w:spacing w:after="60"/>
        <w:ind w:left="720" w:hanging="240"/>
      </w:pPr>
      <w:r>
        <w:rPr>
          <w:color w:val="3d5a80"/>
        </w:rPr>
        <w:t xml:space="preserve">• </w:t>
      </w:r>
      <w:r>
        <w:t xml:space="preserve">Establish direct telephone and communication hotlines.</w:t>
      </w:r>
    </w:p>
    <w:p>
      <w:pPr>
        <w:spacing w:after="60"/>
        <w:ind w:left="720" w:hanging="240"/>
      </w:pPr>
      <w:r>
        <w:rPr>
          <w:color w:val="3d5a80"/>
        </w:rPr>
        <w:t xml:space="preserve">• </w:t>
      </w:r>
      <w:r>
        <w:t xml:space="preserve">Sign bilateral treaties on aviation, investment, and cultural exchange.</w:t>
      </w:r>
    </w:p>
    <w:p>
      <w:pPr>
        <w:ind w:firstLine="480"/>
      </w:pPr>
      <w:r>
        <w:t xml:space="preserve">No Party is obliged to take any specific step; all normalization is voluntary.</w:t>
      </w:r>
    </w:p>
    <w:p>
      <w:pPr>
        <w:pStyle w:val="Heading2"/>
      </w:pPr>
      <w:r>
        <w:t xml:space="preserve">4.3 Non-Impediment</w:t>
      </w:r>
    </w:p>
    <w:p>
      <w:pPr>
        <w:ind w:firstLine="480"/>
      </w:pPr>
      <w:r>
        <w:t xml:space="preserve">Nothing in this Annex requires any Party to sever or restrict relations with Iran. The Parties maintain their sovereign right to engage with Iran independently of this Annex. Iran's observer status does not impede any Party's relations with Iran.</w:t>
      </w:r>
    </w:p>
    <w:p>
      <w:pPr>
        <w:pStyle w:val="Heading1"/>
      </w:pPr>
      <w:r>
        <w:t xml:space="preserve">Article 5: Relationship to the US-Iran MOU</w:t>
      </w:r>
    </w:p>
    <w:p>
      <w:pPr>
        <w:spacing w:before="80" w:after="160"/>
      </w:pPr>
      <w:r>
        <w:rPr>
          <w:rFonts w:ascii="Cambria" w:hAnsi="Cambria"/>
          <w:b/>
          <w:color w:val="457b9d"/>
          <w:sz w:val="20"/>
        </w:rPr>
        <w:t>OPERATIVE AND BINDING</w:t>
      </w:r>
    </w:p>
    <w:p>
      <w:pPr>
        <w:pStyle w:val="Heading2"/>
      </w:pPr>
      <w:r>
        <w:t xml:space="preserve">5.1 Independence</w:t>
      </w:r>
    </w:p>
    <w:p>
      <w:pPr>
        <w:ind w:firstLine="480"/>
      </w:pPr>
      <w:r>
        <w:t xml:space="preserve">This Annex NORM is an independent instrument. Its provisions create no obligations, rights, or benefits for Iran. The US-Iran MOU (PEACE) states in Part C-3 that Iran is a non-participating observer and is not bound by Annex NORM.</w:t>
      </w:r>
    </w:p>
    <w:p>
      <w:pPr>
        <w:pStyle w:val="Heading2"/>
      </w:pPr>
      <w:r>
        <w:t xml:space="preserve">5.2 No Linkage</w:t>
      </w:r>
    </w:p>
    <w:p>
      <w:pPr>
        <w:ind w:firstLine="480"/>
      </w:pPr>
      <w:r>
        <w:t xml:space="preserve">The implementation of Annex NORM does not affect the US-Iran MOU's nuclear, maritime, or economic cores. A delay or dispute in Annex NORM does not constitute a breach of the US-Iran MOU. Conversely, a suspension of the US-Iran MOU does not suspend Annex NORM.</w:t>
      </w:r>
    </w:p>
    <w:p>
      <w:pPr>
        <w:pStyle w:val="Heading2"/>
      </w:pPr>
      <w:r>
        <w:t xml:space="preserve">5.3 Information Sharing</w:t>
      </w:r>
    </w:p>
    <w:p>
      <w:pPr>
        <w:ind w:firstLine="480"/>
      </w:pPr>
      <w:r>
        <w:t xml:space="preserve">The Joint Secretariat (Muscat) of the US-Iran MOU receives copies of NSC meeting minutes and RDF disbursement records for transparency. However, the Joint Secretariat holds no authority over Annex NORM.</w:t>
      </w:r>
    </w:p>
    <w:p>
      <w:pPr>
        <w:pStyle w:val="Heading1"/>
      </w:pPr>
      <w:r>
        <w:t xml:space="preserve">Article 6: Dispute Resolution</w:t>
      </w:r>
    </w:p>
    <w:p>
      <w:pPr>
        <w:spacing w:before="80" w:after="160"/>
      </w:pPr>
      <w:r>
        <w:rPr>
          <w:rFonts w:ascii="Cambria" w:hAnsi="Cambria"/>
          <w:b/>
          <w:color w:val="457b9d"/>
          <w:sz w:val="20"/>
        </w:rPr>
        <w:t>OPERATIVE AND BINDING</w:t>
      </w:r>
    </w:p>
    <w:p>
      <w:pPr>
        <w:ind w:firstLine="480"/>
      </w:pPr>
      <w:r>
        <w:t xml:space="preserve">Disputes among signatories of this Annex NORM resolve through the following sequence:</w:t>
      </w:r>
    </w:p>
    <w:p>
      <w:pPr>
        <w:spacing w:after="80"/>
        <w:ind w:left="480" w:hanging="360"/>
      </w:pPr>
      <w:r>
        <w:rPr>
          <w:b/>
          <w:color w:val="3d5a80"/>
        </w:rPr>
        <w:t xml:space="preserve">1. </w:t>
      </w:r>
      <w:r>
        <w:t xml:space="preserve">Bilateral consultation within 30 days of the dispute arising.</w:t>
      </w:r>
    </w:p>
    <w:p>
      <w:pPr>
        <w:spacing w:after="80"/>
        <w:ind w:left="480" w:hanging="360"/>
      </w:pPr>
      <w:r>
        <w:rPr>
          <w:b/>
          <w:color w:val="3d5a80"/>
        </w:rPr>
        <w:t xml:space="preserve">2. </w:t>
      </w:r>
      <w:r>
        <w:t xml:space="preserve">If unresolved, referral to the Normalization Steering Committee for mediation.</w:t>
      </w:r>
    </w:p>
    <w:p>
      <w:pPr>
        <w:spacing w:after="80"/>
        <w:ind w:left="480" w:hanging="360"/>
      </w:pPr>
      <w:r>
        <w:rPr>
          <w:b/>
          <w:color w:val="3d5a80"/>
        </w:rPr>
        <w:t xml:space="preserve">3. </w:t>
      </w:r>
      <w:r>
        <w:t xml:space="preserve">If still unresolved, binding arbitration under the Permanent Court of Arbitration (PCA) in The Hague, using PCA Optional Rules for Interstate Disputes. The arbitration panel consists of three members: one appointed by each disputing Party, one neutral chair appointed by the PCA Secretary-General.</w:t>
      </w:r>
    </w:p>
    <w:p>
      <w:pPr>
        <w:ind w:firstLine="480"/>
      </w:pPr>
      <w:r>
        <w:t xml:space="preserve">Iran, as a non-participating observer, is not a party to any dispute and cannot be compelled to arbitrate.</w:t>
      </w:r>
    </w:p>
    <w:p>
      <w:pPr>
        <w:pStyle w:val="Heading1"/>
      </w:pPr>
      <w:r>
        <w:t xml:space="preserve">Article 7: Incorporation by Reference</w:t>
      </w:r>
    </w:p>
    <w:p>
      <w:pPr>
        <w:spacing w:before="80" w:after="160"/>
      </w:pPr>
      <w:r>
        <w:rPr>
          <w:rFonts w:ascii="Cambria" w:hAnsi="Cambria"/>
          <w:b/>
          <w:color w:val="457b9d"/>
          <w:sz w:val="20"/>
        </w:rPr>
        <w:t>OPERATIVE AND BINDING</w:t>
      </w:r>
    </w:p>
    <w:p>
      <w:pPr>
        <w:ind w:firstLine="480"/>
      </w:pPr>
      <w:r>
        <w:t xml:space="preserve">This Annex NORM incorporates into any existing or future agreement between the signatory states by the following adoption sentence:</w:t>
      </w:r>
    </w:p>
    <w:p>
      <w:pPr>
        <w:pBdr>
          <w:left w:val="single" w:color="3d5a80" w:sz="12" w:space="12"/>
        </w:pBdr>
        <w:spacing w:before="200" w:after="200"/>
        <w:ind w:left="720" w:right="720"/>
        <w:jc w:val="both"/>
      </w:pPr>
      <w:r>
        <w:rPr>
          <w:i/>
          <w:color w:val="1d3557"/>
          <w:sz w:val="22"/>
        </w:rPr>
        <w:t xml:space="preserve">"The Parties adopt Annex NORM (Regional Economic and Diplomatic Normalization Framework) as an operative provision of this Agreement. Annex NORM is independent, does not bind Iran, and is interpreted consistently with the US-Iran MOU's provision that Iran is a non-participating observer."</w:t>
      </w:r>
    </w:p>
    <w:p>
      <w:pPr>
        <w:ind w:firstLine="480"/>
      </w:pPr>
      <w:r>
        <w:t xml:space="preserve">No amendment of the US-Iran MOU is required. This Annex NORM enters into force upon signature by at least four of the signatory states, including the United States and at least one other state that has normalized relations with Israel.</w:t>
      </w:r>
    </w:p>
    <w:p>
      <w:pPr>
        <w:pStyle w:val="Heading1"/>
      </w:pPr>
      <w:r>
        <w:t xml:space="preserve">Signature Block</w:t>
      </w:r>
    </w:p>
    <w:p>
      <w:pPr>
        <w:ind w:firstLine="480"/>
      </w:pPr>
      <w:r>
        <w:t xml:space="preserve">In witness whereof, the undersigned, being duly authorized by their respective governments, have signed this Annex NORM: Regional Economic and Diplomatic Normalization Framework.</w:t>
      </w:r>
    </w:p>
    <w:p>
      <w:pPr>
        <w:ind w:firstLine="480"/>
      </w:pPr>
      <w:r>
        <w:t xml:space="preserve">Done at ____________________, this _______ day of _____________________, 2026, in sextuplicate in the English language.</w:t>
      </w:r>
    </w:p>
    <w:p>
      <w:pPr>
        <w:ind w:firstLine="480"/>
      </w:pPr>
      <w:r>
        <w:t xml:space="preserve"/>
      </w:r>
    </w:p>
    <w:p>
      <w:pPr>
        <w:spacing w:before="300" w:after="40"/>
      </w:pPr>
      <w:r>
        <w:rPr>
          <w:b/>
          <w:color w:val="1d3557"/>
          <w:sz w:val="22"/>
        </w:rPr>
        <w:t>For the United States of America:</w:t>
      </w:r>
    </w:p>
    <w:p>
      <w:pPr>
        <w:spacing w:before="300" w:after="40"/>
      </w:pPr>
      <w:r>
        <w:rPr>
          <w:b/>
          <w:color w:val="1d3557"/>
          <w:sz w:val="22"/>
        </w:rPr>
        <w:t>For the Kingdom of Saudi Arabia:</w:t>
      </w:r>
    </w:p>
    <w:p>
      <w:pPr>
        <w:spacing w:before="300" w:after="40"/>
      </w:pPr>
      <w:r>
        <w:rPr>
          <w:b/>
          <w:color w:val="1d3557"/>
          <w:sz w:val="22"/>
        </w:rPr>
        <w:t>For the United Arab Emirates:</w:t>
      </w:r>
    </w:p>
    <w:p>
      <w:pPr>
        <w:spacing w:before="300" w:after="40"/>
      </w:pPr>
      <w:r>
        <w:rPr>
          <w:b/>
          <w:color w:val="1d3557"/>
          <w:sz w:val="22"/>
        </w:rPr>
        <w:t>For the Kingdom of Bahrain:</w:t>
      </w:r>
    </w:p>
    <w:p>
      <w:pPr>
        <w:spacing w:before="300" w:after="40"/>
      </w:pPr>
      <w:r>
        <w:rPr>
          <w:b/>
          <w:color w:val="1d3557"/>
          <w:sz w:val="22"/>
        </w:rPr>
        <w:t>For the Kingdom of Morocco:</w:t>
      </w:r>
    </w:p>
    <w:p>
      <w:pPr>
        <w:spacing w:before="300" w:after="40"/>
      </w:pPr>
      <w:r>
        <w:rPr>
          <w:b/>
          <w:color w:val="1d3557"/>
          <w:sz w:val="22"/>
        </w:rPr>
        <w:t>For the State of Israel:</w:t>
      </w:r>
    </w:p>
    <w:p>
      <w:pPr>
        <w:ind w:firstLine="480"/>
      </w:pPr>
      <w:r>
        <w:t xml:space="preserve"/>
      </w:r>
    </w:p>
    <w:p>
      <w:pPr>
        <w:spacing w:before="200"/>
      </w:pPr>
      <w:r>
        <w:rPr>
          <w:i/>
          <w:color w:val="457b9d"/>
          <w:sz w:val="21"/>
        </w:rPr>
        <w:t xml:space="preserve">Noted by the Joint Secretariat (Muscat) for informational purposes only — no binding effect on the US-Iran MOU.</w:t>
      </w:r>
    </w:p>
    <w:p>
      <w:pPr>
        <w:sectPr>
          <w:headerReference w:type="default" r:id="R124f0f78bd474f38"/>
          <w:footerReference w:type="default" r:id="Rfd7655e47bbf4325"/>
          <w:pgSz w:w="11906" w:h="16838"/>
          <w:pgMar w:top="1800" w:right="1440" w:bottom="1440" w:left="1440" w:header="720" w:footer="720"/>
        </w:sectPr>
      </w:pPr>
    </w:p>
    <w:p>
      <w:r>
        <w:drawing>
          <wp:anchor distT="0" distB="0" distL="0" distR="0" simplePos="0" relativeHeight="251658240"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BackBg"/>
            <wp:cNvGraphicFramePr>
              <a:graphicFrameLocks noChangeAspect="1"/>
            </wp:cNvGraphicFramePr>
            <a:graphic>
              <a:graphicData uri="http://schemas.openxmlformats.org/drawingml/2006/picture">
                <pic:pic>
                  <pic:nvPicPr>
                    <pic:cNvPr id="0" name="BackBg.png"/>
                    <pic:cNvPicPr/>
                  </pic:nvPicPr>
                  <pic:blipFill>
                    <a:blip r:embed="R98e1fc20e8f14ffb"/>
                    <a:stretch>
                      <a:fillRect/>
                    </a:stretch>
                  </pic:blipFill>
                  <pic:spPr>
                    <a:xfrm>
                      <a:off x="0" y="0"/>
                      <a:ext cx="7560000" cy="10692000"/>
                    </a:xfrm>
                    <a:prstGeom prst="rect"/>
                  </pic:spPr>
                </pic:pic>
              </a:graphicData>
            </a:graphic>
          </wp:anchor>
        </w:drawing>
      </w:r>
    </w:p>
    <w:p>
      <w:pPr>
        <w:spacing w:before="6000"/>
      </w:pPr>
      <w:r/>
    </w:p>
    <w:p>
      <w:pPr>
        <w:spacing w:after="200"/>
        <w:jc w:val="center"/>
      </w:pPr>
      <w:r>
        <w:rPr>
          <w:rFonts w:ascii="Cambria" w:hAnsi="Cambria"/>
          <w:b/>
          <w:color w:val="e0e6ed"/>
          <w:sz w:val="48"/>
        </w:rPr>
        <w:t>Annex NORM</w:t>
      </w:r>
    </w:p>
    <w:p>
      <w:pPr>
        <w:spacing w:after="400"/>
        <w:jc w:val="center"/>
      </w:pPr>
      <w:r>
        <w:rPr>
          <w:rFonts w:ascii="Cambria" w:hAnsi="Cambria"/>
          <w:color w:val="8d99ae"/>
          <w:sz w:val="24"/>
        </w:rPr>
        <w:t>Regional Normalization Framework</w:t>
      </w:r>
    </w:p>
    <w:p>
      <w:pPr>
        <w:spacing w:after="100"/>
        <w:jc w:val="center"/>
      </w:pPr>
      <w:r>
        <w:rPr>
          <w:color w:val="b8860b"/>
          <w:sz w:val="18"/>
        </w:rPr>
        <w:t>————————————————</w:t>
      </w:r>
    </w:p>
    <w:p>
      <w:pPr>
        <w:spacing w:before="400"/>
        <w:jc w:val="center"/>
      </w:pPr>
      <w:r>
        <w:rPr>
          <w:color w:val="8d99ae"/>
          <w:sz w:val="18"/>
        </w:rPr>
        <w:t>Modular  •  Incorporable by Reference  •  Parallel Track to US-Iran MOU</w:t>
      </w:r>
    </w:p>
    <w:p>
      <w:pPr>
        <w:spacing w:before="200"/>
        <w:jc w:val="center"/>
      </w:pPr>
      <w:r>
        <w:rPr>
          <w:color w:val="8d99ae"/>
          <w:sz w:val="16"/>
        </w:rPr>
        <w:t>Version 1.0  —  June 2026</w:t>
      </w:r>
    </w:p>
    <w:p>
      <w:pPr>
        <w:spacing w:before="600"/>
        <w:jc w:val="center"/>
      </w:pPr>
      <w:r>
        <w:rPr>
          <w:i/>
          <w:color w:val="b8860b"/>
          <w:sz w:val="16"/>
        </w:rPr>
        <w:t>AUTHORIZED NEGOTIATORS ONLY — CONFIDENTIAL — NOT FOR PUBLIC DISTRIBUTION</w:t>
      </w:r>
    </w:p>
    <w:sectPr>
      <w:pgSz w:w="11906" w:h="16838"/>
      <w:pgMar w:top="0" w:right="0" w:bottom="0" w:left="0" w:header="0" w:footer="0"/>
    </w:sectPr>
  </w:body>
</w:document>
</file>

<file path=word/footer1.xml><?xml version="1.0" encoding="utf-8"?>
<w:ftr xmlns:w="http://schemas.openxmlformats.org/wordprocessingml/2006/main">
  <w:p>
    <w:pPr>
      <w:jc w:val="center"/>
    </w:pPr>
    <w:r>
      <w:rPr>
        <w:color w:val="8d99ae"/>
        <w:sz w:val="18"/>
      </w:rPr>
      <w:t xml:space="preserve">Page </w:t>
    </w:r>
    <w:r>
      <w:rPr>
        <w:color w:val="8d99ae"/>
        <w:sz w:val="18"/>
      </w:rPr>
      <w:fldChar w:fldCharType="begin"/>
    </w:r>
    <w:r>
      <w:rPr>
        <w:color w:val="8d99ae"/>
        <w:sz w:val="18"/>
      </w:rPr>
      <w:instrText xml:space="preserve"> PAGE </w:instrText>
    </w:r>
    <w:r>
      <w:rPr>
        <w:color w:val="8d99ae"/>
        <w:sz w:val="18"/>
      </w:rPr>
      <w:fldChar w:fldCharType="separate"/>
    </w:r>
    <w:r>
      <w:rPr>
        <w:color w:val="8d99ae"/>
        <w:sz w:val="18"/>
      </w:rPr>
      <w:t>1</w:t>
    </w:r>
    <w:r>
      <w:rPr>
        <w:color w:val="8d99ae"/>
        <w:sz w:val="18"/>
      </w:rPr>
      <w:fldChar w:fldCharType="end"/>
    </w:r>
  </w:p>
</w:ftr>
</file>

<file path=word/header1.xml><?xml version="1.0" encoding="utf-8"?>
<w:hdr xmlns:w="http://schemas.openxmlformats.org/wordprocessingml/2006/main">
  <w:p>
    <w:pPr>
      <w:jc w:val="right"/>
    </w:pPr>
    <w:r>
      <w:rPr>
        <w:rFonts w:ascii="Cambria" w:hAnsi="Cambria"/>
        <w:color w:val="8d99ae"/>
        <w:sz w:val="18"/>
      </w:rPr>
      <w:t>Annex NORM — Regional Normalization Framework</w:t>
    </w:r>
  </w:p>
</w:hdr>
</file>

<file path=word/settings.xml><?xml version="1.0" encoding="utf-8"?>
<w:settings xmlns:w="http://schemas.openxmlformats.org/wordprocessingml/2006/main">
  <w:displayBackgroundShape/>
  <w:updateFields w:val="true"/>
</w:settings>
</file>

<file path=word/styles.xml><?xml version="1.0" encoding="utf-8"?>
<w:styles xmlns:w="http://schemas.openxmlformats.org/wordprocessingml/2006/main">
  <w:style w:type="paragraph" w:styleId="Normal" w:default="true">
    <w:name w:val="Normal"/>
    <w:pPr>
      <w:spacing w:after="160" w:line="276" w:lineRule="auto"/>
      <w:jc w:val="both"/>
    </w:pPr>
    <w:rPr>
      <w:rFonts w:ascii="Cambria" w:hAnsi="Cambria" w:eastAsia="Microsoft YaHei"/>
      <w:color w:val="1d3557"/>
      <w:sz w:val="22"/>
    </w:rPr>
  </w:style>
  <w:style w:type="paragraph" w:styleId="Heading1">
    <w:name w:val="heading 1"/>
    <w:basedOn w:val="Normal"/>
    <w:pPr>
      <w:keepNext/>
      <w:keepLines/>
      <w:spacing w:before="400" w:after="200" w:line="276" w:lineRule="auto"/>
      <w:outlineLvl w:val="0"/>
    </w:pPr>
    <w:rPr>
      <w:rFonts w:ascii="Cambria" w:hAnsi="Cambria" w:eastAsia="Microsoft YaHei"/>
      <w:b/>
      <w:color w:val="3d5a80"/>
      <w:sz w:val="32"/>
    </w:rPr>
  </w:style>
  <w:style w:type="paragraph" w:styleId="Heading2">
    <w:name w:val="heading 2"/>
    <w:basedOn w:val="Normal"/>
    <w:pPr>
      <w:keepNext/>
      <w:keepLines/>
      <w:spacing w:before="280" w:after="120" w:line="276" w:lineRule="auto"/>
      <w:outlineLvl w:val="1"/>
    </w:pPr>
    <w:rPr>
      <w:rFonts w:ascii="Cambria" w:hAnsi="Cambria" w:eastAsia="Microsoft YaHei"/>
      <w:b/>
      <w:color w:val="1d3557"/>
      <w:sz w:val="26"/>
    </w:rPr>
  </w:style>
  <w:style w:type="paragraph" w:styleId="Heading3">
    <w:name w:val="heading 3"/>
    <w:basedOn w:val="Normal"/>
    <w:pPr>
      <w:keepNext/>
      <w:keepLines/>
      <w:spacing w:before="200" w:after="80" w:line="276" w:lineRule="auto"/>
      <w:outlineLvl w:val="2"/>
    </w:pPr>
    <w:rPr>
      <w:rFonts w:ascii="Cambria" w:hAnsi="Cambria" w:eastAsia="Microsoft YaHei"/>
      <w:b/>
      <w:color w:val="457b9d"/>
      <w:sz w:val="24"/>
    </w:rPr>
  </w:style>
  <w:style w:type="paragraph" w:styleId="Caption">
    <w:name w:val="Caption"/>
    <w:basedOn w:val="Normal"/>
    <w:pPr>
      <w:spacing w:before="40" w:after="240"/>
      <w:jc w:val="center"/>
    </w:pPr>
    <w:rPr>
      <w:i/>
      <w:color w:val="8d99ae"/>
      <w:sz w:val="20"/>
    </w:rPr>
  </w:style>
  <w:style w:type="paragraph" w:styleId="TOC1">
    <w:name w:val="toc 1"/>
    <w:basedOn w:val="Normal"/>
    <w:pPr>
      <w:tabs>
        <w:tab w:val="right" w:leader="dot" w:pos="9350"/>
      </w:tabs>
      <w:spacing w:before="160" w:after="40"/>
      <w:ind w:left="0"/>
    </w:pPr>
    <w:rPr>
      <w:b/>
      <w:color w:val="1d3557"/>
      <w:sz w:val="21"/>
    </w:rPr>
  </w:style>
  <w:style w:type="paragraph" w:styleId="TOC2">
    <w:name w:val="toc 2"/>
    <w:basedOn w:val="Normal"/>
    <w:pPr>
      <w:tabs>
        <w:tab w:val="right" w:leader="dot" w:pos="9350"/>
      </w:tabs>
      <w:spacing w:before="60" w:after="40"/>
      <w:ind w:left="240"/>
    </w:pPr>
    <w:rPr>
      <w:color w:val="457b9d"/>
      <w:sz w:val="21"/>
    </w:rPr>
  </w:style>
  <w:style w:type="paragraph" w:styleId="TOC3">
    <w:name w:val="toc 3"/>
    <w:basedOn w:val="Normal"/>
    <w:pPr>
      <w:tabs>
        <w:tab w:val="right" w:leader="dot" w:pos="9350"/>
      </w:tabs>
      <w:spacing w:before="40" w:after="40"/>
      <w:ind w:left="480"/>
    </w:pPr>
    <w:rPr>
      <w:color w:val="457b9d"/>
      <w:sz w:val="21"/>
    </w:rPr>
  </w:style>
</w:styles>
</file>

<file path=word/_rels/document.xml.rels><?xml version='1.0' encoding='UTF-8'?>
<Relationships xmlns="http://schemas.openxmlformats.org/package/2006/relationships"><Relationship Type="http://schemas.openxmlformats.org/officeDocument/2006/relationships/styles" Target="styles.xml" Id="Rd0b1c50abf414684" /><Relationship Type="http://schemas.openxmlformats.org/officeDocument/2006/relationships/image" Target="media/image.png" Id="R054d14ed489d4e8a" /><Relationship Type="http://schemas.openxmlformats.org/officeDocument/2006/relationships/image" Target="media/image2.png" Id="R98e1fc20e8f14ffb" /><Relationship Type="http://schemas.openxmlformats.org/officeDocument/2006/relationships/header" Target="header1.xml" Id="R124f0f78bd474f38" /><Relationship Type="http://schemas.openxmlformats.org/officeDocument/2006/relationships/footer" Target="footer1.xml" Id="Rfd7655e47bbf4325" /><Relationship Type="http://schemas.openxmlformats.org/officeDocument/2006/relationships/settings" Target="settings.xml" Id="R8e25c2c84a2b4f38" /></Relationships>
</file>