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6793830699024222" /></Relationships>
</file>

<file path=word/document.xml><?xml version="1.0" encoding="utf-8"?>
<w:document xmlns:r="http://schemas.openxmlformats.org/officeDocument/2006/relationships" xmlns:w="http://schemas.openxmlformats.org/wordprocessingml/2006/main">
  <w:body>
    <w:p>
      <w:pPr>
        <w:spacing w:before="2000"/>
      </w:pPr>
      <w:r/>
    </w:p>
    <w:p>
      <w:pPr>
        <w:spacing w:after="400"/>
        <w:jc w:val="center"/>
      </w:pPr>
      <w:r>
        <w:rPr>
          <w:caps w:val="true"/>
          <w:color w:val="1a365d"/>
          <w:spacing w:val="60"/>
          <w:sz w:val="20"/>
        </w:rPr>
        <w:t>Diplomatic Working Document</w:t>
      </w:r>
    </w:p>
    <w:p>
      <w:pPr>
        <w:spacing w:after="200"/>
        <w:jc w:val="center"/>
      </w:pPr>
      <w:r>
        <w:rPr>
          <w:b w:val="true"/>
          <w:color w:val="1a365d"/>
          <w:spacing w:val="80"/>
          <w:sz w:val="32"/>
        </w:rPr>
        <w:t>ANNEX NW</w:t>
      </w:r>
    </w:p>
    <w:p>
      <w:pPr>
        <w:spacing w:after="300"/>
        <w:jc w:val="center"/>
      </w:pPr>
      <w:r>
        <w:rPr>
          <w:b w:val="true"/>
          <w:color w:val="2d3748"/>
          <w:sz w:val="52"/>
        </w:rPr>
        <w:t>Nuclear Weapons</w:t>
      </w:r>
    </w:p>
    <w:p>
      <w:pPr>
        <w:spacing w:after="300"/>
        <w:jc w:val="center"/>
      </w:pPr>
      <w:r>
        <w:rPr>
          <w:b w:val="true"/>
          <w:color w:val="2d3748"/>
          <w:sz w:val="52"/>
        </w:rPr>
        <w:t>Non-Development &amp;</w:t>
      </w:r>
    </w:p>
    <w:p>
      <w:pPr>
        <w:spacing w:after="400"/>
        <w:jc w:val="center"/>
      </w:pPr>
      <w:r>
        <w:rPr>
          <w:b w:val="true"/>
          <w:color w:val="2d3748"/>
          <w:sz w:val="52"/>
        </w:rPr>
        <w:t>Non-Acquisition Pledge</w:t>
      </w:r>
    </w:p>
    <w:p>
      <w:pPr>
        <w:spacing w:after="600"/>
        <w:jc w:val="center"/>
      </w:pPr>
      <w:r>
        <w:rPr>
          <w:i w:val="true"/>
          <w:color w:val="4a5568"/>
          <w:sz w:val="24"/>
        </w:rPr>
        <w:t>"No Nuclear Weapons" — A Binding, Verifiable Commitment</w:t>
      </w:r>
    </w:p>
    <w:p>
      <w:pPr>
        <w:spacing w:after="2000"/>
        <w:jc w:val="center"/>
      </w:pPr>
      <w:r>
        <w:rPr>
          <w:b w:val="true"/>
          <w:color w:val="c53030"/>
          <w:spacing w:val="40"/>
          <w:sz w:val="20"/>
        </w:rPr>
        <w:t>HEADLINE COMMITMENT</w:t>
      </w:r>
    </w:p>
    <w:p>
      <w:pPr>
        <w:spacing w:after="200"/>
        <w:jc w:val="center"/>
      </w:pPr>
      <w:r>
        <w:rPr>
          <w:color w:val="4a5568"/>
          <w:sz w:val="20"/>
        </w:rPr>
        <w:t>Modular  ·  Self-Contained  ·  Incorporable by Reference</w:t>
      </w:r>
    </w:p>
    <w:p>
      <w:pPr>
        <w:jc w:val="center"/>
      </w:pPr>
      <w:r>
        <w:rPr>
          <w:color w:val="4a5568"/>
          <w:sz w:val="20"/>
        </w:rPr>
        <w:t>Version 1.0  |  June 2026</w:t>
      </w:r>
    </w:p>
    <w:p>
      <w:pPr>
        <w:sectPr>
          <w:type w:val="nextPage"/>
          <w:pgSz w:w="11906" w:h="16838"/>
          <w:pgMar w:top="0" w:right="0" w:bottom="0" w:left="0" w:header="0" w:footer="0"/>
          <w:titlePg w:val="true"/>
        </w:sectPr>
      </w:pPr>
    </w:p>
    <w:p>
      <w:pPr>
        <w:spacing w:after="400"/>
        <w:jc w:val="center"/>
      </w:pPr>
      <w:r>
        <w:rPr>
          <w:b w:val="true"/>
          <w:color w:val="1a365d"/>
          <w:sz w:val="40"/>
        </w:rPr>
        <w:t>Table of Contents</w:t>
      </w:r>
    </w:p>
    <w:p>
      <w:r>
        <w:fldChar w:fldCharType="begin"/>
      </w:r>
      <w:r>
        <w:instrText xml:space="preserve"> TOC \o "1-2" \h \z \u </w:instrText>
      </w:r>
      <w:r>
        <w:fldChar w:fldCharType="separate"/>
      </w:r>
    </w:p>
    <w:p>
      <w:pPr>
        <w:pStyle w:val="TOC1"/>
      </w:pPr>
      <w:r>
        <w:t>Preamble</w:t>
      </w:r>
      <w:r>
        <w:tab/>
      </w:r>
      <w:r>
        <w:t>1</w:t>
      </w:r>
    </w:p>
    <w:p>
      <w:pPr>
        <w:pStyle w:val="TOC1"/>
      </w:pPr>
      <w:r>
        <w:t>Article 1 — The Pledge</w:t>
      </w:r>
      <w:r>
        <w:tab/>
      </w:r>
      <w:r>
        <w:t>1</w:t>
      </w:r>
    </w:p>
    <w:p>
      <w:pPr>
        <w:pStyle w:val="TOC2"/>
      </w:pPr>
      <w:r>
        <w:t>1.1 No Development or Production</w:t>
      </w:r>
      <w:r>
        <w:tab/>
      </w:r>
      <w:r>
        <w:t>1</w:t>
      </w:r>
    </w:p>
    <w:p>
      <w:pPr>
        <w:pStyle w:val="TOC2"/>
      </w:pPr>
      <w:r>
        <w:t>1.2 No Acquisition or Possession</w:t>
      </w:r>
      <w:r>
        <w:tab/>
      </w:r>
      <w:r>
        <w:t>1</w:t>
      </w:r>
    </w:p>
    <w:p>
      <w:pPr>
        <w:pStyle w:val="TOC2"/>
      </w:pPr>
      <w:r>
        <w:t>1.3 No Weaponization Activity</w:t>
      </w:r>
      <w:r>
        <w:tab/>
      </w:r>
      <w:r>
        <w:t>1</w:t>
      </w:r>
    </w:p>
    <w:p>
      <w:pPr>
        <w:pStyle w:val="TOC1"/>
      </w:pPr>
      <w:r>
        <w:t>Article 2 — Non-Acquisition Clause</w:t>
      </w:r>
      <w:r>
        <w:tab/>
      </w:r>
      <w:r>
        <w:t>1</w:t>
      </w:r>
    </w:p>
    <w:p>
      <w:pPr>
        <w:pStyle w:val="TOC2"/>
      </w:pPr>
      <w:r>
        <w:t>2.1 Explicit Ban on Purchase or Acquisition</w:t>
      </w:r>
      <w:r>
        <w:tab/>
      </w:r>
      <w:r>
        <w:t>1</w:t>
      </w:r>
    </w:p>
    <w:p>
      <w:pPr>
        <w:pStyle w:val="TOC2"/>
      </w:pPr>
      <w:r>
        <w:t>2.2 No Facilitation of Third-Party Acquisition</w:t>
      </w:r>
      <w:r>
        <w:tab/>
      </w:r>
      <w:r>
        <w:t>1</w:t>
      </w:r>
    </w:p>
    <w:p>
      <w:pPr>
        <w:pStyle w:val="TOC2"/>
      </w:pPr>
      <w:r>
        <w:t>2.3 No Foreign Nuclear Weapons on Iranian Territory</w:t>
      </w:r>
      <w:r>
        <w:tab/>
      </w:r>
      <w:r>
        <w:t>1</w:t>
      </w:r>
    </w:p>
    <w:p>
      <w:pPr>
        <w:pStyle w:val="TOC1"/>
      </w:pPr>
      <w:r>
        <w:t>Article 3 — Verification and Enforcement</w:t>
      </w:r>
      <w:r>
        <w:tab/>
      </w:r>
      <w:r>
        <w:t>1</w:t>
      </w:r>
    </w:p>
    <w:p>
      <w:pPr>
        <w:pStyle w:val="TOC2"/>
      </w:pPr>
      <w:r>
        <w:t>3.1 IAEA Verification Authority</w:t>
      </w:r>
      <w:r>
        <w:tab/>
      </w:r>
      <w:r>
        <w:t>1</w:t>
      </w:r>
    </w:p>
    <w:p>
      <w:pPr>
        <w:pStyle w:val="TOC2"/>
      </w:pPr>
      <w:r>
        <w:t>3.2 Binding Obligation — Not a Political Statement</w:t>
      </w:r>
      <w:r>
        <w:tab/>
      </w:r>
      <w:r>
        <w:t>1</w:t>
      </w:r>
    </w:p>
    <w:p>
      <w:pPr>
        <w:pStyle w:val="TOC2"/>
      </w:pPr>
      <w:r>
        <w:t>3.3 Emergency Consultation and Guarantor Matrix</w:t>
      </w:r>
      <w:r>
        <w:tab/>
      </w:r>
      <w:r>
        <w:t>1</w:t>
      </w:r>
    </w:p>
    <w:p>
      <w:pPr>
        <w:pStyle w:val="TOC1"/>
      </w:pPr>
      <w:r>
        <w:t>Article 4 — Relationship to Other Annexes</w:t>
      </w:r>
      <w:r>
        <w:tab/>
      </w:r>
      <w:r>
        <w:t>1</w:t>
      </w:r>
    </w:p>
    <w:p>
      <w:pPr>
        <w:pStyle w:val="TOC1"/>
      </w:pPr>
      <w:r>
        <w:t>Article 5 — Political Pitch Matrix</w:t>
      </w:r>
      <w:r>
        <w:tab/>
      </w:r>
      <w:r>
        <w:t>1</w:t>
      </w:r>
    </w:p>
    <w:p>
      <w:pPr>
        <w:pStyle w:val="TOC1"/>
      </w:pPr>
      <w:r>
        <w:t>Article 6 — Incorporation by Reference</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pPr>
      <w:r>
        <w:t>Preamble</w:t>
      </w:r>
    </w:p>
    <w:p>
      <w:pPr>
        <w:pStyle w:val="Normal"/>
      </w:pPr>
      <w:r>
        <w:t>The Islamic Republic of Iran has consistently affirmed that its nuclear program is for peaceful purposes only. The Supreme Leader of Iran has issued a fatwa declaring the development, production, stockpiling, and use of nuclear weapons to be forbidden under Islamic law. Iran is a State Party to the Treaty on the Non-Proliferation of Nuclear Weapons (NPT) and has long maintained that it seeks only the peaceful applications of nuclear energy.</w:t>
      </w:r>
    </w:p>
    <w:p>
      <w:pPr>
        <w:pStyle w:val="Normal"/>
      </w:pPr>
      <w:r>
        <w:t>The United States of America has sought a clear, unequivocal, and verifiable commitment from Iran that it will not develop or acquire nuclear weapons. The United States has emphasized that any agreement must include explicit language prohibiting not only the development but also the purchase or acquisition of nuclear weapons from any external source.</w:t>
      </w:r>
    </w:p>
    <w:p>
      <w:pPr>
        <w:pStyle w:val="Normal"/>
      </w:pPr>
      <w:r>
        <w:t>This Annex records Iran's solemn pledge to forgo the development, acquisition, or possession of nuclear weapons, and to reject any path toward weaponization. It transforms a long-standing political position into a binding, verifiable, and enforceable article of this Agreement. It gives the United States a declarative, headline-worthy commitment without imposing new technical restrictions on Iran's peaceful nuclear program.</w:t>
      </w:r>
    </w:p>
    <w:p>
      <w:pPr>
        <w:pStyle w:val="Heading1"/>
      </w:pPr>
      <w:r>
        <w:t>Article 1 — The Pledge</w:t>
      </w:r>
    </w:p>
    <w:p>
      <w:pPr>
        <w:spacing w:after="300"/>
      </w:pPr>
      <w:r>
        <w:rPr>
          <w:b w:val="true"/>
          <w:caps w:val="true"/>
          <w:color w:val="1a365d"/>
          <w:spacing w:val="30"/>
          <w:sz w:val="18"/>
        </w:rPr>
        <w:t>Operative and Binding — Iran's Core Commitment</w:t>
      </w:r>
    </w:p>
    <w:p>
      <w:pPr>
        <w:pBdr>
          <w:top w:val="single" w:color="1a365d" w:sz="16"/>
          <w:left w:val="single" w:color="1a365d" w:sz="16"/>
          <w:bottom w:val="single" w:color="1a365d" w:sz="16"/>
          <w:right w:val="single" w:color="1a365d" w:sz="16"/>
        </w:pBdr>
        <w:shd w:fill="edf2f7"/>
        <w:spacing w:before="200" w:after="400"/>
        <w:ind w:left="200" w:right="200"/>
        <w:jc w:val="center"/>
      </w:pPr>
      <w:r>
        <w:rPr>
          <w:b w:val="true"/>
          <w:caps w:val="true"/>
          <w:color w:val="1a365d"/>
          <w:spacing w:val="20"/>
          <w:sz w:val="20"/>
        </w:rPr>
        <w:t>The Solemn Pledge of the Islamic Republic of Iran</w:t>
      </w:r>
      <w:r>
        <w:br/>
      </w:r>
      <w:r>
        <w:br/>
      </w:r>
      <w:r>
        <w:rPr>
          <w:i w:val="true"/>
          <w:color w:val="1a365d"/>
          <w:sz w:val="24"/>
        </w:rPr>
        <w:t>“Iran shall not develop, produce, acquire, purchase, or possess any nuclear weapon.”</w:t>
      </w:r>
    </w:p>
    <w:p>
      <w:pPr>
        <w:pStyle w:val="Heading2"/>
      </w:pPr>
      <w:r>
        <w:t>1.1 No Development or Production</w:t>
      </w:r>
    </w:p>
    <w:p>
      <w:pPr>
        <w:pStyle w:val="Normal"/>
      </w:pPr>
      <w:r>
        <w:t>The Islamic Republic of Iran shall not develop, produce, acquire, purchase, or otherwise obtain any nuclear weapon or other nuclear explosive device. This prohibition is comprehensive and covers all stages of the weapons lifecycle, from research and design through manufacturing, assembly, and testing.</w:t>
      </w:r>
    </w:p>
    <w:p>
      <w:pPr>
        <w:pStyle w:val="Heading2"/>
      </w:pPr>
      <w:r>
        <w:t>1.2 No Acquisition or Possession</w:t>
      </w:r>
    </w:p>
    <w:p>
      <w:pPr>
        <w:pStyle w:val="Normal"/>
      </w:pPr>
      <w:r>
        <w:t>Iran shall not seek, receive, or possess any nuclear weapon, nuclear explosive device, or any component thereof, regardless of origin or method of transfer. This prohibition applies whether the weapon is acquired through purchase, gift, transfer, loan, lease, or any other arrangement.</w:t>
      </w:r>
    </w:p>
    <w:p>
      <w:pPr>
        <w:pStyle w:val="Heading2"/>
      </w:pPr>
      <w:r>
        <w:t>1.3 No Weaponization Activity</w:t>
      </w:r>
    </w:p>
    <w:p>
      <w:pPr>
        <w:pStyle w:val="Normal"/>
      </w:pPr>
      <w:r>
        <w:t>Iran shall not engage in any activity, including research, development, testing, or manufacturing, that is designed to produce or facilitate the production of a nuclear weapon. This includes but is not limited to: weapons-grade fissile material production beyond peaceful requirements; explosive lens research; multi-point detonation testing; and neutron initiator development when designed for weapons applications.</w:t>
      </w:r>
    </w:p>
    <w:p>
      <w:pPr>
        <w:pStyle w:val="Heading1"/>
      </w:pPr>
      <w:r>
        <w:t>Article 2 — Non-Acquisition Clause</w:t>
      </w:r>
    </w:p>
    <w:p>
      <w:pPr>
        <w:spacing w:after="300"/>
      </w:pPr>
      <w:r>
        <w:rPr>
          <w:b w:val="true"/>
          <w:caps w:val="true"/>
          <w:color w:val="1a365d"/>
          <w:spacing w:val="30"/>
          <w:sz w:val="18"/>
        </w:rPr>
        <w:t>Operative and Binding — Addressing the Purchase Prohibition</w:t>
      </w:r>
    </w:p>
    <w:p>
      <w:pPr>
        <w:pStyle w:val="Heading2"/>
      </w:pPr>
      <w:r>
        <w:t>2.1 Explicit Ban on Purchase or Acquisition</w:t>
      </w:r>
    </w:p>
    <w:p>
      <w:pPr>
        <w:pStyle w:val="Normal"/>
      </w:pPr>
      <w:r>
        <w:t>The prohibition in Article 1 explicitly extends to any attempt by Iran to buy, purchase, or acquire a nuclear weapon or nuclear explosive device from any external source. Iran shall not enter into any agreement, arrangement, or understanding — formal or informal — that would result in the transfer of a nuclear weapon to Iran or to any entity acting on Iran's behalf.</w:t>
      </w:r>
    </w:p>
    <w:p>
      <w:pPr>
        <w:pStyle w:val="Heading2"/>
      </w:pPr>
      <w:r>
        <w:t>2.2 No Facilitation of Third-Party Acquisition</w:t>
      </w:r>
    </w:p>
    <w:p>
      <w:pPr>
        <w:pStyle w:val="Normal"/>
      </w:pPr>
      <w:r>
        <w:t>Iran shall not facilitate, finance, or assist any other state or non-state actor in the acquisition or development of a nuclear weapon. This prohibition covers technical assistance, material transfer, financial support, training, intelligence sharing, or any other form of cooperation that contributes to another party's nuclear weapons program.</w:t>
      </w:r>
    </w:p>
    <w:p>
      <w:pPr>
        <w:pStyle w:val="Heading2"/>
      </w:pPr>
      <w:r>
        <w:t>2.3 No Foreign Nuclear Weapons on Iranian Territory</w:t>
      </w:r>
    </w:p>
    <w:p>
      <w:pPr>
        <w:pStyle w:val="Normal"/>
      </w:pPr>
      <w:r>
        <w:t>Iran shall not permit any foreign nuclear weapon to be stationed, stored, deployed, or transited through its territory, territorial waters, or airspace. This prohibition applies to weapons belonging to allies, strategic partners, or any other state or non-state entity, regardless of any mutual defense arrangement.</w:t>
      </w:r>
    </w:p>
    <w:p>
      <w:pPr>
        <w:pStyle w:val="Heading1"/>
      </w:pPr>
      <w:r>
        <w:t>Article 3 — Verification and Enforcement</w:t>
      </w:r>
    </w:p>
    <w:p>
      <w:pPr>
        <w:spacing w:after="300"/>
      </w:pPr>
      <w:r>
        <w:rPr>
          <w:b w:val="true"/>
          <w:caps w:val="true"/>
          <w:color w:val="1a365d"/>
          <w:spacing w:val="30"/>
          <w:sz w:val="18"/>
        </w:rPr>
        <w:t>Operative and Binding — Making the Pledge Real</w:t>
      </w:r>
    </w:p>
    <w:p>
      <w:pPr>
        <w:pStyle w:val="Heading2"/>
      </w:pPr>
      <w:r>
        <w:t>3.1 IAEA Verification Authority</w:t>
      </w:r>
    </w:p>
    <w:p>
      <w:pPr>
        <w:pStyle w:val="Normal"/>
      </w:pPr>
      <w:r>
        <w:t>The International Atomic Energy Agency (IAEA) is the designated verification authority for this Annex. The IAEA applies all safeguards, inspection, and monitoring tools available to it under the MOU, the Additional Protocol, and relevant IAEA Board of Governors resolutions to verify Iran's compliance with this Annex.</w:t>
      </w:r>
    </w:p>
    <w:p>
      <w:pPr>
        <w:pStyle w:val="Normal"/>
      </w:pPr>
      <w:r>
        <w:t>Specific verification measures include: continuous monitoring of declared nuclear facilities; environmental sampling at suspected locations; complementary access inspections under the Additional Protocol; and real-time mass spectrometry and isotopic analysis of all nuclear material under safeguards.</w:t>
      </w:r>
    </w:p>
    <w:p>
      <w:pPr>
        <w:pStyle w:val="Heading2"/>
      </w:pPr>
      <w:r>
        <w:t>3.2 Binding Obligation — Not a Political Statement</w:t>
      </w:r>
    </w:p>
    <w:p>
      <w:pPr>
        <w:pStyle w:val="Normal"/>
      </w:pPr>
      <w:r>
        <w:t>Iran's pledge under this Annex is not a political statement. It is a binding obligation under international law. Any verified violation of this Annex constitutes a Tier 3 Deliberate Hostile Violation under Annex T (Adaptive Stabilization and Compliance Resilience Matrix) and triggers the full consequences thereof.</w:t>
      </w:r>
    </w:p>
    <w:p>
      <w:pPr>
        <w:pStyle w:val="Normal"/>
      </w:pPr>
      <w:r>
        <w:t>Specific consequences of a verified violation include: automatic 25-50% reduction in non-humanitarian benefits; immediate suspension of all sanctions relief pending remediation; referral to the UN Security Council under Chapter VII of the UN Charter; and potential invocation of the Guarantor Matrix for consensus determination on further measures.</w:t>
      </w:r>
    </w:p>
    <w:p>
      <w:pPr>
        <w:pStyle w:val="Heading2"/>
      </w:pPr>
      <w:r>
        <w:t>3.3 Emergency Consultation and Guarantor Matrix</w:t>
      </w:r>
    </w:p>
    <w:p>
      <w:pPr>
        <w:pStyle w:val="Normal"/>
      </w:pPr>
      <w:r>
        <w:t>The Parties agree that any credible evidence of Iran's pursuit, development, or acquisition of a nuclear weapon constitutes grounds for immediate Permanent Consultative Council (PCC) emergency consultation. The PCC convenes within 24 hours of receipt of such evidence.</w:t>
      </w:r>
    </w:p>
    <w:p>
      <w:pPr>
        <w:pStyle w:val="Normal"/>
      </w:pPr>
      <w:r>
        <w:t>If the PCC determines by majority vote of non-Party members that credible evidence of a violation exists, the matter is referred to the Guarantor Matrix for consensus determination on appropriate measures. The Guarantor Matrix comprises: the Islamic Republic of Pakistan; the Sultanate of Oman; the Swiss Confederation; and the United Nations Security Council (as observer).</w:t>
      </w:r>
    </w:p>
    <w:p>
      <w:pPr>
        <w:pStyle w:val="Heading1"/>
      </w:pPr>
      <w:r>
        <w:t>Article 4 — Relationship to Other Annexes</w:t>
      </w:r>
    </w:p>
    <w:p>
      <w:pPr>
        <w:spacing w:after="300"/>
      </w:pPr>
      <w:r>
        <w:rPr>
          <w:b w:val="true"/>
          <w:caps w:val="true"/>
          <w:color w:val="1a365d"/>
          <w:spacing w:val="30"/>
          <w:sz w:val="18"/>
        </w:rPr>
        <w:t>Operative and Binding</w:t>
      </w:r>
    </w:p>
    <w:p>
      <w:pPr>
        <w:pStyle w:val="Normal"/>
      </w:pPr>
      <w:r>
        <w:t>This Annex supplements, and does not replace, the nuclear-related obligations set forth elsewhere in this Agreement. The following table identifies the operative relationships:</w:t>
      </w:r>
    </w:p>
    <w:tbl>
      <w:tblPr>
        <w:tblW w:w="5000" w:type="pct"/>
        <w:tblBorders>
          <w:top w:val="single" w:color="2d3748" w:sz="12"/>
          <w:left w:val="nil"/>
          <w:bottom w:val="single" w:color="2d3748" w:sz="12"/>
          <w:right w:val="nil"/>
          <w:insideH w:val="single" w:color="cbd5e0" w:sz="4"/>
          <w:insideV w:val="nil"/>
        </w:tblBorders>
      </w:tblPr>
      <w:tblGrid>
        <w:gridCol w:w="3000"/>
        <w:gridCol w:w="7000"/>
      </w:tblGrid>
      <w:tr>
        <w:tc>
          <w:tcPr>
            <w:tcW w:w="3000" w:type="dxa"/>
            <w:tcBorders>
              <w:bottom w:val="single" w:color="2d3748" w:sz="8"/>
            </w:tcBorders>
            <w:shd w:val="clear" w:fill="edf2f7"/>
          </w:tcPr>
          <w:p>
            <w:pPr>
              <w:spacing w:before="80" w:after="80"/>
            </w:pPr>
            <w:r>
              <w:rPr>
                <w:rFonts w:ascii="Georgia" w:hAnsi="Georgia"/>
                <w:b w:val="true"/>
                <w:sz w:val="20"/>
              </w:rPr>
              <w:t>Annex / Provision</w:t>
            </w:r>
          </w:p>
        </w:tc>
        <w:tc>
          <w:tcPr>
            <w:tcW w:w="7000" w:type="dxa"/>
            <w:tcBorders>
              <w:bottom w:val="single" w:color="2d3748" w:sz="8"/>
            </w:tcBorders>
            <w:shd w:val="clear" w:fill="edf2f7"/>
          </w:tcPr>
          <w:p>
            <w:pPr>
              <w:spacing w:before="80" w:after="80"/>
            </w:pPr>
            <w:r>
              <w:rPr>
                <w:rFonts w:ascii="Georgia" w:hAnsi="Georgia"/>
                <w:b w:val="true"/>
                <w:sz w:val="20"/>
              </w:rPr>
              <w:t>Relationship</w:t>
            </w:r>
          </w:p>
        </w:tc>
      </w:tr>
      <w:tr>
        <w:tc>
          <w:tcPr>
            <w:tcW w:w="3000" w:type="dxa"/>
          </w:tcPr>
          <w:p>
            <w:pPr>
              <w:spacing w:before="80" w:after="80"/>
            </w:pPr>
            <w:r>
              <w:rPr>
                <w:rFonts w:ascii="Georgia" w:hAnsi="Georgia"/>
                <w:sz w:val="19"/>
              </w:rPr>
              <w:t>MOU Article 3.1 (Enrichment Cap)</w:t>
            </w:r>
          </w:p>
        </w:tc>
        <w:tc>
          <w:tcPr>
            <w:tcW w:w="7000" w:type="dxa"/>
          </w:tcPr>
          <w:p>
            <w:pPr>
              <w:spacing w:before="80" w:after="80"/>
            </w:pPr>
            <w:r>
              <w:rPr>
                <w:rFonts w:ascii="Georgia" w:hAnsi="Georgia"/>
                <w:sz w:val="19"/>
              </w:rPr>
              <w:t>This Annex does not alter the 3.67% enrichment cap. The cap and this Annex operate in parallel as complementary non-proliferation measures.</w:t>
            </w:r>
          </w:p>
        </w:tc>
      </w:tr>
      <w:tr>
        <w:tc>
          <w:tcPr>
            <w:tcW w:w="3000" w:type="dxa"/>
          </w:tcPr>
          <w:p>
            <w:pPr>
              <w:spacing w:before="80" w:after="80"/>
            </w:pPr>
            <w:r>
              <w:rPr>
                <w:rFonts w:ascii="Georgia" w:hAnsi="Georgia"/>
                <w:sz w:val="19"/>
              </w:rPr>
              <w:t>Annex Y (Dual-Key Custody)</w:t>
            </w:r>
          </w:p>
        </w:tc>
        <w:tc>
          <w:tcPr>
            <w:tcW w:w="7000" w:type="dxa"/>
          </w:tcPr>
          <w:p>
            <w:pPr>
              <w:spacing w:before="80" w:after="80"/>
            </w:pPr>
            <w:r>
              <w:rPr>
                <w:rFonts w:ascii="Georgia" w:hAnsi="Georgia"/>
                <w:sz w:val="19"/>
              </w:rPr>
              <w:t>This Annex reinforces the purpose of dual-key custody: preventing the diversion of safeguarded material to weaponization.</w:t>
            </w:r>
          </w:p>
        </w:tc>
      </w:tr>
      <w:tr>
        <w:tc>
          <w:tcPr>
            <w:tcW w:w="3000" w:type="dxa"/>
          </w:tcPr>
          <w:p>
            <w:pPr>
              <w:spacing w:before="80" w:after="80"/>
            </w:pPr>
            <w:r>
              <w:rPr>
                <w:rFonts w:ascii="Georgia" w:hAnsi="Georgia"/>
                <w:sz w:val="19"/>
              </w:rPr>
              <w:t>Annex Z (In-Iran Transformation Pathways)</w:t>
            </w:r>
          </w:p>
        </w:tc>
        <w:tc>
          <w:tcPr>
            <w:tcW w:w="7000" w:type="dxa"/>
          </w:tcPr>
          <w:p>
            <w:pPr>
              <w:spacing w:before="80" w:after="80"/>
            </w:pPr>
            <w:r>
              <w:rPr>
                <w:rFonts w:ascii="Georgia" w:hAnsi="Georgia"/>
                <w:sz w:val="19"/>
              </w:rPr>
              <w:t>Transformation pathways are mechanisms to eliminate weapons-usable material and are fully consistent with this pledge.</w:t>
            </w:r>
          </w:p>
        </w:tc>
      </w:tr>
      <w:tr>
        <w:tc>
          <w:tcPr>
            <w:tcW w:w="3000" w:type="dxa"/>
          </w:tcPr>
          <w:p>
            <w:pPr>
              <w:spacing w:before="80" w:after="80"/>
            </w:pPr>
            <w:r>
              <w:rPr>
                <w:rFonts w:ascii="Georgia" w:hAnsi="Georgia"/>
                <w:sz w:val="19"/>
              </w:rPr>
              <w:t>Annex T (Step-Back / Earn-Back)</w:t>
            </w:r>
          </w:p>
        </w:tc>
        <w:tc>
          <w:tcPr>
            <w:tcW w:w="7000" w:type="dxa"/>
          </w:tcPr>
          <w:p>
            <w:pPr>
              <w:spacing w:before="80" w:after="80"/>
            </w:pPr>
            <w:r>
              <w:rPr>
                <w:rFonts w:ascii="Georgia" w:hAnsi="Georgia"/>
                <w:sz w:val="19"/>
              </w:rPr>
              <w:t>A violation of this Annex triggers Tier 3 (Deliberate Hostile Violation) under Annex T.</w:t>
            </w:r>
          </w:p>
        </w:tc>
      </w:tr>
      <w:tr>
        <w:tc>
          <w:tcPr>
            <w:tcW w:w="3000" w:type="dxa"/>
          </w:tcPr>
          <w:p>
            <w:pPr>
              <w:spacing w:before="80" w:after="80"/>
            </w:pPr>
            <w:r>
              <w:rPr>
                <w:rFonts w:ascii="Georgia" w:hAnsi="Georgia"/>
                <w:sz w:val="19"/>
              </w:rPr>
              <w:t>Annex NW (this Annex)</w:t>
            </w:r>
          </w:p>
        </w:tc>
        <w:tc>
          <w:tcPr>
            <w:tcW w:w="7000" w:type="dxa"/>
          </w:tcPr>
          <w:p>
            <w:pPr>
              <w:spacing w:before="80" w:after="80"/>
            </w:pPr>
            <w:r>
              <w:rPr>
                <w:rFonts w:ascii="Georgia" w:hAnsi="Georgia"/>
                <w:sz w:val="19"/>
              </w:rPr>
              <w:t>This Annex is self-executing. Its provisions apply regardless of which disposition pathway Iran selects.</w:t>
            </w:r>
          </w:p>
        </w:tc>
      </w:tr>
    </w:tbl>
    <w:p>
      <w:pPr>
        <w:pStyle w:val="Heading1"/>
      </w:pPr>
      <w:r>
        <w:t>Article 5 — Political Pitch Matrix</w:t>
      </w:r>
    </w:p>
    <w:p>
      <w:pPr>
        <w:spacing w:after="300"/>
      </w:pPr>
      <w:r>
        <w:rPr>
          <w:b w:val="true"/>
          <w:caps w:val="true"/>
          <w:color w:val="1a365d"/>
          <w:spacing w:val="30"/>
          <w:sz w:val="18"/>
        </w:rPr>
        <w:t>Informative — Not Operative</w:t>
      </w:r>
    </w:p>
    <w:p>
      <w:pPr>
        <w:pStyle w:val="Normal"/>
      </w:pPr>
      <w:r>
        <w:t>This Article provides talking points for each audience. It does not create operative obligations and is not subject to enforcement.</w:t>
      </w:r>
    </w:p>
    <w:tbl>
      <w:tblPr>
        <w:tblW w:w="5000" w:type="pct"/>
        <w:tblBorders>
          <w:top w:val="single" w:color="2d3748" w:sz="12"/>
          <w:left w:val="nil"/>
          <w:bottom w:val="single" w:color="2d3748" w:sz="12"/>
          <w:right w:val="nil"/>
          <w:insideH w:val="single" w:color="cbd5e0" w:sz="4"/>
          <w:insideV w:val="single" w:color="cbd5e0" w:sz="4"/>
        </w:tblBorders>
      </w:tblPr>
      <w:tblGrid>
        <w:gridCol w:w="3400"/>
        <w:gridCol w:w="3300"/>
        <w:gridCol w:w="3300"/>
      </w:tblGrid>
      <w:tr>
        <w:tc>
          <w:tcPr>
            <w:tcW w:w="3400" w:type="dxa"/>
            <w:tcBorders>
              <w:bottom w:val="single" w:color="2d3748" w:sz="8"/>
            </w:tcBorders>
            <w:shd w:val="clear" w:fill="edf2f7"/>
          </w:tcPr>
          <w:p>
            <w:pPr>
              <w:spacing w:before="80" w:after="80"/>
            </w:pPr>
            <w:r>
              <w:rPr>
                <w:rFonts w:ascii="Georgia" w:hAnsi="Georgia"/>
                <w:b w:val="true"/>
                <w:sz w:val="20"/>
              </w:rPr>
              <w:t>To the United States</w:t>
            </w:r>
          </w:p>
        </w:tc>
        <w:tc>
          <w:tcPr>
            <w:tcW w:w="3300" w:type="dxa"/>
            <w:tcBorders>
              <w:bottom w:val="single" w:color="2d3748" w:sz="8"/>
            </w:tcBorders>
            <w:shd w:val="clear" w:fill="edf2f7"/>
          </w:tcPr>
          <w:p>
            <w:pPr>
              <w:spacing w:before="80" w:after="80"/>
            </w:pPr>
            <w:r>
              <w:rPr>
                <w:rFonts w:ascii="Georgia" w:hAnsi="Georgia"/>
                <w:b w:val="true"/>
                <w:sz w:val="20"/>
              </w:rPr>
              <w:t>To Iran</w:t>
            </w:r>
          </w:p>
        </w:tc>
        <w:tc>
          <w:tcPr>
            <w:tcW w:w="3300" w:type="dxa"/>
            <w:tcBorders>
              <w:bottom w:val="single" w:color="2d3748" w:sz="8"/>
            </w:tcBorders>
            <w:shd w:val="clear" w:fill="edf2f7"/>
          </w:tcPr>
          <w:p>
            <w:pPr>
              <w:spacing w:before="80" w:after="80"/>
            </w:pPr>
            <w:r>
              <w:rPr>
                <w:rFonts w:ascii="Georgia" w:hAnsi="Georgia"/>
                <w:b w:val="true"/>
                <w:sz w:val="20"/>
              </w:rPr>
              <w:t>To Facilitators</w:t>
            </w:r>
          </w:p>
        </w:tc>
      </w:tr>
      <w:tr>
        <w:tc>
          <w:tcPr>
            <w:tcW w:w="3400" w:type="dxa"/>
          </w:tcPr>
          <w:p>
            <w:pPr>
              <w:spacing w:before="80" w:after="80"/>
            </w:pPr>
            <w:r>
              <w:rPr>
                <w:rFonts w:ascii="Georgia" w:hAnsi="Georgia"/>
                <w:sz w:val="19"/>
              </w:rPr>
              <w:t>"Trump got the explicit, declarative 'no nuclear weapons' pledge he demanded. It's verifiable and enforceable."</w:t>
            </w:r>
          </w:p>
        </w:tc>
        <w:tc>
          <w:tcPr>
            <w:tcW w:w="3300" w:type="dxa"/>
          </w:tcPr>
          <w:p>
            <w:pPr>
              <w:spacing w:before="80" w:after="80"/>
            </w:pPr>
            <w:r>
              <w:rPr>
                <w:rFonts w:ascii="Georgia" w:hAnsi="Georgia"/>
                <w:sz w:val="19"/>
              </w:rPr>
              <w:t>"This Annex merely states Iran's existing NPT commitment and fatwa. It adds no new technical restrictions on Iran's peaceful nuclear program."</w:t>
            </w:r>
          </w:p>
        </w:tc>
        <w:tc>
          <w:tcPr>
            <w:tcW w:w="3300" w:type="dxa"/>
          </w:tcPr>
          <w:p>
            <w:pPr>
              <w:spacing w:before="80" w:after="80"/>
            </w:pPr>
            <w:r>
              <w:rPr>
                <w:rFonts w:ascii="Georgia" w:hAnsi="Georgia"/>
                <w:sz w:val="19"/>
              </w:rPr>
              <w:t>"This is a political headline document that gives Trump his win while changing nothing about the technical architecture."</w:t>
            </w:r>
          </w:p>
        </w:tc>
      </w:tr>
      <w:tr>
        <w:tc>
          <w:tcPr>
            <w:tcW w:w="3400" w:type="dxa"/>
          </w:tcPr>
          <w:p>
            <w:pPr>
              <w:spacing w:before="80" w:after="80"/>
            </w:pPr>
            <w:r>
              <w:rPr>
                <w:rFonts w:ascii="Georgia" w:hAnsi="Georgia"/>
                <w:sz w:val="19"/>
              </w:rPr>
              <w:t>"The purchase prohibition closes the acquisition loophole. Iran cannot buy a weapon from North Korea, Pakistan, or anyone else."</w:t>
            </w:r>
          </w:p>
        </w:tc>
        <w:tc>
          <w:tcPr>
            <w:tcW w:w="3300" w:type="dxa"/>
          </w:tcPr>
          <w:p>
            <w:pPr>
              <w:spacing w:before="80" w:after="80"/>
            </w:pPr>
            <w:r>
              <w:rPr>
                <w:rFonts w:ascii="Georgia" w:hAnsi="Georgia"/>
                <w:sz w:val="19"/>
              </w:rPr>
              <w:t>"Iran has never sought to purchase nuclear weapons. This language changes nothing about Iran's actual behavior or intentions."</w:t>
            </w:r>
          </w:p>
        </w:tc>
        <w:tc>
          <w:tcPr>
            <w:tcW w:w="3300" w:type="dxa"/>
          </w:tcPr>
          <w:p>
            <w:pPr>
              <w:spacing w:before="80" w:after="80"/>
            </w:pPr>
            <w:r>
              <w:rPr>
                <w:rFonts w:ascii="Georgia" w:hAnsi="Georgia"/>
                <w:sz w:val="19"/>
              </w:rPr>
              <w:t>"The Annex is self-contained and modular. It can be adopted or dropped without affecting any other provision."</w:t>
            </w:r>
          </w:p>
        </w:tc>
      </w:tr>
      <w:tr>
        <w:tc>
          <w:tcPr>
            <w:tcW w:w="3400" w:type="dxa"/>
          </w:tcPr>
          <w:p>
            <w:pPr>
              <w:spacing w:before="80" w:after="80"/>
            </w:pPr>
            <w:r>
              <w:rPr>
                <w:rFonts w:ascii="Georgia" w:hAnsi="Georgia"/>
                <w:sz w:val="19"/>
              </w:rPr>
              <w:t>"This is a binding, Tier-3-enforceable commitment. A violation triggers the full step-back ladder and UN Security Council referral."</w:t>
            </w:r>
          </w:p>
        </w:tc>
        <w:tc>
          <w:tcPr>
            <w:tcW w:w="3300" w:type="dxa"/>
          </w:tcPr>
          <w:p>
            <w:pPr>
              <w:spacing w:before="80" w:after="80"/>
            </w:pPr>
            <w:r>
              <w:rPr>
                <w:rFonts w:ascii="Georgia" w:hAnsi="Georgia"/>
                <w:sz w:val="19"/>
              </w:rPr>
              <w:t>"Iran's compliance record under the NPT and IAEA safeguards is strong. This Annex simply documents what Iran already does."</w:t>
            </w:r>
          </w:p>
        </w:tc>
        <w:tc>
          <w:tcPr>
            <w:tcW w:w="3300" w:type="dxa"/>
          </w:tcPr>
          <w:p>
            <w:pPr>
              <w:spacing w:before="80" w:after="80"/>
            </w:pPr>
            <w:r>
              <w:rPr>
                <w:rFonts w:ascii="Georgia" w:hAnsi="Georgia"/>
                <w:sz w:val="19"/>
              </w:rPr>
              <w:t>"The verification is IAEA-led, not unilateral. No Party operates as judge and jury. The Guarantor Matrix provides independent oversight."</w:t>
            </w:r>
          </w:p>
        </w:tc>
      </w:tr>
    </w:tbl>
    <w:p>
      <w:pPr>
        <w:pStyle w:val="Heading1"/>
      </w:pPr>
      <w:r>
        <w:t>Article 6 — Incorporation by Reference</w:t>
      </w:r>
    </w:p>
    <w:p>
      <w:pPr>
        <w:spacing w:after="300"/>
      </w:pPr>
      <w:r>
        <w:rPr>
          <w:b w:val="true"/>
          <w:caps w:val="true"/>
          <w:color w:val="1a365d"/>
          <w:spacing w:val="30"/>
          <w:sz w:val="18"/>
        </w:rPr>
        <w:t>Operative and Binding</w:t>
      </w:r>
    </w:p>
    <w:p>
      <w:pPr>
        <w:pStyle w:val="Normal"/>
      </w:pPr>
      <w:r>
        <w:t>This Annex is incorporable into any existing or future agreement through the following adoption sentence:</w:t>
      </w:r>
    </w:p>
    <w:p>
      <w:pPr>
        <w:spacing w:before="200" w:after="200"/>
        <w:ind w:left="720"/>
      </w:pPr>
      <w:r>
        <w:rPr>
          <w:i w:val="true"/>
          <w:color w:val="4a5568"/>
        </w:rPr>
        <w:t>"The Parties adopt Annex NW (Nuclear Weapons Non-Development and Non-Acquisition Pledge) as an operative provision of this Agreement. This Annex records Iran's binding commitment not to develop, acquire, or possess nuclear weapons. In the event of any inconsistency, Annex NW governs with respect to Iran's non-development, non-acquisition, and non-possession pledge, the non-acquisition clause, verification and enforcement, and relationship to other nuclear-related annexes."</w:t>
      </w:r>
    </w:p>
    <w:p>
      <w:pPr>
        <w:pStyle w:val="Normal"/>
      </w:pPr>
      <w:r>
        <w:t>No amendment of the parent MOU or any other annex is required. This Annex enters into force upon signature by both Parties or upon provisional application by exchange of diplomatic notes.</w:t>
      </w:r>
    </w:p>
    <w:p>
      <w:pPr>
        <w:pBdr>
          <w:top w:val="single" w:color="1a365d" w:sz="8"/>
          <w:left w:val="single" w:color="1a365d" w:sz="8"/>
          <w:bottom w:val="single" w:color="1a365d" w:sz="8"/>
          <w:right w:val="single" w:color="1a365d" w:sz="8"/>
        </w:pBdr>
        <w:shd w:fill="fafbfc"/>
        <w:spacing w:before="200" w:after="200"/>
        <w:ind w:left="200" w:right="200"/>
      </w:pPr>
      <w:r>
        <w:rPr>
          <w:b w:val="true"/>
          <w:color w:val="1a365d"/>
        </w:rPr>
        <w:t>Modularity Clause</w:t>
      </w:r>
      <w:r>
        <w:t> This Annex NW is self-contained and incorporates into the Memorandum of Understanding Pertaining to PEACE and any associated annex by a single sentence of adoption. It does not amend or supersede conflicting provisions of any parent framework unless the Parties explicitly so agree. This Annex operates as a standalone commitment that survives the termination, suspension, or withdrawal from any parent framework.</w:t>
      </w:r>
    </w:p>
    <w:p>
      <w:pPr>
        <w:pStyle w:val="Heading1"/>
      </w:pPr>
      <w:r>
        <w:t>Signature Block</w:t>
      </w:r>
    </w:p>
    <w:p>
      <w:pPr>
        <w:pStyle w:val="Normal"/>
      </w:pPr>
      <w:r>
        <w:t>In witness whereof, the undersigned, being duly authorized by their respective governments, have signed this Annex NW: Nuclear Weapons Non-Development and Non-Acquisition Pledge.</w:t>
      </w:r>
    </w:p>
    <w:p>
      <w:pPr>
        <w:pStyle w:val="Normal"/>
      </w:pPr>
      <w:r>
        <w:t>Done at ________________________, this ______ day of ________________________, 2026, in triplicate in the English language.</w:t>
      </w:r>
    </w:p>
    <w:tbl>
      <w:tblPr>
        <w:tblW w:w="5000" w:type="pct"/>
        <w:tblBorders>
          <w:top w:val="nil"/>
          <w:left w:val="nil"/>
          <w:bottom w:val="nil"/>
          <w:right w:val="nil"/>
          <w:insideH w:val="nil"/>
          <w:insideV w:val="nil"/>
        </w:tblBorders>
      </w:tblPr>
      <w:tblGrid>
        <w:gridCol w:w="5000"/>
        <w:gridCol w:w="5000"/>
      </w:tblGrid>
      <w:tr>
        <w:tc>
          <w:tcPr>
            <w:tcW w:w="5000" w:type="dxa"/>
          </w:tcPr>
          <w:p>
            <w:pPr>
              <w:spacing w:before="80" w:after="80"/>
            </w:pPr>
            <w:r>
              <w:rPr>
                <w:rFonts w:ascii="Georgia" w:hAnsi="Georgia"/>
                <w:sz w:val="19"/>
              </w:rPr>
              <w:t>For the Islamic Republic of Iran:</w:t>
            </w:r>
          </w:p>
        </w:tc>
        <w:tc>
          <w:tcPr>
            <w:tcW w:w="5000" w:type="dxa"/>
          </w:tcPr>
          <w:p>
            <w:pPr>
              <w:spacing w:before="80" w:after="80"/>
            </w:pPr>
            <w:r>
              <w:rPr>
                <w:rFonts w:ascii="Georgia" w:hAnsi="Georgia"/>
                <w:sz w:val="19"/>
              </w:rPr>
              <w:t>For the United States of America:</w:t>
            </w:r>
          </w:p>
        </w:tc>
      </w:tr>
      <w:tr>
        <w:tc>
          <w:tcPr>
            <w:tcW w:w="5000" w:type="dxa"/>
          </w:tcPr>
          <w:p>
            <w:pPr>
              <w:spacing w:before="80" w:after="80"/>
            </w:pPr>
            <w:r>
              <w:rPr>
                <w:rFonts w:ascii="Georgia" w:hAnsi="Georgia"/>
                <w:sz w:val="19"/>
              </w:rPr>
              <w:t>Name: ________________________</w:t>
            </w:r>
          </w:p>
        </w:tc>
        <w:tc>
          <w:tcPr>
            <w:tcW w:w="5000" w:type="dxa"/>
          </w:tcPr>
          <w:p>
            <w:pPr>
              <w:spacing w:before="80" w:after="80"/>
            </w:pPr>
            <w:r>
              <w:rPr>
                <w:rFonts w:ascii="Georgia" w:hAnsi="Georgia"/>
                <w:sz w:val="19"/>
              </w:rPr>
              <w:t>Name: ________________________</w:t>
            </w:r>
          </w:p>
        </w:tc>
      </w:tr>
      <w:tr>
        <w:tc>
          <w:tcPr>
            <w:tcW w:w="5000" w:type="dxa"/>
          </w:tcPr>
          <w:p>
            <w:pPr>
              <w:spacing w:before="80" w:after="80"/>
            </w:pPr>
            <w:r>
              <w:rPr>
                <w:rFonts w:ascii="Georgia" w:hAnsi="Georgia"/>
                <w:sz w:val="19"/>
              </w:rPr>
              <w:t>Title: ________________________</w:t>
            </w:r>
          </w:p>
        </w:tc>
        <w:tc>
          <w:tcPr>
            <w:tcW w:w="5000" w:type="dxa"/>
          </w:tcPr>
          <w:p>
            <w:pPr>
              <w:spacing w:before="80" w:after="80"/>
            </w:pPr>
            <w:r>
              <w:rPr>
                <w:rFonts w:ascii="Georgia" w:hAnsi="Georgia"/>
                <w:sz w:val="19"/>
              </w:rPr>
              <w:t>Title: ________________________</w:t>
            </w:r>
          </w:p>
        </w:tc>
      </w:tr>
      <w:tr>
        <w:tc>
          <w:tcPr>
            <w:tcW w:w="5000" w:type="dxa"/>
          </w:tcPr>
          <w:p>
            <w:pPr>
              <w:spacing w:before="80" w:after="80"/>
            </w:pPr>
            <w:r>
              <w:rPr>
                <w:rFonts w:ascii="Georgia" w:hAnsi="Georgia"/>
                <w:sz w:val="19"/>
              </w:rPr>
              <w:t>Date: ________________________</w:t>
            </w:r>
          </w:p>
        </w:tc>
        <w:tc>
          <w:tcPr>
            <w:tcW w:w="5000" w:type="dxa"/>
          </w:tcPr>
          <w:p>
            <w:pPr>
              <w:spacing w:before="80" w:after="80"/>
            </w:pPr>
            <w:r>
              <w:rPr>
                <w:rFonts w:ascii="Georgia" w:hAnsi="Georgia"/>
                <w:sz w:val="19"/>
              </w:rPr>
              <w:t>Date: ________________________</w:t>
            </w:r>
          </w:p>
        </w:tc>
      </w:tr>
    </w:tbl>
    <w:p>
      <w:pPr>
        <w:spacing w:before="400"/>
      </w:pPr>
      <w:r>
        <w:rPr>
          <w:b w:val="true"/>
        </w:rPr>
        <w:t>Noted by the IAEA Director General:</w:t>
      </w:r>
    </w:p>
    <w:p>
      <w:r>
        <w:t>Name: Rafael Mariano Grossi</w:t>
      </w:r>
    </w:p>
    <w:p>
      <w:r>
        <w:t>Date: ________________________</w:t>
      </w:r>
    </w:p>
    <w:p>
      <w:pPr>
        <w:spacing w:before="400"/>
      </w:pPr>
      <w:r>
        <w:rPr>
          <w:i w:val="true"/>
          <w:color w:val="718096"/>
          <w:sz w:val="20"/>
        </w:rPr>
        <w:t>Witnessed by the Joint Secretariat (Muscat).</w:t>
      </w:r>
    </w:p>
    <w:p>
      <w:pPr>
        <w:spacing w:before="3000"/>
      </w:pPr>
      <w:r/>
    </w:p>
    <w:p>
      <w:pPr>
        <w:spacing w:after="200"/>
        <w:jc w:val="center"/>
      </w:pPr>
      <w:r>
        <w:rPr>
          <w:b w:val="true"/>
          <w:color w:val="1a365d"/>
          <w:spacing w:val="60"/>
          <w:sz w:val="28"/>
        </w:rPr>
        <w:t>ANNEX NW</w:t>
      </w:r>
    </w:p>
    <w:p>
      <w:pPr>
        <w:spacing w:after="400"/>
        <w:jc w:val="center"/>
      </w:pPr>
      <w:r>
        <w:rPr>
          <w:b w:val="true"/>
          <w:color w:val="2d3748"/>
          <w:sz w:val="40"/>
        </w:rPr>
        <w:t>"No Nuclear Weapons"</w:t>
      </w:r>
    </w:p>
    <w:p>
      <w:pPr>
        <w:spacing w:after="600"/>
        <w:jc w:val="center"/>
      </w:pPr>
      <w:r>
        <w:rPr>
          <w:color w:val="4a5568"/>
          <w:sz w:val="24"/>
        </w:rPr>
        <w:t>A Binding, Verifiable Commitment</w:t>
      </w:r>
    </w:p>
    <w:p>
      <w:pPr>
        <w:jc w:val="center"/>
      </w:pPr>
      <w:r>
        <w:rPr>
          <w:color w:val="718096"/>
          <w:sz w:val="20"/>
        </w:rPr>
        <w:t>Nuclear Weapons Non-Development &amp; Non-Acquisition Pledge</w:t>
      </w:r>
    </w:p>
    <w:p>
      <w:pPr>
        <w:spacing w:before="200"/>
        <w:jc w:val="center"/>
      </w:pPr>
      <w:r>
        <w:rPr>
          <w:color w:val="718096"/>
          <w:sz w:val="20"/>
        </w:rPr>
        <w:t>Modular  ·  Self-Contained  ·  Incorporable by Reference</w:t>
      </w:r>
    </w:p>
    <w:p>
      <w:pPr>
        <w:spacing w:before="200"/>
        <w:jc w:val="center"/>
      </w:pPr>
      <w:r>
        <w:rPr>
          <w:color w:val="718096"/>
          <w:sz w:val="20"/>
        </w:rPr>
        <w:t>Version 1.0  |  June 2026</w:t>
      </w:r>
    </w:p>
    <w:p>
      <w:pPr>
        <w:sectPr>
          <w:type w:val="nextPage"/>
          <w:pgSz w:w="11906" w:h="16838"/>
          <w:pgMar w:top="0" w:right="0" w:bottom="0" w:left="0" w:header="0" w:footer="0"/>
        </w:sectPr>
      </w:pPr>
    </w:p>
    <w:sectPr>
      <w:headerReference w:type="default" r:id="R72f4f250fe95423b"/>
      <w:footerReference w:type="default" r:id="Rc59f596080c24041"/>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i w:val="true"/>
        <w:color w:val="718096"/>
        <w:sz w:val="18"/>
      </w:rPr>
      <w:t>Annex NW — Nuclear Weapons Non-Development &amp; Non-Acquisition Pledge</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Georgia" w:hAnsi="Georgia" w:eastAsia="SimSun"/>
      <w:color w:val="2d3748"/>
      <w:sz w:val="22"/>
    </w:rPr>
  </w:style>
  <w:style w:type="paragraph" w:styleId="Heading1">
    <w:name w:val="heading 1"/>
    <w:basedOn w:val="Normal"/>
    <w:pPr>
      <w:keepNext w:val="true"/>
      <w:keepLines w:val="true"/>
      <w:spacing w:before="600" w:after="240"/>
      <w:outlineLvl w:val="0"/>
    </w:pPr>
    <w:rPr>
      <w:rFonts w:ascii="Georgia" w:hAnsi="Georgia"/>
      <w:b w:val="true"/>
      <w:color w:val="1a365d"/>
      <w:sz w:val="40"/>
    </w:rPr>
  </w:style>
  <w:style w:type="paragraph" w:styleId="Heading2">
    <w:name w:val="heading 2"/>
    <w:basedOn w:val="Normal"/>
    <w:pPr>
      <w:keepNext w:val="true"/>
      <w:keepLines w:val="true"/>
      <w:spacing w:before="400" w:after="160"/>
      <w:outlineLvl w:val="1"/>
    </w:pPr>
    <w:rPr>
      <w:rFonts w:ascii="Georgia" w:hAnsi="Georgia"/>
      <w:b w:val="true"/>
      <w:color w:val="2d3748"/>
      <w:sz w:val="28"/>
    </w:rPr>
  </w:style>
  <w:style w:type="paragraph" w:styleId="Heading3">
    <w:name w:val="heading 3"/>
    <w:basedOn w:val="Normal"/>
    <w:pPr>
      <w:keepNext w:val="true"/>
      <w:keepLines w:val="true"/>
      <w:spacing w:before="280" w:after="120"/>
      <w:outlineLvl w:val="2"/>
    </w:pPr>
    <w:rPr>
      <w:rFonts w:ascii="Georgia" w:hAnsi="Georgia"/>
      <w:b w:val="true"/>
      <w:color w:val="4a5568"/>
      <w:sz w:val="24"/>
    </w:rPr>
  </w:style>
  <w:style w:type="paragraph" w:styleId="Caption">
    <w:name w:val="Caption"/>
    <w:basedOn w:val="Normal"/>
    <w:pPr>
      <w:spacing w:before="60" w:after="320"/>
      <w:jc w:val="center"/>
    </w:pPr>
    <w:rPr>
      <w:color w:val="718096"/>
      <w:sz w:val="20"/>
    </w:rPr>
  </w:style>
  <w:style w:type="paragraph" w:styleId="TOC1">
    <w:name w:val="toc 1"/>
    <w:basedOn w:val="Normal"/>
    <w:pPr>
      <w:tabs>
        <w:tab w:val="right" w:leader="dot" w:pos="9350"/>
      </w:tabs>
      <w:spacing w:before="200" w:after="60"/>
      <w:ind w:left="0"/>
    </w:pPr>
    <w:rPr>
      <w:b w:val="true"/>
      <w:color w:val="2d3748"/>
    </w:rPr>
  </w:style>
  <w:style w:type="paragraph" w:styleId="TOC2">
    <w:name w:val="toc 2"/>
    <w:basedOn w:val="Normal"/>
    <w:pPr>
      <w:tabs>
        <w:tab w:val="right" w:leader="dot" w:pos="9350"/>
      </w:tabs>
      <w:spacing w:before="60" w:after="60"/>
      <w:ind w:left="36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8970a1693ab84bff" /><Relationship Type="http://schemas.openxmlformats.org/officeDocument/2006/relationships/header" Target="header1.xml" Id="R72f4f250fe95423b" /><Relationship Type="http://schemas.openxmlformats.org/officeDocument/2006/relationships/footer" Target="footer1.xml" Id="Rc59f596080c24041" /><Relationship Type="http://schemas.openxmlformats.org/officeDocument/2006/relationships/settings" Target="settings.xml" Id="Rdf13ba4b736b463c" /></Relationships>
</file>