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0074f02d89c4e4c"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92c8bbac2134e17"/>
                    <a:stretch>
                      <a:fillRect/>
                    </a:stretch>
                  </pic:blipFill>
                  <pic:spPr>
                    <a:xfrm>
                      <a:off x="0" y="0"/>
                      <a:ext cx="7560000" cy="10692000"/>
                    </a:xfrm>
                    <a:prstGeom prst="rect"/>
                  </pic:spPr>
                </pic:pic>
              </a:graphicData>
            </a:graphic>
          </wp:anchor>
        </w:drawing>
      </w:r>
    </w:p>
    <w:p>
      <w:pPr>
        <w:spacing w:before="5400"/>
      </w:pPr>
      <w:r/>
    </w:p>
    <w:p>
      <w:pPr>
        <w:spacing w:after="200"/>
        <w:ind w:left="1200" w:right="1200"/>
        <w:jc w:val="left"/>
      </w:pPr>
      <w:r>
        <w:rPr>
          <w:rFonts w:ascii="Cambria" w:hAnsi="Cambria"/>
          <w:color w:val="e0e6ed"/>
          <w:spacing w:val="30"/>
          <w:sz w:val="72"/>
        </w:rPr>
        <w:t>Annex O</w:t>
      </w:r>
    </w:p>
    <w:p>
      <w:pPr>
        <w:spacing w:after="600"/>
        <w:ind w:left="1200" w:right="1200"/>
        <w:jc w:val="left"/>
      </w:pPr>
      <w:r>
        <w:rPr>
          <w:rFonts w:ascii="Cambria" w:hAnsi="Cambria"/>
          <w:color w:val="e0e6ed"/>
          <w:sz w:val="36"/>
        </w:rPr>
        <w:t>IAEA Access and Site Integrity Protocol</w:t>
      </w:r>
    </w:p>
    <w:p>
      <w:pPr>
        <w:spacing w:after="200"/>
        <w:ind w:left="1200"/>
        <w:jc w:val="left"/>
      </w:pPr>
      <w:r>
        <w:rPr>
          <w:rFonts w:ascii="Cambria" w:hAnsi="Cambria"/>
          <w:color w:val="b8860b"/>
          <w:sz w:val="24"/>
        </w:rPr>
        <w:t>Modular Annex to the PEACE Memorandum of Understanding</w:t>
      </w:r>
    </w:p>
    <w:p>
      <w:pPr>
        <w:spacing w:after="100"/>
        <w:ind w:left="1200"/>
        <w:jc w:val="left"/>
      </w:pPr>
      <w:r>
        <w:rPr>
          <w:rFonts w:ascii="Cambria" w:hAnsi="Cambria"/>
          <w:color w:val="e0e6ed"/>
          <w:sz w:val="20"/>
        </w:rPr>
        <w:t>Version 1.0  |  June 2026  |  Authorized Negotiators Only</w:t>
      </w:r>
    </w:p>
    <w:p>
      <w:pPr>
        <w:ind w:left="1200"/>
        <w:jc w:val="left"/>
      </w:pPr>
      <w:r>
        <w:rPr>
          <w:rFonts w:ascii="Cambria" w:hAnsi="Cambria"/>
          <w:color w:val="8d99ae"/>
          <w:sz w:val="18"/>
        </w:rPr>
        <w:t>Closes Gap 1: IAEA Access to Damaged Sites</w:t>
      </w:r>
    </w:p>
    <w:p>
      <w:pPr>
        <w:sectPr>
          <w:type w:val="nextPage"/>
          <w:pgSz w:w="11906" w:h="16838"/>
          <w:pgMar w:top="0" w:right="0" w:bottom="0" w:left="0" w:header="0" w:footer="0"/>
          <w:titlePg/>
        </w:sectPr>
      </w:pPr>
    </w:p>
    <w:p>
      <w:pPr>
        <w:spacing w:before="400" w:after="200"/>
      </w:pPr>
      <w:r>
        <w:rPr>
          <w:rFonts w:ascii="Cambria" w:hAnsi="Cambria"/>
          <w:b/>
          <w:color w:val="3d5a80"/>
          <w:sz w:val="32"/>
        </w:rPr>
        <w:t>Table of Contents</w:t>
      </w:r>
    </w:p>
    <w:p>
      <w:pPr>
        <w:spacing w:after="240"/>
      </w:pPr>
      <w:r>
        <w:rPr>
          <w:rFonts w:ascii="Cambria" w:hAnsi="Cambria"/>
          <w:i/>
          <w:color w:val="8d99ae"/>
          <w:sz w:val="18"/>
        </w:rPr>
        <w:t>Right-click and select Update Field to refresh page numbers</w:t>
      </w:r>
    </w:p>
    <w:p>
      <w:r>
        <w:fldChar w:fldCharType="begin"/>
      </w:r>
      <w:r>
        <w:instrText xml:space="preserve"> TOC \o "1-2" \h \z \u </w:instrText>
      </w:r>
      <w:r>
        <w:fldChar w:fldCharType="separate"/>
      </w:r>
    </w:p>
    <w:p>
      <w:pPr>
        <w:pStyle w:val="TOC1"/>
      </w:pPr>
      <w:r>
        <w:t>Preamble</w:t>
      </w:r>
      <w:r>
        <w:tab/>
      </w:r>
      <w:r>
        <w:t>1</w:t>
      </w:r>
    </w:p>
    <w:p>
      <w:pPr>
        <w:pStyle w:val="TOC1"/>
      </w:pPr>
      <w:r>
        <w:t>Purpose, Background, and Modularity Clause</w:t>
      </w:r>
      <w:r>
        <w:tab/>
      </w:r>
      <w:r>
        <w:t>1</w:t>
      </w:r>
    </w:p>
    <w:p>
      <w:pPr>
        <w:pStyle w:val="TOC1"/>
      </w:pPr>
      <w:r>
        <w:t>Article 1: Immediate IAEA Access</w:t>
      </w:r>
      <w:r>
        <w:tab/>
      </w:r>
      <w:r>
        <w:t>1</w:t>
      </w:r>
    </w:p>
    <w:p>
      <w:pPr>
        <w:pStyle w:val="TOC2"/>
      </w:pPr>
      <w:r>
        <w:t>1.1 Declared Facilities Covered</w:t>
      </w:r>
      <w:r>
        <w:tab/>
      </w:r>
      <w:r>
        <w:t>1</w:t>
      </w:r>
    </w:p>
    <w:p>
      <w:pPr>
        <w:pStyle w:val="TOC2"/>
      </w:pPr>
      <w:r>
        <w:t>1.2 Access Rights Granted</w:t>
      </w:r>
      <w:r>
        <w:tab/>
      </w:r>
      <w:r>
        <w:t>1</w:t>
      </w:r>
    </w:p>
    <w:p>
      <w:pPr>
        <w:pStyle w:val="TOC2"/>
      </w:pPr>
      <w:r>
        <w:t>1.3 Timeline for Access Activation</w:t>
      </w:r>
      <w:r>
        <w:tab/>
      </w:r>
      <w:r>
        <w:t>1</w:t>
      </w:r>
    </w:p>
    <w:p>
      <w:pPr>
        <w:pStyle w:val="TOC2"/>
      </w:pPr>
      <w:r>
        <w:t>1.4 IAEA Personnel Protections</w:t>
      </w:r>
      <w:r>
        <w:tab/>
      </w:r>
      <w:r>
        <w:t>1</w:t>
      </w:r>
    </w:p>
    <w:p>
      <w:pPr>
        <w:pStyle w:val="TOC1"/>
      </w:pPr>
      <w:r>
        <w:t>Article 2: Joint Damage Assessment</w:t>
      </w:r>
      <w:r>
        <w:tab/>
      </w:r>
      <w:r>
        <w:t>1</w:t>
      </w:r>
    </w:p>
    <w:p>
      <w:pPr>
        <w:pStyle w:val="TOC2"/>
      </w:pPr>
      <w:r>
        <w:t>2.1 Assessment Scope</w:t>
      </w:r>
      <w:r>
        <w:tab/>
      </w:r>
      <w:r>
        <w:t>1</w:t>
      </w:r>
    </w:p>
    <w:p>
      <w:pPr>
        <w:pStyle w:val="TOC2"/>
      </w:pPr>
      <w:r>
        <w:t>2.2 Assessment Methodology</w:t>
      </w:r>
      <w:r>
        <w:tab/>
      </w:r>
      <w:r>
        <w:t>1</w:t>
      </w:r>
    </w:p>
    <w:p>
      <w:pPr>
        <w:pStyle w:val="TOC2"/>
      </w:pPr>
      <w:r>
        <w:t>2.3 Site Integrity Report</w:t>
      </w:r>
      <w:r>
        <w:tab/>
      </w:r>
      <w:r>
        <w:t>1</w:t>
      </w:r>
    </w:p>
    <w:p>
      <w:pPr>
        <w:pStyle w:val="TOC1"/>
      </w:pPr>
      <w:r>
        <w:t>Article 3: Damaged or Inaccessible Cylinders — Joint Recovery Protocol</w:t>
      </w:r>
      <w:r>
        <w:tab/>
      </w:r>
      <w:r>
        <w:t>1</w:t>
      </w:r>
    </w:p>
    <w:p>
      <w:pPr>
        <w:pStyle w:val="TOC2"/>
      </w:pPr>
      <w:r>
        <w:t>3.1 Recovery Principles</w:t>
      </w:r>
      <w:r>
        <w:tab/>
      </w:r>
      <w:r>
        <w:t>1</w:t>
      </w:r>
    </w:p>
    <w:p>
      <w:pPr>
        <w:pStyle w:val="TOC2"/>
      </w:pPr>
      <w:r>
        <w:t>3.2 Recovery Timeline</w:t>
      </w:r>
      <w:r>
        <w:tab/>
      </w:r>
      <w:r>
        <w:t>1</w:t>
      </w:r>
    </w:p>
    <w:p>
      <w:pPr>
        <w:pStyle w:val="TOC2"/>
      </w:pPr>
      <w:r>
        <w:t>3.3 Unrecoverable Material — In-Situ Containment</w:t>
      </w:r>
      <w:r>
        <w:tab/>
      </w:r>
      <w:r>
        <w:t>1</w:t>
      </w:r>
    </w:p>
    <w:p>
      <w:pPr>
        <w:pStyle w:val="TOC1"/>
      </w:pPr>
      <w:r>
        <w:t>Article 4: No Delay of Custody Transfer or Downblending</w:t>
      </w:r>
      <w:r>
        <w:tab/>
      </w:r>
      <w:r>
        <w:t>1</w:t>
      </w:r>
    </w:p>
    <w:p>
      <w:pPr>
        <w:pStyle w:val="TOC2"/>
      </w:pPr>
      <w:r>
        <w:t>4.1 Accessible Cylinders — No Delay</w:t>
      </w:r>
      <w:r>
        <w:tab/>
      </w:r>
      <w:r>
        <w:t>1</w:t>
      </w:r>
    </w:p>
    <w:p>
      <w:pPr>
        <w:pStyle w:val="TOC2"/>
      </w:pPr>
      <w:r>
        <w:t>4.2 Inaccessible Cylinders — Parallel Processing</w:t>
      </w:r>
      <w:r>
        <w:tab/>
      </w:r>
      <w:r>
        <w:t>1</w:t>
      </w:r>
    </w:p>
    <w:p>
      <w:pPr>
        <w:pStyle w:val="TOC1"/>
      </w:pPr>
      <w:r>
        <w:t>Article 5: IAEA Verification of Damaged Areas</w:t>
      </w:r>
      <w:r>
        <w:tab/>
      </w:r>
      <w:r>
        <w:t>1</w:t>
      </w:r>
    </w:p>
    <w:p>
      <w:pPr>
        <w:pStyle w:val="TOC2"/>
      </w:pPr>
      <w:r>
        <w:t>5.1 Permitted Remote Technologies</w:t>
      </w:r>
      <w:r>
        <w:tab/>
      </w:r>
      <w:r>
        <w:t>1</w:t>
      </w:r>
    </w:p>
    <w:p>
      <w:pPr>
        <w:pStyle w:val="TOC2"/>
      </w:pPr>
      <w:r>
        <w:t>5.2 Iranian Obligations for Remote Deployment</w:t>
      </w:r>
      <w:r>
        <w:tab/>
      </w:r>
      <w:r>
        <w:t>1</w:t>
      </w:r>
    </w:p>
    <w:p>
      <w:pPr>
        <w:pStyle w:val="TOC2"/>
      </w:pPr>
      <w:r>
        <w:t>5.3 Data Ownership and Transmission</w:t>
      </w:r>
      <w:r>
        <w:tab/>
      </w:r>
      <w:r>
        <w:t>1</w:t>
      </w:r>
    </w:p>
    <w:p>
      <w:pPr>
        <w:pStyle w:val="TOC1"/>
      </w:pPr>
      <w:r>
        <w:t>Article 6: Access Dispute Resolution</w:t>
      </w:r>
      <w:r>
        <w:tab/>
      </w:r>
      <w:r>
        <w:t>1</w:t>
      </w:r>
    </w:p>
    <w:p>
      <w:pPr>
        <w:pStyle w:val="TOC2"/>
      </w:pPr>
      <w:r>
        <w:t>6.1 PCA Arbitration Framework</w:t>
      </w:r>
      <w:r>
        <w:tab/>
      </w:r>
      <w:r>
        <w:t>1</w:t>
      </w:r>
    </w:p>
    <w:p>
      <w:pPr>
        <w:pStyle w:val="TOC2"/>
      </w:pPr>
      <w:r>
        <w:t>6.2 Consequences of Access Denial</w:t>
      </w:r>
      <w:r>
        <w:tab/>
      </w:r>
      <w:r>
        <w:t>1</w:t>
      </w:r>
    </w:p>
    <w:p>
      <w:pPr>
        <w:pStyle w:val="TOC1"/>
      </w:pPr>
      <w:r>
        <w:t>Article 7: Incorporation by Reference</w:t>
      </w:r>
      <w:r>
        <w:tab/>
      </w:r>
      <w:r>
        <w:t>1</w:t>
      </w:r>
    </w:p>
    <w:p>
      <w:pPr>
        <w:pStyle w:val="TOC1"/>
      </w:pPr>
      <w:r>
        <w:t>Article 8: Provisional Application</w:t>
      </w:r>
      <w:r>
        <w:tab/>
      </w:r>
      <w:r>
        <w:t>1</w:t>
      </w:r>
    </w:p>
    <w:p>
      <w:pPr>
        <w:pStyle w:val="TOC1"/>
      </w:pPr>
      <w:r>
        <w:t>Article 9: Severability</w:t>
      </w:r>
      <w:r>
        <w:tab/>
      </w:r>
      <w:r>
        <w:t>1</w:t>
      </w:r>
    </w:p>
    <w:p>
      <w:pPr>
        <w:pStyle w:val="TOC1"/>
      </w:pPr>
      <w:r>
        <w:t>Article 10: Duration and Withdrawal</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keepNext/>
        <w:keepLines/>
        <w:spacing w:before="480" w:after="200"/>
      </w:pPr>
      <w:r>
        <w:rPr>
          <w:rFonts w:ascii="Cambria" w:hAnsi="Cambria"/>
          <w:b/>
          <w:color w:val="3d5a80"/>
          <w:sz w:val="32"/>
        </w:rPr>
        <w:t xml:space="preserve">Preamble</w:t>
      </w:r>
    </w:p>
    <w:p>
      <w:pPr>
        <w:keepNext/>
        <w:spacing w:before="360" w:after="120"/>
      </w:pPr>
      <w:r>
        <w:rPr>
          <w:rFonts w:ascii="Cambria" w:hAnsi="Cambria"/>
          <w:b/>
          <w:color w:val="3d5a80"/>
          <w:sz w:val="22"/>
        </w:rPr>
        <w:t xml:space="preserve">Purpose</w:t>
      </w:r>
    </w:p>
    <w:p>
      <w:pPr>
        <w:spacing w:before="120" w:after="160" w:line="276" w:lineRule="auto"/>
        <w:jc w:val="both"/>
      </w:pPr>
      <w:r>
        <w:rPr>
          <w:rFonts w:ascii="Cambria" w:hAnsi="Cambria"/>
          <w:color w:val="1d3557"/>
          <w:sz w:val="22"/>
        </w:rPr>
        <w:t xml:space="preserve">This Annex ensures immediate, safe, and unimpeded access for International Atomic Energy Agency (IAEA) inspectors to all declared Iranian nuclear facilities, including areas damaged during military operations, for the purpose of Highly Enriched Uranium (HEU) inventory, verification, and custody transfer operations under the parent framework.</w:t>
      </w:r>
    </w:p>
    <w:p>
      <w:pPr>
        <w:keepNext/>
        <w:spacing w:before="360" w:after="120"/>
      </w:pPr>
      <w:r>
        <w:rPr>
          <w:rFonts w:ascii="Cambria" w:hAnsi="Cambria"/>
          <w:b/>
          <w:color w:val="3d5a80"/>
          <w:sz w:val="22"/>
        </w:rPr>
        <w:t xml:space="preserve">Background</w:t>
      </w:r>
    </w:p>
    <w:p>
      <w:pPr>
        <w:spacing w:before="120" w:after="160" w:line="276" w:lineRule="auto"/>
        <w:jc w:val="both"/>
      </w:pPr>
      <w:r>
        <w:rPr>
          <w:rFonts w:ascii="Cambria" w:hAnsi="Cambria"/>
          <w:color w:val="1d3557"/>
          <w:sz w:val="22"/>
        </w:rPr>
        <w:t xml:space="preserve">The IAEA has not had full access to certain Iranian nuclear facilities for an extended period. Structural damage from military strikes potentially affects the integrity of HEU storage cylinders and the accessibility of declared sites. This Annex establishes the protocols necessary to resolve both access and integrity issues without delay to Phase I implementation timelines.</w:t>
      </w:r>
    </w:p>
    <w:p>
      <w:pPr>
        <w:spacing w:before="120" w:after="160" w:line="276" w:lineRule="auto"/>
        <w:jc w:val="both"/>
      </w:pPr>
      <w:r>
        <w:rPr>
          <w:rFonts w:ascii="Cambria" w:hAnsi="Cambria"/>
          <w:color w:val="1d3557"/>
          <w:sz w:val="22"/>
        </w:rPr>
        <w:t xml:space="preserve">Recent reporting confirms that IAEA inspector teams experienced denial of entry or movement restrictions at multiple declared facilities, including areas within the Esfahan Nuclear Technology Center and portions of the Natanz complex. The physical condition of cylinder storage areas remains unverified. This information gap constitutes a direct impediment to HEU custody exchange operations and creates unquantified risk in the verification chain.</w:t>
      </w:r>
    </w:p>
    <w:p>
      <w:pPr>
        <w:keepNext/>
        <w:spacing w:before="360" w:after="120"/>
      </w:pPr>
      <w:r>
        <w:rPr>
          <w:rFonts w:ascii="Cambria" w:hAnsi="Cambria"/>
          <w:b/>
          <w:color w:val="3d5a80"/>
          <w:sz w:val="22"/>
        </w:rPr>
        <w:t xml:space="preserve">Relationship to Parent Framework</w:t>
      </w:r>
    </w:p>
    <w:p>
      <w:pPr>
        <w:spacing w:before="120" w:after="160" w:line="276" w:lineRule="auto"/>
        <w:jc w:val="both"/>
      </w:pPr>
      <w:r>
        <w:rPr>
          <w:rFonts w:ascii="Cambria" w:hAnsi="Cambria"/>
          <w:color w:val="1d3557"/>
          <w:sz w:val="22"/>
        </w:rPr>
        <w:t xml:space="preserve">This Annex supplements and does not replace the verification architecture established in the parent framework. All commitments under the HEU Custody Exchange Protocol, the Underground Site Conversion and Mothball Protocol, and the Human-in-the-Loop Governance provisions remain in full force. Where this Annex provides specific protocols for damaged or restricted-access sites, the provisions of this Annex govern those matters.</w:t>
      </w:r>
    </w:p>
    <w:p>
      <w:pPr>
        <w:keepNext/>
        <w:spacing w:before="360" w:after="120"/>
      </w:pPr>
      <w:r>
        <w:rPr>
          <w:rFonts w:ascii="Cambria" w:hAnsi="Cambria"/>
          <w:b/>
          <w:color w:val="3d5a80"/>
          <w:sz w:val="22"/>
        </w:rPr>
        <w:t xml:space="preserve">Modularity Clause</w:t>
      </w:r>
    </w:p>
    <w:p>
      <w:pPr>
        <w:spacing w:before="120" w:after="160" w:line="276" w:lineRule="auto"/>
        <w:jc w:val="both"/>
      </w:pPr>
      <w:r>
        <w:rPr>
          <w:rFonts w:ascii="Cambria" w:hAnsi="Cambria"/>
          <w:color w:val="1d3557"/>
          <w:sz w:val="22"/>
        </w:rPr>
        <w:t xml:space="preserve">This Annex is self-contained. The Parties incorporate it into any existing or future agreement through a single sentence of adoption. It does not amend or supersede conflicting provisions of any parent framework unless the Parties explicitly so agree. In the event of inconsistency between this Annex and any parent framework provision, this Annex governs with respect to IAEA access, damage assessment, and recovery operations for damaged nuclear material.</w:t>
      </w:r>
    </w:p>
    <w:p>
      <w:pPr>
        <w:pStyle w:val="Heading1"/>
        <w:keepNext/>
        <w:keepLines/>
        <w:spacing w:before="480" w:after="200"/>
      </w:pPr>
      <w:r>
        <w:rPr>
          <w:rFonts w:ascii="Cambria" w:hAnsi="Cambria"/>
          <w:b/>
          <w:color w:val="3d5a80"/>
          <w:sz w:val="32"/>
        </w:rPr>
        <w:t xml:space="preserve">Article 1: Immediate IAEA Access</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Iran and the IAEA cooperate to enable full, continuous access to all declared nuclear facilities, including all areas identified in the IAEA Safeguards Agreement and Additional Protocol designations, regardless of physical condition or operational status. Iran makes all reasonable efforts to facilitate safe and timely IAEA access. The IAEA conducts all activities in a manner that respects Iranian sovereignty and facility safety protocols.</w:t>
      </w:r>
    </w:p>
    <w:p>
      <w:pPr>
        <w:pStyle w:val="Heading2"/>
        <w:keepNext/>
        <w:keepLines/>
        <w:spacing w:before="320" w:after="120"/>
      </w:pPr>
      <w:r>
        <w:rPr>
          <w:rFonts w:ascii="Cambria" w:hAnsi="Cambria"/>
          <w:b/>
          <w:color w:val="1d3557"/>
          <w:sz w:val="26"/>
        </w:rPr>
        <w:t xml:space="preserve">1.1 Declared Facilities Covered</w:t>
      </w:r>
    </w:p>
    <w:p>
      <w:pPr>
        <w:spacing w:before="120" w:after="160" w:line="276" w:lineRule="auto"/>
        <w:jc w:val="both"/>
      </w:pPr>
      <w:r>
        <w:rPr>
          <w:rFonts w:ascii="Cambria" w:hAnsi="Cambria"/>
          <w:color w:val="1d3557"/>
          <w:sz w:val="22"/>
        </w:rPr>
        <w:t xml:space="preserve">Access extends to the following facilities and all associated storage, processing, and support areas within their declared perimeters:</w:t>
      </w:r>
    </w:p>
    <w:tbl>
      <w:tblPr>
        <w:tblW w:w="5000" w:type="pct"/>
        <w:tblBorders>
          <w:top w:val="single" w:color="3d5a80" w:sz="12"/>
          <w:left w:val="nil"/>
          <w:bottom w:val="single" w:color="3d5a80" w:sz="12"/>
          <w:right w:val="nil"/>
          <w:insideH w:val="single" w:color="d0d5dd" w:sz="4"/>
          <w:insideV w:val="nil"/>
        </w:tblBorders>
      </w:tblPr>
      <w:tblGrid>
        <w:gridCol w:w="1800"/>
        <w:gridCol w:w="1400"/>
        <w:gridCol w:w="2600"/>
        <w:gridCol w:w="2600"/>
      </w:tblGrid>
      <w:tr>
        <w:trPr>
          <w:tblHeader/>
        </w:trPr>
        <w:tc>
          <w:tcPr>
            <w:tcW w:w="1800" w:type="dxa"/>
            <w:shd w:val="clear" w:fill="e8ecf1"/>
          </w:tcPr>
          <w:p>
            <w:pPr>
              <w:spacing w:before="60" w:after="60" w:line="240" w:lineRule="auto"/>
            </w:pPr>
            <w:r>
              <w:rPr>
                <w:b/>
                <w:color w:val="1d3557"/>
                <w:sz w:val="20"/>
              </w:rPr>
              <w:t xml:space="preserve">Facility</w:t>
            </w:r>
          </w:p>
        </w:tc>
        <w:tc>
          <w:tcPr>
            <w:tcW w:w="1400" w:type="dxa"/>
            <w:shd w:val="clear" w:fill="e8ecf1"/>
          </w:tcPr>
          <w:p>
            <w:pPr>
              <w:spacing w:before="60" w:after="60" w:line="240" w:lineRule="auto"/>
            </w:pPr>
            <w:r>
              <w:rPr>
                <w:b/>
                <w:color w:val="1d3557"/>
                <w:sz w:val="20"/>
              </w:rPr>
              <w:t xml:space="preserve">IAEA Code</w:t>
            </w:r>
          </w:p>
        </w:tc>
        <w:tc>
          <w:tcPr>
            <w:tcW w:w="2600" w:type="dxa"/>
            <w:shd w:val="clear" w:fill="e8ecf1"/>
          </w:tcPr>
          <w:p>
            <w:pPr>
              <w:spacing w:before="60" w:after="60" w:line="240" w:lineRule="auto"/>
            </w:pPr>
            <w:r>
              <w:rPr>
                <w:b/>
                <w:color w:val="1d3557"/>
                <w:sz w:val="20"/>
              </w:rPr>
              <w:t xml:space="preserve">Areas Included</w:t>
            </w:r>
          </w:p>
        </w:tc>
        <w:tc>
          <w:tcPr>
            <w:tcW w:w="2600" w:type="dxa"/>
            <w:shd w:val="clear" w:fill="e8ecf1"/>
          </w:tcPr>
          <w:p>
            <w:pPr>
              <w:spacing w:before="60" w:after="60" w:line="240" w:lineRule="auto"/>
            </w:pPr>
            <w:r>
              <w:rPr>
                <w:b/>
                <w:color w:val="1d3557"/>
                <w:sz w:val="20"/>
              </w:rPr>
              <w:t xml:space="preserve">Access Notes</w:t>
            </w:r>
          </w:p>
        </w:tc>
      </w:tr>
      <w:tr>
        <w:tc>
          <w:tcPr>
            <w:tcW w:w="1800" w:type="dxa"/>
          </w:tcPr>
          <w:p>
            <w:pPr>
              <w:spacing w:before="60" w:after="60" w:line="240" w:lineRule="auto"/>
              <w:jc w:val="left"/>
            </w:pPr>
            <w:r>
              <w:rPr>
                <w:color w:val="457b9d"/>
                <w:sz w:val="20"/>
              </w:rPr>
              <w:t xml:space="preserve">Natanz Fuel Enrichment Plant</w:t>
            </w:r>
          </w:p>
        </w:tc>
        <w:tc>
          <w:tcPr>
            <w:tcW w:w="1400" w:type="dxa"/>
          </w:tcPr>
          <w:p>
            <w:pPr>
              <w:spacing w:before="60" w:after="60" w:line="240" w:lineRule="auto"/>
              <w:jc w:val="left"/>
            </w:pPr>
            <w:r>
              <w:rPr>
                <w:color w:val="457b9d"/>
                <w:sz w:val="20"/>
              </w:rPr>
              <w:t xml:space="preserve">IR-NAT-01</w:t>
            </w:r>
          </w:p>
        </w:tc>
        <w:tc>
          <w:tcPr>
            <w:tcW w:w="2600" w:type="dxa"/>
          </w:tcPr>
          <w:p>
            <w:pPr>
              <w:spacing w:before="60" w:after="60" w:line="240" w:lineRule="auto"/>
              <w:jc w:val="left"/>
            </w:pPr>
            <w:r>
              <w:rPr>
                <w:color w:val="457b9d"/>
                <w:sz w:val="20"/>
              </w:rPr>
              <w:t xml:space="preserve">Above-ground halls, underground FEP, PFEP, all associated cylinder storage areas</w:t>
            </w:r>
          </w:p>
        </w:tc>
        <w:tc>
          <w:tcPr>
            <w:tcW w:w="2600" w:type="dxa"/>
          </w:tcPr>
          <w:p>
            <w:pPr>
              <w:spacing w:before="60" w:after="60" w:line="240" w:lineRule="auto"/>
              <w:jc w:val="left"/>
            </w:pPr>
            <w:r>
              <w:rPr>
                <w:color w:val="457b9d"/>
                <w:sz w:val="20"/>
              </w:rPr>
              <w:t xml:space="preserve">Including areas reported damaged in above-ground sections; underground access per existing safeguards designations</w:t>
            </w:r>
          </w:p>
        </w:tc>
      </w:tr>
      <w:tr>
        <w:tc>
          <w:tcPr>
            <w:tcW w:w="1800" w:type="dxa"/>
          </w:tcPr>
          <w:p>
            <w:pPr>
              <w:spacing w:before="60" w:after="60" w:line="240" w:lineRule="auto"/>
              <w:jc w:val="left"/>
            </w:pPr>
            <w:r>
              <w:rPr>
                <w:color w:val="457b9d"/>
                <w:sz w:val="20"/>
              </w:rPr>
              <w:t xml:space="preserve">Fordow Fuel Enrichment Plant</w:t>
            </w:r>
          </w:p>
        </w:tc>
        <w:tc>
          <w:tcPr>
            <w:tcW w:w="1400" w:type="dxa"/>
          </w:tcPr>
          <w:p>
            <w:pPr>
              <w:spacing w:before="60" w:after="60" w:line="240" w:lineRule="auto"/>
              <w:jc w:val="left"/>
            </w:pPr>
            <w:r>
              <w:rPr>
                <w:color w:val="457b9d"/>
                <w:sz w:val="20"/>
              </w:rPr>
              <w:t xml:space="preserve">IR-FOR-01</w:t>
            </w:r>
          </w:p>
        </w:tc>
        <w:tc>
          <w:tcPr>
            <w:tcW w:w="2600" w:type="dxa"/>
          </w:tcPr>
          <w:p>
            <w:pPr>
              <w:spacing w:before="60" w:after="60" w:line="240" w:lineRule="auto"/>
              <w:jc w:val="left"/>
            </w:pPr>
            <w:r>
              <w:rPr>
                <w:color w:val="457b9d"/>
                <w:sz w:val="20"/>
              </w:rPr>
              <w:t xml:space="preserve">All levels and tunnels, including access shafts, main halls, support galleries, and declared storage areas</w:t>
            </w:r>
          </w:p>
        </w:tc>
        <w:tc>
          <w:tcPr>
            <w:tcW w:w="2600" w:type="dxa"/>
          </w:tcPr>
          <w:p>
            <w:pPr>
              <w:spacing w:before="60" w:after="60" w:line="240" w:lineRule="auto"/>
              <w:jc w:val="left"/>
            </w:pPr>
            <w:r>
              <w:rPr>
                <w:color w:val="457b9d"/>
                <w:sz w:val="20"/>
              </w:rPr>
              <w:t xml:space="preserve">Deep tunnel access subject to radiation safety protocols but not to political preconditions</w:t>
            </w:r>
          </w:p>
        </w:tc>
      </w:tr>
      <w:tr>
        <w:tc>
          <w:tcPr>
            <w:tcW w:w="1800" w:type="dxa"/>
          </w:tcPr>
          <w:p>
            <w:pPr>
              <w:spacing w:before="60" w:after="60" w:line="240" w:lineRule="auto"/>
              <w:jc w:val="left"/>
            </w:pPr>
            <w:r>
              <w:rPr>
                <w:color w:val="457b9d"/>
                <w:sz w:val="20"/>
              </w:rPr>
              <w:t xml:space="preserve">Esfahan Nuclear Technology Center</w:t>
            </w:r>
          </w:p>
        </w:tc>
        <w:tc>
          <w:tcPr>
            <w:tcW w:w="1400" w:type="dxa"/>
          </w:tcPr>
          <w:p>
            <w:pPr>
              <w:spacing w:before="60" w:after="60" w:line="240" w:lineRule="auto"/>
              <w:jc w:val="left"/>
            </w:pPr>
            <w:r>
              <w:rPr>
                <w:color w:val="457b9d"/>
                <w:sz w:val="20"/>
              </w:rPr>
              <w:t xml:space="preserve">IR-ESF-01</w:t>
            </w:r>
          </w:p>
        </w:tc>
        <w:tc>
          <w:tcPr>
            <w:tcW w:w="2600" w:type="dxa"/>
          </w:tcPr>
          <w:p>
            <w:pPr>
              <w:spacing w:before="60" w:after="60" w:line="240" w:lineRule="auto"/>
              <w:jc w:val="left"/>
            </w:pPr>
            <w:r>
              <w:rPr>
                <w:color w:val="457b9d"/>
                <w:sz w:val="20"/>
              </w:rPr>
              <w:t xml:space="preserve">All declared buildings including UCF, FFP, and all cylinder storage areas including those reported damaged</w:t>
            </w:r>
          </w:p>
        </w:tc>
        <w:tc>
          <w:tcPr>
            <w:tcW w:w="2600" w:type="dxa"/>
          </w:tcPr>
          <w:p>
            <w:pPr>
              <w:spacing w:before="60" w:after="60" w:line="240" w:lineRule="auto"/>
              <w:jc w:val="left"/>
            </w:pPr>
            <w:r>
              <w:rPr>
                <w:color w:val="457b9d"/>
                <w:sz w:val="20"/>
              </w:rPr>
              <w:t xml:space="preserve">Priority facility for initial access given reported damage to cylinder storage areas</w:t>
            </w:r>
          </w:p>
        </w:tc>
      </w:tr>
      <w:tr>
        <w:tc>
          <w:tcPr>
            <w:tcW w:w="1800" w:type="dxa"/>
          </w:tcPr>
          <w:p>
            <w:pPr>
              <w:spacing w:before="60" w:after="60" w:line="240" w:lineRule="auto"/>
              <w:jc w:val="left"/>
            </w:pPr>
            <w:r>
              <w:rPr>
                <w:color w:val="457b9d"/>
                <w:sz w:val="20"/>
              </w:rPr>
              <w:t xml:space="preserve">Arak Heavy Water Production Plant</w:t>
            </w:r>
          </w:p>
        </w:tc>
        <w:tc>
          <w:tcPr>
            <w:tcW w:w="1400" w:type="dxa"/>
          </w:tcPr>
          <w:p>
            <w:pPr>
              <w:spacing w:before="60" w:after="60" w:line="240" w:lineRule="auto"/>
              <w:jc w:val="left"/>
            </w:pPr>
            <w:r>
              <w:rPr>
                <w:color w:val="457b9d"/>
                <w:sz w:val="20"/>
              </w:rPr>
              <w:t xml:space="preserve">IR-ARA-01</w:t>
            </w:r>
          </w:p>
        </w:tc>
        <w:tc>
          <w:tcPr>
            <w:tcW w:w="2600" w:type="dxa"/>
          </w:tcPr>
          <w:p>
            <w:pPr>
              <w:spacing w:before="60" w:after="60" w:line="240" w:lineRule="auto"/>
              <w:jc w:val="left"/>
            </w:pPr>
            <w:r>
              <w:rPr>
                <w:color w:val="457b9d"/>
                <w:sz w:val="20"/>
              </w:rPr>
              <w:t xml:space="preserve">Reactor vessel area, heavy water storage, all declared processing buildings</w:t>
            </w:r>
          </w:p>
        </w:tc>
        <w:tc>
          <w:tcPr>
            <w:tcW w:w="2600" w:type="dxa"/>
          </w:tcPr>
          <w:p>
            <w:pPr>
              <w:spacing w:before="60" w:after="60" w:line="240" w:lineRule="auto"/>
              <w:jc w:val="left"/>
            </w:pPr>
            <w:r>
              <w:rPr>
                <w:color w:val="457b9d"/>
                <w:sz w:val="20"/>
              </w:rPr>
              <w:t xml:space="preserve">Access to verify no undeclared HEU storage at heavy water facility</w:t>
            </w:r>
          </w:p>
        </w:tc>
      </w:tr>
      <w:tr>
        <w:tc>
          <w:tcPr>
            <w:tcW w:w="1800" w:type="dxa"/>
          </w:tcPr>
          <w:p>
            <w:pPr>
              <w:spacing w:before="60" w:after="60" w:line="240" w:lineRule="auto"/>
              <w:jc w:val="left"/>
            </w:pPr>
            <w:r>
              <w:rPr>
                <w:color w:val="457b9d"/>
                <w:sz w:val="20"/>
              </w:rPr>
              <w:t xml:space="preserve">Bushehr Nuclear Power Plant</w:t>
            </w:r>
          </w:p>
        </w:tc>
        <w:tc>
          <w:tcPr>
            <w:tcW w:w="1400" w:type="dxa"/>
          </w:tcPr>
          <w:p>
            <w:pPr>
              <w:spacing w:before="60" w:after="60" w:line="240" w:lineRule="auto"/>
              <w:jc w:val="left"/>
            </w:pPr>
            <w:r>
              <w:rPr>
                <w:color w:val="457b9d"/>
                <w:sz w:val="20"/>
              </w:rPr>
              <w:t xml:space="preserve">IR-BUS-01</w:t>
            </w:r>
          </w:p>
        </w:tc>
        <w:tc>
          <w:tcPr>
            <w:tcW w:w="2600" w:type="dxa"/>
          </w:tcPr>
          <w:p>
            <w:pPr>
              <w:spacing w:before="60" w:after="60" w:line="240" w:lineRule="auto"/>
              <w:jc w:val="left"/>
            </w:pPr>
            <w:r>
              <w:rPr>
                <w:color w:val="457b9d"/>
                <w:sz w:val="20"/>
              </w:rPr>
              <w:t xml:space="preserve">Spent fuel storage pool, fresh fuel reception area, reactor building per safeguards protocol</w:t>
            </w:r>
          </w:p>
        </w:tc>
        <w:tc>
          <w:tcPr>
            <w:tcW w:w="2600" w:type="dxa"/>
          </w:tcPr>
          <w:p>
            <w:pPr>
              <w:spacing w:before="60" w:after="60" w:line="240" w:lineRule="auto"/>
              <w:jc w:val="left"/>
            </w:pPr>
            <w:r>
              <w:rPr>
                <w:color w:val="457b9d"/>
                <w:sz w:val="20"/>
              </w:rPr>
              <w:t xml:space="preserve">Access for spent fuel verification only; not for operational inspection of power generation systems</w:t>
            </w:r>
          </w:p>
        </w:tc>
      </w:tr>
      <w:tr>
        <w:tc>
          <w:tcPr>
            <w:tcW w:w="1800" w:type="dxa"/>
          </w:tcPr>
          <w:p>
            <w:pPr>
              <w:spacing w:before="60" w:after="60" w:line="240" w:lineRule="auto"/>
              <w:jc w:val="left"/>
            </w:pPr>
            <w:r>
              <w:rPr>
                <w:color w:val="457b9d"/>
                <w:sz w:val="20"/>
              </w:rPr>
              <w:t xml:space="preserve">Karaj Complex (TESA)</w:t>
            </w:r>
          </w:p>
        </w:tc>
        <w:tc>
          <w:tcPr>
            <w:tcW w:w="1400" w:type="dxa"/>
          </w:tcPr>
          <w:p>
            <w:pPr>
              <w:spacing w:before="60" w:after="60" w:line="240" w:lineRule="auto"/>
              <w:jc w:val="left"/>
            </w:pPr>
            <w:r>
              <w:rPr>
                <w:color w:val="457b9d"/>
                <w:sz w:val="20"/>
              </w:rPr>
              <w:t xml:space="preserve">IR-KAR-01</w:t>
            </w:r>
          </w:p>
        </w:tc>
        <w:tc>
          <w:tcPr>
            <w:tcW w:w="2600" w:type="dxa"/>
          </w:tcPr>
          <w:p>
            <w:pPr>
              <w:spacing w:before="60" w:after="60" w:line="240" w:lineRule="auto"/>
              <w:jc w:val="left"/>
            </w:pPr>
            <w:r>
              <w:rPr>
                <w:color w:val="457b9d"/>
                <w:sz w:val="20"/>
              </w:rPr>
              <w:t xml:space="preserve">All declared buildings including centrifuge component manufacturing areas</w:t>
            </w:r>
          </w:p>
        </w:tc>
        <w:tc>
          <w:tcPr>
            <w:tcW w:w="2600" w:type="dxa"/>
          </w:tcPr>
          <w:p>
            <w:pPr>
              <w:spacing w:before="60" w:after="60" w:line="240" w:lineRule="auto"/>
              <w:jc w:val="left"/>
            </w:pPr>
            <w:r>
              <w:rPr>
                <w:color w:val="457b9d"/>
                <w:sz w:val="20"/>
              </w:rPr>
              <w:t xml:space="preserve">Subject to mothball protocol coordination</w:t>
            </w:r>
          </w:p>
        </w:tc>
      </w:tr>
      <w:tr>
        <w:tc>
          <w:tcPr>
            <w:tcW w:w="1800" w:type="dxa"/>
          </w:tcPr>
          <w:p>
            <w:pPr>
              <w:spacing w:before="60" w:after="60" w:line="240" w:lineRule="auto"/>
              <w:jc w:val="left"/>
            </w:pPr>
            <w:r>
              <w:rPr>
                <w:color w:val="457b9d"/>
                <w:sz w:val="20"/>
              </w:rPr>
              <w:t xml:space="preserve">Declared R&amp;D Locations</w:t>
            </w:r>
          </w:p>
        </w:tc>
        <w:tc>
          <w:tcPr>
            <w:tcW w:w="1400" w:type="dxa"/>
          </w:tcPr>
          <w:p>
            <w:pPr>
              <w:spacing w:before="60" w:after="60" w:line="240" w:lineRule="auto"/>
              <w:jc w:val="left"/>
            </w:pPr>
            <w:r>
              <w:rPr>
                <w:color w:val="457b9d"/>
                <w:sz w:val="20"/>
              </w:rPr>
              <w:t xml:space="preserve">Various</w:t>
            </w:r>
          </w:p>
        </w:tc>
        <w:tc>
          <w:tcPr>
            <w:tcW w:w="2600" w:type="dxa"/>
          </w:tcPr>
          <w:p>
            <w:pPr>
              <w:spacing w:before="60" w:after="60" w:line="240" w:lineRule="auto"/>
              <w:jc w:val="left"/>
            </w:pPr>
            <w:r>
              <w:rPr>
                <w:color w:val="457b9d"/>
                <w:sz w:val="20"/>
              </w:rPr>
              <w:t xml:space="preserve">Any location where HEU cylinders are stored, have been stored, or are believed to have been stored based on IAEA intelligence or Member State information</w:t>
            </w:r>
          </w:p>
        </w:tc>
        <w:tc>
          <w:tcPr>
            <w:tcW w:w="2600" w:type="dxa"/>
          </w:tcPr>
          <w:p>
            <w:pPr>
              <w:spacing w:before="60" w:after="60" w:line="240" w:lineRule="auto"/>
              <w:jc w:val="left"/>
            </w:pPr>
            <w:r>
              <w:rPr>
                <w:color w:val="457b9d"/>
                <w:sz w:val="20"/>
              </w:rPr>
              <w:t xml:space="preserve">Including locations where the IAEA has raised questions under the Additional Protocol</w:t>
            </w:r>
          </w:p>
        </w:tc>
      </w:tr>
    </w:tbl>
    <w:p>
      <w:pPr>
        <w:pStyle w:val="Heading2"/>
        <w:keepNext/>
        <w:keepLines/>
        <w:spacing w:before="320" w:after="120"/>
      </w:pPr>
      <w:r>
        <w:rPr>
          <w:rFonts w:ascii="Cambria" w:hAnsi="Cambria"/>
          <w:b/>
          <w:color w:val="1d3557"/>
          <w:sz w:val="26"/>
        </w:rPr>
        <w:t xml:space="preserve">1.2 Access Rights Granted</w:t>
      </w:r>
    </w:p>
    <w:p>
      <w:pPr>
        <w:spacing w:before="120" w:after="160" w:line="276" w:lineRule="auto"/>
        <w:jc w:val="both"/>
      </w:pPr>
      <w:r>
        <w:rPr>
          <w:rFonts w:ascii="Cambria" w:hAnsi="Cambria"/>
          <w:color w:val="1d3557"/>
          <w:sz w:val="22"/>
        </w:rPr>
        <w:t xml:space="preserve">The following access rights are jointly established to enable IAEA verification while respecting Iranian sovereignty and facility safety requirements: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Physical inspection of all storage areas, including damaged, collapsed, or structurally compromised sections, subject to completion of the joint safety walkthrough required under Article 1.3. No area within a declared facility perimeter is permanently off-limits on grounds of physical condition alone.</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Visual and spectroscopic examination of all HEU cylinders, including non-destructive assay (NDA) measurements, gamma spectroscopy, and neutron counting as appropriate to the cylinder condition and accessibility. Iranian technicians participate as active partners in all measurements.</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Environmental sampling in all accessible areas, including swipe samples from storage containers, building surfaces, ventilation systems, and soil or debris in damaged areas. Both Parties jointly witness and seal all samples.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Installation of continuous monitoring equipment, including cameras, radiation sensors, tamper-evident seals, and data transmission equipment at locations selected by mutual agreement of the IAEA inspection team and Iranian facility authorities. If mutual agreement on equipment placement is not reached within seventy-two (72) hours of the IAEA's initial request, either Party refers the dispute to the PCC for a binding technical determination within forty-eight (48) hours. The PCC determination rests solely on verification effectiveness and personnel safety, not on operational convenience or administrative burden. Iran provides access to any location designated by the PCC under this provision within twenty-four (24) hours of the determination.</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Freedom of movement for IAEA inspectors within declared facility boundaries, subject to radiation safety requirements and structural stability assessments where physical hazards exist. Iranian escort personnel facilitate, not restrict, inspector movement.</w:t>
      </w:r>
    </w:p>
    <w:p>
      <w:pPr>
        <w:spacing w:before="80" w:after="80" w:line="276" w:lineRule="auto"/>
        <w:ind w:left="360" w:hanging="360"/>
      </w:pPr>
      <w:r>
        <w:rPr>
          <w:rFonts w:ascii="Cambria" w:hAnsi="Cambria"/>
          <w:b/>
          <w:color w:val="1d3557"/>
          <w:sz w:val="22"/>
        </w:rPr>
        <w:t xml:space="preserve">6. </w:t>
      </w:r>
      <w:r>
        <w:rPr>
          <w:rFonts w:ascii="Cambria" w:hAnsi="Cambria"/>
          <w:color w:val="1d3557"/>
          <w:sz w:val="22"/>
        </w:rPr>
        <w:t xml:space="preserve">Photographic and video documentation of all inspected areas for IAEA records and remote analysis by headquarters technical staff. Iran receives copies of all documentation within 72 hours.</w:t>
      </w:r>
    </w:p>
    <w:p>
      <w:pPr>
        <w:spacing w:before="80" w:after="80" w:line="276" w:lineRule="auto"/>
        <w:ind w:left="360" w:hanging="360"/>
      </w:pPr>
      <w:r>
        <w:rPr>
          <w:rFonts w:ascii="Cambria" w:hAnsi="Cambria"/>
          <w:b/>
          <w:color w:val="1d3557"/>
          <w:sz w:val="22"/>
        </w:rPr>
        <w:t xml:space="preserve">7. </w:t>
      </w:r>
      <w:r>
        <w:rPr>
          <w:rFonts w:ascii="Cambria" w:hAnsi="Cambria"/>
          <w:color w:val="1d3557"/>
          <w:sz w:val="22"/>
        </w:rPr>
        <w:t xml:space="preserve">Access to facility records related to cylinder storage, movement, inventory, and damage assessments. Iran provides all relevant records within 48 hours of IAEA request.</w:t>
      </w:r>
    </w:p>
    <w:p>
      <w:pPr>
        <w:pStyle w:val="Heading2"/>
        <w:keepNext/>
        <w:keepLines/>
        <w:spacing w:before="320" w:after="120"/>
      </w:pPr>
      <w:r>
        <w:rPr>
          <w:rFonts w:ascii="Cambria" w:hAnsi="Cambria"/>
          <w:b/>
          <w:color w:val="1d3557"/>
          <w:sz w:val="26"/>
        </w:rPr>
        <w:t xml:space="preserve">1.3 Timeline for Access Activation</w:t>
      </w:r>
    </w:p>
    <w:p>
      <w:pPr>
        <w:spacing w:before="120" w:after="160" w:line="276" w:lineRule="auto"/>
        <w:jc w:val="both"/>
      </w:pPr>
      <w:r>
        <w:rPr>
          <w:rFonts w:ascii="Cambria" w:hAnsi="Cambria"/>
          <w:color w:val="1d3557"/>
          <w:sz w:val="22"/>
        </w:rPr>
        <w:t xml:space="preserve">The following timeline governs access activation from Entry into Force (EIF) of this Annex:</w:t>
      </w:r>
    </w:p>
    <w:tbl>
      <w:tblPr>
        <w:tblW w:w="5000" w:type="pct"/>
        <w:tblBorders>
          <w:top w:val="single" w:color="3d5a80" w:sz="12"/>
          <w:left w:val="nil"/>
          <w:bottom w:val="single" w:color="3d5a80" w:sz="12"/>
          <w:right w:val="nil"/>
          <w:insideH w:val="single" w:color="d0d5dd" w:sz="4"/>
          <w:insideV w:val="nil"/>
        </w:tblBorders>
      </w:tblPr>
      <w:tblGrid>
        <w:gridCol w:w="1400"/>
        <w:gridCol w:w="1400"/>
        <w:gridCol w:w="3200"/>
        <w:gridCol w:w="2800"/>
      </w:tblGrid>
      <w:tr>
        <w:trPr>
          <w:tblHeader/>
        </w:trPr>
        <w:tc>
          <w:tcPr>
            <w:tcW w:w="1400" w:type="dxa"/>
            <w:shd w:val="clear" w:fill="e8ecf1"/>
          </w:tcPr>
          <w:p>
            <w:pPr>
              <w:spacing w:before="60" w:after="60" w:line="240" w:lineRule="auto"/>
            </w:pPr>
            <w:r>
              <w:rPr>
                <w:b/>
                <w:color w:val="1d3557"/>
                <w:sz w:val="20"/>
              </w:rPr>
              <w:t xml:space="preserve">Time from EIF</w:t>
            </w:r>
          </w:p>
        </w:tc>
        <w:tc>
          <w:tcPr>
            <w:tcW w:w="1400" w:type="dxa"/>
            <w:shd w:val="clear" w:fill="e8ecf1"/>
          </w:tcPr>
          <w:p>
            <w:pPr>
              <w:spacing w:before="60" w:after="60" w:line="240" w:lineRule="auto"/>
            </w:pPr>
            <w:r>
              <w:rPr>
                <w:b/>
                <w:color w:val="1d3557"/>
                <w:sz w:val="20"/>
              </w:rPr>
              <w:t xml:space="preserve">Action Required</w:t>
            </w:r>
          </w:p>
        </w:tc>
        <w:tc>
          <w:tcPr>
            <w:tcW w:w="3200" w:type="dxa"/>
            <w:shd w:val="clear" w:fill="e8ecf1"/>
          </w:tcPr>
          <w:p>
            <w:pPr>
              <w:spacing w:before="60" w:after="60" w:line="240" w:lineRule="auto"/>
            </w:pPr>
            <w:r>
              <w:rPr>
                <w:b/>
                <w:color w:val="1d3557"/>
                <w:sz w:val="20"/>
              </w:rPr>
              <w:t xml:space="preserve">Verification Method</w:t>
            </w:r>
          </w:p>
        </w:tc>
      </w:tr>
      <w:tr>
        <w:tc>
          <w:tcPr>
            <w:tcW w:w="1400" w:type="dxa"/>
          </w:tcPr>
          <w:p>
            <w:pPr>
              <w:spacing w:before="60" w:after="60" w:line="240" w:lineRule="auto"/>
              <w:jc w:val="left"/>
            </w:pPr>
            <w:r>
              <w:rPr>
                <w:color w:val="457b9d"/>
                <w:sz w:val="20"/>
              </w:rPr>
              <w:t xml:space="preserve">T+0 hours</w:t>
            </w:r>
          </w:p>
        </w:tc>
        <w:tc>
          <w:tcPr>
            <w:tcW w:w="1400" w:type="dxa"/>
          </w:tcPr>
          <w:p>
            <w:pPr>
              <w:spacing w:before="60" w:after="60" w:line="240" w:lineRule="auto"/>
              <w:jc w:val="left"/>
            </w:pPr>
            <w:r>
              <w:rPr>
                <w:color w:val="457b9d"/>
                <w:sz w:val="20"/>
              </w:rPr>
              <w:t xml:space="preserve">Annex O enters into force simultaneously with parent framework or by separate diplomatic exchange</w:t>
            </w:r>
          </w:p>
        </w:tc>
        <w:tc>
          <w:tcPr>
            <w:tcW w:w="3200" w:type="dxa"/>
          </w:tcPr>
          <w:p>
            <w:pPr>
              <w:spacing w:before="60" w:after="60" w:line="240" w:lineRule="auto"/>
              <w:jc w:val="left"/>
            </w:pPr>
            <w:r>
              <w:rPr>
                <w:color w:val="457b9d"/>
                <w:sz w:val="20"/>
              </w:rPr>
              <w:t xml:space="preserve">Joint Secretariat timestamp; simultaneous notification to all guarantor states</w:t>
            </w:r>
          </w:p>
        </w:tc>
      </w:tr>
      <w:tr>
        <w:tc>
          <w:tcPr>
            <w:tcW w:w="1400" w:type="dxa"/>
          </w:tcPr>
          <w:p>
            <w:pPr>
              <w:spacing w:before="60" w:after="60" w:line="240" w:lineRule="auto"/>
              <w:jc w:val="left"/>
            </w:pPr>
            <w:r>
              <w:rPr>
                <w:color w:val="457b9d"/>
                <w:sz w:val="20"/>
              </w:rPr>
              <w:t xml:space="preserve">T+12 hours</w:t>
            </w:r>
          </w:p>
        </w:tc>
        <w:tc>
          <w:tcPr>
            <w:tcW w:w="1400" w:type="dxa"/>
          </w:tcPr>
          <w:p>
            <w:pPr>
              <w:spacing w:before="60" w:after="60" w:line="240" w:lineRule="auto"/>
              <w:jc w:val="left"/>
            </w:pPr>
            <w:r>
              <w:rPr>
                <w:color w:val="457b9d"/>
                <w:sz w:val="20"/>
              </w:rPr>
              <w:t xml:space="preserve">Iran provides initial safety briefing and hazard map to IAEA advance team; notifies all facility directors of pending IAEA access under Annex O</w:t>
            </w:r>
          </w:p>
        </w:tc>
        <w:tc>
          <w:tcPr>
            <w:tcW w:w="3200" w:type="dxa"/>
          </w:tcPr>
          <w:p>
            <w:pPr>
              <w:spacing w:before="60" w:after="60" w:line="240" w:lineRule="auto"/>
              <w:jc w:val="left"/>
            </w:pPr>
            <w:r>
              <w:rPr>
                <w:color w:val="457b9d"/>
                <w:sz w:val="20"/>
              </w:rPr>
              <w:t xml:space="preserve">Written facility director confirmation received by IAEA Vienna; safety briefing documentation logged</w:t>
            </w:r>
          </w:p>
        </w:tc>
      </w:tr>
      <w:tr>
        <w:tc>
          <w:tcPr>
            <w:tcW w:w="1400" w:type="dxa"/>
          </w:tcPr>
          <w:p>
            <w:pPr>
              <w:spacing w:before="60" w:after="60" w:line="240" w:lineRule="auto"/>
              <w:jc w:val="left"/>
            </w:pPr>
            <w:r>
              <w:rPr>
                <w:color w:val="457b9d"/>
                <w:sz w:val="20"/>
              </w:rPr>
              <w:t xml:space="preserve">T+24 hours</w:t>
            </w:r>
          </w:p>
        </w:tc>
        <w:tc>
          <w:tcPr>
            <w:tcW w:w="1400" w:type="dxa"/>
          </w:tcPr>
          <w:p>
            <w:pPr>
              <w:spacing w:before="60" w:after="60" w:line="240" w:lineRule="auto"/>
              <w:jc w:val="left"/>
            </w:pPr>
            <w:r>
              <w:rPr>
                <w:color w:val="457b9d"/>
                <w:sz w:val="20"/>
              </w:rPr>
              <w:t xml:space="preserve">IAEA advance team arrives at Tehran Imam Khomeini International Airport or designated point of entry; receives comprehensive safety and hazard briefing from Iranian facility safety officers</w:t>
            </w:r>
          </w:p>
        </w:tc>
        <w:tc>
          <w:tcPr>
            <w:tcW w:w="3200" w:type="dxa"/>
          </w:tcPr>
          <w:p>
            <w:pPr>
              <w:spacing w:before="60" w:after="60" w:line="240" w:lineRule="auto"/>
              <w:jc w:val="left"/>
            </w:pPr>
            <w:r>
              <w:rPr>
                <w:color w:val="457b9d"/>
                <w:sz w:val="20"/>
              </w:rPr>
              <w:t xml:space="preserve">Joint Secretariat travel log; visa facilitation confirmed; safety briefing acknowledged by IAEA Team Leader</w:t>
            </w:r>
          </w:p>
        </w:tc>
      </w:tr>
      <w:tr>
        <w:tc>
          <w:tcPr>
            <w:tcW w:w="1400" w:type="dxa"/>
          </w:tcPr>
          <w:p>
            <w:pPr>
              <w:spacing w:before="60" w:after="60" w:line="240" w:lineRule="auto"/>
              <w:jc w:val="left"/>
            </w:pPr>
            <w:r>
              <w:rPr>
                <w:color w:val="457b9d"/>
                <w:sz w:val="20"/>
              </w:rPr>
              <w:t xml:space="preserve">T+48 hours</w:t>
            </w:r>
          </w:p>
        </w:tc>
        <w:tc>
          <w:tcPr>
            <w:tcW w:w="1400" w:type="dxa"/>
          </w:tcPr>
          <w:p>
            <w:pPr>
              <w:spacing w:before="60" w:after="60" w:line="240" w:lineRule="auto"/>
              <w:jc w:val="left"/>
            </w:pPr>
            <w:r>
              <w:rPr>
                <w:color w:val="457b9d"/>
                <w:sz w:val="20"/>
              </w:rPr>
              <w:t xml:space="preserve">Joint safety walkthrough of first priority facility (Esfahan, unless otherwise agreed by both Parties); IAEA inspectors and Iranian facility officers jointly assess hazards, debris, and access routes before full inspection commences</w:t>
            </w:r>
          </w:p>
        </w:tc>
        <w:tc>
          <w:tcPr>
            <w:tcW w:w="3200" w:type="dxa"/>
          </w:tcPr>
          <w:p>
            <w:pPr>
              <w:spacing w:before="60" w:after="60" w:line="240" w:lineRule="auto"/>
              <w:jc w:val="left"/>
            </w:pPr>
            <w:r>
              <w:rPr>
                <w:color w:val="457b9d"/>
                <w:sz w:val="20"/>
              </w:rPr>
              <w:t xml:space="preserve">Joint safety walkthrough report signed by IAEA Team Leader and Iranian Facility Director; PCC notified of any safety-related delays</w:t>
            </w:r>
          </w:p>
        </w:tc>
      </w:tr>
      <w:tr>
        <w:tc>
          <w:tcPr>
            <w:tcW w:w="1400" w:type="dxa"/>
          </w:tcPr>
          <w:p>
            <w:pPr>
              <w:spacing w:before="60" w:after="60" w:line="240" w:lineRule="auto"/>
              <w:jc w:val="left"/>
            </w:pPr>
            <w:r>
              <w:rPr>
                <w:color w:val="457b9d"/>
                <w:sz w:val="20"/>
              </w:rPr>
              <w:t xml:space="preserve">T+72 hours</w:t>
            </w:r>
          </w:p>
        </w:tc>
        <w:tc>
          <w:tcPr>
            <w:tcW w:w="1400" w:type="dxa"/>
          </w:tcPr>
          <w:p>
            <w:pPr>
              <w:spacing w:before="60" w:after="60" w:line="240" w:lineRule="auto"/>
              <w:jc w:val="left"/>
            </w:pPr>
            <w:r>
              <w:rPr>
                <w:color w:val="457b9d"/>
                <w:sz w:val="20"/>
              </w:rPr>
              <w:t xml:space="preserve">Full IAEA inspection access begins at Tier 1 priority facilities (Esfahan, Natanz above-ground), following completion of joint safety walkthrough</w:t>
            </w:r>
          </w:p>
        </w:tc>
        <w:tc>
          <w:tcPr>
            <w:tcW w:w="3200" w:type="dxa"/>
          </w:tcPr>
          <w:p>
            <w:pPr>
              <w:spacing w:before="60" w:after="60" w:line="240" w:lineRule="auto"/>
              <w:jc w:val="left"/>
            </w:pPr>
            <w:r>
              <w:rPr>
                <w:color w:val="457b9d"/>
                <w:sz w:val="20"/>
              </w:rPr>
              <w:t xml:space="preserve">Daily IAEA inspection report filed with Joint Secretariat</w:t>
            </w:r>
          </w:p>
        </w:tc>
      </w:tr>
      <w:tr>
        <w:tc>
          <w:tcPr>
            <w:tcW w:w="1400" w:type="dxa"/>
          </w:tcPr>
          <w:p>
            <w:pPr>
              <w:spacing w:before="60" w:after="60" w:line="240" w:lineRule="auto"/>
              <w:jc w:val="left"/>
            </w:pPr>
            <w:r>
              <w:rPr>
                <w:color w:val="457b9d"/>
                <w:sz w:val="20"/>
              </w:rPr>
              <w:t xml:space="preserve">T+96 hours</w:t>
            </w:r>
          </w:p>
        </w:tc>
        <w:tc>
          <w:tcPr>
            <w:tcW w:w="1400" w:type="dxa"/>
          </w:tcPr>
          <w:p>
            <w:pPr>
              <w:spacing w:before="60" w:after="60" w:line="240" w:lineRule="auto"/>
              <w:jc w:val="left"/>
            </w:pPr>
            <w:r>
              <w:rPr>
                <w:color w:val="457b9d"/>
                <w:sz w:val="20"/>
              </w:rPr>
              <w:t xml:space="preserve">Full access to all declared facilities operational; all prior access restrictions lifted; joint safety walkthroughs completed at all Tier 2 facilities</w:t>
            </w:r>
          </w:p>
        </w:tc>
        <w:tc>
          <w:tcPr>
            <w:tcW w:w="3200" w:type="dxa"/>
          </w:tcPr>
          <w:p>
            <w:pPr>
              <w:spacing w:before="60" w:after="60" w:line="240" w:lineRule="auto"/>
              <w:jc w:val="left"/>
            </w:pPr>
            <w:r>
              <w:rPr>
                <w:color w:val="457b9d"/>
                <w:sz w:val="20"/>
              </w:rPr>
              <w:t xml:space="preserve">PCC certification of compliance with Article 1 access obligations</w:t>
            </w:r>
          </w:p>
        </w:tc>
      </w:tr>
    </w:tbl>
    <w:p>
      <w:pPr>
        <w:spacing w:before="120" w:after="160" w:line="276" w:lineRule="auto"/>
        <w:jc w:val="both"/>
      </w:pPr>
      <w:r>
        <w:rPr>
          <w:rFonts w:ascii="Cambria" w:hAnsi="Cambria"/>
          <w:color w:val="1d3557"/>
          <w:sz w:val="22"/>
        </w:rPr>
        <w:t xml:space="preserve">Safety coordination buffer: The 96-hour timeline includes a mandatory joint safety coordination period (T+24h to T+48h) during which Iranian facility safety officers and IAEA inspectors jointly assess hazards before full inspection access commences. This buffer is not a delay mechanism; it is a joint safety protocol to protect IAEA personnel at damaged nuclear sites. No facility is declared inaccessible on grounds of "ongoing safety assessment" beyond T+48h unless the PCC confirms a credible, site-specific safety emergency.</w:t>
      </w:r>
    </w:p>
    <w:p>
      <w:pPr>
        <w:spacing w:before="120" w:after="160" w:line="276" w:lineRule="auto"/>
        <w:jc w:val="both"/>
      </w:pPr>
      <w:r>
        <w:rPr>
          <w:rFonts w:ascii="Cambria" w:hAnsi="Cambria"/>
          <w:color w:val="1d3557"/>
          <w:sz w:val="22"/>
        </w:rPr>
        <w:t xml:space="preserve">EIF means Entry into Force of this Annex. If the Parties incorporate this Annex into a parent framework, EIF coincides with the parent framework's EIF unless the Parties specify otherwise.</w:t>
      </w:r>
    </w:p>
    <w:p>
      <w:pPr>
        <w:pStyle w:val="Heading2"/>
        <w:keepNext/>
        <w:keepLines/>
        <w:spacing w:before="320" w:after="120"/>
      </w:pPr>
      <w:r>
        <w:rPr>
          <w:rFonts w:ascii="Cambria" w:hAnsi="Cambria"/>
          <w:b/>
          <w:color w:val="1d3557"/>
          <w:sz w:val="26"/>
        </w:rPr>
        <w:t xml:space="preserve">1.4 IAEA Personnel Protections</w:t>
      </w:r>
    </w:p>
    <w:p>
      <w:pPr>
        <w:spacing w:before="120" w:after="160" w:line="276" w:lineRule="auto"/>
        <w:jc w:val="both"/>
      </w:pPr>
      <w:r>
        <w:rPr>
          <w:rFonts w:ascii="Cambria" w:hAnsi="Cambria"/>
          <w:color w:val="1d3557"/>
          <w:sz w:val="22"/>
        </w:rPr>
        <w:t xml:space="preserve">Iran ensures the safety and security of all IAEA personnel exercising access rights under this Annex. Specifically:</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IAEA inspectors receive Iranian escort personnel trained in radiation safety and facility-specific hazards.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In areas of structural damage, Iranian authorities provide advance warning of known hazards (unstable structures, radiation hotspots, chemical contamination) before IAEA personnel enter.</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No IAEA inspector enters an area that the IAEA's own safety assessment deems unacceptably hazardous. The Parties address such areas under Article 3 (Remote Recovery Protocol).</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Iran facilitates secure communication between IAEA inspectors in the field and IAEA headquarters in Vienna, including encrypted data transmission capability.</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Any interference with, intimidation of, or threat to IAEA personnel constitutes a Tier 2 material breach under the parent framework governance provisions.</w:t>
      </w:r>
    </w:p>
    <w:p>
      <w:pPr>
        <w:pStyle w:val="Heading1"/>
        <w:keepNext/>
        <w:keepLines/>
        <w:spacing w:before="480" w:after="200"/>
      </w:pPr>
      <w:r>
        <w:rPr>
          <w:rFonts w:ascii="Cambria" w:hAnsi="Cambria"/>
          <w:b/>
          <w:color w:val="3d5a80"/>
          <w:sz w:val="32"/>
        </w:rPr>
        <w:t xml:space="preserve">Article 2: Joint Damage Assessment</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Iran and the IAEA conduct a joint damage assessment of all HEU cylinder storage areas within fourteen (14) days of EIF. This assessment covers every declared storage location and produces a comprehensive inventory of cylinder condition, accessibility, and recommended disposition.</w:t>
      </w:r>
    </w:p>
    <w:p>
      <w:pPr>
        <w:pStyle w:val="Heading2"/>
        <w:keepNext/>
        <w:keepLines/>
        <w:spacing w:before="320" w:after="120"/>
      </w:pPr>
      <w:r>
        <w:rPr>
          <w:rFonts w:ascii="Cambria" w:hAnsi="Cambria"/>
          <w:b/>
          <w:color w:val="1d3557"/>
          <w:sz w:val="26"/>
        </w:rPr>
        <w:t xml:space="preserve">2.1 Assessment Scope</w:t>
      </w:r>
    </w:p>
    <w:p>
      <w:pPr>
        <w:spacing w:before="120" w:after="160" w:line="276" w:lineRule="auto"/>
        <w:jc w:val="both"/>
      </w:pPr>
      <w:r>
        <w:rPr>
          <w:rFonts w:ascii="Cambria" w:hAnsi="Cambria"/>
          <w:color w:val="1d3557"/>
          <w:sz w:val="22"/>
        </w:rPr>
        <w:t xml:space="preserve">The joint damage assessment systematically evaluates:</w:t>
      </w:r>
    </w:p>
    <w:p>
      <w:pPr>
        <w:spacing w:before="120" w:after="160" w:line="276" w:lineRule="auto"/>
        <w:jc w:val="both"/>
      </w:pPr>
      <w:r>
        <w:rPr>
          <w:rFonts w:ascii="Cambria" w:hAnsi="Cambria"/>
          <w:color w:val="1d3557"/>
          <w:sz w:val="22"/>
        </w:rPr>
        <w:t xml:space="preserve">1. Cylinder location and condition. Every HEU cylinder is identified by its unique identifier, located by GPS coordinates within the facility, and classified by visual and instrumental assessment into one of the following categories:</w:t>
      </w:r>
    </w:p>
    <w:p>
      <w:pPr>
        <w:keepNext/>
        <w:spacing w:before="360" w:after="120"/>
      </w:pPr>
      <w:r>
        <w:rPr>
          <w:rFonts w:ascii="Cambria" w:hAnsi="Cambria"/>
          <w:b/>
          <w:color w:val="3d5a80"/>
          <w:sz w:val="22"/>
        </w:rPr>
        <w:t xml:space="preserve">Category I — Intact</w:t>
      </w:r>
    </w:p>
    <w:p>
      <w:pPr>
        <w:spacing w:before="120" w:after="160" w:line="276" w:lineRule="auto"/>
        <w:jc w:val="both"/>
      </w:pPr>
      <w:r>
        <w:rPr>
          <w:rFonts w:ascii="Cambria" w:hAnsi="Cambria"/>
          <w:color w:val="1d3557"/>
          <w:sz w:val="22"/>
        </w:rPr>
        <w:t xml:space="preserve">The cylinder shows no visible damage; containment integrity is confirmed by pressure testing or equivalent non-destructive examination; the cylinder is ready for normal custody transfer and handling procedures.</w:t>
      </w:r>
    </w:p>
    <w:p>
      <w:pPr>
        <w:keepNext/>
        <w:spacing w:before="360" w:after="120"/>
      </w:pPr>
      <w:r>
        <w:rPr>
          <w:rFonts w:ascii="Cambria" w:hAnsi="Cambria"/>
          <w:b/>
          <w:color w:val="3d5a80"/>
          <w:sz w:val="22"/>
        </w:rPr>
        <w:t xml:space="preserve">Category II — Damaged but Accessible</w:t>
      </w:r>
    </w:p>
    <w:p>
      <w:pPr>
        <w:spacing w:before="120" w:after="160" w:line="276" w:lineRule="auto"/>
        <w:jc w:val="both"/>
      </w:pPr>
      <w:r>
        <w:rPr>
          <w:rFonts w:ascii="Cambria" w:hAnsi="Cambria"/>
          <w:color w:val="1d3557"/>
          <w:sz w:val="22"/>
        </w:rPr>
        <w:t xml:space="preserve">The cylinder shows visible damage (dents, corrosion, valve compromise, external contamination) but remains physically accessible to inspectors. Category II subdivides into:</w:t>
      </w:r>
    </w:p>
    <w:p>
      <w:pPr>
        <w:spacing w:before="80" w:after="80" w:line="276" w:lineRule="auto"/>
        <w:ind w:left="360" w:hanging="360"/>
      </w:pPr>
      <w:r>
        <w:rPr>
          <w:rFonts w:ascii="Cambria" w:hAnsi="Cambria"/>
          <w:b/>
          <w:color w:val="1d3557"/>
          <w:sz w:val="22"/>
        </w:rPr>
        <w:t xml:space="preserve">II-A. </w:t>
      </w:r>
      <w:r>
        <w:rPr>
          <w:rFonts w:ascii="Cambria" w:hAnsi="Cambria"/>
          <w:color w:val="1d3557"/>
          <w:sz w:val="22"/>
        </w:rPr>
        <w:t xml:space="preserve">Minor Damage: The cylinder is accessible and the Parties move it safely with standard handling procedures. Timeline: standard 14-day custody consolidation.</w:t>
      </w:r>
    </w:p>
    <w:p>
      <w:pPr>
        <w:spacing w:before="80" w:after="80" w:line="276" w:lineRule="auto"/>
        <w:ind w:left="360" w:hanging="360"/>
      </w:pPr>
      <w:r>
        <w:rPr>
          <w:rFonts w:ascii="Cambria" w:hAnsi="Cambria"/>
          <w:b/>
          <w:color w:val="1d3557"/>
          <w:sz w:val="22"/>
        </w:rPr>
        <w:t xml:space="preserve">II-B. </w:t>
      </w:r>
      <w:r>
        <w:rPr>
          <w:rFonts w:ascii="Cambria" w:hAnsi="Cambria"/>
          <w:color w:val="1d3557"/>
          <w:sz w:val="22"/>
        </w:rPr>
        <w:t xml:space="preserve">Requires Debris Removal or Repair: The cylinder is visible and inspectable but the Parties cannot safely move it without prior debris clearance, structural stabilization, or cylinder repair. Timeline: up to 30 days, subject to an IAEA-approved recovery plan jointly developed with Iranian facility engineers.</w:t>
      </w:r>
    </w:p>
    <w:p>
      <w:pPr>
        <w:keepNext/>
        <w:spacing w:before="360" w:after="120"/>
      </w:pPr>
      <w:r>
        <w:rPr>
          <w:rFonts w:ascii="Cambria" w:hAnsi="Cambria"/>
          <w:b/>
          <w:color w:val="3d5a80"/>
          <w:sz w:val="22"/>
        </w:rPr>
        <w:t xml:space="preserve">Category III — Inaccessible</w:t>
      </w:r>
    </w:p>
    <w:p>
      <w:pPr>
        <w:spacing w:before="120" w:after="160" w:line="276" w:lineRule="auto"/>
        <w:jc w:val="both"/>
      </w:pPr>
      <w:r>
        <w:rPr>
          <w:rFonts w:ascii="Cambria" w:hAnsi="Cambria"/>
          <w:color w:val="1d3557"/>
          <w:sz w:val="22"/>
        </w:rPr>
        <w:t xml:space="preserve">The cylinder is known or believed to exist in a location rendered inaccessible by structural collapse, debris, radiation levels, or other physical hazards; exact condition is unknown; the situation requires remote sensing or recovery operations under Article 3.</w:t>
      </w:r>
    </w:p>
    <w:p>
      <w:pPr>
        <w:keepNext/>
        <w:spacing w:before="360" w:after="120"/>
      </w:pPr>
      <w:r>
        <w:rPr>
          <w:rFonts w:ascii="Cambria" w:hAnsi="Cambria"/>
          <w:b/>
          <w:color w:val="3d5a80"/>
          <w:sz w:val="22"/>
        </w:rPr>
        <w:t xml:space="preserve">Category IV — Missing or Unaccounted</w:t>
      </w:r>
    </w:p>
    <w:p>
      <w:pPr>
        <w:spacing w:before="120" w:after="160" w:line="276" w:lineRule="auto"/>
        <w:jc w:val="both"/>
      </w:pPr>
      <w:r>
        <w:rPr>
          <w:rFonts w:ascii="Cambria" w:hAnsi="Cambria"/>
          <w:color w:val="1d3557"/>
          <w:sz w:val="22"/>
        </w:rPr>
        <w:t xml:space="preserve">The cylinder was declared present in Iranian inventory records but the Parties cannot locate it during the assessment. Category IV findings trigger a joint investigation. Iran provides all relevant records and facilitates searches. If after fourteen (14) days no credible explanation exists, the matter escalates to the PCC. Diversion is not presumed without evidence.</w:t>
      </w:r>
    </w:p>
    <w:p>
      <w:pPr>
        <w:spacing w:before="120" w:after="160" w:line="276" w:lineRule="auto"/>
        <w:jc w:val="both"/>
      </w:pPr>
      <w:r>
        <w:rPr>
          <w:rFonts w:ascii="Cambria" w:hAnsi="Cambria"/>
          <w:color w:val="1d3557"/>
          <w:sz w:val="22"/>
        </w:rPr>
        <w:t xml:space="preserve">Category IV Non-Cooperation: If Iran fails to provide requested records or facilitate searches within the 14-day joint investigation period, the 14-day timeline pauses for the duration of any documented non-cooperation. The IAEA escalates the matter to the PCC immediately upon a finding of non-cooperation, without waiting for the 14-day period to expire.</w:t>
      </w:r>
    </w:p>
    <w:p>
      <w:pPr>
        <w:spacing w:before="120" w:after="160" w:line="276" w:lineRule="auto"/>
        <w:jc w:val="both"/>
      </w:pPr>
      <w:r>
        <w:rPr>
          <w:rFonts w:ascii="Cambria" w:hAnsi="Cambria"/>
          <w:color w:val="1d3557"/>
          <w:sz w:val="22"/>
        </w:rPr>
        <w:t xml:space="preserve">For purposes of this provision, "non-cooperation" includes: failure to respond to a documented records request within 48 hours; denial of access to relevant Iranian personnel for interview; or any action that materially impedes the investigation. The PCC determines by majority vote whether non-cooperation occurred.</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Structural integrity of storage buildings, tunnels, and containment areas. Assessment covers load-bearing capacity, radiation shielding effectiveness, ventilation system functionality, fire suppression system status, and physical security perimeter condition.</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Accessibility for inspection, monitoring, and potential extraction. Evaluation of whether each storage area supports standard IAEA inspection procedures, continuous monitoring equipment installation, and physical cylinder movement for custody transfer or downblending operations.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Radiation levels and environmental hazards. Measurement of gamma dose rates, surface contamination levels, airborne radioactivity, and presence of chemical hazards (UF6 exposure risk, heavy water leakage) in all accessible areas.</w:t>
      </w:r>
    </w:p>
    <w:p>
      <w:pPr>
        <w:pStyle w:val="Heading2"/>
        <w:keepNext/>
        <w:keepLines/>
        <w:spacing w:before="320" w:after="120"/>
      </w:pPr>
      <w:r>
        <w:rPr>
          <w:rFonts w:ascii="Cambria" w:hAnsi="Cambria"/>
          <w:b/>
          <w:color w:val="1d3557"/>
          <w:sz w:val="26"/>
        </w:rPr>
        <w:t xml:space="preserve">2.2 Assessment Methodology</w:t>
      </w:r>
    </w:p>
    <w:p>
      <w:pPr>
        <w:spacing w:before="120" w:after="160" w:line="276" w:lineRule="auto"/>
        <w:jc w:val="both"/>
      </w:pPr>
      <w:r>
        <w:rPr>
          <w:rFonts w:ascii="Cambria" w:hAnsi="Cambria"/>
          <w:color w:val="1d3557"/>
          <w:sz w:val="22"/>
        </w:rPr>
        <w:t xml:space="preserve">The joint damage assessment proceeds according to the following procedures:</w:t>
      </w:r>
    </w:p>
    <w:tbl>
      <w:tblPr>
        <w:tblW w:w="5000" w:type="pct"/>
        <w:tblBorders>
          <w:top w:val="single" w:color="3d5a80" w:sz="12"/>
          <w:left w:val="nil"/>
          <w:bottom w:val="single" w:color="3d5a80" w:sz="12"/>
          <w:right w:val="nil"/>
          <w:insideH w:val="single" w:color="d0d5dd" w:sz="4"/>
          <w:insideV w:val="nil"/>
        </w:tblBorders>
      </w:tblPr>
      <w:tblGrid>
        <w:gridCol w:w="1600"/>
        <w:gridCol w:w="1200"/>
        <w:gridCol w:w="5600"/>
      </w:tblGrid>
      <w:tr>
        <w:trPr>
          <w:tblHeader/>
        </w:trPr>
        <w:tc>
          <w:tcPr>
            <w:tcW w:w="1600" w:type="dxa"/>
            <w:shd w:val="clear" w:fill="e8ecf1"/>
          </w:tcPr>
          <w:p>
            <w:pPr>
              <w:spacing w:before="60" w:after="60" w:line="240" w:lineRule="auto"/>
            </w:pPr>
            <w:r>
              <w:rPr>
                <w:b/>
                <w:color w:val="1d3557"/>
                <w:sz w:val="20"/>
              </w:rPr>
              <w:t xml:space="preserve">Phase</w:t>
            </w:r>
          </w:p>
        </w:tc>
        <w:tc>
          <w:tcPr>
            <w:tcW w:w="1200" w:type="dxa"/>
            <w:shd w:val="clear" w:fill="e8ecf1"/>
          </w:tcPr>
          <w:p>
            <w:pPr>
              <w:spacing w:before="60" w:after="60" w:line="240" w:lineRule="auto"/>
            </w:pPr>
            <w:r>
              <w:rPr>
                <w:b/>
                <w:color w:val="1d3557"/>
                <w:sz w:val="20"/>
              </w:rPr>
              <w:t xml:space="preserve">Timeline</w:t>
            </w:r>
          </w:p>
        </w:tc>
        <w:tc>
          <w:tcPr>
            <w:tcW w:w="5600" w:type="dxa"/>
            <w:shd w:val="clear" w:fill="e8ecf1"/>
          </w:tcPr>
          <w:p>
            <w:pPr>
              <w:spacing w:before="60" w:after="60" w:line="240" w:lineRule="auto"/>
            </w:pPr>
            <w:r>
              <w:rPr>
                <w:b/>
                <w:color w:val="1d3557"/>
                <w:sz w:val="20"/>
              </w:rPr>
              <w:t xml:space="preserve">Activities</w:t>
            </w:r>
          </w:p>
        </w:tc>
      </w:tr>
      <w:tr>
        <w:tc>
          <w:tcPr>
            <w:tcW w:w="1600" w:type="dxa"/>
          </w:tcPr>
          <w:p>
            <w:pPr>
              <w:spacing w:before="60" w:after="60" w:line="240" w:lineRule="auto"/>
              <w:jc w:val="left"/>
            </w:pPr>
            <w:r>
              <w:rPr>
                <w:color w:val="457b9d"/>
                <w:sz w:val="20"/>
              </w:rPr>
              <w:t xml:space="preserve">Phase A: Document Review</w:t>
            </w:r>
          </w:p>
        </w:tc>
        <w:tc>
          <w:tcPr>
            <w:tcW w:w="1200" w:type="dxa"/>
          </w:tcPr>
          <w:p>
            <w:pPr>
              <w:spacing w:before="60" w:after="60" w:line="240" w:lineRule="auto"/>
              <w:jc w:val="left"/>
            </w:pPr>
            <w:r>
              <w:rPr>
                <w:color w:val="457b9d"/>
                <w:sz w:val="20"/>
              </w:rPr>
              <w:t xml:space="preserve">Days 1-3</w:t>
            </w:r>
          </w:p>
        </w:tc>
        <w:tc>
          <w:tcPr>
            <w:tcW w:w="5600" w:type="dxa"/>
          </w:tcPr>
          <w:p>
            <w:pPr>
              <w:spacing w:before="60" w:after="60" w:line="240" w:lineRule="auto"/>
              <w:jc w:val="left"/>
            </w:pPr>
            <w:r>
              <w:rPr>
                <w:color w:val="457b9d"/>
                <w:sz w:val="20"/>
              </w:rPr>
              <w:t xml:space="preserve">IAEA reviews all available Iranian facility records, pre-strike IAEA inspection reports, satellite imagery, and any damage assessments prepared by Iranian authorities. The IAEA requests additional documents within 24 hours; Iran provides these within 48 hours of request.</w:t>
            </w:r>
          </w:p>
        </w:tc>
      </w:tr>
      <w:tr>
        <w:tc>
          <w:tcPr>
            <w:tcW w:w="1600" w:type="dxa"/>
          </w:tcPr>
          <w:p>
            <w:pPr>
              <w:spacing w:before="60" w:after="60" w:line="240" w:lineRule="auto"/>
              <w:jc w:val="left"/>
            </w:pPr>
            <w:r>
              <w:rPr>
                <w:color w:val="457b9d"/>
                <w:sz w:val="20"/>
              </w:rPr>
              <w:t xml:space="preserve">Phase B: Remote Sensing Survey</w:t>
            </w:r>
          </w:p>
        </w:tc>
        <w:tc>
          <w:tcPr>
            <w:tcW w:w="1200" w:type="dxa"/>
          </w:tcPr>
          <w:p>
            <w:pPr>
              <w:spacing w:before="60" w:after="60" w:line="240" w:lineRule="auto"/>
              <w:jc w:val="left"/>
            </w:pPr>
            <w:r>
              <w:rPr>
                <w:color w:val="457b9d"/>
                <w:sz w:val="20"/>
              </w:rPr>
              <w:t xml:space="preserve">Days 2-5</w:t>
            </w:r>
          </w:p>
        </w:tc>
        <w:tc>
          <w:tcPr>
            <w:tcW w:w="5600" w:type="dxa"/>
          </w:tcPr>
          <w:p>
            <w:pPr>
              <w:spacing w:before="60" w:after="60" w:line="240" w:lineRule="auto"/>
              <w:jc w:val="left"/>
            </w:pPr>
            <w:r>
              <w:rPr>
                <w:color w:val="457b9d"/>
                <w:sz w:val="20"/>
              </w:rPr>
              <w:t xml:space="preserve">IAEA deploys drones, ground-based radiation detectors, and seismic sensors to characterize damage in areas where human access requires safety preparation. Results inform prioritization of physical inspection sequence.</w:t>
            </w:r>
          </w:p>
        </w:tc>
      </w:tr>
      <w:tr>
        <w:tc>
          <w:tcPr>
            <w:tcW w:w="1600" w:type="dxa"/>
          </w:tcPr>
          <w:p>
            <w:pPr>
              <w:spacing w:before="60" w:after="60" w:line="240" w:lineRule="auto"/>
              <w:jc w:val="left"/>
            </w:pPr>
            <w:r>
              <w:rPr>
                <w:color w:val="457b9d"/>
                <w:sz w:val="20"/>
              </w:rPr>
              <w:t xml:space="preserve">Phase C: Physical Inspection</w:t>
            </w:r>
          </w:p>
        </w:tc>
        <w:tc>
          <w:tcPr>
            <w:tcW w:w="1200" w:type="dxa"/>
          </w:tcPr>
          <w:p>
            <w:pPr>
              <w:spacing w:before="60" w:after="60" w:line="240" w:lineRule="auto"/>
              <w:jc w:val="left"/>
            </w:pPr>
            <w:r>
              <w:rPr>
                <w:color w:val="457b9d"/>
                <w:sz w:val="20"/>
              </w:rPr>
              <w:t xml:space="preserve">Days 4-12</w:t>
            </w:r>
          </w:p>
        </w:tc>
        <w:tc>
          <w:tcPr>
            <w:tcW w:w="5600" w:type="dxa"/>
          </w:tcPr>
          <w:p>
            <w:pPr>
              <w:spacing w:before="60" w:after="60" w:line="240" w:lineRule="auto"/>
              <w:jc w:val="left"/>
            </w:pPr>
            <w:r>
              <w:rPr>
                <w:color w:val="457b9d"/>
                <w:sz w:val="20"/>
              </w:rPr>
              <w:t xml:space="preserve">IAEA inspectors, with Iranian technicians as active partners, conduct joint physical examination of all accessible storage areas. Both Parties ensure no unnecessary delay. The IAEA holds the lead technical role in determining inspection scope and method; Iranian personnel contribute facility-specific expertise and raise safety concerns at any time.</w:t>
            </w:r>
          </w:p>
        </w:tc>
      </w:tr>
      <w:tr>
        <w:tc>
          <w:tcPr>
            <w:tcW w:w="1600" w:type="dxa"/>
          </w:tcPr>
          <w:p>
            <w:pPr>
              <w:spacing w:before="60" w:after="60" w:line="240" w:lineRule="auto"/>
              <w:jc w:val="left"/>
            </w:pPr>
            <w:r>
              <w:rPr>
                <w:color w:val="457b9d"/>
                <w:sz w:val="20"/>
              </w:rPr>
              <w:t xml:space="preserve">Phase D: Instrumental Analysis</w:t>
            </w:r>
          </w:p>
        </w:tc>
        <w:tc>
          <w:tcPr>
            <w:tcW w:w="1200" w:type="dxa"/>
          </w:tcPr>
          <w:p>
            <w:pPr>
              <w:spacing w:before="60" w:after="60" w:line="240" w:lineRule="auto"/>
              <w:jc w:val="left"/>
            </w:pPr>
            <w:r>
              <w:rPr>
                <w:color w:val="457b9d"/>
                <w:sz w:val="20"/>
              </w:rPr>
              <w:t xml:space="preserve">Days 8-13</w:t>
            </w:r>
          </w:p>
        </w:tc>
        <w:tc>
          <w:tcPr>
            <w:tcW w:w="5600" w:type="dxa"/>
          </w:tcPr>
          <w:p>
            <w:pPr>
              <w:spacing w:before="60" w:after="60" w:line="240" w:lineRule="auto"/>
              <w:jc w:val="left"/>
            </w:pPr>
            <w:r>
              <w:rPr>
                <w:color w:val="457b9d"/>
                <w:sz w:val="20"/>
              </w:rPr>
              <w:t xml:space="preserve">Non-destructive assay (NDA) measurements on all identified cylinders. Gamma spectroscopy confirms isotopic composition. Neutron counting verifies mass estimates. Results are logged in the IAEA inspector report.</w:t>
            </w:r>
          </w:p>
        </w:tc>
      </w:tr>
      <w:tr>
        <w:tc>
          <w:tcPr>
            <w:tcW w:w="1600" w:type="dxa"/>
          </w:tcPr>
          <w:p>
            <w:pPr>
              <w:spacing w:before="60" w:after="60" w:line="240" w:lineRule="auto"/>
              <w:jc w:val="left"/>
            </w:pPr>
            <w:r>
              <w:rPr>
                <w:color w:val="457b9d"/>
                <w:sz w:val="20"/>
              </w:rPr>
              <w:t xml:space="preserve">Phase E: Report Preparation</w:t>
            </w:r>
          </w:p>
        </w:tc>
        <w:tc>
          <w:tcPr>
            <w:tcW w:w="1200" w:type="dxa"/>
          </w:tcPr>
          <w:p>
            <w:pPr>
              <w:spacing w:before="60" w:after="60" w:line="240" w:lineRule="auto"/>
              <w:jc w:val="left"/>
            </w:pPr>
            <w:r>
              <w:rPr>
                <w:color w:val="457b9d"/>
                <w:sz w:val="20"/>
              </w:rPr>
              <w:t xml:space="preserve">Days 12-14</w:t>
            </w:r>
          </w:p>
        </w:tc>
        <w:tc>
          <w:tcPr>
            <w:tcW w:w="5600" w:type="dxa"/>
          </w:tcPr>
          <w:p>
            <w:pPr>
              <w:spacing w:before="60" w:after="60" w:line="240" w:lineRule="auto"/>
              <w:jc w:val="left"/>
            </w:pPr>
            <w:r>
              <w:rPr>
                <w:color w:val="457b9d"/>
                <w:sz w:val="20"/>
              </w:rPr>
              <w:t xml:space="preserve">Joint drafting of Site Integrity Report (see Section 2.3). IAEA prepares technical annexes; Iran appends observations. Both Parties review and finalize by Day 14 deadline.</w:t>
            </w:r>
          </w:p>
        </w:tc>
      </w:tr>
    </w:tbl>
    <w:p>
      <w:pPr>
        <w:spacing w:before="120" w:after="160" w:line="276" w:lineRule="auto"/>
        <w:jc w:val="both"/>
      </w:pPr>
      <w:r>
        <w:rPr>
          <w:rFonts w:ascii="Cambria" w:hAnsi="Cambria"/>
          <w:color w:val="1d3557"/>
          <w:sz w:val="22"/>
        </w:rPr>
        <w:t xml:space="preserve">Lead technical role: The IAEA holds the lead technical role in all assessments, with Iranian experts as active partners. Iranian technicians accompany IAEA teams, provide facility-specific expertise, and operate Iranian equipment under joint technical direction. Both Parties ensure that access proceeds without unnecessary delay. Either Party raises safety concerns at any time; safety disputes resolve through the procedures set out in Article 3.1.</w:t>
      </w:r>
    </w:p>
    <w:p>
      <w:pPr>
        <w:spacing w:before="120" w:after="160" w:line="276" w:lineRule="auto"/>
        <w:jc w:val="both"/>
      </w:pPr>
      <w:r>
        <w:rPr>
          <w:rFonts w:ascii="Cambria" w:hAnsi="Cambria"/>
          <w:color w:val="1d3557"/>
          <w:sz w:val="22"/>
        </w:rPr>
        <w:t xml:space="preserve">Remote sensing supplement: Remote sensing technologies (drones with radiation detectors and cameras, satellite imagery analysis, seismic sensors) supplement — and never substitute for — physical inspection. No cylinder receives Category I (Intact) classification based solely on remote sensing data.</w:t>
      </w:r>
    </w:p>
    <w:p>
      <w:pPr>
        <w:pStyle w:val="Heading2"/>
        <w:keepNext/>
        <w:keepLines/>
        <w:spacing w:before="320" w:after="120"/>
      </w:pPr>
      <w:r>
        <w:rPr>
          <w:rFonts w:ascii="Cambria" w:hAnsi="Cambria"/>
          <w:b/>
          <w:color w:val="1d3557"/>
          <w:sz w:val="26"/>
        </w:rPr>
        <w:t xml:space="preserve">2.3 Site Integrity Report</w:t>
      </w:r>
    </w:p>
    <w:p>
      <w:pPr>
        <w:spacing w:before="120" w:after="160" w:line="276" w:lineRule="auto"/>
        <w:jc w:val="both"/>
      </w:pPr>
      <w:r>
        <w:rPr>
          <w:rFonts w:ascii="Cambria" w:hAnsi="Cambria"/>
          <w:color w:val="1d3557"/>
          <w:sz w:val="22"/>
        </w:rPr>
        <w:t xml:space="preserve">Within fourteen (14) days of EIF, the Parties deliver a joint Site Integrity Report to both Parties and the Permanent Consultative Committee (PCC). The Report contains the following elements: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Cylinder Inventory by Location and Condition: A complete table listing every HEU cylinder by unique identifier, declared location, GPS coordinates, condition category (I-IV), and NDA-verified isotopic enrichment.</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Priority Ranking: A prioritized list of cylinders requiring verification, continuous monitoring, or recovery operations, ranked by proliferation risk (enrichment level, accessibility to potential diverters, physical security of storage location).</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Recommended Disposition Pathway: For each cylinder or cylinder group, a recommended disposition based on physical feasibility. Category I cylinders: standard custody transfer and downblending per the parent framework. Category II-A cylinders: standard custody transfer and downblending with enhanced handling protocols. Category II-B cylinders: recovery under Article 3 within 30 days; custody transfer upon completion of IAEA-approved recovery plan. Category III cylinders: Article 3 remote recovery or Article 3.3 in-situ containment with enhanced monitoring. Category IV cylinders: joint investigation per Article 2.1; PCC escalation after 14 days if no credible explanation is found.</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Storage Area Recovery Requirements: Engineering assessment of infrastructure repairs needed to restore each storage area to IAEA-inspectable condition.</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Safety Recommendations: Radiation and structural safety measures required before each area supports routine IAEA inspection activity.</w:t>
      </w:r>
    </w:p>
    <w:p>
      <w:pPr>
        <w:spacing w:before="120" w:after="160" w:line="276" w:lineRule="auto"/>
        <w:jc w:val="both"/>
      </w:pPr>
      <w:r>
        <w:rPr>
          <w:rFonts w:ascii="Cambria" w:hAnsi="Cambria"/>
          <w:color w:val="1d3557"/>
          <w:sz w:val="22"/>
        </w:rPr>
        <w:t xml:space="preserve">The Site Integrity Report is classified as Confidential and distributed only to: the IAEA Director General and designated technical staff; the Iranian Atomic Energy Organization (AEOI) leadership; the PCC; and the permanent members of the UN Security Council upon formal request.</w:t>
      </w:r>
    </w:p>
    <w:p>
      <w:pPr>
        <w:pStyle w:val="Heading1"/>
        <w:keepNext/>
        <w:keepLines/>
        <w:spacing w:before="480" w:after="200"/>
      </w:pPr>
      <w:r>
        <w:rPr>
          <w:rFonts w:ascii="Cambria" w:hAnsi="Cambria"/>
          <w:b/>
          <w:color w:val="3d5a80"/>
          <w:sz w:val="32"/>
        </w:rPr>
        <w:t xml:space="preserve">Article 3: Damaged or Inaccessible Cylinders — Joint Recovery Protocol</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If the Parties determine any HEU cylinders to be damaged or inaccessible (Categories II or III under Article 2), both Parties commit to a joint recovery operation under IAEA supervision. Recovery proceeds using remote robotics where human access is unsafe. The Parties jointly determine recovery methods. In case of disagreement, the IAEA's technical safety assessment prevails where human life or proliferation risk is imminent. For purposes of this Article, "imminent" proliferation risk has the meaning defined in Article 6.1-B. For all other matters where disagreement persists, either Party refers the dispute to the PCA under Article 6, with an expedited ruling within five (5) days.</w:t>
      </w:r>
    </w:p>
    <w:p>
      <w:pPr>
        <w:pStyle w:val="Heading2"/>
        <w:keepNext/>
        <w:keepLines/>
        <w:spacing w:before="320" w:after="120"/>
      </w:pPr>
      <w:r>
        <w:rPr>
          <w:rFonts w:ascii="Cambria" w:hAnsi="Cambria"/>
          <w:b/>
          <w:color w:val="1d3557"/>
          <w:sz w:val="26"/>
        </w:rPr>
        <w:t xml:space="preserve">3.1 Recovery Principles</w:t>
      </w:r>
    </w:p>
    <w:p>
      <w:pPr>
        <w:spacing w:before="120" w:after="160" w:line="276" w:lineRule="auto"/>
        <w:jc w:val="both"/>
      </w:pPr>
      <w:r>
        <w:rPr>
          <w:rFonts w:ascii="Cambria" w:hAnsi="Cambria"/>
          <w:color w:val="1d3557"/>
          <w:sz w:val="22"/>
        </w:rPr>
        <w:t xml:space="preserve">All recovery operations under this Article adhere to the following principles:</w:t>
      </w:r>
    </w:p>
    <w:tbl>
      <w:tblPr>
        <w:tblW w:w="5000" w:type="pct"/>
        <w:tblBorders>
          <w:top w:val="single" w:color="3d5a80" w:sz="12"/>
          <w:left w:val="nil"/>
          <w:bottom w:val="single" w:color="3d5a80" w:sz="12"/>
          <w:right w:val="nil"/>
          <w:insideH w:val="single" w:color="d0d5dd" w:sz="4"/>
          <w:insideV w:val="nil"/>
        </w:tblBorders>
      </w:tblPr>
      <w:tblGrid>
        <w:gridCol w:w="2200"/>
        <w:gridCol w:w="6400"/>
      </w:tblGrid>
      <w:tr>
        <w:trPr>
          <w:tblHeader/>
        </w:trPr>
        <w:tc>
          <w:tcPr>
            <w:tcW w:w="2200" w:type="dxa"/>
            <w:shd w:val="clear" w:fill="e8ecf1"/>
          </w:tcPr>
          <w:p>
            <w:pPr>
              <w:spacing w:before="60" w:after="60" w:line="240" w:lineRule="auto"/>
            </w:pPr>
            <w:r>
              <w:rPr>
                <w:b/>
                <w:color w:val="1d3557"/>
                <w:sz w:val="20"/>
              </w:rPr>
              <w:t xml:space="preserve">Principle</w:t>
            </w:r>
          </w:p>
        </w:tc>
        <w:tc>
          <w:tcPr>
            <w:tcW w:w="6400" w:type="dxa"/>
            <w:shd w:val="clear" w:fill="e8ecf1"/>
          </w:tcPr>
          <w:p>
            <w:pPr>
              <w:spacing w:before="60" w:after="60" w:line="240" w:lineRule="auto"/>
            </w:pPr>
            <w:r>
              <w:rPr>
                <w:b/>
                <w:color w:val="1d3557"/>
                <w:sz w:val="20"/>
              </w:rPr>
              <w:t xml:space="preserve">Operational Requirements</w:t>
            </w:r>
          </w:p>
        </w:tc>
      </w:tr>
      <w:tr>
        <w:tc>
          <w:tcPr>
            <w:tcW w:w="2200" w:type="dxa"/>
          </w:tcPr>
          <w:p>
            <w:pPr>
              <w:spacing w:before="60" w:after="60" w:line="240" w:lineRule="auto"/>
              <w:jc w:val="left"/>
            </w:pPr>
            <w:r>
              <w:rPr>
                <w:color w:val="457b9d"/>
                <w:sz w:val="20"/>
              </w:rPr>
              <w:t xml:space="preserve">Safety Paramount</w:t>
            </w:r>
          </w:p>
        </w:tc>
        <w:tc>
          <w:tcPr>
            <w:tcW w:w="6400" w:type="dxa"/>
          </w:tcPr>
          <w:p>
            <w:pPr>
              <w:spacing w:before="60" w:after="60" w:line="240" w:lineRule="auto"/>
              <w:jc w:val="left"/>
            </w:pPr>
            <w:r>
              <w:rPr>
                <w:color w:val="457b9d"/>
                <w:sz w:val="20"/>
              </w:rPr>
              <w:t xml:space="preserve">No recovery operation proceeds if it poses unacceptable radiation or structural risks to personnel. "Unacceptable risk" is determined jointly by the IAEA Radiation Safety Officer and Iranian nuclear safety authorities. Where there is imminent risk to human life or credible proliferation concern, the IAEA technical safety assessment prevails. For all other safety disagreements, either Party refers the matter to expedited PCA arbitration under Article 6 within five (5) days.</w:t>
            </w:r>
          </w:p>
        </w:tc>
      </w:tr>
      <w:tr>
        <w:tc>
          <w:tcPr>
            <w:tcW w:w="2200" w:type="dxa"/>
          </w:tcPr>
          <w:p>
            <w:pPr>
              <w:spacing w:before="60" w:after="60" w:line="240" w:lineRule="auto"/>
              <w:jc w:val="left"/>
            </w:pPr>
            <w:r>
              <w:rPr>
                <w:color w:val="457b9d"/>
                <w:sz w:val="20"/>
              </w:rPr>
              <w:t xml:space="preserve">Remote-First</w:t>
            </w:r>
          </w:p>
        </w:tc>
        <w:tc>
          <w:tcPr>
            <w:tcW w:w="6400" w:type="dxa"/>
          </w:tcPr>
          <w:p>
            <w:pPr>
              <w:spacing w:before="60" w:after="60" w:line="240" w:lineRule="auto"/>
              <w:jc w:val="left"/>
            </w:pPr>
            <w:r>
              <w:rPr>
                <w:color w:val="457b9d"/>
                <w:sz w:val="20"/>
              </w:rPr>
              <w:t xml:space="preserve">Recovery proceeds using remote-controlled robotics, teleoperated manipulators, or autonomous systems wherever human access is deemed unsafe. Human entry into compromised areas requires explicit written authorization from both the IAEA Team Leader and Iranian Facility Director.</w:t>
            </w:r>
          </w:p>
        </w:tc>
      </w:tr>
      <w:tr>
        <w:tc>
          <w:tcPr>
            <w:tcW w:w="2200" w:type="dxa"/>
          </w:tcPr>
          <w:p>
            <w:pPr>
              <w:spacing w:before="60" w:after="60" w:line="240" w:lineRule="auto"/>
              <w:jc w:val="left"/>
            </w:pPr>
            <w:r>
              <w:rPr>
                <w:color w:val="457b9d"/>
                <w:sz w:val="20"/>
              </w:rPr>
              <w:t xml:space="preserve">Joint Determination</w:t>
            </w:r>
          </w:p>
        </w:tc>
        <w:tc>
          <w:tcPr>
            <w:tcW w:w="6400" w:type="dxa"/>
          </w:tcPr>
          <w:p>
            <w:pPr>
              <w:spacing w:before="60" w:after="60" w:line="240" w:lineRule="auto"/>
              <w:jc w:val="left"/>
            </w:pPr>
            <w:r>
              <w:rPr>
                <w:color w:val="457b9d"/>
                <w:sz w:val="20"/>
              </w:rPr>
              <w:t xml:space="preserve">Recovery methods, sequencing, and safety protocols are determined jointly by the IAEA and Iranian facility engineers. The IAEA holds the lead technical role; Iranian personnel operate equipment as active partners under joint technical direction. Either Party refers disagreements to expedited PCA arbitration under Article 6 within five (5) days. Neither Party unilaterally delays an agreed recovery plan absent a credible, documented safety concern.</w:t>
            </w:r>
          </w:p>
        </w:tc>
      </w:tr>
      <w:tr>
        <w:tc>
          <w:tcPr>
            <w:tcW w:w="2200" w:type="dxa"/>
          </w:tcPr>
          <w:p>
            <w:pPr>
              <w:spacing w:before="60" w:after="60" w:line="240" w:lineRule="auto"/>
              <w:jc w:val="left"/>
            </w:pPr>
            <w:r>
              <w:rPr>
                <w:color w:val="457b9d"/>
                <w:sz w:val="20"/>
              </w:rPr>
              <w:t xml:space="preserve">Transparency</w:t>
            </w:r>
          </w:p>
        </w:tc>
        <w:tc>
          <w:tcPr>
            <w:tcW w:w="6400" w:type="dxa"/>
          </w:tcPr>
          <w:p>
            <w:pPr>
              <w:spacing w:before="60" w:after="60" w:line="240" w:lineRule="auto"/>
              <w:jc w:val="left"/>
            </w:pPr>
            <w:r>
              <w:rPr>
                <w:color w:val="457b9d"/>
                <w:sz w:val="20"/>
              </w:rPr>
              <w:t xml:space="preserve">All recovery operations are documented by continuous video recording transmitted in real time to IAEA headquarters in Vienna. No recovery operation proceeds off-camera or with recording interrupted.</w:t>
            </w:r>
          </w:p>
        </w:tc>
      </w:tr>
      <w:tr>
        <w:tc>
          <w:tcPr>
            <w:tcW w:w="2200" w:type="dxa"/>
          </w:tcPr>
          <w:p>
            <w:pPr>
              <w:spacing w:before="60" w:after="60" w:line="240" w:lineRule="auto"/>
              <w:jc w:val="left"/>
            </w:pPr>
            <w:r>
              <w:rPr>
                <w:color w:val="457b9d"/>
                <w:sz w:val="20"/>
              </w:rPr>
              <w:t xml:space="preserve">Material Accountancy</w:t>
            </w:r>
          </w:p>
        </w:tc>
        <w:tc>
          <w:tcPr>
            <w:tcW w:w="6400" w:type="dxa"/>
          </w:tcPr>
          <w:p>
            <w:pPr>
              <w:spacing w:before="60" w:after="60" w:line="240" w:lineRule="auto"/>
              <w:jc w:val="left"/>
            </w:pPr>
            <w:r>
              <w:rPr>
                <w:color w:val="457b9d"/>
                <w:sz w:val="20"/>
              </w:rPr>
              <w:t xml:space="preserve">Every recovered cylinder is weighed, measured by NDA, and logged in the IAEA inventory system before removal from the recovery site. Material unaccounted for (MUF) during recovery is calculated and reported to the PCC within 24 hours.</w:t>
            </w:r>
          </w:p>
        </w:tc>
      </w:tr>
    </w:tbl>
    <w:p>
      <w:pPr>
        <w:pStyle w:val="Heading2"/>
        <w:keepNext/>
        <w:keepLines/>
        <w:spacing w:before="320" w:after="120"/>
      </w:pPr>
      <w:r>
        <w:rPr>
          <w:rFonts w:ascii="Cambria" w:hAnsi="Cambria"/>
          <w:b/>
          <w:color w:val="1d3557"/>
          <w:sz w:val="26"/>
        </w:rPr>
        <w:t xml:space="preserve">3.2 Recovery Timeline</w:t>
      </w:r>
    </w:p>
    <w:tbl>
      <w:tblPr>
        <w:tblW w:w="5000" w:type="pct"/>
        <w:tblBorders>
          <w:top w:val="single" w:color="3d5a80" w:sz="12"/>
          <w:left w:val="nil"/>
          <w:bottom w:val="single" w:color="3d5a80" w:sz="12"/>
          <w:right w:val="nil"/>
          <w:insideH w:val="single" w:color="d0d5dd" w:sz="4"/>
          <w:insideV w:val="nil"/>
        </w:tblBorders>
      </w:tblPr>
      <w:tblGrid>
        <w:gridCol w:w="2000"/>
        <w:gridCol w:w="1600"/>
        <w:gridCol w:w="5000"/>
      </w:tblGrid>
      <w:tr>
        <w:trPr>
          <w:tblHeader/>
        </w:trPr>
        <w:tc>
          <w:tcPr>
            <w:tcW w:w="2000" w:type="dxa"/>
            <w:shd w:val="clear" w:fill="e8ecf1"/>
          </w:tcPr>
          <w:p>
            <w:pPr>
              <w:spacing w:before="60" w:after="60" w:line="240" w:lineRule="auto"/>
            </w:pPr>
            <w:r>
              <w:rPr>
                <w:b/>
                <w:color w:val="1d3557"/>
                <w:sz w:val="20"/>
              </w:rPr>
              <w:t xml:space="preserve">Milestone</w:t>
            </w:r>
          </w:p>
        </w:tc>
        <w:tc>
          <w:tcPr>
            <w:tcW w:w="1600" w:type="dxa"/>
            <w:shd w:val="clear" w:fill="e8ecf1"/>
          </w:tcPr>
          <w:p>
            <w:pPr>
              <w:spacing w:before="60" w:after="60" w:line="240" w:lineRule="auto"/>
            </w:pPr>
            <w:r>
              <w:rPr>
                <w:b/>
                <w:color w:val="1d3557"/>
                <w:sz w:val="20"/>
              </w:rPr>
              <w:t xml:space="preserve">Deadline</w:t>
            </w:r>
          </w:p>
        </w:tc>
        <w:tc>
          <w:tcPr>
            <w:tcW w:w="5000" w:type="dxa"/>
            <w:shd w:val="clear" w:fill="e8ecf1"/>
          </w:tcPr>
          <w:p>
            <w:pPr>
              <w:spacing w:before="60" w:after="60" w:line="240" w:lineRule="auto"/>
            </w:pPr>
            <w:r>
              <w:rPr>
                <w:b/>
                <w:color w:val="1d3557"/>
                <w:sz w:val="20"/>
              </w:rPr>
              <w:t xml:space="preserve">Requirement</w:t>
            </w:r>
          </w:p>
        </w:tc>
      </w:tr>
      <w:tr>
        <w:tc>
          <w:tcPr>
            <w:tcW w:w="2000" w:type="dxa"/>
          </w:tcPr>
          <w:p>
            <w:pPr>
              <w:spacing w:before="60" w:after="60" w:line="240" w:lineRule="auto"/>
              <w:jc w:val="left"/>
            </w:pPr>
            <w:r>
              <w:rPr>
                <w:color w:val="457b9d"/>
                <w:sz w:val="20"/>
              </w:rPr>
              <w:t xml:space="preserve">Recovery Plan Agreement</w:t>
            </w:r>
          </w:p>
        </w:tc>
        <w:tc>
          <w:tcPr>
            <w:tcW w:w="1600" w:type="dxa"/>
          </w:tcPr>
          <w:p>
            <w:pPr>
              <w:spacing w:before="60" w:after="60" w:line="240" w:lineRule="auto"/>
              <w:jc w:val="left"/>
            </w:pPr>
            <w:r>
              <w:rPr>
                <w:color w:val="457b9d"/>
                <w:sz w:val="20"/>
              </w:rPr>
              <w:t xml:space="preserve">Day 21 (7 days post-Report)</w:t>
            </w:r>
          </w:p>
        </w:tc>
        <w:tc>
          <w:tcPr>
            <w:tcW w:w="5000" w:type="dxa"/>
          </w:tcPr>
          <w:p>
            <w:pPr>
              <w:spacing w:before="60" w:after="60" w:line="240" w:lineRule="auto"/>
              <w:jc w:val="left"/>
            </w:pPr>
            <w:r>
              <w:rPr>
                <w:color w:val="457b9d"/>
                <w:sz w:val="20"/>
              </w:rPr>
              <w:t xml:space="preserve">Both Parties agree on a written Recovery Plan specifying: recovery sequencing; robotics and equipment to be deployed; personnel roles and responsibilities; radiation safety protocols; material accountancy procedures; contingency plans for unexpected conditions.</w:t>
            </w:r>
          </w:p>
        </w:tc>
      </w:tr>
      <w:tr>
        <w:tc>
          <w:tcPr>
            <w:tcW w:w="2000" w:type="dxa"/>
          </w:tcPr>
          <w:p>
            <w:pPr>
              <w:spacing w:before="60" w:after="60" w:line="240" w:lineRule="auto"/>
              <w:jc w:val="left"/>
            </w:pPr>
            <w:r>
              <w:rPr>
                <w:color w:val="457b9d"/>
                <w:sz w:val="20"/>
              </w:rPr>
              <w:t xml:space="preserve">Equipment Deployment</w:t>
            </w:r>
          </w:p>
        </w:tc>
        <w:tc>
          <w:tcPr>
            <w:tcW w:w="1600" w:type="dxa"/>
          </w:tcPr>
          <w:p>
            <w:pPr>
              <w:spacing w:before="60" w:after="60" w:line="240" w:lineRule="auto"/>
              <w:jc w:val="left"/>
            </w:pPr>
            <w:r>
              <w:rPr>
                <w:color w:val="457b9d"/>
                <w:sz w:val="20"/>
              </w:rPr>
              <w:t xml:space="preserve">Day 24</w:t>
            </w:r>
          </w:p>
        </w:tc>
        <w:tc>
          <w:tcPr>
            <w:tcW w:w="5000" w:type="dxa"/>
          </w:tcPr>
          <w:p>
            <w:pPr>
              <w:spacing w:before="60" w:after="60" w:line="240" w:lineRule="auto"/>
              <w:jc w:val="left"/>
            </w:pPr>
            <w:r>
              <w:rPr>
                <w:color w:val="457b9d"/>
                <w:sz w:val="20"/>
              </w:rPr>
              <w:t xml:space="preserve">All recovery equipment (robotic systems, NDA instruments, temporary shielding, lifting equipment) is on-site and operational. Equipment comes from IAEA, Iranian, or third-party suppliers as agreed in the Recovery Plan.</w:t>
            </w:r>
          </w:p>
        </w:tc>
      </w:tr>
      <w:tr>
        <w:tc>
          <w:tcPr>
            <w:tcW w:w="2000" w:type="dxa"/>
          </w:tcPr>
          <w:p>
            <w:pPr>
              <w:spacing w:before="60" w:after="60" w:line="240" w:lineRule="auto"/>
              <w:jc w:val="left"/>
            </w:pPr>
            <w:r>
              <w:rPr>
                <w:color w:val="457b9d"/>
                <w:sz w:val="20"/>
              </w:rPr>
              <w:t xml:space="preserve">Recovery Commencement</w:t>
            </w:r>
          </w:p>
        </w:tc>
        <w:tc>
          <w:tcPr>
            <w:tcW w:w="1600" w:type="dxa"/>
          </w:tcPr>
          <w:p>
            <w:pPr>
              <w:spacing w:before="60" w:after="60" w:line="240" w:lineRule="auto"/>
              <w:jc w:val="left"/>
            </w:pPr>
            <w:r>
              <w:rPr>
                <w:color w:val="457b9d"/>
                <w:sz w:val="20"/>
              </w:rPr>
              <w:t xml:space="preserve">Day 28 (14 days post-Report)</w:t>
            </w:r>
          </w:p>
        </w:tc>
        <w:tc>
          <w:tcPr>
            <w:tcW w:w="5000" w:type="dxa"/>
          </w:tcPr>
          <w:p>
            <w:pPr>
              <w:spacing w:before="60" w:after="60" w:line="240" w:lineRule="auto"/>
              <w:jc w:val="left"/>
            </w:pPr>
            <w:r>
              <w:rPr>
                <w:color w:val="457b9d"/>
                <w:sz w:val="20"/>
              </w:rPr>
              <w:t xml:space="preserve">Physical recovery operations commence. If commencement is delayed due to safety preparations, both Parties notify the PCC in writing with revised timeline and justification.</w:t>
            </w:r>
          </w:p>
        </w:tc>
      </w:tr>
      <w:tr>
        <w:tc>
          <w:tcPr>
            <w:tcW w:w="2000" w:type="dxa"/>
          </w:tcPr>
          <w:p>
            <w:pPr>
              <w:spacing w:before="60" w:after="60" w:line="240" w:lineRule="auto"/>
              <w:jc w:val="left"/>
            </w:pPr>
            <w:r>
              <w:rPr>
                <w:color w:val="457b9d"/>
                <w:sz w:val="20"/>
              </w:rPr>
              <w:t xml:space="preserve">Progress Reporting</w:t>
            </w:r>
          </w:p>
        </w:tc>
        <w:tc>
          <w:tcPr>
            <w:tcW w:w="1600" w:type="dxa"/>
          </w:tcPr>
          <w:p>
            <w:pPr>
              <w:spacing w:before="60" w:after="60" w:line="240" w:lineRule="auto"/>
              <w:jc w:val="left"/>
            </w:pPr>
            <w:r>
              <w:rPr>
                <w:color w:val="457b9d"/>
                <w:sz w:val="20"/>
              </w:rPr>
              <w:t xml:space="preserve">Every 72 hours</w:t>
            </w:r>
          </w:p>
        </w:tc>
        <w:tc>
          <w:tcPr>
            <w:tcW w:w="5000" w:type="dxa"/>
          </w:tcPr>
          <w:p>
            <w:pPr>
              <w:spacing w:before="60" w:after="60" w:line="240" w:lineRule="auto"/>
              <w:jc w:val="left"/>
            </w:pPr>
            <w:r>
              <w:rPr>
                <w:color w:val="457b9d"/>
                <w:sz w:val="20"/>
              </w:rPr>
              <w:t xml:space="preserve">IAEA submits written progress reports to the PCC every 72 hours during active recovery operations. Reports include: cylinders recovered; condition findings; any safety incidents; MUF calculations; estimated completion date.</w:t>
            </w:r>
          </w:p>
        </w:tc>
      </w:tr>
      <w:tr>
        <w:tc>
          <w:tcPr>
            <w:tcW w:w="2000" w:type="dxa"/>
          </w:tcPr>
          <w:p>
            <w:pPr>
              <w:spacing w:before="60" w:after="60" w:line="240" w:lineRule="auto"/>
              <w:jc w:val="left"/>
            </w:pPr>
            <w:r>
              <w:rPr>
                <w:color w:val="457b9d"/>
                <w:sz w:val="20"/>
              </w:rPr>
              <w:t xml:space="preserve">Recovery Completion</w:t>
            </w:r>
          </w:p>
        </w:tc>
        <w:tc>
          <w:tcPr>
            <w:tcW w:w="1600" w:type="dxa"/>
          </w:tcPr>
          <w:p>
            <w:pPr>
              <w:spacing w:before="60" w:after="60" w:line="240" w:lineRule="auto"/>
              <w:jc w:val="left"/>
            </w:pPr>
            <w:r>
              <w:rPr>
                <w:color w:val="457b9d"/>
                <w:sz w:val="20"/>
              </w:rPr>
              <w:t xml:space="preserve">As specified in Plan</w:t>
            </w:r>
          </w:p>
        </w:tc>
        <w:tc>
          <w:tcPr>
            <w:tcW w:w="5000" w:type="dxa"/>
          </w:tcPr>
          <w:p>
            <w:pPr>
              <w:spacing w:before="60" w:after="60" w:line="240" w:lineRule="auto"/>
              <w:jc w:val="left"/>
            </w:pPr>
            <w:r>
              <w:rPr>
                <w:color w:val="457b9d"/>
                <w:sz w:val="20"/>
              </w:rPr>
              <w:t xml:space="preserve">All identified Category II and III cylinders are recovered, characterized, and either transferred to IAEA custody or placed under in-situ containment per Article 3.3. Final report is issued within 7 days of completion.</w:t>
            </w:r>
          </w:p>
        </w:tc>
      </w:tr>
    </w:tbl>
    <w:p>
      <w:pPr>
        <w:spacing w:before="120" w:after="160" w:line="276" w:lineRule="auto"/>
        <w:jc w:val="both"/>
      </w:pPr>
      <w:r>
        <w:rPr>
          <w:rFonts w:ascii="Cambria" w:hAnsi="Cambria"/>
          <w:color w:val="1d3557"/>
          <w:sz w:val="22"/>
        </w:rPr>
        <w:t xml:space="preserve">Equipment access: Iran permits entry of all recovery equipment and technical personnel necessary for the Recovery Plan, including third-country robotics specialists, within 48 hours of Plan approval. Equipment is subject to IAEA seal verification only; Iranian customs inspection that compromises IAEA equipment integrity does not occur.</w:t>
      </w:r>
    </w:p>
    <w:p>
      <w:pPr>
        <w:pStyle w:val="Heading2"/>
        <w:keepNext/>
        <w:keepLines/>
        <w:spacing w:before="320" w:after="120"/>
      </w:pPr>
      <w:r>
        <w:rPr>
          <w:rFonts w:ascii="Cambria" w:hAnsi="Cambria"/>
          <w:b/>
          <w:color w:val="1d3557"/>
          <w:sz w:val="26"/>
        </w:rPr>
        <w:t xml:space="preserve">3.3 Unrecoverable Material — In-Situ Containment</w:t>
      </w:r>
    </w:p>
    <w:p>
      <w:pPr>
        <w:spacing w:before="120" w:after="160" w:line="276" w:lineRule="auto"/>
        <w:jc w:val="both"/>
      </w:pPr>
      <w:r>
        <w:rPr>
          <w:rFonts w:ascii="Cambria" w:hAnsi="Cambria"/>
          <w:color w:val="1d3557"/>
          <w:sz w:val="22"/>
        </w:rPr>
        <w:t xml:space="preserve">If the Parties determine recovery is impossible (e.g., collapsed tunnel with no safe access route, cylinder fused to structural debris, radiation levels precluding any approach even by robotics), the affected material is subject to in-situ containment, not extraction:</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Permanent monitoring installation: Iran and the IAEA install permanent monitoring equipment at the containment site, including: seismic sensors to detect tunneling, drilling, or structural disturbance; radiation detectors to monitor for leakage or unauthorized material movement; continuous camera surveillance with infrared capability for low-light conditions; tamper-evident seals on all accessible access points; and environmental sampling ports for periodic swipe and air sample collection.</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"Contained in place" designation: The material is formally designated as "Contained in Place" in the IAEA inventory system. Such material does not count against Iran's drawdown obligations under the parent framework unless and until it becomes recoverable through technological advancement or infrastructure repair.</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No delay provision: Neither Party uses the unrecoverable status of contained material as a reason to delay compliance with other provisions of this Annex or any parent framework. Custody transfer and downblending of all accessible cylinders proceeds on the established timeline regardless of any in-situ containment designations.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Annual review: The IAEA reviews the status of all Contained in Place material annually. If technological advances or changed conditions permit safe recovery, the material is reclassified and recovery operations commence within 60 days of IAEA recommendation.</w:t>
      </w:r>
    </w:p>
    <w:p>
      <w:pPr>
        <w:pStyle w:val="Heading1"/>
        <w:keepNext/>
        <w:keepLines/>
        <w:spacing w:before="480" w:after="200"/>
      </w:pPr>
      <w:r>
        <w:rPr>
          <w:rFonts w:ascii="Cambria" w:hAnsi="Cambria"/>
          <w:b/>
          <w:color w:val="3d5a80"/>
          <w:sz w:val="32"/>
        </w:rPr>
        <w:t xml:space="preserve">Article 4: No Delay of Custody Transfer or Downblending</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Neither Party uses damaged conditions, access disputes, or recovery complexity as a reason to delay: (a) IAEA custody transfer of accessible HEU cylinders; (b) downblending of accessible HEU cylinders under Pathway A of the parent framework; or (c) implementation of any other disposition pathway agreed by the Parties.</w:t>
      </w:r>
    </w:p>
    <w:p>
      <w:pPr>
        <w:pStyle w:val="Heading2"/>
        <w:keepNext/>
        <w:keepLines/>
        <w:spacing w:before="320" w:after="120"/>
      </w:pPr>
      <w:r>
        <w:rPr>
          <w:rFonts w:ascii="Cambria" w:hAnsi="Cambria"/>
          <w:b/>
          <w:color w:val="1d3557"/>
          <w:sz w:val="26"/>
        </w:rPr>
        <w:t xml:space="preserve">4.1 Accessible Cylinders — No Delay</w:t>
      </w:r>
    </w:p>
    <w:p>
      <w:pPr>
        <w:spacing w:before="120" w:after="160" w:line="276" w:lineRule="auto"/>
        <w:jc w:val="both"/>
      </w:pPr>
      <w:r>
        <w:rPr>
          <w:rFonts w:ascii="Cambria" w:hAnsi="Cambria"/>
          <w:color w:val="1d3557"/>
          <w:sz w:val="22"/>
        </w:rPr>
        <w:t xml:space="preserve">For all Category I (Intact) and Category II-A (Minor Damage) cylinders that the Parties safely move:</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Custody transfer and downblending proceeds on the timeline established in the parent framework regardless of ongoing recovery operations for damaged or inaccessible cylinders.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The 14-day HEU consolidation timeline (parent framework Article 1.1) applies to all accessible cylinders without extension for facility damage elsewhere.</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The Day 45 Disposition Default circuit breaker (parent framework Article 1.6) is calculated based only on accessible material.</w:t>
      </w:r>
    </w:p>
    <w:p>
      <w:pPr>
        <w:pStyle w:val="Heading2"/>
        <w:keepNext/>
        <w:keepLines/>
        <w:spacing w:before="320" w:after="120"/>
      </w:pPr>
      <w:r>
        <w:rPr>
          <w:rFonts w:ascii="Cambria" w:hAnsi="Cambria"/>
          <w:b/>
          <w:color w:val="1d3557"/>
          <w:sz w:val="26"/>
        </w:rPr>
        <w:t xml:space="preserve">4.2 Inaccessible Cylinders — Parallel Processing</w:t>
      </w:r>
    </w:p>
    <w:p>
      <w:pPr>
        <w:spacing w:before="120" w:after="160" w:line="276" w:lineRule="auto"/>
        <w:jc w:val="both"/>
      </w:pPr>
      <w:r>
        <w:rPr>
          <w:rFonts w:ascii="Cambria" w:hAnsi="Cambria"/>
          <w:color w:val="1d3557"/>
          <w:sz w:val="22"/>
        </w:rPr>
        <w:t xml:space="preserve">For Category III (Inaccessible) cylinders: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The Parties prioritize in-situ monitoring and containment as described in Article 3.3.</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Any decision to delay custody transfer or downblending for inaccessible material requires unanimous PCC approval and does not affect compliance assessments for accessible material.</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Contained in Place material is excluded from the Day 45 Disposition Default calculation unless the PCC determines by majority vote that recovery was feasible and Iran unreasonably declined to recover.</w:t>
      </w:r>
    </w:p>
    <w:p>
      <w:pPr>
        <w:spacing w:before="120" w:after="160" w:line="276" w:lineRule="auto"/>
        <w:jc w:val="both"/>
      </w:pPr>
      <w:r>
        <w:rPr>
          <w:rFonts w:ascii="Cambria" w:hAnsi="Cambria"/>
          <w:color w:val="1d3557"/>
          <w:sz w:val="22"/>
        </w:rPr>
        <w:t xml:space="preserve">The following table summarizes the treatment of each material category:</w:t>
      </w:r>
    </w:p>
    <w:tbl>
      <w:tblPr>
        <w:tblW w:w="5000" w:type="pct"/>
        <w:tblBorders>
          <w:top w:val="single" w:color="3d5a80" w:sz="12"/>
          <w:left w:val="nil"/>
          <w:bottom w:val="single" w:color="3d5a80" w:sz="12"/>
          <w:right w:val="nil"/>
          <w:insideH w:val="single" w:color="d0d5dd" w:sz="4"/>
          <w:insideV w:val="nil"/>
        </w:tblBorders>
      </w:tblPr>
      <w:tblGrid>
        <w:gridCol w:w="1600"/>
        <w:gridCol w:w="2000"/>
        <w:gridCol w:w="1800"/>
        <w:gridCol w:w="2000"/>
        <w:gridCol w:w="2200"/>
      </w:tblGrid>
      <w:tr>
        <w:trPr>
          <w:tblHeader/>
        </w:trPr>
        <w:tc>
          <w:tcPr>
            <w:tcW w:w="1600" w:type="dxa"/>
            <w:shd w:val="clear" w:fill="e8ecf1"/>
          </w:tcPr>
          <w:p>
            <w:pPr>
              <w:spacing w:before="60" w:after="60" w:line="240" w:lineRule="auto"/>
            </w:pPr>
            <w:r>
              <w:rPr>
                <w:b/>
                <w:color w:val="1d3557"/>
                <w:sz w:val="20"/>
              </w:rPr>
              <w:t xml:space="preserve">Category</w:t>
            </w:r>
          </w:p>
        </w:tc>
        <w:tc>
          <w:tcPr>
            <w:tcW w:w="2000" w:type="dxa"/>
            <w:shd w:val="clear" w:fill="e8ecf1"/>
          </w:tcPr>
          <w:p>
            <w:pPr>
              <w:spacing w:before="60" w:after="60" w:line="240" w:lineRule="auto"/>
            </w:pPr>
            <w:r>
              <w:rPr>
                <w:b/>
                <w:color w:val="1d3557"/>
                <w:sz w:val="20"/>
              </w:rPr>
              <w:t xml:space="preserve">Condition</w:t>
            </w:r>
          </w:p>
        </w:tc>
        <w:tc>
          <w:tcPr>
            <w:tcW w:w="1800" w:type="dxa"/>
            <w:shd w:val="clear" w:fill="e8ecf1"/>
          </w:tcPr>
          <w:p>
            <w:pPr>
              <w:spacing w:before="60" w:after="60" w:line="240" w:lineRule="auto"/>
            </w:pPr>
            <w:r>
              <w:rPr>
                <w:b/>
                <w:color w:val="1d3557"/>
                <w:sz w:val="20"/>
              </w:rPr>
              <w:t xml:space="preserve">Custody Timeline</w:t>
            </w:r>
          </w:p>
        </w:tc>
        <w:tc>
          <w:tcPr>
            <w:tcW w:w="2000" w:type="dxa"/>
            <w:shd w:val="clear" w:fill="e8ecf1"/>
          </w:tcPr>
          <w:p>
            <w:pPr>
              <w:spacing w:before="60" w:after="60" w:line="240" w:lineRule="auto"/>
            </w:pPr>
            <w:r>
              <w:rPr>
                <w:b/>
                <w:color w:val="1d3557"/>
                <w:sz w:val="20"/>
              </w:rPr>
              <w:t xml:space="preserve">Downblending Timeline</w:t>
            </w:r>
          </w:p>
        </w:tc>
        <w:tc>
          <w:tcPr>
            <w:tcW w:w="2200" w:type="dxa"/>
            <w:shd w:val="clear" w:fill="e8ecf1"/>
          </w:tcPr>
          <w:p>
            <w:pPr>
              <w:spacing w:before="60" w:after="60" w:line="240" w:lineRule="auto"/>
            </w:pPr>
            <w:r>
              <w:rPr>
                <w:b/>
                <w:color w:val="1d3557"/>
                <w:sz w:val="20"/>
              </w:rPr>
              <w:t xml:space="preserve">Circuit Breaker (Day 45)</w:t>
            </w:r>
          </w:p>
        </w:tc>
      </w:tr>
      <w:tr>
        <w:tc>
          <w:tcPr>
            <w:tcW w:w="1600" w:type="dxa"/>
          </w:tcPr>
          <w:p>
            <w:pPr>
              <w:spacing w:before="60" w:after="60" w:line="240" w:lineRule="auto"/>
              <w:jc w:val="left"/>
            </w:pPr>
            <w:r>
              <w:rPr>
                <w:color w:val="457b9d"/>
                <w:sz w:val="20"/>
              </w:rPr>
              <w:t xml:space="preserve">I — Intact</w:t>
            </w:r>
          </w:p>
        </w:tc>
        <w:tc>
          <w:tcPr>
            <w:tcW w:w="2000" w:type="dxa"/>
          </w:tcPr>
          <w:p>
            <w:pPr>
              <w:spacing w:before="60" w:after="60" w:line="240" w:lineRule="auto"/>
              <w:jc w:val="left"/>
            </w:pPr>
            <w:r>
              <w:rPr>
                <w:color w:val="457b9d"/>
                <w:sz w:val="20"/>
              </w:rPr>
              <w:t xml:space="preserve">Undamaged, accessible</w:t>
            </w:r>
          </w:p>
        </w:tc>
        <w:tc>
          <w:tcPr>
            <w:tcW w:w="1800" w:type="dxa"/>
          </w:tcPr>
          <w:p>
            <w:pPr>
              <w:spacing w:before="60" w:after="60" w:line="240" w:lineRule="auto"/>
              <w:jc w:val="left"/>
            </w:pPr>
            <w:r>
              <w:rPr>
                <w:color w:val="457b9d"/>
                <w:sz w:val="20"/>
              </w:rPr>
              <w:t xml:space="preserve">Standard 14-day consolidation</w:t>
            </w:r>
          </w:p>
        </w:tc>
        <w:tc>
          <w:tcPr>
            <w:tcW w:w="2000" w:type="dxa"/>
          </w:tcPr>
          <w:p>
            <w:pPr>
              <w:spacing w:before="60" w:after="60" w:line="240" w:lineRule="auto"/>
              <w:jc w:val="left"/>
            </w:pPr>
            <w:r>
              <w:rPr>
                <w:color w:val="457b9d"/>
                <w:sz w:val="20"/>
              </w:rPr>
              <w:t xml:space="preserve">Per parent framework</w:t>
            </w:r>
          </w:p>
        </w:tc>
        <w:tc>
          <w:tcPr>
            <w:tcW w:w="2200" w:type="dxa"/>
          </w:tcPr>
          <w:p>
            <w:pPr>
              <w:spacing w:before="60" w:after="60" w:line="240" w:lineRule="auto"/>
              <w:jc w:val="left"/>
            </w:pPr>
            <w:r>
              <w:rPr>
                <w:color w:val="457b9d"/>
                <w:sz w:val="20"/>
              </w:rPr>
              <w:t xml:space="preserve">Included</w:t>
            </w:r>
          </w:p>
        </w:tc>
      </w:tr>
      <w:tr>
        <w:tc>
          <w:tcPr>
            <w:tcW w:w="1600" w:type="dxa"/>
          </w:tcPr>
          <w:p>
            <w:pPr>
              <w:spacing w:before="60" w:after="60" w:line="240" w:lineRule="auto"/>
              <w:jc w:val="left"/>
            </w:pPr>
            <w:r>
              <w:rPr>
                <w:color w:val="457b9d"/>
                <w:sz w:val="20"/>
              </w:rPr>
              <w:t xml:space="preserve">II-A — Minor Damage</w:t>
            </w:r>
          </w:p>
        </w:tc>
        <w:tc>
          <w:tcPr>
            <w:tcW w:w="2000" w:type="dxa"/>
          </w:tcPr>
          <w:p>
            <w:pPr>
              <w:spacing w:before="60" w:after="60" w:line="240" w:lineRule="auto"/>
              <w:jc w:val="left"/>
            </w:pPr>
            <w:r>
              <w:rPr>
                <w:color w:val="457b9d"/>
                <w:sz w:val="20"/>
              </w:rPr>
              <w:t xml:space="preserve">Damaged but movable with standard handling</w:t>
            </w:r>
          </w:p>
        </w:tc>
        <w:tc>
          <w:tcPr>
            <w:tcW w:w="1800" w:type="dxa"/>
          </w:tcPr>
          <w:p>
            <w:pPr>
              <w:spacing w:before="60" w:after="60" w:line="240" w:lineRule="auto"/>
              <w:jc w:val="left"/>
            </w:pPr>
            <w:r>
              <w:rPr>
                <w:color w:val="457b9d"/>
                <w:sz w:val="20"/>
              </w:rPr>
              <w:t xml:space="preserve">Standard 14-day consolidation</w:t>
            </w:r>
          </w:p>
        </w:tc>
        <w:tc>
          <w:tcPr>
            <w:tcW w:w="2000" w:type="dxa"/>
          </w:tcPr>
          <w:p>
            <w:pPr>
              <w:spacing w:before="60" w:after="60" w:line="240" w:lineRule="auto"/>
              <w:jc w:val="left"/>
            </w:pPr>
            <w:r>
              <w:rPr>
                <w:color w:val="457b9d"/>
                <w:sz w:val="20"/>
              </w:rPr>
              <w:t xml:space="preserve">Per parent framework</w:t>
            </w:r>
          </w:p>
        </w:tc>
        <w:tc>
          <w:tcPr>
            <w:tcW w:w="2200" w:type="dxa"/>
          </w:tcPr>
          <w:p>
            <w:pPr>
              <w:spacing w:before="60" w:after="60" w:line="240" w:lineRule="auto"/>
              <w:jc w:val="left"/>
            </w:pPr>
            <w:r>
              <w:rPr>
                <w:color w:val="457b9d"/>
                <w:sz w:val="20"/>
              </w:rPr>
              <w:t xml:space="preserve">Included</w:t>
            </w:r>
          </w:p>
        </w:tc>
      </w:tr>
      <w:tr>
        <w:tc>
          <w:tcPr>
            <w:tcW w:w="1600" w:type="dxa"/>
          </w:tcPr>
          <w:p>
            <w:pPr>
              <w:spacing w:before="60" w:after="60" w:line="240" w:lineRule="auto"/>
              <w:jc w:val="left"/>
            </w:pPr>
            <w:r>
              <w:rPr>
                <w:color w:val="457b9d"/>
                <w:sz w:val="20"/>
              </w:rPr>
              <w:t xml:space="preserve">II-B — Requires Debris Removal or Repair</w:t>
            </w:r>
          </w:p>
        </w:tc>
        <w:tc>
          <w:tcPr>
            <w:tcW w:w="2000" w:type="dxa"/>
          </w:tcPr>
          <w:p>
            <w:pPr>
              <w:spacing w:before="60" w:after="60" w:line="240" w:lineRule="auto"/>
              <w:jc w:val="left"/>
            </w:pPr>
            <w:r>
              <w:rPr>
                <w:color w:val="457b9d"/>
                <w:sz w:val="20"/>
              </w:rPr>
              <w:t xml:space="preserve">Damaged, visible, but cannot be safely moved without prior work</w:t>
            </w:r>
          </w:p>
        </w:tc>
        <w:tc>
          <w:tcPr>
            <w:tcW w:w="1800" w:type="dxa"/>
          </w:tcPr>
          <w:p>
            <w:pPr>
              <w:spacing w:before="60" w:after="60" w:line="240" w:lineRule="auto"/>
              <w:jc w:val="left"/>
            </w:pPr>
            <w:r>
              <w:rPr>
                <w:color w:val="457b9d"/>
                <w:sz w:val="20"/>
              </w:rPr>
              <w:t xml:space="preserve">Up to 30 days with IAEA-approved recovery plan</w:t>
            </w:r>
          </w:p>
        </w:tc>
        <w:tc>
          <w:tcPr>
            <w:tcW w:w="2000" w:type="dxa"/>
          </w:tcPr>
          <w:p>
            <w:pPr>
              <w:spacing w:before="60" w:after="60" w:line="240" w:lineRule="auto"/>
              <w:jc w:val="left"/>
            </w:pPr>
            <w:r>
              <w:rPr>
                <w:color w:val="457b9d"/>
                <w:sz w:val="20"/>
              </w:rPr>
              <w:t xml:space="preserve">After recovery completion</w:t>
            </w:r>
          </w:p>
        </w:tc>
        <w:tc>
          <w:tcPr>
            <w:tcW w:w="2200" w:type="dxa"/>
          </w:tcPr>
          <w:p>
            <w:pPr>
              <w:spacing w:before="60" w:after="60" w:line="240" w:lineRule="auto"/>
              <w:jc w:val="left"/>
            </w:pPr>
            <w:r>
              <w:rPr>
                <w:color w:val="457b9d"/>
                <w:sz w:val="20"/>
              </w:rPr>
              <w:t xml:space="preserve">Excluded unless PCC finds bad faith</w:t>
            </w:r>
          </w:p>
        </w:tc>
      </w:tr>
      <w:tr>
        <w:tc>
          <w:tcPr>
            <w:tcW w:w="1600" w:type="dxa"/>
          </w:tcPr>
          <w:p>
            <w:pPr>
              <w:spacing w:before="60" w:after="60" w:line="240" w:lineRule="auto"/>
              <w:jc w:val="left"/>
            </w:pPr>
            <w:r>
              <w:rPr>
                <w:color w:val="457b9d"/>
                <w:sz w:val="20"/>
              </w:rPr>
              <w:t xml:space="preserve">III — Inaccessible</w:t>
            </w:r>
          </w:p>
        </w:tc>
        <w:tc>
          <w:tcPr>
            <w:tcW w:w="2000" w:type="dxa"/>
          </w:tcPr>
          <w:p>
            <w:pPr>
              <w:spacing w:before="60" w:after="60" w:line="240" w:lineRule="auto"/>
              <w:jc w:val="left"/>
            </w:pPr>
            <w:r>
              <w:rPr>
                <w:color w:val="457b9d"/>
                <w:sz w:val="20"/>
              </w:rPr>
              <w:t xml:space="preserve">Cannot be safely accessed (structural collapse, debris, radiation)</w:t>
            </w:r>
          </w:p>
        </w:tc>
        <w:tc>
          <w:tcPr>
            <w:tcW w:w="1800" w:type="dxa"/>
          </w:tcPr>
          <w:p>
            <w:pPr>
              <w:spacing w:before="60" w:after="60" w:line="240" w:lineRule="auto"/>
              <w:jc w:val="left"/>
            </w:pPr>
            <w:r>
              <w:rPr>
                <w:color w:val="457b9d"/>
                <w:sz w:val="20"/>
              </w:rPr>
              <w:t xml:space="preserve">Deferred; in-situ containment within 30 days</w:t>
            </w:r>
          </w:p>
        </w:tc>
        <w:tc>
          <w:tcPr>
            <w:tcW w:w="2000" w:type="dxa"/>
          </w:tcPr>
          <w:p>
            <w:pPr>
              <w:spacing w:before="60" w:after="60" w:line="240" w:lineRule="auto"/>
              <w:jc w:val="left"/>
            </w:pPr>
            <w:r>
              <w:rPr>
                <w:color w:val="457b9d"/>
                <w:sz w:val="20"/>
              </w:rPr>
              <w:t xml:space="preserve">Excluded</w:t>
            </w:r>
          </w:p>
        </w:tc>
        <w:tc>
          <w:tcPr>
            <w:tcW w:w="2200" w:type="dxa"/>
          </w:tcPr>
          <w:p>
            <w:pPr>
              <w:spacing w:before="60" w:after="60" w:line="240" w:lineRule="auto"/>
              <w:jc w:val="left"/>
            </w:pPr>
            <w:r>
              <w:rPr>
                <w:color w:val="457b9d"/>
                <w:sz w:val="20"/>
              </w:rPr>
              <w:t xml:space="preserve">Excluded unless PCC finds recovery feasible and Iran unreasonably declined</w:t>
            </w:r>
          </w:p>
        </w:tc>
      </w:tr>
      <w:tr>
        <w:tc>
          <w:tcPr>
            <w:tcW w:w="1600" w:type="dxa"/>
          </w:tcPr>
          <w:p>
            <w:pPr>
              <w:spacing w:before="60" w:after="60" w:line="240" w:lineRule="auto"/>
              <w:jc w:val="left"/>
            </w:pPr>
            <w:r>
              <w:rPr>
                <w:color w:val="457b9d"/>
                <w:sz w:val="20"/>
              </w:rPr>
              <w:t xml:space="preserve">IV — Missing</w:t>
            </w:r>
          </w:p>
        </w:tc>
        <w:tc>
          <w:tcPr>
            <w:tcW w:w="2000" w:type="dxa"/>
          </w:tcPr>
          <w:p>
            <w:pPr>
              <w:spacing w:before="60" w:after="60" w:line="240" w:lineRule="auto"/>
              <w:jc w:val="left"/>
            </w:pPr>
            <w:r>
              <w:rPr>
                <w:color w:val="457b9d"/>
                <w:sz w:val="20"/>
              </w:rPr>
              <w:t xml:space="preserve">Declared in inventory but cannot be located</w:t>
            </w:r>
          </w:p>
        </w:tc>
        <w:tc>
          <w:tcPr>
            <w:tcW w:w="1800" w:type="dxa"/>
          </w:tcPr>
          <w:p>
            <w:pPr>
              <w:spacing w:before="60" w:after="60" w:line="240" w:lineRule="auto"/>
              <w:jc w:val="left"/>
            </w:pPr>
            <w:r>
              <w:rPr>
                <w:color w:val="457b9d"/>
                <w:sz w:val="20"/>
              </w:rPr>
              <w:t xml:space="preserve">Immediate PCC escalation</w:t>
            </w:r>
          </w:p>
        </w:tc>
        <w:tc>
          <w:tcPr>
            <w:tcW w:w="2000" w:type="dxa"/>
          </w:tcPr>
          <w:p>
            <w:pPr>
              <w:spacing w:before="60" w:after="60" w:line="240" w:lineRule="auto"/>
              <w:jc w:val="left"/>
            </w:pPr>
            <w:r>
              <w:rPr>
                <w:color w:val="457b9d"/>
                <w:sz w:val="20"/>
              </w:rPr>
              <w:t xml:space="preserve">Investigation priority Tier 3</w:t>
            </w:r>
          </w:p>
        </w:tc>
        <w:tc>
          <w:tcPr>
            <w:tcW w:w="2200" w:type="dxa"/>
          </w:tcPr>
          <w:p>
            <w:pPr>
              <w:spacing w:before="60" w:after="60" w:line="240" w:lineRule="auto"/>
              <w:jc w:val="left"/>
            </w:pPr>
            <w:r>
              <w:rPr>
                <w:color w:val="457b9d"/>
                <w:sz w:val="20"/>
              </w:rPr>
              <w:t xml:space="preserve">Possible diversion investigation</w:t>
            </w:r>
          </w:p>
        </w:tc>
      </w:tr>
    </w:tbl>
    <w:p>
      <w:pPr>
        <w:pStyle w:val="Heading1"/>
        <w:keepNext/>
        <w:keepLines/>
        <w:spacing w:before="480" w:after="200"/>
      </w:pPr>
      <w:r>
        <w:rPr>
          <w:rFonts w:ascii="Cambria" w:hAnsi="Cambria"/>
          <w:b/>
          <w:color w:val="3d5a80"/>
          <w:sz w:val="32"/>
        </w:rPr>
        <w:t xml:space="preserve">Article 5: IAEA Verification of Damaged Areas</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The IAEA deploys remote sensing and robotics to verify the status of damaged or inaccessible areas without requiring physical entry by inspectors. Iran provides all necessary permits, facility data, and operational cooperation for such deployments.</w:t>
      </w:r>
    </w:p>
    <w:p>
      <w:pPr>
        <w:pStyle w:val="Heading2"/>
        <w:keepNext/>
        <w:keepLines/>
        <w:spacing w:before="320" w:after="120"/>
      </w:pPr>
      <w:r>
        <w:rPr>
          <w:rFonts w:ascii="Cambria" w:hAnsi="Cambria"/>
          <w:b/>
          <w:color w:val="1d3557"/>
          <w:sz w:val="26"/>
        </w:rPr>
        <w:t xml:space="preserve">5.1 Permitted Remote Technologies</w:t>
      </w:r>
    </w:p>
    <w:p>
      <w:pPr>
        <w:spacing w:before="120" w:after="160" w:line="276" w:lineRule="auto"/>
        <w:jc w:val="both"/>
      </w:pPr>
      <w:r>
        <w:rPr>
          <w:rFonts w:ascii="Cambria" w:hAnsi="Cambria"/>
          <w:color w:val="1d3557"/>
          <w:sz w:val="22"/>
        </w:rPr>
        <w:t xml:space="preserve">The IAEA deploys the following remote verification technologies at declared facilities without restriction:</w:t>
      </w:r>
    </w:p>
    <w:tbl>
      <w:tblPr>
        <w:tblW w:w="5000" w:type="pct"/>
        <w:tblBorders>
          <w:top w:val="single" w:color="3d5a80" w:sz="12"/>
          <w:left w:val="nil"/>
          <w:bottom w:val="single" w:color="3d5a80" w:sz="12"/>
          <w:right w:val="nil"/>
          <w:insideH w:val="single" w:color="d0d5dd" w:sz="4"/>
          <w:insideV w:val="nil"/>
        </w:tblBorders>
      </w:tblPr>
      <w:tblGrid>
        <w:gridCol w:w="1800"/>
        <w:gridCol w:w="2400"/>
        <w:gridCol w:w="2400"/>
        <w:gridCol w:w="2000"/>
      </w:tblGrid>
      <w:tr>
        <w:trPr>
          <w:tblHeader/>
        </w:trPr>
        <w:tc>
          <w:tcPr>
            <w:tcW w:w="1800" w:type="dxa"/>
            <w:shd w:val="clear" w:fill="e8ecf1"/>
          </w:tcPr>
          <w:p>
            <w:pPr>
              <w:spacing w:before="60" w:after="60" w:line="240" w:lineRule="auto"/>
            </w:pPr>
            <w:r>
              <w:rPr>
                <w:b/>
                <w:color w:val="1d3557"/>
                <w:sz w:val="20"/>
              </w:rPr>
              <w:t xml:space="preserve">Technology</w:t>
            </w:r>
          </w:p>
        </w:tc>
        <w:tc>
          <w:tcPr>
            <w:tcW w:w="2400" w:type="dxa"/>
            <w:shd w:val="clear" w:fill="e8ecf1"/>
          </w:tcPr>
          <w:p>
            <w:pPr>
              <w:spacing w:before="60" w:after="60" w:line="240" w:lineRule="auto"/>
            </w:pPr>
            <w:r>
              <w:rPr>
                <w:b/>
                <w:color w:val="1d3557"/>
                <w:sz w:val="20"/>
              </w:rPr>
              <w:t xml:space="preserve">Capabilities</w:t>
            </w:r>
          </w:p>
        </w:tc>
        <w:tc>
          <w:tcPr>
            <w:tcW w:w="2400" w:type="dxa"/>
            <w:shd w:val="clear" w:fill="e8ecf1"/>
          </w:tcPr>
          <w:p>
            <w:pPr>
              <w:spacing w:before="60" w:after="60" w:line="240" w:lineRule="auto"/>
            </w:pPr>
            <w:r>
              <w:rPr>
                <w:b/>
                <w:color w:val="1d3557"/>
                <w:sz w:val="20"/>
              </w:rPr>
              <w:t xml:space="preserve">Application</w:t>
            </w:r>
          </w:p>
        </w:tc>
        <w:tc>
          <w:tcPr>
            <w:tcW w:w="2000" w:type="dxa"/>
            <w:shd w:val="clear" w:fill="e8ecf1"/>
          </w:tcPr>
          <w:p>
            <w:pPr>
              <w:spacing w:before="60" w:after="60" w:line="240" w:lineRule="auto"/>
            </w:pPr>
            <w:r>
              <w:rPr>
                <w:b/>
                <w:color w:val="1d3557"/>
                <w:sz w:val="20"/>
              </w:rPr>
              <w:t xml:space="preserve">Limitations</w:t>
            </w:r>
          </w:p>
        </w:tc>
      </w:tr>
      <w:tr>
        <w:tc>
          <w:tcPr>
            <w:tcW w:w="1800" w:type="dxa"/>
          </w:tcPr>
          <w:p>
            <w:pPr>
              <w:spacing w:before="60" w:after="60" w:line="240" w:lineRule="auto"/>
              <w:jc w:val="left"/>
            </w:pPr>
            <w:r>
              <w:rPr>
                <w:color w:val="457b9d"/>
                <w:sz w:val="20"/>
              </w:rPr>
              <w:t xml:space="preserve">Aerial drones (UAVs)</w:t>
            </w:r>
          </w:p>
        </w:tc>
        <w:tc>
          <w:tcPr>
            <w:tcW w:w="2400" w:type="dxa"/>
          </w:tcPr>
          <w:p>
            <w:pPr>
              <w:spacing w:before="60" w:after="60" w:line="240" w:lineRule="auto"/>
              <w:jc w:val="left"/>
            </w:pPr>
            <w:r>
              <w:rPr>
                <w:color w:val="457b9d"/>
                <w:sz w:val="20"/>
              </w:rPr>
              <w:t xml:space="preserve">Radiation detection (gamma and neutron); HD video and thermal imaging; GPS mapping</w:t>
            </w:r>
          </w:p>
        </w:tc>
        <w:tc>
          <w:tcPr>
            <w:tcW w:w="2400" w:type="dxa"/>
          </w:tcPr>
          <w:p>
            <w:pPr>
              <w:spacing w:before="60" w:after="60" w:line="240" w:lineRule="auto"/>
              <w:jc w:val="left"/>
            </w:pPr>
            <w:r>
              <w:rPr>
                <w:color w:val="457b9d"/>
                <w:sz w:val="20"/>
              </w:rPr>
              <w:t xml:space="preserve">Overflight of damaged buildings; survey of areas with compromised roof structures</w:t>
            </w:r>
          </w:p>
        </w:tc>
        <w:tc>
          <w:tcPr>
            <w:tcW w:w="2000" w:type="dxa"/>
          </w:tcPr>
          <w:p>
            <w:pPr>
              <w:spacing w:before="60" w:after="60" w:line="240" w:lineRule="auto"/>
              <w:jc w:val="left"/>
            </w:pPr>
            <w:r>
              <w:rPr>
                <w:color w:val="457b9d"/>
                <w:sz w:val="20"/>
              </w:rPr>
              <w:t xml:space="preserve">Weather dependent; limited flight time; not for indoor use without ventilation assessment</w:t>
            </w:r>
          </w:p>
        </w:tc>
      </w:tr>
      <w:tr>
        <w:tc>
          <w:tcPr>
            <w:tcW w:w="1800" w:type="dxa"/>
          </w:tcPr>
          <w:p>
            <w:pPr>
              <w:spacing w:before="60" w:after="60" w:line="240" w:lineRule="auto"/>
              <w:jc w:val="left"/>
            </w:pPr>
            <w:r>
              <w:rPr>
                <w:color w:val="457b9d"/>
                <w:sz w:val="20"/>
              </w:rPr>
              <w:t xml:space="preserve">Remote-controlled ground vehicles (UGVs)</w:t>
            </w:r>
          </w:p>
        </w:tc>
        <w:tc>
          <w:tcPr>
            <w:tcW w:w="2400" w:type="dxa"/>
          </w:tcPr>
          <w:p>
            <w:pPr>
              <w:spacing w:before="60" w:after="60" w:line="240" w:lineRule="auto"/>
              <w:jc w:val="left"/>
            </w:pPr>
            <w:r>
              <w:rPr>
                <w:color w:val="457b9d"/>
                <w:sz w:val="20"/>
              </w:rPr>
              <w:t xml:space="preserve">Manipulator arms for sample collection; radiation detectors; cameras with pan-tilt-zoom; two-way audio</w:t>
            </w:r>
          </w:p>
        </w:tc>
        <w:tc>
          <w:tcPr>
            <w:tcW w:w="2400" w:type="dxa"/>
          </w:tcPr>
          <w:p>
            <w:pPr>
              <w:spacing w:before="60" w:after="60" w:line="240" w:lineRule="auto"/>
              <w:jc w:val="left"/>
            </w:pPr>
            <w:r>
              <w:rPr>
                <w:color w:val="457b9d"/>
                <w:sz w:val="20"/>
              </w:rPr>
              <w:t xml:space="preserve">Indoor survey of structurally compromised buildings; cylinder identification in debris</w:t>
            </w:r>
          </w:p>
        </w:tc>
        <w:tc>
          <w:tcPr>
            <w:tcW w:w="2000" w:type="dxa"/>
          </w:tcPr>
          <w:p>
            <w:pPr>
              <w:spacing w:before="60" w:after="60" w:line="240" w:lineRule="auto"/>
              <w:jc w:val="left"/>
            </w:pPr>
            <w:r>
              <w:rPr>
                <w:color w:val="457b9d"/>
                <w:sz w:val="20"/>
              </w:rPr>
              <w:t xml:space="preserve">Requires relatively flat surfaces; debris potentially obstructs movement; tethered or radio-controlled</w:t>
            </w:r>
          </w:p>
        </w:tc>
      </w:tr>
      <w:tr>
        <w:tc>
          <w:tcPr>
            <w:tcW w:w="1800" w:type="dxa"/>
          </w:tcPr>
          <w:p>
            <w:pPr>
              <w:spacing w:before="60" w:after="60" w:line="240" w:lineRule="auto"/>
              <w:jc w:val="left"/>
            </w:pPr>
            <w:r>
              <w:rPr>
                <w:color w:val="457b9d"/>
                <w:sz w:val="20"/>
              </w:rPr>
              <w:t xml:space="preserve">Seismic and acoustic sensors</w:t>
            </w:r>
          </w:p>
        </w:tc>
        <w:tc>
          <w:tcPr>
            <w:tcW w:w="2400" w:type="dxa"/>
          </w:tcPr>
          <w:p>
            <w:pPr>
              <w:spacing w:before="60" w:after="60" w:line="240" w:lineRule="auto"/>
              <w:jc w:val="left"/>
            </w:pPr>
            <w:r>
              <w:rPr>
                <w:color w:val="457b9d"/>
                <w:sz w:val="20"/>
              </w:rPr>
              <w:t xml:space="preserve">Ground vibration detection; acoustic anomaly recognition; tamper-alert transmission</w:t>
            </w:r>
          </w:p>
        </w:tc>
        <w:tc>
          <w:tcPr>
            <w:tcW w:w="2400" w:type="dxa"/>
          </w:tcPr>
          <w:p>
            <w:pPr>
              <w:spacing w:before="60" w:after="60" w:line="240" w:lineRule="auto"/>
              <w:jc w:val="left"/>
            </w:pPr>
            <w:r>
              <w:rPr>
                <w:color w:val="457b9d"/>
                <w:sz w:val="20"/>
              </w:rPr>
              <w:t xml:space="preserve">Detect unauthorized tunneling, drilling, or physical disturbance near contained material</w:t>
            </w:r>
          </w:p>
        </w:tc>
        <w:tc>
          <w:tcPr>
            <w:tcW w:w="2000" w:type="dxa"/>
          </w:tcPr>
          <w:p>
            <w:pPr>
              <w:spacing w:before="60" w:after="60" w:line="240" w:lineRule="auto"/>
              <w:jc w:val="left"/>
            </w:pPr>
            <w:r>
              <w:rPr>
                <w:color w:val="457b9d"/>
                <w:sz w:val="20"/>
              </w:rPr>
              <w:t xml:space="preserve">Requires baseline calibration; potentially generates false positives from normal facility operations</w:t>
            </w:r>
          </w:p>
        </w:tc>
      </w:tr>
      <w:tr>
        <w:tc>
          <w:tcPr>
            <w:tcW w:w="1800" w:type="dxa"/>
          </w:tcPr>
          <w:p>
            <w:pPr>
              <w:spacing w:before="60" w:after="60" w:line="240" w:lineRule="auto"/>
              <w:jc w:val="left"/>
            </w:pPr>
            <w:r>
              <w:rPr>
                <w:color w:val="457b9d"/>
                <w:sz w:val="20"/>
              </w:rPr>
              <w:t xml:space="preserve">Fiber-optic borehole cameras</w:t>
            </w:r>
          </w:p>
        </w:tc>
        <w:tc>
          <w:tcPr>
            <w:tcW w:w="2400" w:type="dxa"/>
          </w:tcPr>
          <w:p>
            <w:pPr>
              <w:spacing w:before="60" w:after="60" w:line="240" w:lineRule="auto"/>
              <w:jc w:val="left"/>
            </w:pPr>
            <w:r>
              <w:rPr>
                <w:color w:val="457b9d"/>
                <w:sz w:val="20"/>
              </w:rPr>
              <w:t xml:space="preserve">High-resolution video through small-diameter openings; radiation-hardened models available</w:t>
            </w:r>
          </w:p>
        </w:tc>
        <w:tc>
          <w:tcPr>
            <w:tcW w:w="2400" w:type="dxa"/>
          </w:tcPr>
          <w:p>
            <w:pPr>
              <w:spacing w:before="60" w:after="60" w:line="240" w:lineRule="auto"/>
              <w:jc w:val="left"/>
            </w:pPr>
            <w:r>
              <w:rPr>
                <w:color w:val="457b9d"/>
                <w:sz w:val="20"/>
              </w:rPr>
              <w:t xml:space="preserve">Visual inspection through existing openings, ventilation ducts, or newly drilled boreholes</w:t>
            </w:r>
          </w:p>
        </w:tc>
        <w:tc>
          <w:tcPr>
            <w:tcW w:w="2000" w:type="dxa"/>
          </w:tcPr>
          <w:p>
            <w:pPr>
              <w:spacing w:before="60" w:after="60" w:line="240" w:lineRule="auto"/>
              <w:jc w:val="left"/>
            </w:pPr>
            <w:r>
              <w:rPr>
                <w:color w:val="457b9d"/>
                <w:sz w:val="20"/>
              </w:rPr>
              <w:t xml:space="preserve">Limited field of view; requires existing or newly created access path; depth limited by cable length</w:t>
            </w:r>
          </w:p>
        </w:tc>
      </w:tr>
      <w:tr>
        <w:tc>
          <w:tcPr>
            <w:tcW w:w="1800" w:type="dxa"/>
          </w:tcPr>
          <w:p>
            <w:pPr>
              <w:spacing w:before="60" w:after="60" w:line="240" w:lineRule="auto"/>
              <w:jc w:val="left"/>
            </w:pPr>
            <w:r>
              <w:rPr>
                <w:color w:val="457b9d"/>
                <w:sz w:val="20"/>
              </w:rPr>
              <w:t xml:space="preserve">Robotic sampling systems</w:t>
            </w:r>
          </w:p>
        </w:tc>
        <w:tc>
          <w:tcPr>
            <w:tcW w:w="2400" w:type="dxa"/>
          </w:tcPr>
          <w:p>
            <w:pPr>
              <w:spacing w:before="60" w:after="60" w:line="240" w:lineRule="auto"/>
              <w:jc w:val="left"/>
            </w:pPr>
            <w:r>
              <w:rPr>
                <w:color w:val="457b9d"/>
                <w:sz w:val="20"/>
              </w:rPr>
              <w:t xml:space="preserve">Remote swipe and air sample collection; sealed sample containment for laboratory analysis</w:t>
            </w:r>
          </w:p>
        </w:tc>
        <w:tc>
          <w:tcPr>
            <w:tcW w:w="2400" w:type="dxa"/>
          </w:tcPr>
          <w:p>
            <w:pPr>
              <w:spacing w:before="60" w:after="60" w:line="240" w:lineRule="auto"/>
              <w:jc w:val="left"/>
            </w:pPr>
            <w:r>
              <w:rPr>
                <w:color w:val="457b9d"/>
                <w:sz w:val="20"/>
              </w:rPr>
              <w:t xml:space="preserve">Environmental sampling in areas unsafe for human entry; contamination mapping</w:t>
            </w:r>
          </w:p>
        </w:tc>
        <w:tc>
          <w:tcPr>
            <w:tcW w:w="2000" w:type="dxa"/>
          </w:tcPr>
          <w:p>
            <w:pPr>
              <w:spacing w:before="60" w:after="60" w:line="240" w:lineRule="auto"/>
              <w:jc w:val="left"/>
            </w:pPr>
            <w:r>
              <w:rPr>
                <w:color w:val="457b9d"/>
                <w:sz w:val="20"/>
              </w:rPr>
              <w:t xml:space="preserve">Sample quality potentially varies compared to human-collected samples; cross-contamination risk if not properly sealed</w:t>
            </w:r>
          </w:p>
        </w:tc>
      </w:tr>
      <w:tr>
        <w:tc>
          <w:tcPr>
            <w:tcW w:w="1800" w:type="dxa"/>
          </w:tcPr>
          <w:p>
            <w:pPr>
              <w:spacing w:before="60" w:after="60" w:line="240" w:lineRule="auto"/>
              <w:jc w:val="left"/>
            </w:pPr>
            <w:r>
              <w:rPr>
                <w:color w:val="457b9d"/>
                <w:sz w:val="20"/>
              </w:rPr>
              <w:t xml:space="preserve">Satellite imagery analysis</w:t>
            </w:r>
          </w:p>
        </w:tc>
        <w:tc>
          <w:tcPr>
            <w:tcW w:w="2400" w:type="dxa"/>
          </w:tcPr>
          <w:p>
            <w:pPr>
              <w:spacing w:before="60" w:after="60" w:line="240" w:lineRule="auto"/>
              <w:jc w:val="left"/>
            </w:pPr>
            <w:r>
              <w:rPr>
                <w:color w:val="457b9d"/>
                <w:sz w:val="20"/>
              </w:rPr>
              <w:t xml:space="preserve">Change detection; thermal signature monitoring; structural damage assessment</w:t>
            </w:r>
          </w:p>
        </w:tc>
        <w:tc>
          <w:tcPr>
            <w:tcW w:w="2400" w:type="dxa"/>
          </w:tcPr>
          <w:p>
            <w:pPr>
              <w:spacing w:before="60" w:after="60" w:line="240" w:lineRule="auto"/>
              <w:jc w:val="left"/>
            </w:pPr>
            <w:r>
              <w:rPr>
                <w:color w:val="457b9d"/>
                <w:sz w:val="20"/>
              </w:rPr>
              <w:t xml:space="preserve">Large-area monitoring; facility perimeter surveillance; change detection over time</w:t>
            </w:r>
          </w:p>
        </w:tc>
        <w:tc>
          <w:tcPr>
            <w:tcW w:w="2000" w:type="dxa"/>
          </w:tcPr>
          <w:p>
            <w:pPr>
              <w:spacing w:before="60" w:after="60" w:line="240" w:lineRule="auto"/>
              <w:jc w:val="left"/>
            </w:pPr>
            <w:r>
              <w:rPr>
                <w:color w:val="457b9d"/>
                <w:sz w:val="20"/>
              </w:rPr>
              <w:t xml:space="preserve">Resolution limits; weather and cloud cover; revisit time constraints</w:t>
            </w:r>
          </w:p>
        </w:tc>
      </w:tr>
      <w:tr>
        <w:tc>
          <w:tcPr>
            <w:tcW w:w="1800" w:type="dxa"/>
          </w:tcPr>
          <w:p>
            <w:pPr>
              <w:spacing w:before="60" w:after="60" w:line="240" w:lineRule="auto"/>
              <w:jc w:val="left"/>
            </w:pPr>
            <w:r>
              <w:rPr>
                <w:color w:val="457b9d"/>
                <w:sz w:val="20"/>
              </w:rPr>
              <w:t xml:space="preserve">Gamma/neutron spectrometers (fixed emplacement)</w:t>
            </w:r>
          </w:p>
        </w:tc>
        <w:tc>
          <w:tcPr>
            <w:tcW w:w="2400" w:type="dxa"/>
          </w:tcPr>
          <w:p>
            <w:pPr>
              <w:spacing w:before="60" w:after="60" w:line="240" w:lineRule="auto"/>
              <w:jc w:val="left"/>
            </w:pPr>
            <w:r>
              <w:rPr>
                <w:color w:val="457b9d"/>
                <w:sz w:val="20"/>
              </w:rPr>
              <w:t xml:space="preserve">Continuous isotopic composition monitoring; mass change detection; real-time alert transmission</w:t>
            </w:r>
          </w:p>
        </w:tc>
        <w:tc>
          <w:tcPr>
            <w:tcW w:w="2400" w:type="dxa"/>
          </w:tcPr>
          <w:p>
            <w:pPr>
              <w:spacing w:before="60" w:after="60" w:line="240" w:lineRule="auto"/>
              <w:jc w:val="left"/>
            </w:pPr>
            <w:r>
              <w:rPr>
                <w:color w:val="457b9d"/>
                <w:sz w:val="20"/>
              </w:rPr>
              <w:t xml:space="preserve">Long-term monitoring of containment sites; anomaly detection at sealed locations</w:t>
            </w:r>
          </w:p>
        </w:tc>
        <w:tc>
          <w:tcPr>
            <w:tcW w:w="2000" w:type="dxa"/>
          </w:tcPr>
          <w:p>
            <w:pPr>
              <w:spacing w:before="60" w:after="60" w:line="240" w:lineRule="auto"/>
              <w:jc w:val="left"/>
            </w:pPr>
            <w:r>
              <w:rPr>
                <w:color w:val="457b9d"/>
                <w:sz w:val="20"/>
              </w:rPr>
              <w:t xml:space="preserve">Requires power supply and data link; calibration drift over time; limited to line-of-sight</w:t>
            </w:r>
          </w:p>
        </w:tc>
      </w:tr>
    </w:tbl>
    <w:p>
      <w:pPr>
        <w:pStyle w:val="Heading2"/>
        <w:keepNext/>
        <w:keepLines/>
        <w:spacing w:before="320" w:after="120"/>
      </w:pPr>
      <w:r>
        <w:rPr>
          <w:rFonts w:ascii="Cambria" w:hAnsi="Cambria"/>
          <w:b/>
          <w:color w:val="1d3557"/>
          <w:sz w:val="26"/>
        </w:rPr>
        <w:t xml:space="preserve">5.2 Iranian Obligations for Remote Deployment</w:t>
      </w:r>
    </w:p>
    <w:p>
      <w:pPr>
        <w:spacing w:before="120" w:after="160" w:line="276" w:lineRule="auto"/>
        <w:jc w:val="both"/>
      </w:pPr>
      <w:r>
        <w:rPr>
          <w:rFonts w:ascii="Cambria" w:hAnsi="Cambria"/>
          <w:color w:val="1d3557"/>
          <w:sz w:val="22"/>
        </w:rPr>
        <w:t xml:space="preserve">Iran facilitates all remote sensing deployments through the following concrete measures: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Permit provision: Iran provides all necessary permits for drone overflight, ground vehicle operation, sensor emplacement, and borehole drilling within declared facility perimeters within twenty-four (24) hours of IAEA request. No permit application is denied except on verified aviation safety or nuclear safety grounds, and any denial is immediately appealable to the PCC.</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Facility data: Iran provides to the IAEA, within forty-eight (48) hours of request: facility as-built drawings; pre-strike structural assessments; utility routing diagrams (electrical, ventilation, process piping); and any damage assessments prepared by Iranian authorities.</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Non-interference: Iran does not interfere with, jam, spoof, or disable remote sensing signals, drone command-and-control links, or data transmission systems. Any technical interference, whether intentional or attributable to negligence, constitutes a Tier 2 material breach.</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Safety coordination: Iranian facility safety officers brief IAEA remote operators on known hazards (unstable structures, buried utilities, radiation hotspots) before each deployment.</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Site preparation: Iran clears debris, provides access routes, and installs temporary support structures as necessary to enable remote system deployment, within timeframes agreed in the Recovery Plan.</w:t>
      </w:r>
    </w:p>
    <w:p>
      <w:pPr>
        <w:pStyle w:val="Heading2"/>
        <w:keepNext/>
        <w:keepLines/>
        <w:spacing w:before="320" w:after="120"/>
      </w:pPr>
      <w:r>
        <w:rPr>
          <w:rFonts w:ascii="Cambria" w:hAnsi="Cambria"/>
          <w:b/>
          <w:color w:val="1d3557"/>
          <w:sz w:val="26"/>
        </w:rPr>
        <w:t xml:space="preserve">5.3 Data Ownership and Transmission</w:t>
      </w:r>
    </w:p>
    <w:p>
      <w:pPr>
        <w:spacing w:before="120" w:after="160" w:line="276" w:lineRule="auto"/>
        <w:jc w:val="both"/>
      </w:pPr>
      <w:r>
        <w:rPr>
          <w:rFonts w:ascii="Cambria" w:hAnsi="Cambria"/>
          <w:color w:val="1d3557"/>
          <w:sz w:val="22"/>
        </w:rPr>
        <w:t xml:space="preserve">All remote sensing data collected under this Article is: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Transmitted in real time, where technically feasible, to IAEA headquarters in Vienna via encrypted data link.</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Iran receives an identical encrypted copy of all data within seventy-two (72) hours of collection.</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Original IAEA-held data is stored as the archival record and constitutes presumptive evidence in any dispute under this Annex. Iran submits its copy for independent verification or cross-reference in dispute proceedings. Presumptive evidence status is rebuttable by showing, through technical documentation or chain-of-custody evidence, that the IAEA-held data was corrupted or improperly handled. The PCA Panel determines evidentiary weight in each dispute.</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Neither Party unilaterally deletes, modifies, or withholds data. Any data integrity concerns are referred to the PCC for technical review within 48 hours.</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Neither Party designates remote sensing data as confidential, secret, or restricted except with unanimous PCC approval on verified national security grounds unrelated to nuclear verification. Data classification requests do not delay data transmission to either Party.</w:t>
      </w:r>
    </w:p>
    <w:p>
      <w:pPr>
        <w:keepNext/>
        <w:spacing w:before="360" w:after="120"/>
      </w:pPr>
      <w:r>
        <w:rPr>
          <w:rFonts w:ascii="Cambria" w:hAnsi="Cambria"/>
          <w:b/>
          <w:color w:val="3d5a80"/>
          <w:sz w:val="22"/>
        </w:rPr>
        <w:t xml:space="preserve">National Technical Means Saving Clause</w:t>
      </w:r>
    </w:p>
    <w:p>
      <w:pPr>
        <w:spacing w:before="120" w:after="160" w:line="276" w:lineRule="auto"/>
        <w:jc w:val="both"/>
      </w:pPr>
      <w:r>
        <w:rPr>
          <w:rFonts w:ascii="Cambria" w:hAnsi="Cambria"/>
          <w:color w:val="1d3557"/>
          <w:sz w:val="22"/>
        </w:rPr>
        <w:t xml:space="preserve">Nothing in this Article limits, restricts, or otherwise affects the right of any guarantor state to collect, analyze, and act upon data derived from its national technical means of verification, including satellite imagery, signals intelligence, and other sources. Such data is shared with the IAEA or PCC at the discretion of the collecting state. The Parties acknowledge that national technical means serve as a complementary verification tool and are not subject to the data ownership or transmission provisions of this Annex.</w:t>
      </w:r>
    </w:p>
    <w:p>
      <w:pPr>
        <w:pStyle w:val="Heading1"/>
        <w:keepNext/>
        <w:keepLines/>
        <w:spacing w:before="480" w:after="200"/>
      </w:pPr>
      <w:r>
        <w:rPr>
          <w:rFonts w:ascii="Cambria" w:hAnsi="Cambria"/>
          <w:b/>
          <w:color w:val="3d5a80"/>
          <w:sz w:val="32"/>
        </w:rPr>
        <w:t xml:space="preserve">Article 6: Access Dispute Resolution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Any dispute arising from access denial, damage assessment disagreement, or recovery operation deadlock resolves through binding arbitration under the Permanent Court of Arbitration (PCA) in The Hague, following a mandatory consultation period as specified below. The ruling is issued within seven (7) days of the filing of the dispute. No unilateral action is taken pending arbitration.</w:t>
      </w:r>
    </w:p>
    <w:p>
      <w:pPr>
        <w:pStyle w:val="Heading2"/>
        <w:keepNext/>
        <w:keepLines/>
        <w:spacing w:before="320" w:after="120"/>
      </w:pPr>
      <w:r>
        <w:rPr>
          <w:rFonts w:ascii="Cambria" w:hAnsi="Cambria"/>
          <w:b/>
          <w:color w:val="1d3557"/>
          <w:sz w:val="26"/>
        </w:rPr>
        <w:t xml:space="preserve">6.1 PCA Arbitration Framework</w:t>
      </w:r>
    </w:p>
    <w:p>
      <w:pPr>
        <w:spacing w:before="120" w:after="160" w:line="276" w:lineRule="auto"/>
        <w:jc w:val="both"/>
      </w:pPr>
      <w:r>
        <w:rPr>
          <w:rFonts w:ascii="Cambria" w:hAnsi="Cambria"/>
          <w:color w:val="1d3557"/>
          <w:sz w:val="22"/>
        </w:rPr>
        <w:t xml:space="preserve">6.1-A. Pre-Arbitration Consultation Period. Before filing an access dispute, the requesting Party notifies the PCC. A seven (7) day consultation period follows, during which the PCC facilitates a technical solution through joint expert assessment. Only after this period does arbitration commence, unless the IAEA certifies imminent proliferation risk, in which case expedited arbitration begins within 48 hours.</w:t>
      </w:r>
    </w:p>
    <w:p>
      <w:pPr>
        <w:spacing w:before="120" w:after="160" w:line="276" w:lineRule="auto"/>
        <w:jc w:val="both"/>
      </w:pPr>
      <w:r>
        <w:rPr>
          <w:rFonts w:ascii="Cambria" w:hAnsi="Cambria"/>
          <w:color w:val="1d3557"/>
          <w:sz w:val="22"/>
        </w:rPr>
        <w:t xml:space="preserve">6.1-B. Definition of "Imminent Proliferation Risk." For purposes of this Article, "imminent proliferation risk" means credible evidence that HEU cylinders within a denied-access area are at immediate risk of diversion, unauthorized removal, or deliberate dispersal. This includes, but is not limited to: (a) credible intelligence, including from national technical means, that HEU cylinders are being or are about to be moved from a denied area; (b) denial of access to an area where the IAEA has a reasonable basis to believe diversion could occur undetected; (c) a pattern of behavior by Iran indicating an intent to frustrate verification of a specific storage location; or (d) any verified change in the physical condition of a containment area that suggests unauthorized access or removal of material. The IAEA provides a written factual basis for any such certification to the PCC within twelve (12) hours. The PCC reviews the certification and, by two-thirds majority vote, returns the matter to the consultation track if it finds the certification lacks any credible evidentiary basis. Such review does not suspend the expedited arbitration timeline unless the PCC so orders.</w:t>
      </w:r>
    </w:p>
    <w:tbl>
      <w:tblPr>
        <w:tblW w:w="5000" w:type="pct"/>
        <w:tblBorders>
          <w:top w:val="single" w:color="3d5a80" w:sz="12"/>
          <w:left w:val="nil"/>
          <w:bottom w:val="single" w:color="3d5a80" w:sz="12"/>
          <w:right w:val="nil"/>
          <w:insideH w:val="single" w:color="d0d5dd" w:sz="4"/>
          <w:insideV w:val="nil"/>
        </w:tblBorders>
      </w:tblPr>
      <w:tblGrid>
        <w:gridCol w:w="2400"/>
        <w:gridCol w:w="6200"/>
      </w:tblGrid>
      <w:tr>
        <w:trPr>
          <w:tblHeader/>
        </w:trPr>
        <w:tc>
          <w:tcPr>
            <w:tcW w:w="2400" w:type="dxa"/>
            <w:shd w:val="clear" w:fill="e8ecf1"/>
          </w:tcPr>
          <w:p>
            <w:pPr>
              <w:spacing w:before="60" w:after="60" w:line="240" w:lineRule="auto"/>
            </w:pPr>
            <w:r>
              <w:rPr>
                <w:b/>
                <w:color w:val="1d3557"/>
                <w:sz w:val="20"/>
              </w:rPr>
              <w:t xml:space="preserve">Parameter</w:t>
            </w:r>
          </w:p>
        </w:tc>
        <w:tc>
          <w:tcPr>
            <w:tcW w:w="6200" w:type="dxa"/>
            <w:shd w:val="clear" w:fill="e8ecf1"/>
          </w:tcPr>
          <w:p>
            <w:pPr>
              <w:spacing w:before="60" w:after="60" w:line="240" w:lineRule="auto"/>
            </w:pPr>
            <w:r>
              <w:rPr>
                <w:b/>
                <w:color w:val="1d3557"/>
                <w:sz w:val="20"/>
              </w:rPr>
              <w:t xml:space="preserve">Specification</w:t>
            </w:r>
          </w:p>
        </w:tc>
      </w:tr>
      <w:tr>
        <w:tc>
          <w:tcPr>
            <w:tcW w:w="2400" w:type="dxa"/>
          </w:tcPr>
          <w:p>
            <w:pPr>
              <w:spacing w:before="60" w:after="60" w:line="240" w:lineRule="auto"/>
              <w:jc w:val="left"/>
            </w:pPr>
            <w:r>
              <w:rPr>
                <w:color w:val="457b9d"/>
                <w:sz w:val="20"/>
              </w:rPr>
              <w:t xml:space="preserve">Applicable Rules</w:t>
            </w:r>
          </w:p>
        </w:tc>
        <w:tc>
          <w:tcPr>
            <w:tcW w:w="6200" w:type="dxa"/>
          </w:tcPr>
          <w:p>
            <w:pPr>
              <w:spacing w:before="60" w:after="60" w:line="240" w:lineRule="auto"/>
              <w:jc w:val="left"/>
            </w:pPr>
            <w:r>
              <w:rPr>
                <w:color w:val="457b9d"/>
                <w:sz w:val="20"/>
              </w:rPr>
              <w:t xml:space="preserve">PCA Optional Rules for Arbitration Involving International Organizations and States (2012), modified as specified herein</w:t>
            </w:r>
          </w:p>
        </w:tc>
      </w:tr>
      <w:tr>
        <w:tc>
          <w:tcPr>
            <w:tcW w:w="2400" w:type="dxa"/>
          </w:tcPr>
          <w:p>
            <w:pPr>
              <w:spacing w:before="60" w:after="60" w:line="240" w:lineRule="auto"/>
              <w:jc w:val="left"/>
            </w:pPr>
            <w:r>
              <w:rPr>
                <w:color w:val="457b9d"/>
                <w:sz w:val="20"/>
              </w:rPr>
              <w:t xml:space="preserve">Panel Composition</w:t>
            </w:r>
          </w:p>
        </w:tc>
        <w:tc>
          <w:tcPr>
            <w:tcW w:w="6200" w:type="dxa"/>
          </w:tcPr>
          <w:p>
            <w:pPr>
              <w:spacing w:before="60" w:after="60" w:line="240" w:lineRule="auto"/>
              <w:jc w:val="left"/>
            </w:pPr>
            <w:r>
              <w:rPr>
                <w:color w:val="457b9d"/>
                <w:sz w:val="20"/>
              </w:rPr>
              <w:t xml:space="preserve">Three members: (a) one appointed by Iran within 48 hours of dispute filing; (b) one appointed by the IAEA Director General within 48 hours; (c) one neutral chair appointed by the PCA Secretary-General within 72 hours if the Party-appointed members cannot agree on a chair.</w:t>
            </w:r>
          </w:p>
        </w:tc>
      </w:tr>
      <w:tr>
        <w:tc>
          <w:tcPr>
            <w:tcW w:w="2400" w:type="dxa"/>
          </w:tcPr>
          <w:p>
            <w:pPr>
              <w:spacing w:before="60" w:after="60" w:line="240" w:lineRule="auto"/>
              <w:jc w:val="left"/>
            </w:pPr>
            <w:r>
              <w:rPr>
                <w:color w:val="457b9d"/>
                <w:sz w:val="20"/>
              </w:rPr>
              <w:t xml:space="preserve">Seat</w:t>
            </w:r>
          </w:p>
        </w:tc>
        <w:tc>
          <w:tcPr>
            <w:tcW w:w="6200" w:type="dxa"/>
          </w:tcPr>
          <w:p>
            <w:pPr>
              <w:spacing w:before="60" w:after="60" w:line="240" w:lineRule="auto"/>
              <w:jc w:val="left"/>
            </w:pPr>
            <w:r>
              <w:rPr>
                <w:color w:val="457b9d"/>
                <w:sz w:val="20"/>
              </w:rPr>
              <w:t xml:space="preserve">The Hague, Netherlands</w:t>
            </w:r>
          </w:p>
        </w:tc>
      </w:tr>
      <w:tr>
        <w:tc>
          <w:tcPr>
            <w:tcW w:w="2400" w:type="dxa"/>
          </w:tcPr>
          <w:p>
            <w:pPr>
              <w:spacing w:before="60" w:after="60" w:line="240" w:lineRule="auto"/>
              <w:jc w:val="left"/>
            </w:pPr>
            <w:r>
              <w:rPr>
                <w:color w:val="457b9d"/>
                <w:sz w:val="20"/>
              </w:rPr>
              <w:t xml:space="preserve">Language</w:t>
            </w:r>
          </w:p>
        </w:tc>
        <w:tc>
          <w:tcPr>
            <w:tcW w:w="6200" w:type="dxa"/>
          </w:tcPr>
          <w:p>
            <w:pPr>
              <w:spacing w:before="60" w:after="60" w:line="240" w:lineRule="auto"/>
              <w:jc w:val="left"/>
            </w:pPr>
            <w:r>
              <w:rPr>
                <w:color w:val="457b9d"/>
                <w:sz w:val="20"/>
              </w:rPr>
              <w:t xml:space="preserve">English, with Persian and Arabic interpretation available upon request</w:t>
            </w:r>
          </w:p>
        </w:tc>
      </w:tr>
      <w:tr>
        <w:tc>
          <w:tcPr>
            <w:tcW w:w="2400" w:type="dxa"/>
          </w:tcPr>
          <w:p>
            <w:pPr>
              <w:spacing w:before="60" w:after="60" w:line="240" w:lineRule="auto"/>
              <w:jc w:val="left"/>
            </w:pPr>
            <w:r>
              <w:rPr>
                <w:color w:val="457b9d"/>
                <w:sz w:val="20"/>
              </w:rPr>
              <w:t xml:space="preserve">Timeline</w:t>
            </w:r>
          </w:p>
        </w:tc>
        <w:tc>
          <w:tcPr>
            <w:tcW w:w="6200" w:type="dxa"/>
          </w:tcPr>
          <w:p>
            <w:pPr>
              <w:spacing w:before="60" w:after="60" w:line="240" w:lineRule="auto"/>
              <w:jc w:val="left"/>
            </w:pPr>
            <w:r>
              <w:rPr>
                <w:color w:val="457b9d"/>
                <w:sz w:val="20"/>
              </w:rPr>
              <w:t xml:space="preserve">Pre-arbitration: 7-day PCC consultation period (unless IAEA certifies imminent proliferation risk). Ruling is issued within 7 days of the formal filing of the dispute. Expedited written proceedings unless the Panel determines oral hearings essential, in which case hearings are held within 4 days via secure video conference.</w:t>
            </w:r>
          </w:p>
        </w:tc>
      </w:tr>
      <w:tr>
        <w:tc>
          <w:tcPr>
            <w:tcW w:w="2400" w:type="dxa"/>
          </w:tcPr>
          <w:p>
            <w:pPr>
              <w:spacing w:before="60" w:after="60" w:line="240" w:lineRule="auto"/>
              <w:jc w:val="left"/>
            </w:pPr>
            <w:r>
              <w:rPr>
                <w:color w:val="457b9d"/>
                <w:sz w:val="20"/>
              </w:rPr>
              <w:t xml:space="preserve">Provisional Measures</w:t>
            </w:r>
          </w:p>
        </w:tc>
        <w:tc>
          <w:tcPr>
            <w:tcW w:w="6200" w:type="dxa"/>
          </w:tcPr>
          <w:p>
            <w:pPr>
              <w:spacing w:before="60" w:after="60" w:line="240" w:lineRule="auto"/>
              <w:jc w:val="left"/>
            </w:pPr>
            <w:r>
              <w:rPr>
                <w:color w:val="457b9d"/>
                <w:sz w:val="20"/>
              </w:rPr>
              <w:t xml:space="preserve">Either Party requests provisional measures (including mandatory access orders) within 24 hours of filing. The Panel rules on provisional measures within 48 hours.</w:t>
            </w:r>
          </w:p>
        </w:tc>
      </w:tr>
      <w:tr>
        <w:tc>
          <w:tcPr>
            <w:tcW w:w="2400" w:type="dxa"/>
          </w:tcPr>
          <w:p>
            <w:pPr>
              <w:spacing w:before="60" w:after="60" w:line="240" w:lineRule="auto"/>
              <w:jc w:val="left"/>
            </w:pPr>
            <w:r>
              <w:rPr>
                <w:color w:val="457b9d"/>
                <w:sz w:val="20"/>
              </w:rPr>
              <w:t xml:space="preserve">Binding Effect</w:t>
            </w:r>
          </w:p>
        </w:tc>
        <w:tc>
          <w:tcPr>
            <w:tcW w:w="6200" w:type="dxa"/>
          </w:tcPr>
          <w:p>
            <w:pPr>
              <w:spacing w:before="60" w:after="60" w:line="240" w:lineRule="auto"/>
              <w:jc w:val="left"/>
            </w:pPr>
            <w:r>
              <w:rPr>
                <w:color w:val="457b9d"/>
                <w:sz w:val="20"/>
              </w:rPr>
              <w:t xml:space="preserve">The award is final and binding on both Parties. Iran implements access rulings within 24 hours of issuance. Failure to comply triggers the consequences specified in Section 6.2.</w:t>
            </w:r>
          </w:p>
        </w:tc>
      </w:tr>
    </w:tbl>
    <w:p>
      <w:pPr>
        <w:spacing w:before="120" w:after="160" w:line="276" w:lineRule="auto"/>
        <w:jc w:val="both"/>
      </w:pPr>
      <w:r>
        <w:rPr>
          <w:rFonts w:ascii="Cambria" w:hAnsi="Cambria"/>
          <w:color w:val="1d3557"/>
          <w:sz w:val="22"/>
        </w:rPr>
        <w:t xml:space="preserve">Disputes subject to arbitration include but are not limited to: denial of IAEA access to any area within a declared facility perimeter; disagreement over cylinder condition classification (Category I-IV); Iranian refusal to approve recovery operations recommended by the IAEA; disputes over whether a storage area is safe for human entry; disagreement over whether material is classified as recoverable or subject to in-situ containment; and any other matter that prevents the IAEA from completing its verification mandate under this Annex.</w:t>
      </w:r>
    </w:p>
    <w:p>
      <w:pPr>
        <w:pStyle w:val="Heading2"/>
        <w:keepNext/>
        <w:keepLines/>
        <w:spacing w:before="320" w:after="120"/>
      </w:pPr>
      <w:r>
        <w:rPr>
          <w:rFonts w:ascii="Cambria" w:hAnsi="Cambria"/>
          <w:b/>
          <w:color w:val="1d3557"/>
          <w:sz w:val="26"/>
        </w:rPr>
        <w:t xml:space="preserve">6.2 Consequences of Access Denial</w:t>
      </w:r>
    </w:p>
    <w:p>
      <w:pPr>
        <w:spacing w:before="120" w:after="160" w:line="276" w:lineRule="auto"/>
        <w:jc w:val="both"/>
      </w:pPr>
      <w:r>
        <w:rPr>
          <w:rFonts w:ascii="Cambria" w:hAnsi="Cambria"/>
          <w:color w:val="1d3557"/>
          <w:sz w:val="22"/>
        </w:rPr>
        <w:t xml:space="preserve">If either Party denies access or cooperation in violation of this Annex, the following consequences apply:</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Tier escalation (measured). Each 24-hour period of access denial, after the 7-day PCC consultation period expires without resolution, constitutes one (1) Tier 2 material breach under the parent framework governance provisions. Denial continuing for more than 72 hours after consultation failure escalates to Tier 3. Denial during the consultation period itself does not constitute a breach provided both Parties engage in good faith.</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Reporting obligation. The IAEA reports the denial to the PCC within twenty-four (24) hours of the denial, with full documentation of the access requested, the response received, and the proliferation risk assessment of the denied area. The PCC notifies the UN Security Council only if the dispute remains unresolved after the 7-day consultation period.</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Burden of justification. The denying Party bears the burden of demonstrating that access denial rests on credible safety concerns, structural instability, or other verified conditions. If the PCC or PCA Panel independently verifies such conditions, the denial does not constitute a breach. If the PCC or Panel finds the justification insufficient, the consultation period is deemed to have concluded unsuccessfully and the breach timeline begins.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Expedited arbitration. Access disputes receive priority scheduling at the PCA. The Secretary-General convenes the Panel within 48 hours of formal filing, regardless of ordinary caseload.</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Guarantor state notification. All guarantor states under the parent framework are notified within 24 hours of formal arbitration filing and exercise their Mandatory Escalation Pause authority.</w:t>
      </w:r>
    </w:p>
    <w:p>
      <w:pPr>
        <w:pStyle w:val="Heading1"/>
        <w:keepNext/>
        <w:keepLines/>
        <w:spacing w:before="480" w:after="200"/>
      </w:pPr>
      <w:r>
        <w:rPr>
          <w:rFonts w:ascii="Cambria" w:hAnsi="Cambria"/>
          <w:b/>
          <w:color w:val="3d5a80"/>
          <w:sz w:val="32"/>
        </w:rPr>
        <w:t xml:space="preserve">Article 7: Incorporation by Reference</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This Annex is incorporable into any existing or future agreement between the Parties through the following adoption sentence:</w:t>
      </w:r>
    </w:p>
    <w:p>
      <w:pPr>
        <w:spacing w:before="120" w:after="120" w:line="276" w:lineRule="auto"/>
        <w:ind w:left="720" w:right="720"/>
      </w:pPr>
      <w:r>
        <w:rPr>
          <w:rFonts w:ascii="Cambria" w:hAnsi="Cambria"/>
          <w:i/>
          <w:color w:val="457b9d"/>
          <w:sz w:val="22"/>
        </w:rPr>
        <w:t xml:space="preserve">"The Parties adopt Annex O (IAEA Access and Site Integrity Protocol) as an operative provision of this Agreement. In the event of any inconsistency, Annex O governs with respect to IAEA access, damage assessment, and recovery operations for damaged nuclear material."</w:t>
      </w:r>
    </w:p>
    <w:p>
      <w:pPr>
        <w:spacing w:before="120" w:after="160" w:line="276" w:lineRule="auto"/>
        <w:jc w:val="both"/>
      </w:pPr>
      <w:r>
        <w:rPr>
          <w:rFonts w:ascii="Cambria" w:hAnsi="Cambria"/>
          <w:color w:val="1d3557"/>
          <w:sz w:val="22"/>
        </w:rPr>
        <w:t xml:space="preserve">No further amendment of the parent framework is needed. This Annex enters into force upon the later of: (a) signature by both Parties; or (b) the effective date of the parent framework into which the Parties incorporate it.</w:t>
      </w:r>
    </w:p>
    <w:p>
      <w:pPr>
        <w:pStyle w:val="Heading1"/>
        <w:keepNext/>
        <w:keepLines/>
        <w:spacing w:before="480" w:after="200"/>
      </w:pPr>
      <w:r>
        <w:rPr>
          <w:rFonts w:ascii="Cambria" w:hAnsi="Cambria"/>
          <w:b/>
          <w:color w:val="3d5a80"/>
          <w:sz w:val="32"/>
        </w:rPr>
        <w:t xml:space="preserve">Article 8: Provisional Application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8.1 The Parties agree to apply this Annex provisionally for a period of ninety (90) days, pending formal ratification or incorporation into a parent framework.</w:t>
      </w:r>
    </w:p>
    <w:p>
      <w:pPr>
        <w:spacing w:before="120" w:after="160" w:line="276" w:lineRule="auto"/>
        <w:jc w:val="both"/>
      </w:pPr>
      <w:r>
        <w:rPr>
          <w:rFonts w:ascii="Cambria" w:hAnsi="Cambria"/>
          <w:color w:val="1d3557"/>
          <w:sz w:val="22"/>
        </w:rPr>
        <w:t xml:space="preserve">8.2 Provisional application is effected by an exchange of diplomatic notes between the Parties, copied to the Joint Secretariat and all guarantor states.</w:t>
      </w:r>
    </w:p>
    <w:p>
      <w:pPr>
        <w:spacing w:before="120" w:after="160" w:line="276" w:lineRule="auto"/>
        <w:jc w:val="both"/>
      </w:pPr>
      <w:r>
        <w:rPr>
          <w:rFonts w:ascii="Cambria" w:hAnsi="Cambria"/>
          <w:color w:val="1d3557"/>
          <w:sz w:val="22"/>
        </w:rPr>
        <w:t xml:space="preserve">8.3 During provisional application, all provisions of this Annex are operative and binding. The IAEA exercises full access rights; Iran provides full cooperation; and all dispute resolution mechanisms are available.</w:t>
      </w:r>
    </w:p>
    <w:p>
      <w:pPr>
        <w:spacing w:before="120" w:after="160" w:line="276" w:lineRule="auto"/>
        <w:jc w:val="both"/>
      </w:pPr>
      <w:r>
        <w:rPr>
          <w:rFonts w:ascii="Cambria" w:hAnsi="Cambria"/>
          <w:color w:val="1d3557"/>
          <w:sz w:val="22"/>
        </w:rPr>
        <w:t xml:space="preserve">8.4 Either Party terminates provisional application with fourteen (14) days' written notice to the other Party, the Joint Secretariat, and the IAEA Director General.</w:t>
      </w:r>
    </w:p>
    <w:p>
      <w:pPr>
        <w:spacing w:before="120" w:after="160" w:line="276" w:lineRule="auto"/>
        <w:jc w:val="both"/>
      </w:pPr>
      <w:r>
        <w:rPr>
          <w:rFonts w:ascii="Cambria" w:hAnsi="Cambria"/>
          <w:color w:val="1d3557"/>
          <w:sz w:val="22"/>
        </w:rPr>
        <w:t xml:space="preserve">8.5 Termination of provisional application by Iran triggers immediate PCC review and simultaneous notification to all guarantor states. The PCC convenes within 48 hours to determine whether termination materially harms verification objectives. If the PCC finds by majority vote that such harm exists, the following applies:</w:t>
      </w:r>
    </w:p>
    <w:p>
      <w:pPr>
        <w:spacing w:before="80" w:after="80" w:line="276" w:lineRule="auto"/>
        <w:ind w:left="360" w:hanging="360"/>
      </w:pPr>
      <w:r>
        <w:rPr>
          <w:rFonts w:ascii="Cambria" w:hAnsi="Cambria"/>
          <w:b/>
          <w:color w:val="1d3557"/>
          <w:sz w:val="22"/>
        </w:rPr>
        <w:t xml:space="preserve">(a). </w:t>
      </w:r>
      <w:r>
        <w:rPr>
          <w:rFonts w:ascii="Cambria" w:hAnsi="Cambria"/>
          <w:color w:val="1d3557"/>
          <w:sz w:val="22"/>
        </w:rPr>
        <w:t xml:space="preserve">The termination is reported immediately to the UN Security Council;</w:t>
      </w:r>
    </w:p>
    <w:p>
      <w:pPr>
        <w:spacing w:before="80" w:after="80" w:line="276" w:lineRule="auto"/>
        <w:ind w:left="360" w:hanging="360"/>
      </w:pPr>
      <w:r>
        <w:rPr>
          <w:rFonts w:ascii="Cambria" w:hAnsi="Cambria"/>
          <w:b/>
          <w:color w:val="1d3557"/>
          <w:sz w:val="22"/>
        </w:rPr>
        <w:t xml:space="preserve">(b). </w:t>
      </w:r>
      <w:r>
        <w:rPr>
          <w:rFonts w:ascii="Cambria" w:hAnsi="Cambria"/>
          <w:color w:val="1d3557"/>
          <w:sz w:val="22"/>
        </w:rPr>
        <w:t xml:space="preserve">The termination constitutes a Tier 2 material breach under the parent framework governance provisions, with each 24-hour period of continued non-application counting as a separate breach;</w:t>
      </w:r>
    </w:p>
    <w:p>
      <w:pPr>
        <w:spacing w:before="80" w:after="80" w:line="276" w:lineRule="auto"/>
        <w:ind w:left="360" w:hanging="360"/>
      </w:pPr>
      <w:r>
        <w:rPr>
          <w:rFonts w:ascii="Cambria" w:hAnsi="Cambria"/>
          <w:b/>
          <w:color w:val="1d3557"/>
          <w:sz w:val="22"/>
        </w:rPr>
        <w:t xml:space="preserve">(c). </w:t>
      </w:r>
      <w:r>
        <w:rPr>
          <w:rFonts w:ascii="Cambria" w:hAnsi="Cambria"/>
          <w:color w:val="1d3557"/>
          <w:sz w:val="22"/>
        </w:rPr>
        <w:t xml:space="preserve">Guarantor states, by majority vote, impose proportional consequences under the parent framework, including but not limited to suspension of economic benefits, travel restrictions, or other measures;</w:t>
      </w:r>
    </w:p>
    <w:p>
      <w:pPr>
        <w:spacing w:before="80" w:after="80" w:line="276" w:lineRule="auto"/>
        <w:ind w:left="360" w:hanging="360"/>
      </w:pPr>
      <w:r>
        <w:rPr>
          <w:rFonts w:ascii="Cambria" w:hAnsi="Cambria"/>
          <w:b/>
          <w:color w:val="1d3557"/>
          <w:sz w:val="22"/>
        </w:rPr>
        <w:t xml:space="preserve">(d). </w:t>
      </w:r>
      <w:r>
        <w:rPr>
          <w:rFonts w:ascii="Cambria" w:hAnsi="Cambria"/>
          <w:color w:val="1d3557"/>
          <w:sz w:val="22"/>
        </w:rPr>
        <w:t xml:space="preserve">Termination does not suspend or diminish any of Iran's obligations under the IAEA Statute or its existing Safeguards Agreement. All IAEA safeguards rights continue in full force.</w:t>
      </w:r>
    </w:p>
    <w:p>
      <w:pPr>
        <w:spacing w:before="120" w:after="160" w:line="276" w:lineRule="auto"/>
        <w:jc w:val="both"/>
      </w:pPr>
      <w:r>
        <w:rPr>
          <w:rFonts w:ascii="Cambria" w:hAnsi="Cambria"/>
          <w:color w:val="1d3557"/>
          <w:sz w:val="22"/>
        </w:rPr>
        <w:t xml:space="preserve">8.6 Termination of provisional application does not relieve either Party of obligations under the IAEA Statute or existing Safeguards Agreement. All IAEA safeguards rights and Iran's safeguards obligations continue in full force regardless of the status of this Annex. Monitoring data collected during the provisional period remains subject to IAEA safeguards confidentiality protocols and is usable for safeguards purposes under the IAEA Statute.</w:t>
      </w:r>
    </w:p>
    <w:p>
      <w:pPr>
        <w:pStyle w:val="Heading1"/>
        <w:keepNext/>
        <w:keepLines/>
        <w:spacing w:before="480" w:after="200"/>
      </w:pPr>
      <w:r>
        <w:rPr>
          <w:rFonts w:ascii="Cambria" w:hAnsi="Cambria"/>
          <w:b/>
          <w:color w:val="3d5a80"/>
          <w:sz w:val="32"/>
        </w:rPr>
        <w:t xml:space="preserve">Article 9: Severability</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9.1 If any provision of this Annex is found by a court of competent jurisdiction or arbitral panel to be unenforceable, the remaining provisions remain in full force and effect.</w:t>
      </w:r>
    </w:p>
    <w:p>
      <w:pPr>
        <w:spacing w:before="120" w:after="160" w:line="276" w:lineRule="auto"/>
        <w:jc w:val="both"/>
      </w:pPr>
      <w:r>
        <w:rPr>
          <w:rFonts w:ascii="Cambria" w:hAnsi="Cambria"/>
          <w:color w:val="1d3557"/>
          <w:sz w:val="22"/>
        </w:rPr>
        <w:t xml:space="preserve">9.2 The Parties promptly negotiate a replacement for any provision found unenforceable, preserving the original intent to the maximum extent possible. If the Parties cannot agree on a replacement within thirty (30) days, the matter is referred to the PCA for binding determination under the procedures specified in Article 6.</w:t>
      </w:r>
    </w:p>
    <w:p>
      <w:pPr>
        <w:spacing w:before="120" w:after="160" w:line="276" w:lineRule="auto"/>
        <w:jc w:val="both"/>
      </w:pPr>
      <w:r>
        <w:rPr>
          <w:rFonts w:ascii="Cambria" w:hAnsi="Cambria"/>
          <w:color w:val="1d3557"/>
          <w:sz w:val="22"/>
        </w:rPr>
        <w:t xml:space="preserve">9.3 If the unenforceable provision is essential to the Annex's operation (as determined by the IAEA Director General or the PCC by majority vote), the Parties enter into good-faith negotiations to restructure the Annex. During such negotiations, all other Annex provisions continue in force.</w:t>
      </w:r>
    </w:p>
    <w:p>
      <w:pPr>
        <w:pStyle w:val="Heading1"/>
        <w:keepNext/>
        <w:keepLines/>
        <w:spacing w:before="480" w:after="200"/>
      </w:pPr>
      <w:r>
        <w:rPr>
          <w:rFonts w:ascii="Cambria" w:hAnsi="Cambria"/>
          <w:b/>
          <w:color w:val="3d5a80"/>
          <w:sz w:val="32"/>
        </w:rPr>
        <w:t xml:space="preserve">Article 10: Duration and Withdrawal</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10.1 This Annex remains in force indefinitely, unless: (a) both Parties agree in writing to terminate it; or (b) the parent framework into which it is incorporated terminates, and the Parties do not reaffirm this Annex within ninety (90) days of such termination.</w:t>
      </w:r>
    </w:p>
    <w:p>
      <w:pPr>
        <w:spacing w:before="120" w:after="160" w:line="276" w:lineRule="auto"/>
        <w:jc w:val="both"/>
      </w:pPr>
      <w:r>
        <w:rPr>
          <w:rFonts w:ascii="Cambria" w:hAnsi="Cambria"/>
          <w:color w:val="1d3557"/>
          <w:sz w:val="22"/>
        </w:rPr>
        <w:t xml:space="preserve">10.2 Withdrawal from this Annex without withdrawal from the parent framework is not permitted. This Annex is integral to the verification and custody architecture and is not severable unilaterally.</w:t>
      </w:r>
    </w:p>
    <w:p>
      <w:pPr>
        <w:spacing w:before="120" w:after="160" w:line="276" w:lineRule="auto"/>
        <w:jc w:val="both"/>
      </w:pPr>
      <w:r>
        <w:rPr>
          <w:rFonts w:ascii="Cambria" w:hAnsi="Cambria"/>
          <w:color w:val="1d3557"/>
          <w:sz w:val="22"/>
        </w:rPr>
        <w:t xml:space="preserve">10.3 If the parent framework terminates and the Parties do not reaffirm this Annex within ninety (90) days, all IAEA access rights under this Annex expire, but IAEA monitoring data collected during Annex O's operation remains the property of the IAEA and is usable for safeguards purposes under the IAEA Statute and applicable safeguards agreements.</w:t>
      </w:r>
    </w:p>
    <w:p>
      <w:pPr>
        <w:spacing w:before="120" w:after="160" w:line="276" w:lineRule="auto"/>
        <w:jc w:val="both"/>
      </w:pPr>
      <w:r>
        <w:rPr>
          <w:rFonts w:ascii="Cambria" w:hAnsi="Cambria"/>
          <w:color w:val="1d3557"/>
          <w:sz w:val="22"/>
        </w:rPr>
        <w:t xml:space="preserve">10.4 Implementation Flexibility. The Parties recognize that damaged nuclear sites present unforeseen conditions not contemplated in this Annex. Timelines and technical requirements in this Annex are adjustable by mutual written agreement of the IAEA Director General and the Head of the Iranian Atomic Energy Organization (AEOI), with notification to the PCC. Unilateral extension or modification is not permitted. Any mutually agreed adjustment specifies: the revised timeline or requirement; the technical justification; the conditions for return to the original timeline; and the notification provided to the PCC.</w:t>
      </w:r>
    </w:p>
    <w:p>
      <w:pPr>
        <w:spacing w:before="120" w:after="160" w:line="276" w:lineRule="auto"/>
        <w:jc w:val="both"/>
      </w:pPr>
      <w:r>
        <w:rPr>
          <w:rFonts w:ascii="Cambria" w:hAnsi="Cambria"/>
          <w:color w:val="1d3557"/>
          <w:sz w:val="22"/>
        </w:rPr>
        <w:t xml:space="preserve">10.4-A. Guarantor Oversight of Mutual Adjustments. Any mutual agreement under Article 10.4 is also submitted to all guarantor states simultaneously with notification to the PCC. If three or more guarantor states object in writing within seven (7) calendar days of receipt, the adjustment is suspended pending PCC review. The PCC reinstates the adjustment only by a two-thirds majority vote of all PCC members. The burden of demonstrating that the adjustment is technical, not political, and that it does not materially delay the parent framework's objectives rests on the Parties requesting the adjustment. This provision does not apply to day-to-day operational coordination, which requires only PCC notification.</w:t>
      </w:r>
    </w:p>
    <w:p>
      <w:pPr>
        <w:spacing w:before="120" w:after="160" w:line="276" w:lineRule="auto"/>
        <w:jc w:val="both"/>
      </w:pPr>
      <w:r>
        <w:rPr>
          <w:rFonts w:ascii="Cambria" w:hAnsi="Cambria"/>
          <w:color w:val="1d3557"/>
          <w:sz w:val="22"/>
        </w:rPr>
        <w:t xml:space="preserve">This provision is not a general escape clause; it is a limited flexibility mechanism for genuinely unforeseen circumstances at damaged facilities. The burden of demonstrating that circumstances are unforeseen and material rests on the Party requesting the adjustment.</w:t>
      </w:r>
    </w:p>
    <w:p>
      <w:pPr>
        <w:pStyle w:val="Heading1"/>
        <w:keepNext/>
        <w:keepLines/>
        <w:spacing w:before="480" w:after="200"/>
      </w:pPr>
      <w:r>
        <w:rPr>
          <w:rFonts w:ascii="Cambria" w:hAnsi="Cambria"/>
          <w:b/>
          <w:color w:val="3d5a80"/>
          <w:sz w:val="32"/>
        </w:rPr>
        <w:t xml:space="preserve">Signature Block</w:t>
      </w:r>
    </w:p>
    <w:p>
      <w:pPr>
        <w:spacing w:before="120" w:after="160" w:line="276" w:lineRule="auto"/>
        <w:jc w:val="both"/>
      </w:pPr>
      <w:r>
        <w:rPr>
          <w:rFonts w:ascii="Cambria" w:hAnsi="Cambria"/>
          <w:color w:val="1d3557"/>
          <w:sz w:val="22"/>
        </w:rPr>
        <w:t xml:space="preserve">In witness whereof, the undersigned, being duly authorized by their respective governments, have signed this Annex O: IAEA Access and Site Integrity Protocol.</w:t>
      </w:r>
    </w:p>
    <w:p>
      <w:pPr>
        <w:spacing w:before="120" w:after="160" w:line="276" w:lineRule="auto"/>
        <w:jc w:val="both"/>
      </w:pPr>
      <w:r>
        <w:rPr>
          <w:rFonts w:ascii="Cambria" w:hAnsi="Cambria"/>
          <w:color w:val="1d3557"/>
          <w:sz w:val="22"/>
        </w:rPr>
        <w:t xml:space="preserve">Done at ____________________, this _______ day of _____________________, 2026, in triplicate in the English language.</w:t>
      </w:r>
    </w:p>
    <w:p>
      <w:pPr>
        <w:spacing w:before="600"/>
      </w:pPr>
    </w:p>
    <w:p>
      <w:r>
        <w:rPr>
          <w:rFonts w:ascii="Cambria" w:hAnsi="Cambria"/>
          <w:b/>
          <w:color w:val="1d3557"/>
          <w:sz w:val="22"/>
        </w:rPr>
        <w:t>For the Islamic Republic of Iran:</w:t>
      </w:r>
    </w:p>
    <w:p>
      <w:r>
        <w:t>Name: ____________________</w:t>
      </w:r>
    </w:p>
    <w:p>
      <w:r>
        <w:t>Title: ____________________</w:t>
      </w:r>
    </w:p>
    <w:p>
      <w:r>
        <w:t>Date: ____________________</w:t>
      </w:r>
    </w:p>
    <w:p>
      <w:pPr>
        <w:spacing w:before="400"/>
      </w:pPr>
    </w:p>
    <w:p>
      <w:r>
        <w:rPr>
          <w:rFonts w:ascii="Cambria" w:hAnsi="Cambria"/>
          <w:b/>
          <w:color w:val="1d3557"/>
          <w:sz w:val="22"/>
        </w:rPr>
        <w:t>For the International Atomic Energy Agency (IAEA):</w:t>
      </w:r>
    </w:p>
    <w:p>
      <w:r>
        <w:t>Name: Rafael Mariano Grossi, Director General</w:t>
      </w:r>
    </w:p>
    <w:p>
      <w:r>
        <w:t>Date: ____________________</w:t>
      </w:r>
    </w:p>
    <w:p>
      <w:pPr>
        <w:spacing w:before="400"/>
      </w:pPr>
    </w:p>
    <w:p>
      <w:r>
        <w:rPr>
          <w:rFonts w:ascii="Cambria" w:hAnsi="Cambria"/>
          <w:b/>
          <w:color w:val="1d3557"/>
          <w:sz w:val="22"/>
        </w:rPr>
        <w:t>For the United States of America (as endorsing Party, if parent framework applies):</w:t>
      </w:r>
    </w:p>
    <w:p>
      <w:r>
        <w:t>Name: ____________________</w:t>
      </w:r>
    </w:p>
    <w:p>
      <w:r>
        <w:t>Title: ____________________</w:t>
      </w:r>
    </w:p>
    <w:p>
      <w:r>
        <w:t>Date: ____________________</w:t>
      </w:r>
    </w:p>
    <w:p>
      <w:pPr>
        <w:spacing w:before="400"/>
      </w:pPr>
    </w:p>
    <w:p>
      <w:r>
        <w:rPr>
          <w:rFonts w:ascii="Cambria" w:hAnsi="Cambria"/>
          <w:b/>
          <w:color w:val="1d3557"/>
          <w:sz w:val="22"/>
        </w:rPr>
        <w:t>Witnessed by the Guarantor States:</w:t>
      </w:r>
    </w:p>
    <w:tbl>
      <w:tblPr>
        <w:tblW w:w="5000" w:type="pct"/>
        <w:tblBorders>
          <w:top w:val="single" w:color="3d5a80" w:sz="12"/>
          <w:left w:val="nil"/>
          <w:bottom w:val="single" w:color="3d5a80" w:sz="12"/>
          <w:right w:val="nil"/>
          <w:insideH w:val="single" w:color="d0d5dd" w:sz="4"/>
          <w:insideV w:val="nil"/>
        </w:tblBorders>
      </w:tblPr>
      <w:tblGrid>
        <w:gridCol w:w="4300"/>
        <w:gridCol w:w="4300"/>
      </w:tblGrid>
      <w:tr>
        <w:tc>
          <w:tcPr>
            <w:tcW w:w="4300" w:type="dxa"/>
          </w:tcPr>
          <w:p>
            <w:pPr>
              <w:spacing w:before="60" w:after="60" w:line="240" w:lineRule="auto"/>
              <w:jc w:val="left"/>
            </w:pPr>
            <w:r>
              <w:rPr>
                <w:color w:val="457b9d"/>
                <w:sz w:val="20"/>
              </w:rPr>
              <w:t xml:space="preserve">Oman</w:t>
            </w:r>
          </w:p>
        </w:tc>
        <w:tc>
          <w:tcPr>
            <w:tcW w:w="4300" w:type="dxa"/>
          </w:tcPr>
          <w:p>
            <w:pPr>
              <w:spacing w:before="60" w:after="60" w:line="240" w:lineRule="auto"/>
              <w:jc w:val="left"/>
            </w:pPr>
            <w:r>
              <w:rPr>
                <w:color w:val="457b9d"/>
                <w:sz w:val="20"/>
              </w:rPr>
              <w:t xml:space="preserve">Pakistan</w:t>
            </w:r>
          </w:p>
        </w:tc>
      </w:tr>
      <w:tr>
        <w:tc>
          <w:tcPr>
            <w:tcW w:w="4300" w:type="dxa"/>
          </w:tcPr>
          <w:p>
            <w:pPr>
              <w:spacing w:before="60" w:after="60" w:line="240" w:lineRule="auto"/>
              <w:jc w:val="left"/>
            </w:pPr>
            <w:r>
              <w:rPr>
                <w:color w:val="457b9d"/>
                <w:sz w:val="20"/>
              </w:rPr>
              <w:t xml:space="preserve">Qatar</w:t>
            </w:r>
          </w:p>
        </w:tc>
        <w:tc>
          <w:tcPr>
            <w:tcW w:w="4300" w:type="dxa"/>
          </w:tcPr>
          <w:p>
            <w:pPr>
              <w:spacing w:before="60" w:after="60" w:line="240" w:lineRule="auto"/>
              <w:jc w:val="left"/>
            </w:pPr>
            <w:r>
              <w:rPr>
                <w:color w:val="457b9d"/>
                <w:sz w:val="20"/>
              </w:rPr>
              <w:t xml:space="preserve">European Union (E3+)</w:t>
            </w:r>
          </w:p>
        </w:tc>
      </w:tr>
      <w:tr>
        <w:tc>
          <w:tcPr>
            <w:tcW w:w="4300" w:type="dxa"/>
          </w:tcPr>
          <w:p>
            <w:pPr>
              <w:spacing w:before="60" w:after="60" w:line="240" w:lineRule="auto"/>
              <w:jc w:val="left"/>
            </w:pPr>
            <w:r>
              <w:rPr>
                <w:color w:val="457b9d"/>
                <w:sz w:val="20"/>
              </w:rPr>
              <w:t xml:space="preserve">People's Republic of China</w:t>
            </w:r>
          </w:p>
        </w:tc>
        <w:tc>
          <w:tcPr>
            <w:tcW w:w="4300" w:type="dxa"/>
          </w:tcPr>
          <w:p>
            <w:pPr>
              <w:spacing w:before="60" w:after="60" w:line="240" w:lineRule="auto"/>
              <w:jc w:val="left"/>
            </w:pPr>
            <w:r>
              <w:rPr>
                <w:color w:val="457b9d"/>
                <w:sz w:val="20"/>
              </w:rPr>
              <w:t xml:space="preserve">Russian Federation</w:t>
            </w:r>
          </w:p>
        </w:tc>
      </w:tr>
    </w:tbl>
    <w:p>
      <w:pPr>
        <w:sectPr>
          <w:headerReference w:type="default" r:id="R421c03507b4d42fe"/>
          <w:footerReference w:type="default" r:id="R92604b768bda42e8"/>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b70ac16d68e549a0"/>
                    <a:stretch>
                      <a:fillRect/>
                    </a:stretch>
                  </pic:blipFill>
                  <pic:spPr>
                    <a:xfrm>
                      <a:off x="0" y="0"/>
                      <a:ext cx="7560000" cy="10692000"/>
                    </a:xfrm>
                    <a:prstGeom prst="rect"/>
                  </pic:spPr>
                </pic:pic>
              </a:graphicData>
            </a:graphic>
          </wp:anchor>
        </w:drawing>
      </w:r>
    </w:p>
    <w:p>
      <w:pPr>
        <w:spacing w:before="7000"/>
      </w:pPr>
      <w:r/>
    </w:p>
    <w:p>
      <w:pPr>
        <w:jc w:val="center"/>
      </w:pPr>
      <w:r>
        <w:rPr>
          <w:rFonts w:ascii="Cambria" w:hAnsi="Cambria"/>
          <w:color w:val="e0e6ed"/>
          <w:spacing w:val="30"/>
          <w:sz w:val="48"/>
        </w:rPr>
        <w:t>Annex O</w:t>
      </w:r>
    </w:p>
    <w:p>
      <w:pPr>
        <w:spacing w:before="400"/>
        <w:jc w:val="center"/>
      </w:pPr>
      <w:r>
        <w:rPr>
          <w:rFonts w:ascii="Cambria" w:hAnsi="Cambria"/>
          <w:color w:val="e0e6ed"/>
          <w:sz w:val="28"/>
        </w:rPr>
        <w:t>IAEA Access and Site Integrity Protocol</w:t>
      </w:r>
    </w:p>
    <w:p>
      <w:pPr>
        <w:spacing w:before="600"/>
        <w:jc w:val="center"/>
      </w:pPr>
      <w:r>
        <w:rPr>
          <w:rFonts w:ascii="Cambria" w:hAnsi="Cambria"/>
          <w:color w:val="b8860b"/>
          <w:sz w:val="20"/>
        </w:rPr>
        <w:t>Version 1.0  |  June 2026</w:t>
      </w:r>
    </w:p>
    <w:p>
      <w:pPr>
        <w:spacing w:before="200"/>
        <w:jc w:val="center"/>
      </w:pPr>
      <w:r>
        <w:rPr>
          <w:rFonts w:ascii="Cambria" w:hAnsi="Cambria"/>
          <w:color w:val="8d99ae"/>
          <w:sz w:val="18"/>
        </w:rPr>
        <w:t>Modular Annex  |  Authorized Negotiators Only  |  Confidential</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O  |  IAEA Access and Site Integrity Protocol</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Type="http://schemas.openxmlformats.org/officeDocument/2006/relationships/styles" Target="styles.xml" Id="R57857e2ba525441b" /><Relationship Type="http://schemas.openxmlformats.org/officeDocument/2006/relationships/image" Target="media/image.png" Id="R192c8bbac2134e17" /><Relationship Type="http://schemas.openxmlformats.org/officeDocument/2006/relationships/image" Target="media/image2.png" Id="Rb70ac16d68e549a0" /><Relationship Type="http://schemas.openxmlformats.org/officeDocument/2006/relationships/header" Target="header1.xml" Id="R421c03507b4d42fe" /><Relationship Type="http://schemas.openxmlformats.org/officeDocument/2006/relationships/footer" Target="footer1.xml" Id="R92604b768bda42e8" /><Relationship Type="http://schemas.openxmlformats.org/officeDocument/2006/relationships/settings" Target="settings.xml" Id="Rb0646e75c06e4019" /></Relationships>
</file>