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r>
        <w:t xml:space="preserve"/>
      </w:r>
    </w:p>
    <w:p>
      <w:pPr>
        <w:spacing w:after="60" w:before="200"/>
        <w:jc w:val="center"/>
      </w:pPr>
      <w:r>
        <w:rPr>
          <w:rFonts w:ascii="Arial" w:cs="Arial" w:eastAsia="Arial" w:hAnsi="Arial"/>
          <w:b/>
          <w:bCs/>
          <w:color w:val="A84300"/>
          <w:sz w:val="20"/>
          <w:szCs w:val="20"/>
        </w:rPr>
        <w:t xml:space="preserve">IMMEDIATE OPERATIONAL USE — MODULAR ADDENDUM</w:t>
      </w:r>
    </w:p>
    <w:p>
      <w:pPr>
        <w:spacing w:after="40" w:before="40"/>
      </w:pPr>
      <w:r>
        <w:t xml:space="preserve"/>
      </w:r>
    </w:p>
    <w:p>
      <w:pPr>
        <w:spacing w:after="60" w:before="200"/>
        <w:jc w:val="center"/>
      </w:pPr>
      <w:r>
        <w:rPr>
          <w:rFonts w:ascii="Arial" w:cs="Arial" w:eastAsia="Arial" w:hAnsi="Arial"/>
          <w:b/>
          <w:bCs/>
          <w:color w:val="7B2C00"/>
          <w:sz w:val="60"/>
          <w:szCs w:val="60"/>
        </w:rPr>
        <w:t xml:space="preserve">Annex U</w:t>
      </w:r>
    </w:p>
    <w:p>
      <w:pPr>
        <w:spacing w:after="100" w:before="0"/>
        <w:jc w:val="center"/>
      </w:pPr>
      <w:r>
        <w:rPr>
          <w:rFonts w:ascii="Arial" w:cs="Arial" w:eastAsia="Arial" w:hAnsi="Arial"/>
          <w:b/>
          <w:bCs/>
          <w:color w:val="A84300"/>
          <w:sz w:val="32"/>
          <w:szCs w:val="32"/>
        </w:rPr>
        <w:t xml:space="preserve">Technical Demarcation and Stabilization Addendum</w:t>
      </w:r>
    </w:p>
    <w:p>
      <w:pPr>
        <w:spacing w:after="200" w:before="0"/>
        <w:jc w:val="center"/>
      </w:pPr>
      <w:r>
        <w:rPr>
          <w:rFonts w:ascii="Arial" w:cs="Arial" w:eastAsia="Arial" w:hAnsi="Arial"/>
          <w:color w:val="7B2C00"/>
          <w:sz w:val="24"/>
          <w:szCs w:val="24"/>
        </w:rPr>
        <w:t xml:space="preserve">Gaza / Lebanon Territorial Freeze-in-Place Protocol</w:t>
      </w:r>
    </w:p>
    <w:p>
      <w:pPr>
        <w:pBdr>
          <w:bottom w:val="single" w:color="7B2C00" w:sz="6"/>
        </w:pBdr>
        <w:spacing w:after="100" w:before="100"/>
      </w:pPr>
      <w:r>
        <w:rPr>
          <w:rFonts w:ascii="Arial" w:cs="Arial" w:eastAsia="Arial" w:hAnsi="Arial"/>
          <w:sz w:val="4"/>
          <w:szCs w:val="4"/>
        </w:rPr>
        <w:t xml:space="preserve"/>
      </w:r>
    </w:p>
    <w:p>
      <w:pPr>
        <w:spacing w:after="40" w:before="40"/>
      </w:pPr>
      <w:r>
        <w:t xml:space="preserve"/>
      </w:r>
    </w:p>
    <w:p>
      <w:pPr>
        <w:spacing w:after="40" w:before="80"/>
        <w:jc w:val="center"/>
      </w:pPr>
      <w:r>
        <w:rPr>
          <w:rFonts w:ascii="Arial" w:cs="Arial" w:eastAsia="Arial" w:hAnsi="Arial"/>
          <w:color w:val="000000"/>
          <w:sz w:val="22"/>
          <w:szCs w:val="22"/>
        </w:rPr>
        <w:t xml:space="preserve">Self-Contained  ·  Incorporable by Reference</w:t>
      </w:r>
    </w:p>
    <w:p>
      <w:pPr>
        <w:spacing w:after="40" w:before="40"/>
        <w:jc w:val="center"/>
      </w:pPr>
      <w:r>
        <w:rPr>
          <w:rFonts w:ascii="Arial" w:cs="Arial" w:eastAsia="Arial" w:hAnsi="Arial"/>
          <w:b/>
          <w:bCs/>
          <w:color w:val="7B2C00"/>
          <w:sz w:val="22"/>
          <w:szCs w:val="22"/>
        </w:rPr>
        <w:t xml:space="preserve">Version 1.0 — Emergency Stabilization Measure</w:t>
      </w:r>
    </w:p>
    <w:p>
      <w:pPr>
        <w:spacing w:after="40" w:before="40"/>
      </w:pPr>
      <w:r>
        <w:t xml:space="preserve"/>
      </w:r>
    </w:p>
    <w:p>
      <w:pPr>
        <w:pBdr>
          <w:bottom w:val="single" w:color="7B2C00" w:sz="6"/>
        </w:pBdr>
        <w:spacing w:after="100" w:before="100"/>
      </w:pPr>
      <w:r>
        <w:rPr>
          <w:rFonts w:ascii="Arial" w:cs="Arial" w:eastAsia="Arial" w:hAnsi="Arial"/>
          <w:sz w:val="4"/>
          <w:szCs w:val="4"/>
        </w:rPr>
        <w:t xml:space="preserve"/>
      </w:r>
    </w:p>
    <w:p>
      <w:pPr>
        <w:spacing w:after="40" w:before="40"/>
      </w:pPr>
      <w:r>
        <w:t xml:space="preserve"/>
      </w:r>
    </w:p>
    <w:p>
      <w:pPr>
        <w:spacing w:after="80" w:before="80"/>
        <w:jc w:val="center"/>
      </w:pPr>
      <w:r>
        <w:rPr>
          <w:rFonts w:ascii="Arial" w:cs="Arial" w:eastAsia="Arial" w:hAnsi="Arial"/>
          <w:color w:val="7B2C00"/>
          <w:sz w:val="20"/>
          <w:szCs w:val="20"/>
        </w:rPr>
        <w:t xml:space="preserve">Expires automatically upon conclusion of the 60-day truce unless renewed by mutual agreement</w:t>
      </w:r>
    </w:p>
    <w:p>
      <w:r>
        <w:br w:type="page"/>
      </w:r>
    </w:p>
    <w:p>
      <w:pPr>
        <w:pStyle w:val="Heading1"/>
        <w:shd w:fill="7B2C00" w:val="clear"/>
        <w:spacing w:after="120" w:before="240"/>
      </w:pPr>
      <w:r>
        <w:rPr>
          <w:rFonts w:ascii="Arial" w:cs="Arial" w:eastAsia="Arial" w:hAnsi="Arial"/>
          <w:b/>
          <w:bCs/>
          <w:color w:val="FFFFFF"/>
          <w:sz w:val="30"/>
          <w:szCs w:val="30"/>
        </w:rPr>
        <w:t xml:space="preserve">Table of Contents</w:t>
      </w:r>
    </w:p>
    <w:p>
      <w:pPr>
        <w:spacing w:after="40" w:before="40"/>
      </w:pPr>
      <w:r>
        <w:t xml:space="preserv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hd w:fill="7B2C00" w:val="clear"/>
        <w:spacing w:after="120" w:before="240"/>
      </w:pPr>
      <w:r>
        <w:rPr>
          <w:rFonts w:ascii="Arial" w:cs="Arial" w:eastAsia="Arial" w:hAnsi="Arial"/>
          <w:b/>
          <w:bCs/>
          <w:color w:val="FFFFFF"/>
          <w:sz w:val="30"/>
          <w:szCs w:val="30"/>
        </w:rPr>
        <w:t xml:space="preserve">Preamble</w:t>
      </w:r>
    </w:p>
    <w:p>
      <w:pPr>
        <w:spacing w:after="40" w:before="40"/>
      </w:pPr>
      <w:r>
        <w:t xml:space="preserve"/>
      </w:r>
    </w:p>
    <w:p>
      <w:pPr>
        <w:spacing w:after="80" w:before="80" w:line="276" w:lineRule="auto"/>
        <w:jc w:val="both"/>
      </w:pPr>
      <w:r>
        <w:rPr>
          <w:rFonts w:ascii="Arial" w:cs="Arial" w:eastAsia="Arial" w:hAnsi="Arial"/>
          <w:b w:val="false"/>
          <w:bCs w:val="false"/>
          <w:i w:val="false"/>
          <w:iCs w:val="false"/>
          <w:color w:val="000000"/>
          <w:sz w:val="22"/>
          <w:szCs w:val="22"/>
        </w:rPr>
        <w:t xml:space="preserve">Whereas the October 2025 US-brokered ceasefire (UNSCR 2803) established a temporary demarcation boundary — the "Yellow Line" — capping Israeli military control at approximately 53% of the Gaza Strip;</w:t>
      </w:r>
    </w:p>
    <w:p>
      <w:pPr>
        <w:spacing w:after="40" w:before="40"/>
      </w:pPr>
      <w:r>
        <w:t xml:space="preserve"/>
      </w:r>
    </w:p>
    <w:p>
      <w:pPr>
        <w:spacing w:after="80" w:before="80" w:line="276" w:lineRule="auto"/>
        <w:jc w:val="both"/>
      </w:pPr>
      <w:r>
        <w:rPr>
          <w:rFonts w:ascii="Arial" w:cs="Arial" w:eastAsia="Arial" w:hAnsi="Arial"/>
          <w:b w:val="false"/>
          <w:bCs w:val="false"/>
          <w:i w:val="false"/>
          <w:iCs w:val="false"/>
          <w:color w:val="000000"/>
          <w:sz w:val="22"/>
          <w:szCs w:val="22"/>
        </w:rPr>
        <w:t xml:space="preserve">Whereas subsequent military advancements altered the operational footprint;</w:t>
      </w:r>
    </w:p>
    <w:p>
      <w:pPr>
        <w:spacing w:after="40" w:before="40"/>
      </w:pPr>
      <w:r>
        <w:t xml:space="preserve"/>
      </w:r>
    </w:p>
    <w:p>
      <w:pPr>
        <w:spacing w:after="80" w:before="80" w:line="276" w:lineRule="auto"/>
        <w:jc w:val="both"/>
      </w:pPr>
      <w:r>
        <w:rPr>
          <w:rFonts w:ascii="Arial" w:cs="Arial" w:eastAsia="Arial" w:hAnsi="Arial"/>
          <w:b w:val="false"/>
          <w:bCs w:val="false"/>
          <w:i w:val="false"/>
          <w:iCs w:val="false"/>
          <w:color w:val="000000"/>
          <w:sz w:val="22"/>
          <w:szCs w:val="22"/>
        </w:rPr>
        <w:t xml:space="preserve">Whereas a public directive ordering further advancement to 70% of the Gaza Strip is in circulation;</w:t>
      </w:r>
    </w:p>
    <w:p>
      <w:pPr>
        <w:spacing w:after="40" w:before="40"/>
      </w:pPr>
      <w:r>
        <w:t xml:space="preserve"/>
      </w:r>
    </w:p>
    <w:p>
      <w:pPr>
        <w:spacing w:after="80" w:before="80" w:line="276" w:lineRule="auto"/>
        <w:jc w:val="both"/>
      </w:pPr>
      <w:r>
        <w:rPr>
          <w:rFonts w:ascii="Arial" w:cs="Arial" w:eastAsia="Arial" w:hAnsi="Arial"/>
          <w:b w:val="false"/>
          <w:bCs w:val="false"/>
          <w:i w:val="false"/>
          <w:iCs w:val="false"/>
          <w:color w:val="000000"/>
          <w:sz w:val="22"/>
          <w:szCs w:val="22"/>
        </w:rPr>
        <w:t xml:space="preserve">Whereas territorial stabilization activates the 60-day extension awaiting final political sign-off;</w:t>
      </w:r>
    </w:p>
    <w:p>
      <w:pPr>
        <w:spacing w:after="40" w:before="40"/>
      </w:pPr>
      <w:r>
        <w:t xml:space="preserve"/>
      </w:r>
    </w:p>
    <w:p>
      <w:pPr>
        <w:spacing w:after="80" w:before="80" w:line="276" w:lineRule="auto"/>
        <w:jc w:val="both"/>
      </w:pPr>
      <w:r>
        <w:rPr>
          <w:rFonts w:ascii="Arial" w:cs="Arial" w:eastAsia="Arial" w:hAnsi="Arial"/>
          <w:b w:val="false"/>
          <w:bCs w:val="false"/>
          <w:i w:val="false"/>
          <w:iCs w:val="false"/>
          <w:color w:val="000000"/>
          <w:sz w:val="22"/>
          <w:szCs w:val="22"/>
        </w:rPr>
        <w:t xml:space="preserve">The Parties to this Addendum agree to codify the current operational footprint as a hard ceiling for the duration of the 60-day truce, with automatic consequences for any advancement beyond that line.</w:t>
      </w:r>
    </w:p>
    <w:p>
      <w:pPr>
        <w:spacing w:after="40" w:before="40"/>
      </w:pPr>
      <w:r>
        <w:t xml:space="preserve"/>
      </w:r>
    </w:p>
    <w:p>
      <w:pPr>
        <w:spacing w:after="40" w:before="120"/>
      </w:pPr>
      <w:r>
        <w:rPr>
          <w:rFonts w:ascii="Arial" w:cs="Arial" w:eastAsia="Arial" w:hAnsi="Arial"/>
          <w:b/>
          <w:bCs/>
          <w:color w:val="7B2C00"/>
          <w:sz w:val="22"/>
          <w:szCs w:val="22"/>
        </w:rPr>
        <w:t xml:space="preserve">Statement of Urgency</w:t>
      </w:r>
    </w:p>
    <w:p>
      <w:pPr>
        <w:spacing w:after="80" w:before="80" w:line="276" w:lineRule="auto"/>
        <w:jc w:val="both"/>
      </w:pPr>
      <w:r>
        <w:rPr>
          <w:rFonts w:ascii="Arial" w:cs="Arial" w:eastAsia="Arial" w:hAnsi="Arial"/>
          <w:b w:val="false"/>
          <w:bCs w:val="false"/>
          <w:i w:val="false"/>
          <w:iCs w:val="false"/>
          <w:color w:val="000000"/>
          <w:sz w:val="22"/>
          <w:szCs w:val="22"/>
        </w:rPr>
        <w:t xml:space="preserve">This Addendum is an emergency stabilization measure. It does not legitimize the territorial expansion that occurred since October 2025. It freezes the status quo to prevent further escalation while the 60-day truce is finalized. The Hard Ceiling is a crisis-management tool, not a permanent boundary. Final territorial arrangements remain subject to the comprehensive settlement negotiations under Appendix E of the parent framework.</w:t>
      </w:r>
    </w:p>
    <w:p>
      <w:pPr>
        <w:spacing w:after="40" w:before="40"/>
      </w:pPr>
      <w:r>
        <w:t xml:space="preserve"/>
      </w:r>
    </w:p>
    <w:p>
      <w:pPr>
        <w:spacing w:after="40" w:before="120"/>
      </w:pPr>
      <w:r>
        <w:rPr>
          <w:rFonts w:ascii="Arial" w:cs="Arial" w:eastAsia="Arial" w:hAnsi="Arial"/>
          <w:b/>
          <w:bCs/>
          <w:color w:val="7B2C00"/>
          <w:sz w:val="22"/>
          <w:szCs w:val="22"/>
        </w:rPr>
        <w:t xml:space="preserve">Foundational Reference</w:t>
      </w:r>
    </w:p>
    <w:p>
      <w:pPr>
        <w:spacing w:after="80" w:before="80" w:line="276" w:lineRule="auto"/>
        <w:jc w:val="both"/>
      </w:pPr>
      <w:r>
        <w:rPr>
          <w:rFonts w:ascii="Arial" w:cs="Arial" w:eastAsia="Arial" w:hAnsi="Arial"/>
          <w:b w:val="false"/>
          <w:bCs w:val="false"/>
          <w:i w:val="false"/>
          <w:iCs w:val="false"/>
          <w:color w:val="000000"/>
          <w:sz w:val="22"/>
          <w:szCs w:val="22"/>
        </w:rPr>
        <w:t xml:space="preserve">This Annex U operates on the factual and legal baselines established in Annex M (Territorial Baseline and Ceasefire Demarcation Protocol). All territorial reference points — including the UNSCR 2803 Yellow Line (53%), the Current Operational Footprint (60%), and the 70% Directive prohibition — are codified in Annex M, Article 1. In the event of any inconsistency between Annex U's operative provisions and Annex M's factual baselines, Annex U governs operationally and Annex M controls interpretation.</w:t>
      </w:r>
    </w:p>
    <w:p>
      <w:pPr>
        <w:spacing w:after="40" w:before="40"/>
      </w:pPr>
      <w:r>
        <w:t xml:space="preserve"/>
      </w:r>
    </w:p>
    <w:p>
      <w:pPr>
        <w:spacing w:after="40" w:before="120"/>
      </w:pPr>
      <w:r>
        <w:rPr>
          <w:rFonts w:ascii="Arial" w:cs="Arial" w:eastAsia="Arial" w:hAnsi="Arial"/>
          <w:b/>
          <w:bCs/>
          <w:color w:val="7B2C00"/>
          <w:sz w:val="22"/>
          <w:szCs w:val="22"/>
        </w:rPr>
        <w:t xml:space="preserve">Modularity Clause</w:t>
      </w:r>
    </w:p>
    <w:p>
      <w:pPr>
        <w:spacing w:after="80" w:before="80" w:line="276" w:lineRule="auto"/>
        <w:jc w:val="both"/>
      </w:pPr>
      <w:r>
        <w:rPr>
          <w:rFonts w:ascii="Arial" w:cs="Arial" w:eastAsia="Arial" w:hAnsi="Arial"/>
          <w:b w:val="false"/>
          <w:bCs w:val="false"/>
          <w:i w:val="false"/>
          <w:iCs w:val="false"/>
          <w:color w:val="000000"/>
          <w:sz w:val="22"/>
          <w:szCs w:val="22"/>
        </w:rPr>
        <w:t xml:space="preserve">This Addendum is self-contained and is incorporable into any existing or future agreement between the Parties through a single sentence of adoption. It does not amend or supersede conflicting provisions of any parent framework unless the Parties explicitly so agree. In the event of inconsistency, this Addendum governs with respect to territorial ceilings, automatic breach triggers, proportional penalties, the Shared Digital Registry, and fast-track arbitration for border incidents.</w:t>
      </w:r>
    </w:p>
    <w:p>
      <w:r>
        <w:br w:type="page"/>
      </w:r>
    </w:p>
    <w:p>
      <w:pPr>
        <w:pStyle w:val="Heading1"/>
        <w:shd w:fill="7B2C00" w:val="clear"/>
        <w:spacing w:after="120" w:before="240"/>
      </w:pPr>
      <w:r>
        <w:rPr>
          <w:rFonts w:ascii="Arial" w:cs="Arial" w:eastAsia="Arial" w:hAnsi="Arial"/>
          <w:b/>
          <w:bCs/>
          <w:color w:val="FFFFFF"/>
          <w:sz w:val="30"/>
          <w:szCs w:val="30"/>
        </w:rPr>
        <w:t xml:space="preserve">Article 1: Definitions</w:t>
      </w:r>
    </w:p>
    <w:p>
      <w:pPr>
        <w:spacing w:after="40" w:before="40"/>
      </w:pPr>
      <w:r>
        <w:t xml:space="preserve"/>
      </w:r>
    </w:p>
    <w:p>
      <w:pPr>
        <w:spacing w:after="80" w:before="80" w:line="276" w:lineRule="auto"/>
        <w:jc w:val="both"/>
      </w:pPr>
      <w:r>
        <w:rPr>
          <w:rFonts w:ascii="Arial" w:cs="Arial" w:eastAsia="Arial" w:hAnsi="Arial"/>
          <w:b/>
          <w:bCs/>
          <w:i w:val="false"/>
          <w:iCs w:val="false"/>
          <w:color w:val="000000"/>
          <w:sz w:val="22"/>
          <w:szCs w:val="22"/>
        </w:rPr>
        <w:t xml:space="preserve">"Current Operational Footprint"</w:t>
      </w:r>
    </w:p>
    <w:p>
      <w:pPr>
        <w:spacing w:after="80" w:before="80" w:line="276" w:lineRule="auto"/>
        <w:jc w:val="both"/>
      </w:pPr>
      <w:r>
        <w:rPr>
          <w:rFonts w:ascii="Arial" w:cs="Arial" w:eastAsia="Arial" w:hAnsi="Arial"/>
          <w:b w:val="false"/>
          <w:bCs w:val="false"/>
          <w:i w:val="false"/>
          <w:iCs w:val="false"/>
          <w:color w:val="000000"/>
          <w:sz w:val="22"/>
          <w:szCs w:val="22"/>
        </w:rPr>
        <w:t xml:space="preserve">The geographic area of Israeli military control as verified by satellite telemetry at 00:00 UTC on the date of Addendum signature, estimated at approximately 60% of the Gaza Strip. The precise coordinates are set forth in the classified appendix to this Addendum, deposited with the PCC Secretariat.</w:t>
      </w:r>
    </w:p>
    <w:p>
      <w:pPr>
        <w:spacing w:after="40" w:before="40"/>
      </w:pPr>
      <w:r>
        <w:t xml:space="preserve"/>
      </w:r>
    </w:p>
    <w:p>
      <w:pPr>
        <w:spacing w:after="80" w:before="80" w:line="276" w:lineRule="auto"/>
        <w:jc w:val="both"/>
      </w:pPr>
      <w:r>
        <w:rPr>
          <w:rFonts w:ascii="Arial" w:cs="Arial" w:eastAsia="Arial" w:hAnsi="Arial"/>
          <w:b/>
          <w:bCs/>
          <w:i w:val="false"/>
          <w:iCs w:val="false"/>
          <w:color w:val="000000"/>
          <w:sz w:val="22"/>
          <w:szCs w:val="22"/>
        </w:rPr>
        <w:t xml:space="preserve">"Hard Ceiling"</w:t>
      </w:r>
    </w:p>
    <w:p>
      <w:pPr>
        <w:spacing w:after="80" w:before="80" w:line="276" w:lineRule="auto"/>
        <w:jc w:val="both"/>
      </w:pPr>
      <w:r>
        <w:rPr>
          <w:rFonts w:ascii="Arial" w:cs="Arial" w:eastAsia="Arial" w:hAnsi="Arial"/>
          <w:b w:val="false"/>
          <w:bCs w:val="false"/>
          <w:i w:val="false"/>
          <w:iCs w:val="false"/>
          <w:color w:val="000000"/>
          <w:sz w:val="22"/>
          <w:szCs w:val="22"/>
        </w:rPr>
        <w:t xml:space="preserve">The absolute maximum territorial extent permitted for the duration of the 60-day truce. No advancement, repositioning, or expansion beyond the Current Operational Footprint is permitted for any reason, including tactical maneuvering, counterterrorism operations, or infrastructure construction.</w:t>
      </w:r>
    </w:p>
    <w:p>
      <w:pPr>
        <w:spacing w:after="40" w:before="40"/>
      </w:pPr>
      <w:r>
        <w:t xml:space="preserve"/>
      </w:r>
    </w:p>
    <w:p>
      <w:pPr>
        <w:spacing w:after="80" w:before="80" w:line="276" w:lineRule="auto"/>
        <w:jc w:val="both"/>
      </w:pPr>
      <w:r>
        <w:rPr>
          <w:rFonts w:ascii="Arial" w:cs="Arial" w:eastAsia="Arial" w:hAnsi="Arial"/>
          <w:b/>
          <w:bCs/>
          <w:i w:val="false"/>
          <w:iCs w:val="false"/>
          <w:color w:val="000000"/>
          <w:sz w:val="22"/>
          <w:szCs w:val="22"/>
        </w:rPr>
        <w:t xml:space="preserve">"Automatic Breach"</w:t>
      </w:r>
    </w:p>
    <w:p>
      <w:pPr>
        <w:spacing w:after="80" w:before="80" w:line="276" w:lineRule="auto"/>
        <w:jc w:val="both"/>
      </w:pPr>
      <w:r>
        <w:rPr>
          <w:rFonts w:ascii="Arial" w:cs="Arial" w:eastAsia="Arial" w:hAnsi="Arial"/>
          <w:b w:val="false"/>
          <w:bCs w:val="false"/>
          <w:i w:val="false"/>
          <w:iCs w:val="false"/>
          <w:color w:val="000000"/>
          <w:sz w:val="22"/>
          <w:szCs w:val="22"/>
        </w:rPr>
        <w:t xml:space="preserve">Any verified movement of military personnel, armored vehicles, fortifications, or permanent structures beyond the Hard Ceiling, as detected by shared satellite telemetry, constitutes an automatic, systemic violation of the entire 60-day truce framework. Automatic Breach requires no political debate, PCC vote, or consensus to declare.</w:t>
      </w:r>
    </w:p>
    <w:p>
      <w:pPr>
        <w:spacing w:after="40" w:before="40"/>
      </w:pPr>
      <w:r>
        <w:t xml:space="preserve"/>
      </w:r>
    </w:p>
    <w:p>
      <w:pPr>
        <w:spacing w:after="80" w:before="80" w:line="276" w:lineRule="auto"/>
        <w:jc w:val="both"/>
      </w:pPr>
      <w:r>
        <w:rPr>
          <w:rFonts w:ascii="Arial" w:cs="Arial" w:eastAsia="Arial" w:hAnsi="Arial"/>
          <w:b/>
          <w:bCs/>
          <w:i w:val="false"/>
          <w:iCs w:val="false"/>
          <w:color w:val="000000"/>
          <w:sz w:val="22"/>
          <w:szCs w:val="22"/>
        </w:rPr>
        <w:t xml:space="preserve">"Shared Digital Registry"</w:t>
      </w:r>
    </w:p>
    <w:p>
      <w:pPr>
        <w:spacing w:after="80" w:before="80" w:line="276" w:lineRule="auto"/>
        <w:jc w:val="both"/>
      </w:pPr>
      <w:r>
        <w:rPr>
          <w:rFonts w:ascii="Arial" w:cs="Arial" w:eastAsia="Arial" w:hAnsi="Arial"/>
          <w:b w:val="false"/>
          <w:bCs w:val="false"/>
          <w:i w:val="false"/>
          <w:iCs w:val="false"/>
          <w:color w:val="000000"/>
          <w:sz w:val="22"/>
          <w:szCs w:val="22"/>
        </w:rPr>
        <w:t xml:space="preserve">The unalterable, timestamped ledger established under Article 5 of this Addendum, operated by the PCC Secretariat in Geneva, recording all territorial activity within the Gaza Strip and Lebanon demarcation zones.</w:t>
      </w:r>
    </w:p>
    <w:p>
      <w:pPr>
        <w:spacing w:after="40" w:before="40"/>
      </w:pPr>
      <w:r>
        <w:t xml:space="preserve"/>
      </w:r>
    </w:p>
    <w:p>
      <w:pPr>
        <w:spacing w:after="80" w:before="80" w:line="276" w:lineRule="auto"/>
        <w:jc w:val="both"/>
      </w:pPr>
      <w:r>
        <w:rPr>
          <w:rFonts w:ascii="Arial" w:cs="Arial" w:eastAsia="Arial" w:hAnsi="Arial"/>
          <w:b/>
          <w:bCs/>
          <w:i w:val="false"/>
          <w:iCs w:val="false"/>
          <w:color w:val="000000"/>
          <w:sz w:val="22"/>
          <w:szCs w:val="22"/>
        </w:rPr>
        <w:t xml:space="preserve">"Reconstruction Capital"</w:t>
      </w:r>
    </w:p>
    <w:p>
      <w:pPr>
        <w:spacing w:after="80" w:before="80" w:line="276" w:lineRule="auto"/>
        <w:jc w:val="both"/>
      </w:pPr>
      <w:r>
        <w:rPr>
          <w:rFonts w:ascii="Arial" w:cs="Arial" w:eastAsia="Arial" w:hAnsi="Arial"/>
          <w:b w:val="false"/>
          <w:bCs w:val="false"/>
          <w:i w:val="false"/>
          <w:iCs w:val="false"/>
          <w:color w:val="000000"/>
          <w:sz w:val="22"/>
          <w:szCs w:val="22"/>
        </w:rPr>
        <w:t xml:space="preserve">All funds, materials, equipment, and technical assistance allocated by the international community, guarantor states, or multilateral institutions for the reconstruction of the Gaza Strip or southern Lebanon, including but not limited to: housing reconstruction funds; infrastructure repair budgets; medical facility restoration allocations; water and energy grid rehabilitation funds; and educational facility reconstruction allocations.</w:t>
      </w:r>
    </w:p>
    <w:p>
      <w:pPr>
        <w:spacing w:after="40" w:before="40"/>
      </w:pPr>
      <w:r>
        <w:t xml:space="preserve"/>
      </w:r>
    </w:p>
    <w:p>
      <w:pPr>
        <w:spacing w:after="80" w:before="80" w:line="276" w:lineRule="auto"/>
        <w:jc w:val="both"/>
      </w:pPr>
      <w:r>
        <w:rPr>
          <w:rFonts w:ascii="Arial" w:cs="Arial" w:eastAsia="Arial" w:hAnsi="Arial"/>
          <w:b/>
          <w:bCs/>
          <w:i w:val="false"/>
          <w:iCs w:val="false"/>
          <w:color w:val="000000"/>
          <w:sz w:val="22"/>
          <w:szCs w:val="22"/>
        </w:rPr>
        <w:t xml:space="preserve">"Dual-Use Supply Clearance"</w:t>
      </w:r>
    </w:p>
    <w:p>
      <w:pPr>
        <w:spacing w:after="80" w:before="80" w:line="276" w:lineRule="auto"/>
        <w:jc w:val="both"/>
      </w:pPr>
      <w:r>
        <w:rPr>
          <w:rFonts w:ascii="Arial" w:cs="Arial" w:eastAsia="Arial" w:hAnsi="Arial"/>
          <w:b w:val="false"/>
          <w:bCs w:val="false"/>
          <w:i w:val="false"/>
          <w:iCs w:val="false"/>
          <w:color w:val="000000"/>
          <w:sz w:val="22"/>
          <w:szCs w:val="22"/>
        </w:rPr>
        <w:t xml:space="preserve">Authorization for the import of materials, equipment, or technology with both civilian and potential military application, including but not limited to: construction steel and cement; heavy machinery and earth-moving equipment; telecommunications infrastructure; and energy generation equipment.</w:t>
      </w:r>
    </w:p>
    <w:p>
      <w:pPr>
        <w:spacing w:after="40" w:before="40"/>
      </w:pPr>
      <w:r>
        <w:t xml:space="preserve"/>
      </w:r>
    </w:p>
    <w:p>
      <w:pPr>
        <w:spacing w:after="80" w:before="80" w:line="276" w:lineRule="auto"/>
        <w:jc w:val="both"/>
      </w:pPr>
      <w:r>
        <w:rPr>
          <w:rFonts w:ascii="Arial" w:cs="Arial" w:eastAsia="Arial" w:hAnsi="Arial"/>
          <w:b/>
          <w:bCs/>
          <w:i w:val="false"/>
          <w:iCs w:val="false"/>
          <w:color w:val="000000"/>
          <w:sz w:val="22"/>
          <w:szCs w:val="22"/>
        </w:rPr>
        <w:t xml:space="preserve">"Regional Transit Access"</w:t>
      </w:r>
    </w:p>
    <w:p>
      <w:pPr>
        <w:spacing w:after="80" w:before="80" w:line="276" w:lineRule="auto"/>
        <w:jc w:val="both"/>
      </w:pPr>
      <w:r>
        <w:rPr>
          <w:rFonts w:ascii="Arial" w:cs="Arial" w:eastAsia="Arial" w:hAnsi="Arial"/>
          <w:b w:val="false"/>
          <w:bCs w:val="false"/>
          <w:i w:val="false"/>
          <w:iCs w:val="false"/>
          <w:color w:val="000000"/>
          <w:sz w:val="22"/>
          <w:szCs w:val="22"/>
        </w:rPr>
        <w:t xml:space="preserve">Permission for vessels, aircraft, or overland transport to transit through the Hormuz Transit Zone, Lebanese airspace, or designated corridors, as governed by the parent framework's maritime and aviation provisions.</w:t>
      </w:r>
    </w:p>
    <w:p>
      <w:pPr>
        <w:spacing w:after="40" w:before="40"/>
      </w:pPr>
      <w:r>
        <w:t xml:space="preserve"/>
      </w:r>
    </w:p>
    <w:p>
      <w:pPr>
        <w:pStyle w:val="Heading2"/>
        <w:shd w:fill="A84300" w:val="clear"/>
        <w:spacing w:after="100" w:before="200"/>
      </w:pPr>
      <w:r>
        <w:rPr>
          <w:rFonts w:ascii="Arial" w:cs="Arial" w:eastAsia="Arial" w:hAnsi="Arial"/>
          <w:b/>
          <w:bCs/>
          <w:color w:val="FFFFFF"/>
          <w:sz w:val="26"/>
          <w:szCs w:val="26"/>
        </w:rPr>
        <w:t xml:space="preserve">1.1  Penalty Application Clarification</w:t>
      </w:r>
    </w:p>
    <w:p>
      <w:pPr>
        <w:spacing w:after="80" w:before="80" w:line="276" w:lineRule="auto"/>
        <w:jc w:val="both"/>
      </w:pPr>
      <w:r>
        <w:rPr>
          <w:rFonts w:ascii="Arial" w:cs="Arial" w:eastAsia="Arial" w:hAnsi="Arial"/>
          <w:b w:val="false"/>
          <w:bCs w:val="false"/>
          <w:i w:val="false"/>
          <w:iCs w:val="false"/>
          <w:color w:val="000000"/>
          <w:sz w:val="22"/>
          <w:szCs w:val="22"/>
        </w:rPr>
        <w:t xml:space="preserve">For purposes of this Addendum, the penalties in Article 4 apply reciprocally based on the identity of the violating Party to ensure direct operational and economic consequences land exclusively on the state apparatus responsible for the breach.</w:t>
      </w:r>
    </w:p>
    <w:p>
      <w:pPr>
        <w:spacing w:after="40" w:before="40"/>
      </w:pPr>
      <w:r>
        <w:t xml:space="preserve"/>
      </w:r>
    </w:p>
    <w:p>
      <w:pPr>
        <w:spacing w:after="40" w:before="80"/>
        <w:ind w:left="360"/>
      </w:pPr>
      <w:r>
        <w:rPr>
          <w:rFonts w:ascii="Arial" w:cs="Arial" w:eastAsia="Arial" w:hAnsi="Arial"/>
          <w:b/>
          <w:bCs/>
          <w:sz w:val="22"/>
          <w:szCs w:val="22"/>
        </w:rPr>
        <w:t xml:space="preserve">a.  Verified breach by Israel:</w:t>
      </w:r>
    </w:p>
    <w:p>
      <w:pPr>
        <w:spacing w:after="80" w:before="80" w:line="276" w:lineRule="auto"/>
        <w:ind w:left="720"/>
        <w:jc w:val="both"/>
      </w:pPr>
      <w:r>
        <w:rPr>
          <w:rFonts w:ascii="Arial" w:cs="Arial" w:eastAsia="Arial" w:hAnsi="Arial"/>
          <w:b w:val="false"/>
          <w:bCs w:val="false"/>
          <w:i w:val="false"/>
          <w:iCs w:val="false"/>
          <w:color w:val="000000"/>
          <w:sz w:val="22"/>
          <w:szCs w:val="22"/>
        </w:rPr>
        <w:t xml:space="preserve">A "Reconstruction Capital Freeze" does not apply to Gaza infrastructure. Instead, an equivalent dollar-value freeze and clawback automatically applies to non-humanitarian state economic relief tranches, technology transfers, or specialized bilateral procurement credits allocated to Israel under the parent framework. "Dual-Use Supply Clearance Reductions" target industrial, manufacturing, and military-adjacent technology imports bound for Israeli state enterprises.</w:t>
      </w:r>
    </w:p>
    <w:p>
      <w:pPr>
        <w:spacing w:after="40" w:before="40"/>
      </w:pPr>
      <w:r>
        <w:t xml:space="preserve"/>
      </w:r>
    </w:p>
    <w:p>
      <w:pPr>
        <w:spacing w:after="40" w:before="80"/>
        <w:ind w:left="360"/>
      </w:pPr>
      <w:r>
        <w:rPr>
          <w:rFonts w:ascii="Arial" w:cs="Arial" w:eastAsia="Arial" w:hAnsi="Arial"/>
          <w:b/>
          <w:bCs/>
          <w:sz w:val="22"/>
          <w:szCs w:val="22"/>
        </w:rPr>
        <w:t xml:space="preserve">b.  Verified breach by Palestinian or Lebanese factions:</w:t>
      </w:r>
    </w:p>
    <w:p>
      <w:pPr>
        <w:spacing w:after="80" w:before="80" w:line="276" w:lineRule="auto"/>
        <w:ind w:left="720"/>
        <w:jc w:val="both"/>
      </w:pPr>
      <w:r>
        <w:rPr>
          <w:rFonts w:ascii="Arial" w:cs="Arial" w:eastAsia="Arial" w:hAnsi="Arial"/>
          <w:b w:val="false"/>
          <w:bCs w:val="false"/>
          <w:i w:val="false"/>
          <w:iCs w:val="false"/>
          <w:color w:val="000000"/>
          <w:sz w:val="22"/>
          <w:szCs w:val="22"/>
        </w:rPr>
        <w:t xml:space="preserve">A "Reconstruction Capital Freeze" automatically applies to the escrow accounts holding housing, administrative, and infrastructure budgets allocated for the specific zone from which the breach originated, and "Dual-Use Supply Clearance Reductions" apply to all construction and manufacturing logistics entering that zone.</w:t>
      </w:r>
    </w:p>
    <w:p>
      <w:pPr>
        <w:spacing w:after="40" w:before="40"/>
      </w:pPr>
      <w:r>
        <w:t xml:space="preserve"/>
      </w:r>
    </w:p>
    <w:p>
      <w:pPr>
        <w:spacing w:after="40" w:before="80"/>
        <w:ind w:left="360"/>
      </w:pPr>
      <w:r>
        <w:rPr>
          <w:rFonts w:ascii="Arial" w:cs="Arial" w:eastAsia="Arial" w:hAnsi="Arial"/>
          <w:b/>
          <w:bCs/>
          <w:sz w:val="22"/>
          <w:szCs w:val="22"/>
        </w:rPr>
        <w:t xml:space="preserve">c.  Transit Access:</w:t>
      </w:r>
    </w:p>
    <w:p>
      <w:pPr>
        <w:spacing w:after="80" w:before="80" w:line="276" w:lineRule="auto"/>
        <w:ind w:left="720"/>
        <w:jc w:val="both"/>
      </w:pPr>
      <w:r>
        <w:rPr>
          <w:rFonts w:ascii="Arial" w:cs="Arial" w:eastAsia="Arial" w:hAnsi="Arial"/>
          <w:b w:val="false"/>
          <w:bCs w:val="false"/>
          <w:i w:val="false"/>
          <w:iCs w:val="false"/>
          <w:color w:val="000000"/>
          <w:sz w:val="22"/>
          <w:szCs w:val="22"/>
        </w:rPr>
        <w:t xml:space="preserve">A "Regional Transit Access Reduction" applies proportionally to commercial or state-flagged vessels, state aircraft, or overland logistics operating directly on behalf of, or registered to, the violating Party's state or sovereign entities.</w:t>
      </w:r>
    </w:p>
    <w:p>
      <w:r>
        <w:br w:type="page"/>
      </w:r>
    </w:p>
    <w:p>
      <w:pPr>
        <w:pStyle w:val="Heading1"/>
        <w:shd w:fill="7B2C00" w:val="clear"/>
        <w:spacing w:after="120" w:before="240"/>
      </w:pPr>
      <w:r>
        <w:rPr>
          <w:rFonts w:ascii="Arial" w:cs="Arial" w:eastAsia="Arial" w:hAnsi="Arial"/>
          <w:b/>
          <w:bCs/>
          <w:color w:val="FFFFFF"/>
          <w:sz w:val="30"/>
          <w:szCs w:val="30"/>
        </w:rPr>
        <w:t xml:space="preserve">Article 2: Freeze-in-Place Boundary</w:t>
      </w:r>
    </w:p>
    <w:p>
      <w:pPr>
        <w:shd w:fill="A84300" w:val="clear"/>
        <w:spacing w:after="80" w:before="120"/>
      </w:pPr>
      <w:r>
        <w:rPr>
          <w:rFonts w:ascii="Arial" w:cs="Arial" w:eastAsia="Arial" w:hAnsi="Arial"/>
          <w:b/>
          <w:bCs/>
          <w:color w:val="FFFFFF"/>
          <w:sz w:val="18"/>
          <w:szCs w:val="18"/>
        </w:rPr>
        <w:t xml:space="preserve"> OPERATIVE AND BINDING </w:t>
      </w:r>
    </w:p>
    <w:p>
      <w:pPr>
        <w:spacing w:after="40" w:before="40"/>
      </w:pPr>
      <w:r>
        <w:t xml:space="preserve"/>
      </w:r>
    </w:p>
    <w:p>
      <w:pPr>
        <w:pStyle w:val="Heading2"/>
        <w:shd w:fill="A84300" w:val="clear"/>
        <w:spacing w:after="100" w:before="200"/>
      </w:pPr>
      <w:r>
        <w:rPr>
          <w:rFonts w:ascii="Arial" w:cs="Arial" w:eastAsia="Arial" w:hAnsi="Arial"/>
          <w:b/>
          <w:bCs/>
          <w:color w:val="FFFFFF"/>
          <w:sz w:val="26"/>
          <w:szCs w:val="26"/>
        </w:rPr>
        <w:t xml:space="preserve">2.1  Codification of the Hard Ceiling</w:t>
      </w:r>
    </w:p>
    <w:p>
      <w:pPr>
        <w:spacing w:after="80" w:before="80" w:line="276" w:lineRule="auto"/>
        <w:jc w:val="both"/>
      </w:pPr>
      <w:r>
        <w:rPr>
          <w:rFonts w:ascii="Arial" w:cs="Arial" w:eastAsia="Arial" w:hAnsi="Arial"/>
          <w:b w:val="false"/>
          <w:bCs w:val="false"/>
          <w:i w:val="false"/>
          <w:iCs w:val="false"/>
          <w:color w:val="000000"/>
          <w:sz w:val="22"/>
          <w:szCs w:val="22"/>
        </w:rPr>
        <w:t xml:space="preserve">The Current Operational Footprint is hereby codified as the absolute Hard Ceiling for the duration of the 60-day truce.</w:t>
      </w:r>
    </w:p>
    <w:p>
      <w:pPr>
        <w:spacing w:after="40" w:before="40"/>
      </w:pPr>
      <w:r>
        <w:t xml:space="preserve"/>
      </w:r>
    </w:p>
    <w:p>
      <w:pPr>
        <w:pStyle w:val="Heading2"/>
        <w:shd w:fill="A84300" w:val="clear"/>
        <w:spacing w:after="100" w:before="200"/>
      </w:pPr>
      <w:r>
        <w:rPr>
          <w:rFonts w:ascii="Arial" w:cs="Arial" w:eastAsia="Arial" w:hAnsi="Arial"/>
          <w:b/>
          <w:bCs/>
          <w:color w:val="FFFFFF"/>
          <w:sz w:val="26"/>
          <w:szCs w:val="26"/>
        </w:rPr>
        <w:t xml:space="preserve">2.2  Absolute Prohibition on Advancement</w:t>
      </w:r>
    </w:p>
    <w:p>
      <w:pPr>
        <w:spacing w:after="80" w:before="80" w:line="276" w:lineRule="auto"/>
        <w:jc w:val="both"/>
      </w:pPr>
      <w:r>
        <w:rPr>
          <w:rFonts w:ascii="Arial" w:cs="Arial" w:eastAsia="Arial" w:hAnsi="Arial"/>
          <w:b w:val="false"/>
          <w:bCs w:val="false"/>
          <w:i w:val="false"/>
          <w:iCs w:val="false"/>
          <w:color w:val="000000"/>
          <w:sz w:val="22"/>
          <w:szCs w:val="22"/>
        </w:rPr>
        <w:t xml:space="preserve">No Party advances, repositions, or expands military presence beyond this line, regardless of:</w:t>
      </w:r>
    </w:p>
    <w:p>
      <w:pPr>
        <w:spacing w:after="40" w:before="40"/>
      </w:pPr>
      <w:r>
        <w:t xml:space="preserve"/>
      </w:r>
    </w:p>
    <w:p>
      <w:pPr>
        <w:pStyle w:val="ListParagraph"/>
        <w:numPr>
          <w:ilvl w:val="0"/>
          <w:numId w:val="2"/>
        </w:numPr>
        <w:spacing w:after="60" w:before="60"/>
      </w:pPr>
      <w:r>
        <w:rPr>
          <w:rFonts w:ascii="Arial" w:cs="Arial" w:eastAsia="Arial" w:hAnsi="Arial"/>
          <w:sz w:val="22"/>
          <w:szCs w:val="22"/>
        </w:rPr>
        <w:t xml:space="preserve">Operational necessity</w:t>
      </w:r>
    </w:p>
    <w:p>
      <w:pPr>
        <w:pStyle w:val="ListParagraph"/>
        <w:numPr>
          <w:ilvl w:val="0"/>
          <w:numId w:val="2"/>
        </w:numPr>
        <w:spacing w:after="60" w:before="60"/>
      </w:pPr>
      <w:r>
        <w:rPr>
          <w:rFonts w:ascii="Arial" w:cs="Arial" w:eastAsia="Arial" w:hAnsi="Arial"/>
          <w:sz w:val="22"/>
          <w:szCs w:val="22"/>
        </w:rPr>
        <w:t xml:space="preserve">Intelligence indicating imminent threat</w:t>
      </w:r>
    </w:p>
    <w:p>
      <w:pPr>
        <w:pStyle w:val="ListParagraph"/>
        <w:numPr>
          <w:ilvl w:val="0"/>
          <w:numId w:val="2"/>
        </w:numPr>
        <w:spacing w:after="60" w:before="60"/>
      </w:pPr>
      <w:r>
        <w:rPr>
          <w:rFonts w:ascii="Arial" w:cs="Arial" w:eastAsia="Arial" w:hAnsi="Arial"/>
          <w:sz w:val="22"/>
          <w:szCs w:val="22"/>
        </w:rPr>
        <w:t xml:space="preserve">Retaliatory justification</w:t>
      </w:r>
    </w:p>
    <w:p>
      <w:pPr>
        <w:pStyle w:val="ListParagraph"/>
        <w:numPr>
          <w:ilvl w:val="0"/>
          <w:numId w:val="2"/>
        </w:numPr>
        <w:spacing w:after="60" w:before="60"/>
      </w:pPr>
      <w:r>
        <w:rPr>
          <w:rFonts w:ascii="Arial" w:cs="Arial" w:eastAsia="Arial" w:hAnsi="Arial"/>
          <w:sz w:val="22"/>
          <w:szCs w:val="22"/>
        </w:rPr>
        <w:t xml:space="preserve">Any other claimed exception</w:t>
      </w:r>
    </w:p>
    <w:p>
      <w:pPr>
        <w:spacing w:after="40" w:before="40"/>
      </w:pPr>
      <w:r>
        <w:t xml:space="preserve"/>
      </w:r>
    </w:p>
    <w:p>
      <w:pPr>
        <w:pStyle w:val="Heading2"/>
        <w:shd w:fill="A84300" w:val="clear"/>
        <w:spacing w:after="100" w:before="200"/>
      </w:pPr>
      <w:r>
        <w:rPr>
          <w:rFonts w:ascii="Arial" w:cs="Arial" w:eastAsia="Arial" w:hAnsi="Arial"/>
          <w:b/>
          <w:bCs/>
          <w:color w:val="FFFFFF"/>
          <w:sz w:val="26"/>
          <w:szCs w:val="26"/>
        </w:rPr>
        <w:t xml:space="preserve">2.3  Scope of the Hard Ceiling</w:t>
      </w:r>
    </w:p>
    <w:p>
      <w:pPr>
        <w:spacing w:after="80" w:before="80" w:line="276" w:lineRule="auto"/>
        <w:jc w:val="both"/>
      </w:pPr>
      <w:r>
        <w:rPr>
          <w:rFonts w:ascii="Arial" w:cs="Arial" w:eastAsia="Arial" w:hAnsi="Arial"/>
          <w:b w:val="false"/>
          <w:bCs w:val="false"/>
          <w:i w:val="false"/>
          <w:iCs w:val="false"/>
          <w:color w:val="000000"/>
          <w:sz w:val="22"/>
          <w:szCs w:val="22"/>
        </w:rPr>
        <w:t xml:space="preserve">The Hard Ceiling applies equally to:</w:t>
      </w:r>
    </w:p>
    <w:p>
      <w:pPr>
        <w:spacing w:after="40" w:before="40"/>
      </w:pPr>
      <w:r>
        <w:t xml:space="preserve"/>
      </w:r>
    </w:p>
    <w:p>
      <w:pPr>
        <w:pStyle w:val="ListParagraph"/>
        <w:numPr>
          <w:ilvl w:val="0"/>
          <w:numId w:val="2"/>
        </w:numPr>
        <w:spacing w:after="60" w:before="60"/>
      </w:pPr>
      <w:r>
        <w:rPr>
          <w:rFonts w:ascii="Arial" w:cs="Arial" w:eastAsia="Arial" w:hAnsi="Arial"/>
          <w:sz w:val="22"/>
          <w:szCs w:val="22"/>
        </w:rPr>
        <w:t xml:space="preserve">Infantry and armored units</w:t>
      </w:r>
    </w:p>
    <w:p>
      <w:pPr>
        <w:pStyle w:val="ListParagraph"/>
        <w:numPr>
          <w:ilvl w:val="0"/>
          <w:numId w:val="2"/>
        </w:numPr>
        <w:spacing w:after="60" w:before="60"/>
      </w:pPr>
      <w:r>
        <w:rPr>
          <w:rFonts w:ascii="Arial" w:cs="Arial" w:eastAsia="Arial" w:hAnsi="Arial"/>
          <w:sz w:val="22"/>
          <w:szCs w:val="22"/>
        </w:rPr>
        <w:t xml:space="preserve">Artillery positioning and forward operating bases</w:t>
      </w:r>
    </w:p>
    <w:p>
      <w:pPr>
        <w:pStyle w:val="ListParagraph"/>
        <w:numPr>
          <w:ilvl w:val="0"/>
          <w:numId w:val="2"/>
        </w:numPr>
        <w:spacing w:after="60" w:before="60"/>
      </w:pPr>
      <w:r>
        <w:rPr>
          <w:rFonts w:ascii="Arial" w:cs="Arial" w:eastAsia="Arial" w:hAnsi="Arial"/>
          <w:sz w:val="22"/>
          <w:szCs w:val="22"/>
        </w:rPr>
        <w:t xml:space="preserve">Permanent or semi-permanent fortifications</w:t>
      </w:r>
    </w:p>
    <w:p>
      <w:pPr>
        <w:pStyle w:val="ListParagraph"/>
        <w:numPr>
          <w:ilvl w:val="0"/>
          <w:numId w:val="2"/>
        </w:numPr>
        <w:spacing w:after="60" w:before="60"/>
      </w:pPr>
      <w:r>
        <w:rPr>
          <w:rFonts w:ascii="Arial" w:cs="Arial" w:eastAsia="Arial" w:hAnsi="Arial"/>
          <w:sz w:val="22"/>
          <w:szCs w:val="22"/>
        </w:rPr>
        <w:t xml:space="preserve">Checkpoints, berms, and barriers</w:t>
      </w:r>
    </w:p>
    <w:p>
      <w:pPr>
        <w:pStyle w:val="ListParagraph"/>
        <w:numPr>
          <w:ilvl w:val="0"/>
          <w:numId w:val="2"/>
        </w:numPr>
        <w:spacing w:after="60" w:before="60"/>
      </w:pPr>
      <w:r>
        <w:rPr>
          <w:rFonts w:ascii="Arial" w:cs="Arial" w:eastAsia="Arial" w:hAnsi="Arial"/>
          <w:sz w:val="22"/>
          <w:szCs w:val="22"/>
        </w:rPr>
        <w:t xml:space="preserve">Any structure that materially alters the territorial status quo</w:t>
      </w:r>
    </w:p>
    <w:p>
      <w:pPr>
        <w:spacing w:after="40" w:before="40"/>
      </w:pPr>
      <w:r>
        <w:t xml:space="preserve"/>
      </w:r>
    </w:p>
    <w:p>
      <w:pPr>
        <w:pStyle w:val="Heading2"/>
        <w:shd w:fill="A84300" w:val="clear"/>
        <w:spacing w:after="100" w:before="200"/>
      </w:pPr>
      <w:r>
        <w:rPr>
          <w:rFonts w:ascii="Arial" w:cs="Arial" w:eastAsia="Arial" w:hAnsi="Arial"/>
          <w:b/>
          <w:bCs/>
          <w:color w:val="FFFFFF"/>
          <w:sz w:val="26"/>
          <w:szCs w:val="26"/>
        </w:rPr>
        <w:t xml:space="preserve">2.4  Permitted Activities Within the Current Operational Footprint</w:t>
      </w:r>
    </w:p>
    <w:p>
      <w:pPr>
        <w:spacing w:after="80" w:before="80" w:line="276" w:lineRule="auto"/>
        <w:jc w:val="both"/>
      </w:pPr>
      <w:r>
        <w:rPr>
          <w:rFonts w:ascii="Arial" w:cs="Arial" w:eastAsia="Arial" w:hAnsi="Arial"/>
          <w:b w:val="false"/>
          <w:bCs w:val="false"/>
          <w:i w:val="false"/>
          <w:iCs w:val="false"/>
          <w:color w:val="000000"/>
          <w:sz w:val="22"/>
          <w:szCs w:val="22"/>
        </w:rPr>
        <w:t xml:space="preserve">The following activities are permitted within the Current Operational Footprint and do not constitute breach, provided they do not result in any territorial expansion beyond the Hard Ceiling:</w:t>
      </w:r>
    </w:p>
    <w:p>
      <w:pPr>
        <w:spacing w:after="40" w:before="40"/>
      </w:pPr>
      <w:r>
        <w:t xml:space="preserve"/>
      </w:r>
    </w:p>
    <w:p>
      <w:pPr>
        <w:pStyle w:val="ListParagraph"/>
        <w:numPr>
          <w:ilvl w:val="0"/>
          <w:numId w:val="2"/>
        </w:numPr>
        <w:spacing w:after="60" w:before="60"/>
      </w:pPr>
      <w:r>
        <w:rPr>
          <w:rFonts w:ascii="Arial" w:cs="Arial" w:eastAsia="Arial" w:hAnsi="Arial"/>
          <w:sz w:val="22"/>
          <w:szCs w:val="22"/>
        </w:rPr>
        <w:t xml:space="preserve">a.  Routine rotation of personnel at existing positions</w:t>
      </w:r>
    </w:p>
    <w:p>
      <w:pPr>
        <w:pStyle w:val="ListParagraph"/>
        <w:numPr>
          <w:ilvl w:val="0"/>
          <w:numId w:val="2"/>
        </w:numPr>
        <w:spacing w:after="60" w:before="60"/>
      </w:pPr>
      <w:r>
        <w:rPr>
          <w:rFonts w:ascii="Arial" w:cs="Arial" w:eastAsia="Arial" w:hAnsi="Arial"/>
          <w:sz w:val="22"/>
          <w:szCs w:val="22"/>
        </w:rPr>
        <w:t xml:space="preserve">b.  Maintenance and repair of existing fortifications</w:t>
      </w:r>
    </w:p>
    <w:p>
      <w:pPr>
        <w:pStyle w:val="ListParagraph"/>
        <w:numPr>
          <w:ilvl w:val="0"/>
          <w:numId w:val="2"/>
        </w:numPr>
        <w:spacing w:after="60" w:before="60"/>
      </w:pPr>
      <w:r>
        <w:rPr>
          <w:rFonts w:ascii="Arial" w:cs="Arial" w:eastAsia="Arial" w:hAnsi="Arial"/>
          <w:sz w:val="22"/>
          <w:szCs w:val="22"/>
        </w:rPr>
        <w:t xml:space="preserve">c.  Logistical resupply to existing positions</w:t>
      </w:r>
    </w:p>
    <w:p>
      <w:pPr>
        <w:pStyle w:val="ListParagraph"/>
        <w:numPr>
          <w:ilvl w:val="0"/>
          <w:numId w:val="2"/>
        </w:numPr>
        <w:spacing w:after="60" w:before="60"/>
      </w:pPr>
      <w:r>
        <w:rPr>
          <w:rFonts w:ascii="Arial" w:cs="Arial" w:eastAsia="Arial" w:hAnsi="Arial"/>
          <w:sz w:val="22"/>
          <w:szCs w:val="22"/>
        </w:rPr>
        <w:t xml:space="preserve">d.  Medical evacuation and casualty treatment</w:t>
      </w:r>
    </w:p>
    <w:p>
      <w:pPr>
        <w:pStyle w:val="ListParagraph"/>
        <w:numPr>
          <w:ilvl w:val="0"/>
          <w:numId w:val="2"/>
        </w:numPr>
        <w:spacing w:after="60" w:before="60"/>
      </w:pPr>
      <w:r>
        <w:rPr>
          <w:rFonts w:ascii="Arial" w:cs="Arial" w:eastAsia="Arial" w:hAnsi="Arial"/>
          <w:sz w:val="22"/>
          <w:szCs w:val="22"/>
        </w:rPr>
        <w:t xml:space="preserve">e.  Communication and intelligence operations that do not require physical territorial expansion</w:t>
      </w:r>
    </w:p>
    <w:p>
      <w:pPr>
        <w:spacing w:after="40" w:before="40"/>
      </w:pPr>
      <w:r>
        <w:t xml:space="preserve"/>
      </w:r>
    </w:p>
    <w:p>
      <w:pPr>
        <w:pStyle w:val="Heading2"/>
        <w:shd w:fill="A84300" w:val="clear"/>
        <w:spacing w:after="100" w:before="200"/>
      </w:pPr>
      <w:r>
        <w:rPr>
          <w:rFonts w:ascii="Arial" w:cs="Arial" w:eastAsia="Arial" w:hAnsi="Arial"/>
          <w:b/>
          <w:bCs/>
          <w:color w:val="FFFFFF"/>
          <w:sz w:val="26"/>
          <w:szCs w:val="26"/>
        </w:rPr>
        <w:t xml:space="preserve">2.5  Boundary Disputes</w:t>
      </w:r>
    </w:p>
    <w:p>
      <w:pPr>
        <w:spacing w:after="80" w:before="80" w:line="276" w:lineRule="auto"/>
        <w:jc w:val="both"/>
      </w:pPr>
      <w:r>
        <w:rPr>
          <w:rFonts w:ascii="Arial" w:cs="Arial" w:eastAsia="Arial" w:hAnsi="Arial"/>
          <w:b w:val="false"/>
          <w:bCs w:val="false"/>
          <w:i w:val="false"/>
          <w:iCs w:val="false"/>
          <w:color w:val="000000"/>
          <w:sz w:val="22"/>
          <w:szCs w:val="22"/>
        </w:rPr>
        <w:t xml:space="preserve">Any dispute regarding whether a specific activity constitutes advancement beyond the Hard Ceiling is resolved by reference to the Shared Digital Registry under Article 5. The Registry's automated classification is presumptive. Where the automated system does not classify the activity, the dispute is referred to Emergency Fast-Track Arbitration under Article 6.</w:t>
      </w:r>
    </w:p>
    <w:p>
      <w:pPr>
        <w:spacing w:after="40" w:before="40"/>
      </w:pPr>
      <w:r>
        <w:t xml:space="preserve"/>
      </w:r>
    </w:p>
    <w:p>
      <w:pPr>
        <w:pStyle w:val="Heading2"/>
        <w:shd w:fill="A84300" w:val="clear"/>
        <w:spacing w:after="100" w:before="200"/>
      </w:pPr>
      <w:r>
        <w:rPr>
          <w:rFonts w:ascii="Arial" w:cs="Arial" w:eastAsia="Arial" w:hAnsi="Arial"/>
          <w:b/>
          <w:bCs/>
          <w:color w:val="FFFFFF"/>
          <w:sz w:val="26"/>
          <w:szCs w:val="26"/>
        </w:rPr>
        <w:t xml:space="preserve">2.6  Good Faith Compliance — Right to Self-Defense</w:t>
      </w:r>
    </w:p>
    <w:p>
      <w:pPr>
        <w:spacing w:after="80" w:before="80" w:line="276" w:lineRule="auto"/>
        <w:jc w:val="both"/>
      </w:pPr>
      <w:r>
        <w:rPr>
          <w:rFonts w:ascii="Arial" w:cs="Arial" w:eastAsia="Arial" w:hAnsi="Arial"/>
          <w:b w:val="false"/>
          <w:bCs w:val="false"/>
          <w:i w:val="false"/>
          <w:iCs w:val="false"/>
          <w:color w:val="000000"/>
          <w:sz w:val="22"/>
          <w:szCs w:val="22"/>
        </w:rPr>
        <w:t xml:space="preserve">Nothing in this Addendum impairs Israel's right to self-defense against an ongoing armed attack originating from within the Current Operational Footprint. However, any incursion beyond the Hard Ceiling in response to such attack executes strictly under the following conditions:</w:t>
      </w:r>
    </w:p>
    <w:p>
      <w:pPr>
        <w:spacing w:after="40" w:before="40"/>
      </w:pPr>
      <w:r>
        <w:t xml:space="preserve"/>
      </w:r>
    </w:p>
    <w:p>
      <w:pPr>
        <w:pStyle w:val="ListParagraph"/>
        <w:numPr>
          <w:ilvl w:val="0"/>
          <w:numId w:val="2"/>
        </w:numPr>
        <w:spacing w:after="60" w:before="60"/>
      </w:pPr>
      <w:r>
        <w:rPr>
          <w:rFonts w:ascii="Arial" w:cs="Arial" w:eastAsia="Arial" w:hAnsi="Arial"/>
          <w:sz w:val="22"/>
          <w:szCs w:val="22"/>
        </w:rPr>
        <w:t xml:space="preserve">a.  Temporary: The incursion terminates within 72 hours of notification to the Shared Digital Registry.</w:t>
      </w:r>
    </w:p>
    <w:p>
      <w:pPr>
        <w:pStyle w:val="ListParagraph"/>
        <w:numPr>
          <w:ilvl w:val="0"/>
          <w:numId w:val="2"/>
        </w:numPr>
        <w:spacing w:after="60" w:before="60"/>
      </w:pPr>
      <w:r>
        <w:rPr>
          <w:rFonts w:ascii="Arial" w:cs="Arial" w:eastAsia="Arial" w:hAnsi="Arial"/>
          <w:sz w:val="22"/>
          <w:szCs w:val="22"/>
        </w:rPr>
        <w:t xml:space="preserve">b.  Proportionate: The scope and scale of the incursion corresponds directly to the threat that triggered it.</w:t>
      </w:r>
    </w:p>
    <w:p>
      <w:pPr>
        <w:pStyle w:val="ListParagraph"/>
        <w:numPr>
          <w:ilvl w:val="0"/>
          <w:numId w:val="2"/>
        </w:numPr>
        <w:spacing w:after="60" w:before="60"/>
      </w:pPr>
      <w:r>
        <w:rPr>
          <w:rFonts w:ascii="Arial" w:cs="Arial" w:eastAsia="Arial" w:hAnsi="Arial"/>
          <w:sz w:val="22"/>
          <w:szCs w:val="22"/>
        </w:rPr>
        <w:t xml:space="preserve">c.  Notified: The conducting Party transmits an operational notification to the Shared Digital Registry within 2 hours of the incursion's commencement, including: the nature of the attack; the estimated force composition; the anticipated geographic scope; and the expected duration.</w:t>
      </w:r>
    </w:p>
    <w:p>
      <w:pPr>
        <w:spacing w:after="40" w:before="40"/>
      </w:pPr>
      <w:r>
        <w:t xml:space="preserve"/>
      </w:r>
    </w:p>
    <w:p>
      <w:pPr>
        <w:spacing w:after="80" w:before="80" w:line="276" w:lineRule="auto"/>
        <w:jc w:val="both"/>
      </w:pPr>
      <w:r>
        <w:rPr>
          <w:rFonts w:ascii="Arial" w:cs="Arial" w:eastAsia="Arial" w:hAnsi="Arial"/>
          <w:b w:val="false"/>
          <w:bCs w:val="false"/>
          <w:i w:val="false"/>
          <w:iCs w:val="false"/>
          <w:color w:val="000000"/>
          <w:sz w:val="22"/>
          <w:szCs w:val="22"/>
        </w:rPr>
        <w:t xml:space="preserve">Incursions lasting more than 72 hours or resulting in permanent territorial expansion constitute an Automatic Breach. An incursion results in permanent territorial expansion where: any fortification, barrier, checkpoint, or semi-permanent structure remains in place beyond the 72-hour window; any military unit is not withdrawn to the Hard Ceiling within 72 hours; or any infrastructure improvement (road, berm, supply depot) is constructed or remains operable beyond the 72-hour window. The burden of demonstrating that an incursion was temporary and did not result in permanent expansion rests with the Party conducting the incursion.</w:t>
      </w:r>
    </w:p>
    <w:p>
      <w:r>
        <w:br w:type="page"/>
      </w:r>
    </w:p>
    <w:p>
      <w:pPr>
        <w:pStyle w:val="Heading1"/>
        <w:shd w:fill="7B2C00" w:val="clear"/>
        <w:spacing w:after="120" w:before="240"/>
      </w:pPr>
      <w:r>
        <w:rPr>
          <w:rFonts w:ascii="Arial" w:cs="Arial" w:eastAsia="Arial" w:hAnsi="Arial"/>
          <w:b/>
          <w:bCs/>
          <w:color w:val="FFFFFF"/>
          <w:sz w:val="30"/>
          <w:szCs w:val="30"/>
        </w:rPr>
        <w:t xml:space="preserve">Article 3: Automatic Breach Triggers</w:t>
      </w:r>
    </w:p>
    <w:p>
      <w:pPr>
        <w:shd w:fill="A84300" w:val="clear"/>
        <w:spacing w:after="80" w:before="120"/>
      </w:pPr>
      <w:r>
        <w:rPr>
          <w:rFonts w:ascii="Arial" w:cs="Arial" w:eastAsia="Arial" w:hAnsi="Arial"/>
          <w:b/>
          <w:bCs/>
          <w:color w:val="FFFFFF"/>
          <w:sz w:val="18"/>
          <w:szCs w:val="18"/>
        </w:rPr>
        <w:t xml:space="preserve"> OPERATIVE AND BINDING </w:t>
      </w:r>
    </w:p>
    <w:p>
      <w:pPr>
        <w:spacing w:after="40" w:before="40"/>
      </w:pPr>
      <w:r>
        <w:t xml:space="preserve"/>
      </w:r>
    </w:p>
    <w:p>
      <w:pPr>
        <w:pStyle w:val="Heading2"/>
        <w:shd w:fill="A84300" w:val="clear"/>
        <w:spacing w:after="100" w:before="200"/>
      </w:pPr>
      <w:r>
        <w:rPr>
          <w:rFonts w:ascii="Arial" w:cs="Arial" w:eastAsia="Arial" w:hAnsi="Arial"/>
          <w:b/>
          <w:bCs/>
          <w:color w:val="FFFFFF"/>
          <w:sz w:val="26"/>
          <w:szCs w:val="26"/>
        </w:rPr>
        <w:t xml:space="preserve">3.1  Automatic Breach Classification</w:t>
      </w:r>
    </w:p>
    <w:p>
      <w:pPr>
        <w:spacing w:after="80" w:before="80" w:line="276" w:lineRule="auto"/>
        <w:jc w:val="both"/>
      </w:pPr>
      <w:r>
        <w:rPr>
          <w:rFonts w:ascii="Arial" w:cs="Arial" w:eastAsia="Arial" w:hAnsi="Arial"/>
          <w:b w:val="false"/>
          <w:bCs w:val="false"/>
          <w:i w:val="false"/>
          <w:iCs w:val="false"/>
          <w:color w:val="000000"/>
          <w:sz w:val="22"/>
          <w:szCs w:val="22"/>
        </w:rPr>
        <w:t xml:space="preserve">The following actions constitute an Automatic Breach, effective immediately upon verification, without requiring PCC review, political consensus, or PCA arbitration:</w:t>
      </w:r>
    </w:p>
    <w:p>
      <w:pPr>
        <w:spacing w:after="40" w:before="40"/>
      </w:pPr>
      <w:r>
        <w:t xml:space="preserve"/>
      </w:r>
    </w:p>
    <w:p>
      <w:pPr>
        <w:spacing w:after="80" w:before="80" w:line="276" w:lineRule="auto"/>
        <w:jc w:val="both"/>
      </w:pPr>
      <w:r>
        <w:rPr>
          <w:rFonts w:ascii="Arial" w:cs="Arial" w:eastAsia="Arial" w:hAnsi="Arial"/>
          <w:b/>
          <w:bCs/>
          <w:i w:val="false"/>
          <w:iCs w:val="false"/>
          <w:color w:val="000000"/>
          <w:sz w:val="22"/>
          <w:szCs w:val="22"/>
        </w:rPr>
        <w:t xml:space="preserve">Table U-1: Automatic Breach Triggers and Verification Methods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360"/>
        <w:gridCol w:w="2600"/>
      </w:tblGrid>
      <w:tr>
        <w:trPr>
          <w:tblHeader/>
        </w:trPr>
        <w:tc>
          <w:tcPr>
            <w:tcW w:type="dxa" w:w="3400"/>
            <w:tcBorders>
              <w:top w:val="single" w:color="C8A898" w:sz="2"/>
              <w:left w:val="single" w:color="C8A898" w:sz="2"/>
              <w:bottom w:val="single" w:color="C8A898" w:sz="2"/>
              <w:right w:val="single" w:color="C8A898" w:sz="2"/>
            </w:tcBorders>
            <w:shd w:fill="A84300"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TRIGGER</w:t>
            </w:r>
          </w:p>
        </w:tc>
        <w:tc>
          <w:tcPr>
            <w:tcW w:type="dxa" w:w="3360"/>
            <w:tcBorders>
              <w:top w:val="single" w:color="C8A898" w:sz="2"/>
              <w:left w:val="single" w:color="C8A898" w:sz="2"/>
              <w:bottom w:val="single" w:color="C8A898" w:sz="2"/>
              <w:right w:val="single" w:color="C8A898" w:sz="2"/>
            </w:tcBorders>
            <w:shd w:fill="A84300"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VERIFICATION METHOD</w:t>
            </w:r>
          </w:p>
        </w:tc>
        <w:tc>
          <w:tcPr>
            <w:tcW w:type="dxa" w:w="2600"/>
            <w:tcBorders>
              <w:top w:val="single" w:color="C8A898" w:sz="2"/>
              <w:left w:val="single" w:color="C8A898" w:sz="2"/>
              <w:bottom w:val="single" w:color="C8A898" w:sz="2"/>
              <w:right w:val="single" w:color="C8A898" w:sz="2"/>
            </w:tcBorders>
            <w:shd w:fill="A84300"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TIME TO CLASSIFICATION</w:t>
            </w:r>
          </w:p>
        </w:tc>
      </w:tr>
      <w:tr>
        <w:trPr>
          <w:tblHeader w:val="false"/>
        </w:trPr>
        <w:tc>
          <w:tcPr>
            <w:tcW w:type="dxa" w:w="3400"/>
            <w:tcBorders>
              <w:top w:val="single" w:color="C8A898" w:sz="2"/>
              <w:left w:val="single" w:color="C8A898" w:sz="2"/>
              <w:bottom w:val="single" w:color="C8A898" w:sz="2"/>
              <w:right w:val="single" w:color="C8A8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Any military vehicle crossing the Hard Ceiling</w:t>
            </w:r>
          </w:p>
        </w:tc>
        <w:tc>
          <w:tcPr>
            <w:tcW w:type="dxa" w:w="3360"/>
            <w:tcBorders>
              <w:top w:val="single" w:color="C8A898" w:sz="2"/>
              <w:left w:val="single" w:color="C8A898" w:sz="2"/>
              <w:bottom w:val="single" w:color="C8A898" w:sz="2"/>
              <w:right w:val="single" w:color="C8A8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Satellite imagery (EO/SAR); AIS data for armored vehicles; signals intercept</w:t>
            </w:r>
          </w:p>
        </w:tc>
        <w:tc>
          <w:tcPr>
            <w:tcW w:type="dxa" w:w="2600"/>
            <w:tcBorders>
              <w:top w:val="single" w:color="C8A898" w:sz="2"/>
              <w:left w:val="single" w:color="C8A898" w:sz="2"/>
              <w:bottom w:val="single" w:color="C8A898" w:sz="2"/>
              <w:right w:val="single" w:color="C8A8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Within 2 hours of detection</w:t>
            </w:r>
          </w:p>
        </w:tc>
      </w:tr>
      <w:tr>
        <w:trPr>
          <w:tblHeader w:val="false"/>
        </w:trPr>
        <w:tc>
          <w:tcPr>
            <w:tcW w:type="dxa" w:w="3400"/>
            <w:tcBorders>
              <w:top w:val="single" w:color="C8A898" w:sz="2"/>
              <w:left w:val="single" w:color="C8A898" w:sz="2"/>
              <w:bottom w:val="single" w:color="C8A898" w:sz="2"/>
              <w:right w:val="single" w:color="C8A8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Construction of new fortifications beyond the line</w:t>
            </w:r>
          </w:p>
        </w:tc>
        <w:tc>
          <w:tcPr>
            <w:tcW w:type="dxa" w:w="3360"/>
            <w:tcBorders>
              <w:top w:val="single" w:color="C8A898" w:sz="2"/>
              <w:left w:val="single" w:color="C8A898" w:sz="2"/>
              <w:bottom w:val="single" w:color="C8A898" w:sz="2"/>
              <w:right w:val="single" w:color="C8A8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Satellite change detection; drone overflight; ground observer report</w:t>
            </w:r>
          </w:p>
        </w:tc>
        <w:tc>
          <w:tcPr>
            <w:tcW w:type="dxa" w:w="2600"/>
            <w:tcBorders>
              <w:top w:val="single" w:color="C8A898" w:sz="2"/>
              <w:left w:val="single" w:color="C8A898" w:sz="2"/>
              <w:bottom w:val="single" w:color="C8A898" w:sz="2"/>
              <w:right w:val="single" w:color="C8A8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Within 6 hours of detection</w:t>
            </w:r>
          </w:p>
        </w:tc>
      </w:tr>
      <w:tr>
        <w:trPr>
          <w:tblHeader w:val="false"/>
        </w:trPr>
        <w:tc>
          <w:tcPr>
            <w:tcW w:type="dxa" w:w="3400"/>
            <w:tcBorders>
              <w:top w:val="single" w:color="C8A898" w:sz="2"/>
              <w:left w:val="single" w:color="C8A898" w:sz="2"/>
              <w:bottom w:val="single" w:color="C8A898" w:sz="2"/>
              <w:right w:val="single" w:color="C8A8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Establishment of new checkpoints or barriers</w:t>
            </w:r>
          </w:p>
        </w:tc>
        <w:tc>
          <w:tcPr>
            <w:tcW w:type="dxa" w:w="3360"/>
            <w:tcBorders>
              <w:top w:val="single" w:color="C8A898" w:sz="2"/>
              <w:left w:val="single" w:color="C8A898" w:sz="2"/>
              <w:bottom w:val="single" w:color="C8A898" w:sz="2"/>
              <w:right w:val="single" w:color="C8A8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Satellite imagery; open-source intelligence; PCC notification</w:t>
            </w:r>
          </w:p>
        </w:tc>
        <w:tc>
          <w:tcPr>
            <w:tcW w:type="dxa" w:w="2600"/>
            <w:tcBorders>
              <w:top w:val="single" w:color="C8A898" w:sz="2"/>
              <w:left w:val="single" w:color="C8A898" w:sz="2"/>
              <w:bottom w:val="single" w:color="C8A898" w:sz="2"/>
              <w:right w:val="single" w:color="C8A8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Within 12 hours of detection</w:t>
            </w:r>
          </w:p>
        </w:tc>
      </w:tr>
      <w:tr>
        <w:trPr>
          <w:tblHeader w:val="false"/>
        </w:trPr>
        <w:tc>
          <w:tcPr>
            <w:tcW w:type="dxa" w:w="3400"/>
            <w:tcBorders>
              <w:top w:val="single" w:color="C8A898" w:sz="2"/>
              <w:left w:val="single" w:color="C8A898" w:sz="2"/>
              <w:bottom w:val="single" w:color="C8A898" w:sz="2"/>
              <w:right w:val="single" w:color="C8A8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Artillery or rocket firing from positions beyond the line</w:t>
            </w:r>
          </w:p>
        </w:tc>
        <w:tc>
          <w:tcPr>
            <w:tcW w:type="dxa" w:w="3360"/>
            <w:tcBorders>
              <w:top w:val="single" w:color="C8A898" w:sz="2"/>
              <w:left w:val="single" w:color="C8A898" w:sz="2"/>
              <w:bottom w:val="single" w:color="C8A898" w:sz="2"/>
              <w:right w:val="single" w:color="C8A8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Telemetry; radar; blast pattern analysis</w:t>
            </w:r>
          </w:p>
        </w:tc>
        <w:tc>
          <w:tcPr>
            <w:tcW w:type="dxa" w:w="2600"/>
            <w:tcBorders>
              <w:top w:val="single" w:color="C8A898" w:sz="2"/>
              <w:left w:val="single" w:color="C8A898" w:sz="2"/>
              <w:bottom w:val="single" w:color="C8A898" w:sz="2"/>
              <w:right w:val="single" w:color="C8A8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Immediate upon impact</w:t>
            </w:r>
          </w:p>
        </w:tc>
      </w:tr>
      <w:tr>
        <w:trPr>
          <w:tblHeader w:val="false"/>
        </w:trPr>
        <w:tc>
          <w:tcPr>
            <w:tcW w:type="dxa" w:w="3400"/>
            <w:tcBorders>
              <w:top w:val="single" w:color="C8A898" w:sz="2"/>
              <w:left w:val="single" w:color="C8A898" w:sz="2"/>
              <w:bottom w:val="single" w:color="C8A898" w:sz="2"/>
              <w:right w:val="single" w:color="C8A8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Permanent infrastructure development (roads, bases, supply depots) beyond the line</w:t>
            </w:r>
          </w:p>
        </w:tc>
        <w:tc>
          <w:tcPr>
            <w:tcW w:type="dxa" w:w="3360"/>
            <w:tcBorders>
              <w:top w:val="single" w:color="C8A898" w:sz="2"/>
              <w:left w:val="single" w:color="C8A898" w:sz="2"/>
              <w:bottom w:val="single" w:color="C8A898" w:sz="2"/>
              <w:right w:val="single" w:color="C8A8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Satellite change detection over 24-hour rolling window</w:t>
            </w:r>
          </w:p>
        </w:tc>
        <w:tc>
          <w:tcPr>
            <w:tcW w:type="dxa" w:w="2600"/>
            <w:tcBorders>
              <w:top w:val="single" w:color="C8A898" w:sz="2"/>
              <w:left w:val="single" w:color="C8A898" w:sz="2"/>
              <w:bottom w:val="single" w:color="C8A898" w:sz="2"/>
              <w:right w:val="single" w:color="C8A8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Within 24 hours of commencement</w:t>
            </w:r>
          </w:p>
        </w:tc>
      </w:tr>
    </w:tbl>
    <w:p>
      <w:pPr>
        <w:spacing w:after="40" w:before="40"/>
      </w:pPr>
      <w:r>
        <w:t xml:space="preserve"/>
      </w:r>
    </w:p>
    <w:p>
      <w:pPr>
        <w:pStyle w:val="Heading2"/>
        <w:shd w:fill="A84300" w:val="clear"/>
        <w:spacing w:after="100" w:before="200"/>
      </w:pPr>
      <w:r>
        <w:rPr>
          <w:rFonts w:ascii="Arial" w:cs="Arial" w:eastAsia="Arial" w:hAnsi="Arial"/>
          <w:b/>
          <w:bCs/>
          <w:color w:val="FFFFFF"/>
          <w:sz w:val="26"/>
          <w:szCs w:val="26"/>
        </w:rPr>
        <w:t xml:space="preserve">3.2  Automatic Consequences</w:t>
      </w:r>
    </w:p>
    <w:p>
      <w:pPr>
        <w:spacing w:after="80" w:before="80" w:line="276" w:lineRule="auto"/>
        <w:jc w:val="both"/>
      </w:pPr>
      <w:r>
        <w:rPr>
          <w:rFonts w:ascii="Arial" w:cs="Arial" w:eastAsia="Arial" w:hAnsi="Arial"/>
          <w:b w:val="false"/>
          <w:bCs w:val="false"/>
          <w:i w:val="false"/>
          <w:iCs w:val="false"/>
          <w:color w:val="000000"/>
          <w:sz w:val="22"/>
          <w:szCs w:val="22"/>
        </w:rPr>
        <w:t xml:space="preserve">Upon Automatic Breach classification, the following consequences trigger automatically, without further political action:</w:t>
      </w:r>
    </w:p>
    <w:p>
      <w:pPr>
        <w:spacing w:after="40" w:before="40"/>
      </w:pPr>
      <w:r>
        <w:t xml:space="preserve"/>
      </w:r>
    </w:p>
    <w:p>
      <w:pPr>
        <w:spacing w:after="80" w:before="80" w:line="276" w:lineRule="auto"/>
        <w:jc w:val="both"/>
      </w:pPr>
      <w:r>
        <w:rPr>
          <w:rFonts w:ascii="Arial" w:cs="Arial" w:eastAsia="Arial" w:hAnsi="Arial"/>
          <w:b/>
          <w:bCs/>
          <w:i w:val="false"/>
          <w:iCs w:val="false"/>
          <w:color w:val="000000"/>
          <w:sz w:val="22"/>
          <w:szCs w:val="22"/>
        </w:rPr>
        <w:t xml:space="preserve">Table U-2: Automatic Consequences of Breach</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rPr>
          <w:tblHeader/>
        </w:trPr>
        <w:tc>
          <w:tcPr>
            <w:tcW w:type="dxa" w:w="5760"/>
            <w:tcBorders>
              <w:top w:val="single" w:color="C8A898" w:sz="2"/>
              <w:left w:val="single" w:color="C8A898" w:sz="2"/>
              <w:bottom w:val="single" w:color="C8A898" w:sz="2"/>
              <w:right w:val="single" w:color="C8A898" w:sz="2"/>
            </w:tcBorders>
            <w:shd w:fill="A84300"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CONSEQUENCE</w:t>
            </w:r>
          </w:p>
        </w:tc>
        <w:tc>
          <w:tcPr>
            <w:tcW w:type="dxa" w:w="3600"/>
            <w:tcBorders>
              <w:top w:val="single" w:color="C8A898" w:sz="2"/>
              <w:left w:val="single" w:color="C8A898" w:sz="2"/>
              <w:bottom w:val="single" w:color="C8A898" w:sz="2"/>
              <w:right w:val="single" w:color="C8A898" w:sz="2"/>
            </w:tcBorders>
            <w:shd w:fill="A84300"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IMPLEMENTATION TIMELINE</w:t>
            </w:r>
          </w:p>
        </w:tc>
      </w:tr>
      <w:tr>
        <w:trPr>
          <w:tblHeader w:val="false"/>
        </w:trPr>
        <w:tc>
          <w:tcPr>
            <w:tcW w:type="dxa" w:w="5760"/>
            <w:tcBorders>
              <w:top w:val="single" w:color="C8A898" w:sz="2"/>
              <w:left w:val="single" w:color="C8A898" w:sz="2"/>
              <w:bottom w:val="single" w:color="C8A898" w:sz="2"/>
              <w:right w:val="single" w:color="C8A8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Freeze of all reconstruction capital allocated to the violating Party</w:t>
            </w:r>
          </w:p>
        </w:tc>
        <w:tc>
          <w:tcPr>
            <w:tcW w:type="dxa" w:w="3600"/>
            <w:tcBorders>
              <w:top w:val="single" w:color="C8A898" w:sz="2"/>
              <w:left w:val="single" w:color="C8A898" w:sz="2"/>
              <w:bottom w:val="single" w:color="C8A898" w:sz="2"/>
              <w:right w:val="single" w:color="C8A8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Within 24 hours</w:t>
            </w:r>
          </w:p>
        </w:tc>
      </w:tr>
      <w:tr>
        <w:trPr>
          <w:tblHeader w:val="false"/>
        </w:trPr>
        <w:tc>
          <w:tcPr>
            <w:tcW w:type="dxa" w:w="5760"/>
            <w:tcBorders>
              <w:top w:val="single" w:color="C8A898" w:sz="2"/>
              <w:left w:val="single" w:color="C8A898" w:sz="2"/>
              <w:bottom w:val="single" w:color="C8A898" w:sz="2"/>
              <w:right w:val="single" w:color="C8A8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Suspension of dual-use supply clearances</w:t>
            </w:r>
          </w:p>
        </w:tc>
        <w:tc>
          <w:tcPr>
            <w:tcW w:type="dxa" w:w="3600"/>
            <w:tcBorders>
              <w:top w:val="single" w:color="C8A898" w:sz="2"/>
              <w:left w:val="single" w:color="C8A898" w:sz="2"/>
              <w:bottom w:val="single" w:color="C8A898" w:sz="2"/>
              <w:right w:val="single" w:color="C8A8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Within 48 hours</w:t>
            </w:r>
          </w:p>
        </w:tc>
      </w:tr>
      <w:tr>
        <w:trPr>
          <w:tblHeader w:val="false"/>
        </w:trPr>
        <w:tc>
          <w:tcPr>
            <w:tcW w:type="dxa" w:w="5760"/>
            <w:tcBorders>
              <w:top w:val="single" w:color="C8A898" w:sz="2"/>
              <w:left w:val="single" w:color="C8A898" w:sz="2"/>
              <w:bottom w:val="single" w:color="C8A898" w:sz="2"/>
              <w:right w:val="single" w:color="C8A8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Reduction of regional transit access by 10% per 1% of territory seized beyond the Hard Ceiling</w:t>
            </w:r>
          </w:p>
        </w:tc>
        <w:tc>
          <w:tcPr>
            <w:tcW w:type="dxa" w:w="3600"/>
            <w:tcBorders>
              <w:top w:val="single" w:color="C8A898" w:sz="2"/>
              <w:left w:val="single" w:color="C8A898" w:sz="2"/>
              <w:bottom w:val="single" w:color="C8A898" w:sz="2"/>
              <w:right w:val="single" w:color="C8A8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Proportional, within 72 hours</w:t>
            </w:r>
          </w:p>
        </w:tc>
      </w:tr>
      <w:tr>
        <w:trPr>
          <w:tblHeader w:val="false"/>
        </w:trPr>
        <w:tc>
          <w:tcPr>
            <w:tcW w:type="dxa" w:w="5760"/>
            <w:tcBorders>
              <w:top w:val="single" w:color="C8A898" w:sz="2"/>
              <w:left w:val="single" w:color="C8A898" w:sz="2"/>
              <w:bottom w:val="single" w:color="C8A898" w:sz="2"/>
              <w:right w:val="single" w:color="C8A8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Referral to Guarantor Matrix for expedited review</w:t>
            </w:r>
          </w:p>
        </w:tc>
        <w:tc>
          <w:tcPr>
            <w:tcW w:type="dxa" w:w="3600"/>
            <w:tcBorders>
              <w:top w:val="single" w:color="C8A898" w:sz="2"/>
              <w:left w:val="single" w:color="C8A898" w:sz="2"/>
              <w:bottom w:val="single" w:color="C8A898" w:sz="2"/>
              <w:right w:val="single" w:color="C8A8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Within 72 hours</w:t>
            </w:r>
          </w:p>
        </w:tc>
      </w:tr>
      <w:tr>
        <w:trPr>
          <w:tblHeader w:val="false"/>
        </w:trPr>
        <w:tc>
          <w:tcPr>
            <w:tcW w:type="dxa" w:w="5760"/>
            <w:tcBorders>
              <w:top w:val="single" w:color="C8A898" w:sz="2"/>
              <w:left w:val="single" w:color="C8A898" w:sz="2"/>
              <w:bottom w:val="single" w:color="C8A898" w:sz="2"/>
              <w:right w:val="single" w:color="C8A8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Publication of breach determination to transparency dashboard</w:t>
            </w:r>
          </w:p>
        </w:tc>
        <w:tc>
          <w:tcPr>
            <w:tcW w:type="dxa" w:w="3600"/>
            <w:tcBorders>
              <w:top w:val="single" w:color="C8A898" w:sz="2"/>
              <w:left w:val="single" w:color="C8A898" w:sz="2"/>
              <w:bottom w:val="single" w:color="C8A898" w:sz="2"/>
              <w:right w:val="single" w:color="C8A8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Within 6 hours of classification</w:t>
            </w:r>
          </w:p>
        </w:tc>
      </w:tr>
      <w:tr>
        <w:trPr>
          <w:tblHeader w:val="false"/>
        </w:trPr>
        <w:tc>
          <w:tcPr>
            <w:tcW w:type="dxa" w:w="5760"/>
            <w:tcBorders>
              <w:top w:val="single" w:color="C8A898" w:sz="2"/>
              <w:left w:val="single" w:color="C8A898" w:sz="2"/>
              <w:bottom w:val="single" w:color="C8A898" w:sz="2"/>
              <w:right w:val="single" w:color="C8A8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Activation of Escalation Buffer Period under Annex R.a</w:t>
            </w:r>
          </w:p>
        </w:tc>
        <w:tc>
          <w:tcPr>
            <w:tcW w:type="dxa" w:w="3600"/>
            <w:tcBorders>
              <w:top w:val="single" w:color="C8A898" w:sz="2"/>
              <w:left w:val="single" w:color="C8A898" w:sz="2"/>
              <w:bottom w:val="single" w:color="C8A898" w:sz="2"/>
              <w:right w:val="single" w:color="C8A8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Immediate upon classification</w:t>
            </w:r>
          </w:p>
        </w:tc>
      </w:tr>
    </w:tbl>
    <w:p>
      <w:pPr>
        <w:spacing w:after="40" w:before="40"/>
      </w:pPr>
      <w:r>
        <w:t xml:space="preserve"/>
      </w:r>
    </w:p>
    <w:p>
      <w:pPr>
        <w:pStyle w:val="Heading2"/>
        <w:shd w:fill="A84300" w:val="clear"/>
        <w:spacing w:after="100" w:before="200"/>
      </w:pPr>
      <w:r>
        <w:rPr>
          <w:rFonts w:ascii="Arial" w:cs="Arial" w:eastAsia="Arial" w:hAnsi="Arial"/>
          <w:b/>
          <w:bCs/>
          <w:color w:val="FFFFFF"/>
          <w:sz w:val="26"/>
          <w:szCs w:val="26"/>
        </w:rPr>
        <w:t xml:space="preserve">3.3  No Exceptions</w:t>
      </w:r>
    </w:p>
    <w:p>
      <w:pPr>
        <w:spacing w:after="80" w:before="80" w:line="276" w:lineRule="auto"/>
        <w:jc w:val="both"/>
      </w:pPr>
      <w:r>
        <w:rPr>
          <w:rFonts w:ascii="Arial" w:cs="Arial" w:eastAsia="Arial" w:hAnsi="Arial"/>
          <w:b w:val="false"/>
          <w:bCs w:val="false"/>
          <w:i w:val="false"/>
          <w:iCs w:val="false"/>
          <w:color w:val="000000"/>
          <w:sz w:val="22"/>
          <w:szCs w:val="22"/>
        </w:rPr>
        <w:t xml:space="preserve">There are no exceptions to the Automatic Breach mechanism. Claims of operational necessity, intelligence-based preemption, or retaliatory justification do not delay, mitigate, or prevent the classification of an Automatic Breach. The breach classification and its consequences are automatic and non-discretionary. Any such claims are raised before the Emergency Fast-Track Arbitration Panel under Article 6, but they do not stay the automatic consequences.</w:t>
      </w:r>
    </w:p>
    <w:p>
      <w:r>
        <w:br w:type="page"/>
      </w:r>
    </w:p>
    <w:p>
      <w:pPr>
        <w:pStyle w:val="Heading1"/>
        <w:shd w:fill="7B2C00" w:val="clear"/>
        <w:spacing w:after="120" w:before="240"/>
      </w:pPr>
      <w:r>
        <w:rPr>
          <w:rFonts w:ascii="Arial" w:cs="Arial" w:eastAsia="Arial" w:hAnsi="Arial"/>
          <w:b/>
          <w:bCs/>
          <w:color w:val="FFFFFF"/>
          <w:sz w:val="30"/>
          <w:szCs w:val="30"/>
        </w:rPr>
        <w:t xml:space="preserve">Article 4: Proportional Penalty Matrix</w:t>
      </w:r>
    </w:p>
    <w:p>
      <w:pPr>
        <w:shd w:fill="A84300" w:val="clear"/>
        <w:spacing w:after="80" w:before="120"/>
      </w:pPr>
      <w:r>
        <w:rPr>
          <w:rFonts w:ascii="Arial" w:cs="Arial" w:eastAsia="Arial" w:hAnsi="Arial"/>
          <w:b/>
          <w:bCs/>
          <w:color w:val="FFFFFF"/>
          <w:sz w:val="18"/>
          <w:szCs w:val="18"/>
        </w:rPr>
        <w:t xml:space="preserve"> OPERATIVE AND BINDING </w:t>
      </w:r>
    </w:p>
    <w:p>
      <w:pPr>
        <w:spacing w:after="40" w:before="40"/>
      </w:pPr>
      <w:r>
        <w:t xml:space="preserve"/>
      </w:r>
    </w:p>
    <w:p>
      <w:pPr>
        <w:pStyle w:val="Heading2"/>
        <w:shd w:fill="A84300" w:val="clear"/>
        <w:spacing w:after="100" w:before="200"/>
      </w:pPr>
      <w:r>
        <w:rPr>
          <w:rFonts w:ascii="Arial" w:cs="Arial" w:eastAsia="Arial" w:hAnsi="Arial"/>
          <w:b/>
          <w:bCs/>
          <w:color w:val="FFFFFF"/>
          <w:sz w:val="26"/>
          <w:szCs w:val="26"/>
        </w:rPr>
        <w:t xml:space="preserve">4.1  Penalty Calculation</w:t>
      </w:r>
    </w:p>
    <w:p>
      <w:pPr>
        <w:spacing w:after="80" w:before="80" w:line="276" w:lineRule="auto"/>
        <w:jc w:val="both"/>
      </w:pPr>
      <w:r>
        <w:rPr>
          <w:rFonts w:ascii="Arial" w:cs="Arial" w:eastAsia="Arial" w:hAnsi="Arial"/>
          <w:b w:val="false"/>
          <w:bCs w:val="false"/>
          <w:i w:val="false"/>
          <w:iCs w:val="false"/>
          <w:color w:val="000000"/>
          <w:sz w:val="22"/>
          <w:szCs w:val="22"/>
        </w:rPr>
        <w:t xml:space="preserve">For every 1% of territory seized beyond the Current Operational Footprint (the Hard Ceiling), the following automatic penalties apply:</w:t>
      </w:r>
    </w:p>
    <w:p>
      <w:pPr>
        <w:spacing w:after="40" w:before="40"/>
      </w:pPr>
      <w:r>
        <w:t xml:space="preserve"/>
      </w:r>
    </w:p>
    <w:p>
      <w:pPr>
        <w:spacing w:after="80" w:before="80" w:line="276" w:lineRule="auto"/>
        <w:jc w:val="both"/>
      </w:pPr>
      <w:r>
        <w:rPr>
          <w:rFonts w:ascii="Arial" w:cs="Arial" w:eastAsia="Arial" w:hAnsi="Arial"/>
          <w:b/>
          <w:bCs/>
          <w:i w:val="false"/>
          <w:iCs w:val="false"/>
          <w:color w:val="000000"/>
          <w:sz w:val="22"/>
          <w:szCs w:val="22"/>
        </w:rPr>
        <w:t xml:space="preserve">Table U-3: Proportional Penalty Matrix</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tblHeader/>
        </w:trPr>
        <w:tc>
          <w:tcPr>
            <w:tcW w:type="dxa" w:w="2400"/>
            <w:tcBorders>
              <w:top w:val="single" w:color="C8A898" w:sz="2"/>
              <w:left w:val="single" w:color="C8A898" w:sz="2"/>
              <w:bottom w:val="single" w:color="C8A898" w:sz="2"/>
              <w:right w:val="single" w:color="C8A898" w:sz="2"/>
            </w:tcBorders>
            <w:shd w:fill="A84300"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TERRITORY SEIZED BEYOND HARD CEILING</w:t>
            </w:r>
          </w:p>
        </w:tc>
        <w:tc>
          <w:tcPr>
            <w:tcW w:type="dxa" w:w="2320"/>
            <w:tcBorders>
              <w:top w:val="single" w:color="C8A898" w:sz="2"/>
              <w:left w:val="single" w:color="C8A898" w:sz="2"/>
              <w:bottom w:val="single" w:color="C8A898" w:sz="2"/>
              <w:right w:val="single" w:color="C8A898" w:sz="2"/>
            </w:tcBorders>
            <w:shd w:fill="A84300"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RECONSTRUCTION CAPITAL FREEZE</w:t>
            </w:r>
          </w:p>
        </w:tc>
        <w:tc>
          <w:tcPr>
            <w:tcW w:type="dxa" w:w="2320"/>
            <w:tcBorders>
              <w:top w:val="single" w:color="C8A898" w:sz="2"/>
              <w:left w:val="single" w:color="C8A898" w:sz="2"/>
              <w:bottom w:val="single" w:color="C8A898" w:sz="2"/>
              <w:right w:val="single" w:color="C8A898" w:sz="2"/>
            </w:tcBorders>
            <w:shd w:fill="A84300"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DUAL-USE SUPPLY CLEARANCE REDUCTION</w:t>
            </w:r>
          </w:p>
        </w:tc>
        <w:tc>
          <w:tcPr>
            <w:tcW w:type="dxa" w:w="2320"/>
            <w:tcBorders>
              <w:top w:val="single" w:color="C8A898" w:sz="2"/>
              <w:left w:val="single" w:color="C8A898" w:sz="2"/>
              <w:bottom w:val="single" w:color="C8A898" w:sz="2"/>
              <w:right w:val="single" w:color="C8A898" w:sz="2"/>
            </w:tcBorders>
            <w:shd w:fill="A84300"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REGIONAL TRANSIT ACCESS REDUCTION</w:t>
            </w:r>
          </w:p>
        </w:tc>
      </w:tr>
      <w:tr>
        <w:trPr>
          <w:tblHeader w:val="false"/>
        </w:trPr>
        <w:tc>
          <w:tcPr>
            <w:tcW w:type="dxa" w:w="2400"/>
            <w:tcBorders>
              <w:top w:val="single" w:color="C8A898" w:sz="2"/>
              <w:left w:val="single" w:color="C8A898" w:sz="2"/>
              <w:bottom w:val="single" w:color="C8A898" w:sz="2"/>
              <w:right w:val="single" w:color="C8A8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1%</w:t>
            </w:r>
          </w:p>
        </w:tc>
        <w:tc>
          <w:tcPr>
            <w:tcW w:type="dxa" w:w="2320"/>
            <w:tcBorders>
              <w:top w:val="single" w:color="C8A898" w:sz="2"/>
              <w:left w:val="single" w:color="C8A898" w:sz="2"/>
              <w:bottom w:val="single" w:color="C8A898" w:sz="2"/>
              <w:right w:val="single" w:color="C8A8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10%</w:t>
            </w:r>
          </w:p>
        </w:tc>
        <w:tc>
          <w:tcPr>
            <w:tcW w:type="dxa" w:w="2320"/>
            <w:tcBorders>
              <w:top w:val="single" w:color="C8A898" w:sz="2"/>
              <w:left w:val="single" w:color="C8A898" w:sz="2"/>
              <w:bottom w:val="single" w:color="C8A898" w:sz="2"/>
              <w:right w:val="single" w:color="C8A8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15%</w:t>
            </w:r>
          </w:p>
        </w:tc>
        <w:tc>
          <w:tcPr>
            <w:tcW w:type="dxa" w:w="2320"/>
            <w:tcBorders>
              <w:top w:val="single" w:color="C8A898" w:sz="2"/>
              <w:left w:val="single" w:color="C8A898" w:sz="2"/>
              <w:bottom w:val="single" w:color="C8A898" w:sz="2"/>
              <w:right w:val="single" w:color="C8A8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5%</w:t>
            </w:r>
          </w:p>
        </w:tc>
      </w:tr>
      <w:tr>
        <w:trPr>
          <w:tblHeader w:val="false"/>
        </w:trPr>
        <w:tc>
          <w:tcPr>
            <w:tcW w:type="dxa" w:w="2400"/>
            <w:tcBorders>
              <w:top w:val="single" w:color="C8A898" w:sz="2"/>
              <w:left w:val="single" w:color="C8A898" w:sz="2"/>
              <w:bottom w:val="single" w:color="C8A898" w:sz="2"/>
              <w:right w:val="single" w:color="C8A8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2%</w:t>
            </w:r>
          </w:p>
        </w:tc>
        <w:tc>
          <w:tcPr>
            <w:tcW w:type="dxa" w:w="2320"/>
            <w:tcBorders>
              <w:top w:val="single" w:color="C8A898" w:sz="2"/>
              <w:left w:val="single" w:color="C8A898" w:sz="2"/>
              <w:bottom w:val="single" w:color="C8A898" w:sz="2"/>
              <w:right w:val="single" w:color="C8A8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25%</w:t>
            </w:r>
          </w:p>
        </w:tc>
        <w:tc>
          <w:tcPr>
            <w:tcW w:type="dxa" w:w="2320"/>
            <w:tcBorders>
              <w:top w:val="single" w:color="C8A898" w:sz="2"/>
              <w:left w:val="single" w:color="C8A898" w:sz="2"/>
              <w:bottom w:val="single" w:color="C8A898" w:sz="2"/>
              <w:right w:val="single" w:color="C8A8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30%</w:t>
            </w:r>
          </w:p>
        </w:tc>
        <w:tc>
          <w:tcPr>
            <w:tcW w:type="dxa" w:w="2320"/>
            <w:tcBorders>
              <w:top w:val="single" w:color="C8A898" w:sz="2"/>
              <w:left w:val="single" w:color="C8A898" w:sz="2"/>
              <w:bottom w:val="single" w:color="C8A898" w:sz="2"/>
              <w:right w:val="single" w:color="C8A8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10%</w:t>
            </w:r>
          </w:p>
        </w:tc>
      </w:tr>
      <w:tr>
        <w:trPr>
          <w:tblHeader w:val="false"/>
        </w:trPr>
        <w:tc>
          <w:tcPr>
            <w:tcW w:type="dxa" w:w="2400"/>
            <w:tcBorders>
              <w:top w:val="single" w:color="C8A898" w:sz="2"/>
              <w:left w:val="single" w:color="C8A898" w:sz="2"/>
              <w:bottom w:val="single" w:color="C8A898" w:sz="2"/>
              <w:right w:val="single" w:color="C8A8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3%</w:t>
            </w:r>
          </w:p>
        </w:tc>
        <w:tc>
          <w:tcPr>
            <w:tcW w:type="dxa" w:w="2320"/>
            <w:tcBorders>
              <w:top w:val="single" w:color="C8A898" w:sz="2"/>
              <w:left w:val="single" w:color="C8A898" w:sz="2"/>
              <w:bottom w:val="single" w:color="C8A898" w:sz="2"/>
              <w:right w:val="single" w:color="C8A8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50%</w:t>
            </w:r>
          </w:p>
        </w:tc>
        <w:tc>
          <w:tcPr>
            <w:tcW w:type="dxa" w:w="2320"/>
            <w:tcBorders>
              <w:top w:val="single" w:color="C8A898" w:sz="2"/>
              <w:left w:val="single" w:color="C8A898" w:sz="2"/>
              <w:bottom w:val="single" w:color="C8A898" w:sz="2"/>
              <w:right w:val="single" w:color="C8A8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60%</w:t>
            </w:r>
          </w:p>
        </w:tc>
        <w:tc>
          <w:tcPr>
            <w:tcW w:type="dxa" w:w="2320"/>
            <w:tcBorders>
              <w:top w:val="single" w:color="C8A898" w:sz="2"/>
              <w:left w:val="single" w:color="C8A898" w:sz="2"/>
              <w:bottom w:val="single" w:color="C8A898" w:sz="2"/>
              <w:right w:val="single" w:color="C8A8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20%</w:t>
            </w:r>
          </w:p>
        </w:tc>
      </w:tr>
      <w:tr>
        <w:trPr>
          <w:tblHeader w:val="false"/>
        </w:trPr>
        <w:tc>
          <w:tcPr>
            <w:tcW w:type="dxa" w:w="2400"/>
            <w:tcBorders>
              <w:top w:val="single" w:color="C8A898" w:sz="2"/>
              <w:left w:val="single" w:color="C8A898" w:sz="2"/>
              <w:bottom w:val="single" w:color="C8A898" w:sz="2"/>
              <w:right w:val="single" w:color="C8A8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4%</w:t>
            </w:r>
          </w:p>
        </w:tc>
        <w:tc>
          <w:tcPr>
            <w:tcW w:type="dxa" w:w="2320"/>
            <w:tcBorders>
              <w:top w:val="single" w:color="C8A898" w:sz="2"/>
              <w:left w:val="single" w:color="C8A898" w:sz="2"/>
              <w:bottom w:val="single" w:color="C8A898" w:sz="2"/>
              <w:right w:val="single" w:color="C8A8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75%</w:t>
            </w:r>
          </w:p>
        </w:tc>
        <w:tc>
          <w:tcPr>
            <w:tcW w:type="dxa" w:w="2320"/>
            <w:tcBorders>
              <w:top w:val="single" w:color="C8A898" w:sz="2"/>
              <w:left w:val="single" w:color="C8A898" w:sz="2"/>
              <w:bottom w:val="single" w:color="C8A898" w:sz="2"/>
              <w:right w:val="single" w:color="C8A8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80%</w:t>
            </w:r>
          </w:p>
        </w:tc>
        <w:tc>
          <w:tcPr>
            <w:tcW w:type="dxa" w:w="2320"/>
            <w:tcBorders>
              <w:top w:val="single" w:color="C8A898" w:sz="2"/>
              <w:left w:val="single" w:color="C8A898" w:sz="2"/>
              <w:bottom w:val="single" w:color="C8A898" w:sz="2"/>
              <w:right w:val="single" w:color="C8A8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40%</w:t>
            </w:r>
          </w:p>
        </w:tc>
      </w:tr>
      <w:tr>
        <w:trPr>
          <w:tblHeader w:val="false"/>
        </w:trPr>
        <w:tc>
          <w:tcPr>
            <w:tcW w:type="dxa" w:w="2400"/>
            <w:tcBorders>
              <w:top w:val="single" w:color="C8A898" w:sz="2"/>
              <w:left w:val="single" w:color="C8A898" w:sz="2"/>
              <w:bottom w:val="single" w:color="C8A898" w:sz="2"/>
              <w:right w:val="single" w:color="C8A8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20"/>
                <w:szCs w:val="20"/>
              </w:rPr>
              <w:t xml:space="preserve">5% or more</w:t>
            </w:r>
          </w:p>
        </w:tc>
        <w:tc>
          <w:tcPr>
            <w:tcW w:type="dxa" w:w="2320"/>
            <w:tcBorders>
              <w:top w:val="single" w:color="C8A898" w:sz="2"/>
              <w:left w:val="single" w:color="C8A898" w:sz="2"/>
              <w:bottom w:val="single" w:color="C8A898" w:sz="2"/>
              <w:right w:val="single" w:color="C8A8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20"/>
                <w:szCs w:val="20"/>
              </w:rPr>
              <w:t xml:space="preserve">100%</w:t>
            </w:r>
          </w:p>
        </w:tc>
        <w:tc>
          <w:tcPr>
            <w:tcW w:type="dxa" w:w="2320"/>
            <w:tcBorders>
              <w:top w:val="single" w:color="C8A898" w:sz="2"/>
              <w:left w:val="single" w:color="C8A898" w:sz="2"/>
              <w:bottom w:val="single" w:color="C8A898" w:sz="2"/>
              <w:right w:val="single" w:color="C8A8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20"/>
                <w:szCs w:val="20"/>
              </w:rPr>
              <w:t xml:space="preserve">100%</w:t>
            </w:r>
          </w:p>
        </w:tc>
        <w:tc>
          <w:tcPr>
            <w:tcW w:type="dxa" w:w="2320"/>
            <w:tcBorders>
              <w:top w:val="single" w:color="C8A898" w:sz="2"/>
              <w:left w:val="single" w:color="C8A898" w:sz="2"/>
              <w:bottom w:val="single" w:color="C8A898" w:sz="2"/>
              <w:right w:val="single" w:color="C8A8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20"/>
                <w:szCs w:val="20"/>
              </w:rPr>
              <w:t xml:space="preserve">100% (full suspension)</w:t>
            </w:r>
          </w:p>
        </w:tc>
      </w:tr>
    </w:tbl>
    <w:p>
      <w:pPr>
        <w:spacing w:after="40" w:before="40"/>
      </w:pPr>
      <w:r>
        <w:t xml:space="preserve"/>
      </w:r>
    </w:p>
    <w:p>
      <w:pPr>
        <w:pStyle w:val="Heading3"/>
        <w:pBdr>
          <w:bottom w:val="single" w:color="A84300" w:sz="4"/>
        </w:pBdr>
        <w:spacing w:after="80" w:before="160"/>
      </w:pPr>
      <w:r>
        <w:rPr>
          <w:rFonts w:ascii="Arial" w:cs="Arial" w:eastAsia="Arial" w:hAnsi="Arial"/>
          <w:b/>
          <w:bCs/>
          <w:color w:val="7B2C00"/>
          <w:sz w:val="24"/>
          <w:szCs w:val="24"/>
        </w:rPr>
        <w:t xml:space="preserve">4.1-A  Reciprocal Penalty Routing Rule</w:t>
      </w:r>
    </w:p>
    <w:p>
      <w:pPr>
        <w:spacing w:after="80" w:before="80" w:line="276" w:lineRule="auto"/>
        <w:jc w:val="both"/>
      </w:pPr>
      <w:r>
        <w:rPr>
          <w:rFonts w:ascii="Arial" w:cs="Arial" w:eastAsia="Arial" w:hAnsi="Arial"/>
          <w:b w:val="false"/>
          <w:bCs w:val="false"/>
          <w:i w:val="false"/>
          <w:iCs w:val="false"/>
          <w:color w:val="000000"/>
          <w:sz w:val="22"/>
          <w:szCs w:val="22"/>
        </w:rPr>
        <w:t xml:space="preserve">The percentages defined in Table U-3 are processed automatically by the Swiss-Omani Escrow Agent using a split-routing logic ledger. Where the Shared Digital Registry registers an automatic breach originating from the Israeli Defense Forces, the PCC Secretariat executes the 10% to 100% penalty calculations against Israel's Sovereign Clearing Accounts and state technology import clearances under the parent framework. The escrowed funds frozen by this action are held in a dedicated strategic stabilization account until compliance is restored per Article 4.2.</w:t>
      </w:r>
    </w:p>
    <w:p>
      <w:pPr>
        <w:spacing w:after="40" w:before="40"/>
      </w:pPr>
      <w:r>
        <w:t xml:space="preserve"/>
      </w:r>
    </w:p>
    <w:p>
      <w:pPr>
        <w:pStyle w:val="Heading2"/>
        <w:shd w:fill="A84300" w:val="clear"/>
        <w:spacing w:after="100" w:before="200"/>
      </w:pPr>
      <w:r>
        <w:rPr>
          <w:rFonts w:ascii="Arial" w:cs="Arial" w:eastAsia="Arial" w:hAnsi="Arial"/>
          <w:b/>
          <w:bCs/>
          <w:color w:val="FFFFFF"/>
          <w:sz w:val="26"/>
          <w:szCs w:val="26"/>
        </w:rPr>
        <w:t xml:space="preserve">4.2  Cumulative and Non-Reversible Penalties</w:t>
      </w:r>
    </w:p>
    <w:p>
      <w:pPr>
        <w:spacing w:after="80" w:before="80" w:line="276" w:lineRule="auto"/>
        <w:jc w:val="both"/>
      </w:pPr>
      <w:r>
        <w:rPr>
          <w:rFonts w:ascii="Arial" w:cs="Arial" w:eastAsia="Arial" w:hAnsi="Arial"/>
          <w:b w:val="false"/>
          <w:bCs w:val="false"/>
          <w:i w:val="false"/>
          <w:iCs w:val="false"/>
          <w:color w:val="000000"/>
          <w:sz w:val="22"/>
          <w:szCs w:val="22"/>
        </w:rPr>
        <w:t xml:space="preserve">Penalties are cumulative and non-reversible unless the violating Party withdraws to the Hard Ceiling and maintains compliance for 30 consecutive days, verified by shared satellite telemetry. Partial withdrawal reduces penalties proportionally but does not reset the compliance clock. The 30-day clock begins only when the violating Party is in full compliance with the Hard Ceiling.</w:t>
      </w:r>
    </w:p>
    <w:p>
      <w:pPr>
        <w:spacing w:after="40" w:before="40"/>
      </w:pPr>
      <w:r>
        <w:t xml:space="preserve"/>
      </w:r>
    </w:p>
    <w:p>
      <w:pPr>
        <w:pStyle w:val="Heading2"/>
        <w:shd w:fill="A84300" w:val="clear"/>
        <w:spacing w:after="100" w:before="200"/>
      </w:pPr>
      <w:r>
        <w:rPr>
          <w:rFonts w:ascii="Arial" w:cs="Arial" w:eastAsia="Arial" w:hAnsi="Arial"/>
          <w:b/>
          <w:bCs/>
          <w:color w:val="FFFFFF"/>
          <w:sz w:val="26"/>
          <w:szCs w:val="26"/>
        </w:rPr>
        <w:t xml:space="preserve">4.3  Escrow of Penalty Revenues</w:t>
      </w:r>
    </w:p>
    <w:p>
      <w:pPr>
        <w:spacing w:after="80" w:before="80" w:line="276" w:lineRule="auto"/>
        <w:jc w:val="both"/>
      </w:pPr>
      <w:r>
        <w:rPr>
          <w:rFonts w:ascii="Arial" w:cs="Arial" w:eastAsia="Arial" w:hAnsi="Arial"/>
          <w:b w:val="false"/>
          <w:bCs w:val="false"/>
          <w:i w:val="false"/>
          <w:iCs w:val="false"/>
          <w:color w:val="000000"/>
          <w:sz w:val="22"/>
          <w:szCs w:val="22"/>
        </w:rPr>
        <w:t xml:space="preserve">Penalty revenues (e.g., frozen reconstruction capital) are held in escrow and disbursed to the non-violating Party's humanitarian account where the violation is not remediated within 14 days. The Swiss-Omani Escrow Agent administers the escrow under the escrow protocols of the parent framework. Interest accrues at the parent framework rate during the escrow period.</w:t>
      </w:r>
    </w:p>
    <w:p>
      <w:pPr>
        <w:spacing w:after="40" w:before="40"/>
      </w:pPr>
      <w:r>
        <w:t xml:space="preserve"/>
      </w:r>
    </w:p>
    <w:p>
      <w:pPr>
        <w:pStyle w:val="Heading2"/>
        <w:shd w:fill="A84300" w:val="clear"/>
        <w:spacing w:after="100" w:before="200"/>
      </w:pPr>
      <w:r>
        <w:rPr>
          <w:rFonts w:ascii="Arial" w:cs="Arial" w:eastAsia="Arial" w:hAnsi="Arial"/>
          <w:b/>
          <w:bCs/>
          <w:color w:val="FFFFFF"/>
          <w:sz w:val="26"/>
          <w:szCs w:val="26"/>
        </w:rPr>
        <w:t xml:space="preserve">4.4  Overlap with Annex T Penalties</w:t>
      </w:r>
    </w:p>
    <w:p>
      <w:pPr>
        <w:spacing w:after="80" w:before="80" w:line="276" w:lineRule="auto"/>
        <w:jc w:val="both"/>
      </w:pPr>
      <w:r>
        <w:rPr>
          <w:rFonts w:ascii="Arial" w:cs="Arial" w:eastAsia="Arial" w:hAnsi="Arial"/>
          <w:b w:val="false"/>
          <w:bCs w:val="false"/>
          <w:i w:val="false"/>
          <w:iCs w:val="false"/>
          <w:color w:val="000000"/>
          <w:sz w:val="22"/>
          <w:szCs w:val="22"/>
        </w:rPr>
        <w:t xml:space="preserve">Cross-reference: Where a territorial breach also triggers the Step-back Protocol under Annex T, the penalties under this Addendum and under Annex T apply cumulatively. The more severe penalty governs where there is overlap, but nothing in this Addendum limits the application of Annex T penalties. The Parties agree that territorial violations pose a unique threat to framework stability and warrant the full application of both penalty architectures.</w:t>
      </w:r>
    </w:p>
    <w:p>
      <w:r>
        <w:br w:type="page"/>
      </w:r>
    </w:p>
    <w:p>
      <w:pPr>
        <w:pStyle w:val="Heading1"/>
        <w:shd w:fill="7B2C00" w:val="clear"/>
        <w:spacing w:after="120" w:before="240"/>
      </w:pPr>
      <w:r>
        <w:rPr>
          <w:rFonts w:ascii="Arial" w:cs="Arial" w:eastAsia="Arial" w:hAnsi="Arial"/>
          <w:b/>
          <w:bCs/>
          <w:color w:val="FFFFFF"/>
          <w:sz w:val="30"/>
          <w:szCs w:val="30"/>
        </w:rPr>
        <w:t xml:space="preserve">Article 5: Shared Digital Registry</w:t>
      </w:r>
    </w:p>
    <w:p>
      <w:pPr>
        <w:shd w:fill="A84300" w:val="clear"/>
        <w:spacing w:after="80" w:before="120"/>
      </w:pPr>
      <w:r>
        <w:rPr>
          <w:rFonts w:ascii="Arial" w:cs="Arial" w:eastAsia="Arial" w:hAnsi="Arial"/>
          <w:b/>
          <w:bCs/>
          <w:color w:val="FFFFFF"/>
          <w:sz w:val="18"/>
          <w:szCs w:val="18"/>
        </w:rPr>
        <w:t xml:space="preserve"> OPERATIVE AND BINDING </w:t>
      </w:r>
    </w:p>
    <w:p>
      <w:pPr>
        <w:spacing w:after="40" w:before="40"/>
      </w:pPr>
      <w:r>
        <w:t xml:space="preserve"/>
      </w:r>
    </w:p>
    <w:p>
      <w:pPr>
        <w:pStyle w:val="Heading2"/>
        <w:shd w:fill="A84300" w:val="clear"/>
        <w:spacing w:after="100" w:before="200"/>
      </w:pPr>
      <w:r>
        <w:rPr>
          <w:rFonts w:ascii="Arial" w:cs="Arial" w:eastAsia="Arial" w:hAnsi="Arial"/>
          <w:b/>
          <w:bCs/>
          <w:color w:val="FFFFFF"/>
          <w:sz w:val="26"/>
          <w:szCs w:val="26"/>
        </w:rPr>
        <w:t xml:space="preserve">5.1  Establishment and Operation</w:t>
      </w:r>
    </w:p>
    <w:p>
      <w:pPr>
        <w:spacing w:after="80" w:before="80" w:line="276" w:lineRule="auto"/>
        <w:jc w:val="both"/>
      </w:pPr>
      <w:r>
        <w:rPr>
          <w:rFonts w:ascii="Arial" w:cs="Arial" w:eastAsia="Arial" w:hAnsi="Arial"/>
          <w:b w:val="false"/>
          <w:bCs w:val="false"/>
          <w:i w:val="false"/>
          <w:iCs w:val="false"/>
          <w:color w:val="000000"/>
          <w:sz w:val="22"/>
          <w:szCs w:val="22"/>
        </w:rPr>
        <w:t xml:space="preserve">A Shared Digital Registry is hereby established, operated by the PCC Secretariat in Geneva, with the following features:</w:t>
      </w:r>
    </w:p>
    <w:p>
      <w:pPr>
        <w:spacing w:after="40" w:before="40"/>
      </w:pPr>
      <w:r>
        <w:t xml:space="preserve"/>
      </w:r>
    </w:p>
    <w:p>
      <w:pPr>
        <w:pStyle w:val="ListParagraph"/>
        <w:numPr>
          <w:ilvl w:val="0"/>
          <w:numId w:val="2"/>
        </w:numPr>
        <w:spacing w:after="60" w:before="60"/>
      </w:pPr>
      <w:r>
        <w:rPr>
          <w:rFonts w:ascii="Arial" w:cs="Arial" w:eastAsia="Arial" w:hAnsi="Arial"/>
          <w:sz w:val="22"/>
          <w:szCs w:val="22"/>
        </w:rPr>
        <w:t xml:space="preserve">Real-time ingestion of satellite telemetry from all participating guarantor states (US, China, Russia, EU, Oman, Qatar)</w:t>
      </w:r>
    </w:p>
    <w:p>
      <w:pPr>
        <w:pStyle w:val="ListParagraph"/>
        <w:numPr>
          <w:ilvl w:val="0"/>
          <w:numId w:val="2"/>
        </w:numPr>
        <w:spacing w:after="60" w:before="60"/>
      </w:pPr>
      <w:r>
        <w:rPr>
          <w:rFonts w:ascii="Arial" w:cs="Arial" w:eastAsia="Arial" w:hAnsi="Arial"/>
          <w:sz w:val="22"/>
          <w:szCs w:val="22"/>
        </w:rPr>
        <w:t xml:space="preserve">Unalterable, timestamped ledger of all border activity</w:t>
      </w:r>
    </w:p>
    <w:p>
      <w:pPr>
        <w:pStyle w:val="ListParagraph"/>
        <w:numPr>
          <w:ilvl w:val="0"/>
          <w:numId w:val="2"/>
        </w:numPr>
        <w:spacing w:after="60" w:before="60"/>
      </w:pPr>
      <w:r>
        <w:rPr>
          <w:rFonts w:ascii="Arial" w:cs="Arial" w:eastAsia="Arial" w:hAnsi="Arial"/>
          <w:sz w:val="22"/>
          <w:szCs w:val="22"/>
        </w:rPr>
        <w:t xml:space="preserve">Accessible 24/7 to all Parties and guarantor states</w:t>
      </w:r>
    </w:p>
    <w:p>
      <w:pPr>
        <w:pStyle w:val="ListParagraph"/>
        <w:numPr>
          <w:ilvl w:val="0"/>
          <w:numId w:val="2"/>
        </w:numPr>
        <w:spacing w:after="60" w:before="60"/>
      </w:pPr>
      <w:r>
        <w:rPr>
          <w:rFonts w:ascii="Arial" w:cs="Arial" w:eastAsia="Arial" w:hAnsi="Arial"/>
          <w:sz w:val="22"/>
          <w:szCs w:val="22"/>
        </w:rPr>
        <w:t xml:space="preserve">Automated alert system for any detected movement beyond the Hard Ceiling</w:t>
      </w:r>
    </w:p>
    <w:p>
      <w:pPr>
        <w:spacing w:after="40" w:before="40"/>
      </w:pPr>
      <w:r>
        <w:t xml:space="preserve"/>
      </w:r>
    </w:p>
    <w:p>
      <w:pPr>
        <w:pStyle w:val="Heading2"/>
        <w:shd w:fill="A84300" w:val="clear"/>
        <w:spacing w:after="100" w:before="200"/>
      </w:pPr>
      <w:r>
        <w:rPr>
          <w:rFonts w:ascii="Arial" w:cs="Arial" w:eastAsia="Arial" w:hAnsi="Arial"/>
          <w:b/>
          <w:bCs/>
          <w:color w:val="FFFFFF"/>
          <w:sz w:val="26"/>
          <w:szCs w:val="26"/>
        </w:rPr>
        <w:t xml:space="preserve">5.2  Data Integrity and Transparency</w:t>
      </w:r>
    </w:p>
    <w:p>
      <w:pPr>
        <w:spacing w:after="80" w:before="80" w:line="276" w:lineRule="auto"/>
        <w:jc w:val="both"/>
      </w:pPr>
      <w:r>
        <w:rPr>
          <w:rFonts w:ascii="Arial" w:cs="Arial" w:eastAsia="Arial" w:hAnsi="Arial"/>
          <w:b w:val="false"/>
          <w:bCs w:val="false"/>
          <w:i w:val="false"/>
          <w:iCs w:val="false"/>
          <w:color w:val="000000"/>
          <w:sz w:val="22"/>
          <w:szCs w:val="22"/>
        </w:rPr>
        <w:t xml:space="preserve">All satellite monitoring data of the Gaza and Lebanon borders feeds directly into the Shared Digital Registry. No Party unilaterally classifies, delays, or redacts data submitted to the Registry. Any attempt to do so constitutes a Tier 2 Material Disruption under Annex T, Article II.</w:t>
      </w:r>
    </w:p>
    <w:p>
      <w:pPr>
        <w:spacing w:after="40" w:before="40"/>
      </w:pPr>
      <w:r>
        <w:t xml:space="preserve"/>
      </w:r>
    </w:p>
    <w:p>
      <w:pPr>
        <w:pStyle w:val="Heading2"/>
        <w:shd w:fill="A84300" w:val="clear"/>
        <w:spacing w:after="100" w:before="200"/>
      </w:pPr>
      <w:r>
        <w:rPr>
          <w:rFonts w:ascii="Arial" w:cs="Arial" w:eastAsia="Arial" w:hAnsi="Arial"/>
          <w:b/>
          <w:bCs/>
          <w:color w:val="FFFFFF"/>
          <w:sz w:val="26"/>
          <w:szCs w:val="26"/>
        </w:rPr>
        <w:t xml:space="preserve">5.3  Algorithmic Review</w:t>
      </w:r>
    </w:p>
    <w:p>
      <w:pPr>
        <w:spacing w:after="80" w:before="80" w:line="276" w:lineRule="auto"/>
        <w:jc w:val="both"/>
      </w:pPr>
      <w:r>
        <w:rPr>
          <w:rFonts w:ascii="Arial" w:cs="Arial" w:eastAsia="Arial" w:hAnsi="Arial"/>
          <w:b w:val="false"/>
          <w:bCs w:val="false"/>
          <w:i w:val="false"/>
          <w:iCs w:val="false"/>
          <w:color w:val="000000"/>
          <w:sz w:val="22"/>
          <w:szCs w:val="22"/>
        </w:rPr>
        <w:t xml:space="preserve">The Registry's automated breach detection algorithm is reviewed weekly by a PCC technical subcommittee. The algorithm's source code is escrowed with the Swiss-Omani Escrow Agent and available for inspection by any Party upon request. The technical subcommittee comprises one representative from each guarantor state with relevant technical expertise.</w:t>
      </w:r>
    </w:p>
    <w:p>
      <w:pPr>
        <w:spacing w:after="40" w:before="40"/>
      </w:pPr>
      <w:r>
        <w:t xml:space="preserve"/>
      </w:r>
    </w:p>
    <w:p>
      <w:pPr>
        <w:pStyle w:val="Heading2"/>
        <w:shd w:fill="A84300" w:val="clear"/>
        <w:spacing w:after="100" w:before="200"/>
      </w:pPr>
      <w:r>
        <w:rPr>
          <w:rFonts w:ascii="Arial" w:cs="Arial" w:eastAsia="Arial" w:hAnsi="Arial"/>
          <w:b/>
          <w:bCs/>
          <w:color w:val="FFFFFF"/>
          <w:sz w:val="26"/>
          <w:szCs w:val="26"/>
        </w:rPr>
        <w:t xml:space="preserve">5.4  Evidentiary Status</w:t>
      </w:r>
    </w:p>
    <w:p>
      <w:pPr>
        <w:spacing w:after="80" w:before="80" w:line="276" w:lineRule="auto"/>
        <w:jc w:val="both"/>
      </w:pPr>
      <w:r>
        <w:rPr>
          <w:rFonts w:ascii="Arial" w:cs="Arial" w:eastAsia="Arial" w:hAnsi="Arial"/>
          <w:b w:val="false"/>
          <w:bCs w:val="false"/>
          <w:i w:val="false"/>
          <w:iCs w:val="false"/>
          <w:color w:val="000000"/>
          <w:sz w:val="22"/>
          <w:szCs w:val="22"/>
        </w:rPr>
        <w:t xml:space="preserve">Data from the Shared Digital Registry constitutes presumptive evidence in any dispute proceeding. The burden of rebutting Registry data rests with the Party challenging its accuracy. A Party seeking to rebut Registry data provides: independent satellite imagery from a recognized commercial provider; on-the-ground verification by a PCC-accredited observer; or technical evidence of a material algorithmic error in the Registry's classification.</w:t>
      </w:r>
    </w:p>
    <w:p>
      <w:pPr>
        <w:spacing w:after="40" w:before="40"/>
      </w:pPr>
      <w:r>
        <w:t xml:space="preserve"/>
      </w:r>
    </w:p>
    <w:p>
      <w:pPr>
        <w:spacing w:after="80" w:before="80" w:line="276" w:lineRule="auto"/>
        <w:jc w:val="both"/>
      </w:pPr>
      <w:r>
        <w:rPr>
          <w:rFonts w:ascii="Arial" w:cs="Arial" w:eastAsia="Arial" w:hAnsi="Arial"/>
          <w:b/>
          <w:bCs/>
          <w:i w:val="false"/>
          <w:iCs w:val="false"/>
          <w:color w:val="000000"/>
          <w:sz w:val="22"/>
          <w:szCs w:val="22"/>
        </w:rPr>
        <w:t xml:space="preserve">Table U-4: Shared Digital Registry Technical Specifications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80"/>
        <w:gridCol w:w="3480"/>
      </w:tblGrid>
      <w:tr>
        <w:trPr>
          <w:tblHeader/>
        </w:trPr>
        <w:tc>
          <w:tcPr>
            <w:tcW w:type="dxa" w:w="1800"/>
            <w:tcBorders>
              <w:top w:val="single" w:color="C8A898" w:sz="2"/>
              <w:left w:val="single" w:color="C8A898" w:sz="2"/>
              <w:bottom w:val="single" w:color="C8A898" w:sz="2"/>
              <w:right w:val="single" w:color="C8A898" w:sz="2"/>
            </w:tcBorders>
            <w:shd w:fill="A84300"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ELEMENT</w:t>
            </w:r>
          </w:p>
        </w:tc>
        <w:tc>
          <w:tcPr>
            <w:tcW w:type="dxa" w:w="4080"/>
            <w:tcBorders>
              <w:top w:val="single" w:color="C8A898" w:sz="2"/>
              <w:left w:val="single" w:color="C8A898" w:sz="2"/>
              <w:bottom w:val="single" w:color="C8A898" w:sz="2"/>
              <w:right w:val="single" w:color="C8A898" w:sz="2"/>
            </w:tcBorders>
            <w:shd w:fill="A84300"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SPECIFICATION</w:t>
            </w:r>
          </w:p>
        </w:tc>
        <w:tc>
          <w:tcPr>
            <w:tcW w:type="dxa" w:w="3480"/>
            <w:tcBorders>
              <w:top w:val="single" w:color="C8A898" w:sz="2"/>
              <w:left w:val="single" w:color="C8A898" w:sz="2"/>
              <w:bottom w:val="single" w:color="C8A898" w:sz="2"/>
              <w:right w:val="single" w:color="C8A898" w:sz="2"/>
            </w:tcBorders>
            <w:shd w:fill="A84300"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GOVERNANCE</w:t>
            </w:r>
          </w:p>
        </w:tc>
      </w:tr>
      <w:tr>
        <w:trPr>
          <w:tblHeader w:val="false"/>
        </w:trPr>
        <w:tc>
          <w:tcPr>
            <w:tcW w:type="dxa" w:w="1800"/>
            <w:tcBorders>
              <w:top w:val="single" w:color="C8A898" w:sz="2"/>
              <w:left w:val="single" w:color="C8A898" w:sz="2"/>
              <w:bottom w:val="single" w:color="C8A898" w:sz="2"/>
              <w:right w:val="single" w:color="C8A8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20"/>
                <w:szCs w:val="20"/>
              </w:rPr>
              <w:t xml:space="preserve">Data sources</w:t>
            </w:r>
          </w:p>
        </w:tc>
        <w:tc>
          <w:tcPr>
            <w:tcW w:type="dxa" w:w="4080"/>
            <w:tcBorders>
              <w:top w:val="single" w:color="C8A898" w:sz="2"/>
              <w:left w:val="single" w:color="C8A898" w:sz="2"/>
              <w:bottom w:val="single" w:color="C8A898" w:sz="2"/>
              <w:right w:val="single" w:color="C8A8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EO, SAR, thermal, AIS, signals, ground observer</w:t>
            </w:r>
          </w:p>
        </w:tc>
        <w:tc>
          <w:tcPr>
            <w:tcW w:type="dxa" w:w="3480"/>
            <w:tcBorders>
              <w:top w:val="single" w:color="C8A898" w:sz="2"/>
              <w:left w:val="single" w:color="C8A898" w:sz="2"/>
              <w:bottom w:val="single" w:color="C8A898" w:sz="2"/>
              <w:right w:val="single" w:color="C8A8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All guarantor states submit; PCC technical subcommittee validates</w:t>
            </w:r>
          </w:p>
        </w:tc>
      </w:tr>
      <w:tr>
        <w:trPr>
          <w:tblHeader w:val="false"/>
        </w:trPr>
        <w:tc>
          <w:tcPr>
            <w:tcW w:type="dxa" w:w="1800"/>
            <w:tcBorders>
              <w:top w:val="single" w:color="C8A898" w:sz="2"/>
              <w:left w:val="single" w:color="C8A898" w:sz="2"/>
              <w:bottom w:val="single" w:color="C8A898" w:sz="2"/>
              <w:right w:val="single" w:color="C8A8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20"/>
                <w:szCs w:val="20"/>
              </w:rPr>
              <w:t xml:space="preserve">Update frequency</w:t>
            </w:r>
          </w:p>
        </w:tc>
        <w:tc>
          <w:tcPr>
            <w:tcW w:type="dxa" w:w="4080"/>
            <w:tcBorders>
              <w:top w:val="single" w:color="C8A898" w:sz="2"/>
              <w:left w:val="single" w:color="C8A898" w:sz="2"/>
              <w:bottom w:val="single" w:color="C8A898" w:sz="2"/>
              <w:right w:val="single" w:color="C8A8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Real-time ingestion; 15-minute composite refresh</w:t>
            </w:r>
          </w:p>
        </w:tc>
        <w:tc>
          <w:tcPr>
            <w:tcW w:type="dxa" w:w="3480"/>
            <w:tcBorders>
              <w:top w:val="single" w:color="C8A898" w:sz="2"/>
              <w:left w:val="single" w:color="C8A898" w:sz="2"/>
              <w:bottom w:val="single" w:color="C8A898" w:sz="2"/>
              <w:right w:val="single" w:color="C8A8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Automated; no Party delays or redacts</w:t>
            </w:r>
          </w:p>
        </w:tc>
      </w:tr>
      <w:tr>
        <w:trPr>
          <w:tblHeader w:val="false"/>
        </w:trPr>
        <w:tc>
          <w:tcPr>
            <w:tcW w:type="dxa" w:w="1800"/>
            <w:tcBorders>
              <w:top w:val="single" w:color="C8A898" w:sz="2"/>
              <w:left w:val="single" w:color="C8A898" w:sz="2"/>
              <w:bottom w:val="single" w:color="C8A898" w:sz="2"/>
              <w:right w:val="single" w:color="C8A8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20"/>
                <w:szCs w:val="20"/>
              </w:rPr>
              <w:t xml:space="preserve">Ledger technology</w:t>
            </w:r>
          </w:p>
        </w:tc>
        <w:tc>
          <w:tcPr>
            <w:tcW w:type="dxa" w:w="4080"/>
            <w:tcBorders>
              <w:top w:val="single" w:color="C8A898" w:sz="2"/>
              <w:left w:val="single" w:color="C8A898" w:sz="2"/>
              <w:bottom w:val="single" w:color="C8A898" w:sz="2"/>
              <w:right w:val="single" w:color="C8A8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SHA-3 cryptographic chaining; distributed across 6 guarantor nodes</w:t>
            </w:r>
          </w:p>
        </w:tc>
        <w:tc>
          <w:tcPr>
            <w:tcW w:type="dxa" w:w="3480"/>
            <w:tcBorders>
              <w:top w:val="single" w:color="C8A898" w:sz="2"/>
              <w:left w:val="single" w:color="C8A898" w:sz="2"/>
              <w:bottom w:val="single" w:color="C8A898" w:sz="2"/>
              <w:right w:val="single" w:color="C8A8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Swiss-Omani Escrow Agent holds master key escrow; any Party audits the chain</w:t>
            </w:r>
          </w:p>
        </w:tc>
      </w:tr>
      <w:tr>
        <w:trPr>
          <w:tblHeader w:val="false"/>
        </w:trPr>
        <w:tc>
          <w:tcPr>
            <w:tcW w:type="dxa" w:w="1800"/>
            <w:tcBorders>
              <w:top w:val="single" w:color="C8A898" w:sz="2"/>
              <w:left w:val="single" w:color="C8A898" w:sz="2"/>
              <w:bottom w:val="single" w:color="C8A898" w:sz="2"/>
              <w:right w:val="single" w:color="C8A8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20"/>
                <w:szCs w:val="20"/>
              </w:rPr>
              <w:t xml:space="preserve">Alert threshold</w:t>
            </w:r>
          </w:p>
        </w:tc>
        <w:tc>
          <w:tcPr>
            <w:tcW w:type="dxa" w:w="4080"/>
            <w:tcBorders>
              <w:top w:val="single" w:color="C8A898" w:sz="2"/>
              <w:left w:val="single" w:color="C8A898" w:sz="2"/>
              <w:bottom w:val="single" w:color="C8A898" w:sz="2"/>
              <w:right w:val="single" w:color="C8A8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Automated alert at 500m proximity; breach classification at Hard Ceiling crossing</w:t>
            </w:r>
          </w:p>
        </w:tc>
        <w:tc>
          <w:tcPr>
            <w:tcW w:type="dxa" w:w="3480"/>
            <w:tcBorders>
              <w:top w:val="single" w:color="C8A898" w:sz="2"/>
              <w:left w:val="single" w:color="C8A898" w:sz="2"/>
              <w:bottom w:val="single" w:color="C8A898" w:sz="2"/>
              <w:right w:val="single" w:color="C8A8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Algorithm reviewed weekly; source code escrowed with Swiss-Omani Escrow Agent</w:t>
            </w:r>
          </w:p>
        </w:tc>
      </w:tr>
      <w:tr>
        <w:trPr>
          <w:tblHeader w:val="false"/>
        </w:trPr>
        <w:tc>
          <w:tcPr>
            <w:tcW w:type="dxa" w:w="1800"/>
            <w:tcBorders>
              <w:top w:val="single" w:color="C8A898" w:sz="2"/>
              <w:left w:val="single" w:color="C8A898" w:sz="2"/>
              <w:bottom w:val="single" w:color="C8A898" w:sz="2"/>
              <w:right w:val="single" w:color="C8A8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20"/>
                <w:szCs w:val="20"/>
              </w:rPr>
              <w:t xml:space="preserve">Access rights</w:t>
            </w:r>
          </w:p>
        </w:tc>
        <w:tc>
          <w:tcPr>
            <w:tcW w:type="dxa" w:w="4080"/>
            <w:tcBorders>
              <w:top w:val="single" w:color="C8A898" w:sz="2"/>
              <w:left w:val="single" w:color="C8A898" w:sz="2"/>
              <w:bottom w:val="single" w:color="C8A898" w:sz="2"/>
              <w:right w:val="single" w:color="C8A8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24/7 read access for all Parties and guarantors; write access restricted to PCC Secretariat</w:t>
            </w:r>
          </w:p>
        </w:tc>
        <w:tc>
          <w:tcPr>
            <w:tcW w:type="dxa" w:w="3480"/>
            <w:tcBorders>
              <w:top w:val="single" w:color="C8A898" w:sz="2"/>
              <w:left w:val="single" w:color="C8A898" w:sz="2"/>
              <w:bottom w:val="single" w:color="C8A898" w:sz="2"/>
              <w:right w:val="single" w:color="C8A8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Dual-key authentication; HSM-protected credentials</w:t>
            </w:r>
          </w:p>
        </w:tc>
      </w:tr>
      <w:tr>
        <w:trPr>
          <w:tblHeader w:val="false"/>
        </w:trPr>
        <w:tc>
          <w:tcPr>
            <w:tcW w:type="dxa" w:w="1800"/>
            <w:tcBorders>
              <w:top w:val="single" w:color="C8A898" w:sz="2"/>
              <w:left w:val="single" w:color="C8A898" w:sz="2"/>
              <w:bottom w:val="single" w:color="C8A898" w:sz="2"/>
              <w:right w:val="single" w:color="C8A8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20"/>
                <w:szCs w:val="20"/>
              </w:rPr>
              <w:t xml:space="preserve">Retention</w:t>
            </w:r>
          </w:p>
        </w:tc>
        <w:tc>
          <w:tcPr>
            <w:tcW w:type="dxa" w:w="4080"/>
            <w:tcBorders>
              <w:top w:val="single" w:color="C8A898" w:sz="2"/>
              <w:left w:val="single" w:color="C8A898" w:sz="2"/>
              <w:bottom w:val="single" w:color="C8A898" w:sz="2"/>
              <w:right w:val="single" w:color="C8A8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Permanent archive; 10-year minimum retention post-truce</w:t>
            </w:r>
          </w:p>
        </w:tc>
        <w:tc>
          <w:tcPr>
            <w:tcW w:type="dxa" w:w="3480"/>
            <w:tcBorders>
              <w:top w:val="single" w:color="C8A898" w:sz="2"/>
              <w:left w:val="single" w:color="C8A898" w:sz="2"/>
              <w:bottom w:val="single" w:color="C8A898" w:sz="2"/>
              <w:right w:val="single" w:color="C8A8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PCC Secretariat administers; PCA requests historical data</w:t>
            </w:r>
          </w:p>
        </w:tc>
      </w:tr>
    </w:tbl>
    <w:p>
      <w:r>
        <w:br w:type="page"/>
      </w:r>
    </w:p>
    <w:p>
      <w:pPr>
        <w:pStyle w:val="Heading1"/>
        <w:shd w:fill="7B2C00" w:val="clear"/>
        <w:spacing w:after="120" w:before="240"/>
      </w:pPr>
      <w:r>
        <w:rPr>
          <w:rFonts w:ascii="Arial" w:cs="Arial" w:eastAsia="Arial" w:hAnsi="Arial"/>
          <w:b/>
          <w:bCs/>
          <w:color w:val="FFFFFF"/>
          <w:sz w:val="30"/>
          <w:szCs w:val="30"/>
        </w:rPr>
        <w:t xml:space="preserve">Article 6: Emergency Fast-Track Arbitration</w:t>
      </w:r>
    </w:p>
    <w:p>
      <w:pPr>
        <w:shd w:fill="A84300" w:val="clear"/>
        <w:spacing w:after="80" w:before="120"/>
      </w:pPr>
      <w:r>
        <w:rPr>
          <w:rFonts w:ascii="Arial" w:cs="Arial" w:eastAsia="Arial" w:hAnsi="Arial"/>
          <w:b/>
          <w:bCs/>
          <w:color w:val="FFFFFF"/>
          <w:sz w:val="18"/>
          <w:szCs w:val="18"/>
        </w:rPr>
        <w:t xml:space="preserve"> OPERATIVE AND BINDING </w:t>
      </w:r>
    </w:p>
    <w:p>
      <w:pPr>
        <w:spacing w:after="40" w:before="40"/>
      </w:pPr>
      <w:r>
        <w:t xml:space="preserve"/>
      </w:r>
    </w:p>
    <w:p>
      <w:pPr>
        <w:pStyle w:val="Heading2"/>
        <w:shd w:fill="A84300" w:val="clear"/>
        <w:spacing w:after="100" w:before="200"/>
      </w:pPr>
      <w:r>
        <w:rPr>
          <w:rFonts w:ascii="Arial" w:cs="Arial" w:eastAsia="Arial" w:hAnsi="Arial"/>
          <w:b/>
          <w:bCs/>
          <w:color w:val="FFFFFF"/>
          <w:sz w:val="26"/>
          <w:szCs w:val="26"/>
        </w:rPr>
        <w:t xml:space="preserve">6.1  Panel Composition</w:t>
      </w:r>
    </w:p>
    <w:p>
      <w:pPr>
        <w:spacing w:after="80" w:before="80" w:line="276" w:lineRule="auto"/>
        <w:jc w:val="both"/>
      </w:pPr>
      <w:r>
        <w:rPr>
          <w:rFonts w:ascii="Arial" w:cs="Arial" w:eastAsia="Arial" w:hAnsi="Arial"/>
          <w:b w:val="false"/>
          <w:bCs w:val="false"/>
          <w:i w:val="false"/>
          <w:iCs w:val="false"/>
          <w:color w:val="000000"/>
          <w:sz w:val="22"/>
          <w:szCs w:val="22"/>
        </w:rPr>
        <w:t xml:space="preserve">Any dispute arising from this Addendum that the Shared Digital Registry's automated classification does not resolve is referred to an Emergency Fast-Track Arbitration Panel composed of:</w:t>
      </w:r>
    </w:p>
    <w:p>
      <w:pPr>
        <w:spacing w:after="40" w:before="40"/>
      </w:pPr>
      <w:r>
        <w:t xml:space="preserve"/>
      </w:r>
    </w:p>
    <w:p>
      <w:pPr>
        <w:pStyle w:val="ListParagraph"/>
        <w:numPr>
          <w:ilvl w:val="0"/>
          <w:numId w:val="2"/>
        </w:numPr>
        <w:spacing w:after="60" w:before="60"/>
      </w:pPr>
      <w:r>
        <w:rPr>
          <w:rFonts w:ascii="Arial" w:cs="Arial" w:eastAsia="Arial" w:hAnsi="Arial"/>
          <w:sz w:val="22"/>
          <w:szCs w:val="22"/>
        </w:rPr>
        <w:t xml:space="preserve">One member appointed by the United States (within 12 hours)</w:t>
      </w:r>
    </w:p>
    <w:p>
      <w:pPr>
        <w:pStyle w:val="ListParagraph"/>
        <w:numPr>
          <w:ilvl w:val="0"/>
          <w:numId w:val="2"/>
        </w:numPr>
        <w:spacing w:after="60" w:before="60"/>
      </w:pPr>
      <w:r>
        <w:rPr>
          <w:rFonts w:ascii="Arial" w:cs="Arial" w:eastAsia="Arial" w:hAnsi="Arial"/>
          <w:sz w:val="22"/>
          <w:szCs w:val="22"/>
        </w:rPr>
        <w:t xml:space="preserve">One member appointed by the Islamic Republic of Iran (within 12 hours)</w:t>
      </w:r>
    </w:p>
    <w:p>
      <w:pPr>
        <w:pStyle w:val="ListParagraph"/>
        <w:numPr>
          <w:ilvl w:val="0"/>
          <w:numId w:val="2"/>
        </w:numPr>
        <w:spacing w:after="60" w:before="60"/>
      </w:pPr>
      <w:r>
        <w:rPr>
          <w:rFonts w:ascii="Arial" w:cs="Arial" w:eastAsia="Arial" w:hAnsi="Arial"/>
          <w:sz w:val="22"/>
          <w:szCs w:val="22"/>
        </w:rPr>
        <w:t xml:space="preserve">One neutral chair appointed by the PCA Secretary-General (within 24 hours)</w:t>
      </w:r>
    </w:p>
    <w:p>
      <w:pPr>
        <w:spacing w:after="40" w:before="40"/>
      </w:pPr>
      <w:r>
        <w:t xml:space="preserve"/>
      </w:r>
    </w:p>
    <w:p>
      <w:pPr>
        <w:pStyle w:val="Heading2"/>
        <w:shd w:fill="A84300" w:val="clear"/>
        <w:spacing w:after="100" w:before="200"/>
      </w:pPr>
      <w:r>
        <w:rPr>
          <w:rFonts w:ascii="Arial" w:cs="Arial" w:eastAsia="Arial" w:hAnsi="Arial"/>
          <w:b/>
          <w:bCs/>
          <w:color w:val="FFFFFF"/>
          <w:sz w:val="26"/>
          <w:szCs w:val="26"/>
        </w:rPr>
        <w:t xml:space="preserve">6.2  Binding Ruling</w:t>
      </w:r>
    </w:p>
    <w:p>
      <w:pPr>
        <w:spacing w:after="80" w:before="80" w:line="276" w:lineRule="auto"/>
        <w:jc w:val="both"/>
      </w:pPr>
      <w:r>
        <w:rPr>
          <w:rFonts w:ascii="Arial" w:cs="Arial" w:eastAsia="Arial" w:hAnsi="Arial"/>
          <w:b w:val="false"/>
          <w:bCs w:val="false"/>
          <w:i w:val="false"/>
          <w:iCs w:val="false"/>
          <w:color w:val="000000"/>
          <w:sz w:val="22"/>
          <w:szCs w:val="22"/>
        </w:rPr>
        <w:t xml:space="preserve">The Panel issues a binding ruling within 48 hours of the dispute being filed. Rulings are final and not subject to appeal.</w:t>
      </w:r>
    </w:p>
    <w:p>
      <w:pPr>
        <w:spacing w:after="40" w:before="40"/>
      </w:pPr>
      <w:r>
        <w:t xml:space="preserve"/>
      </w:r>
    </w:p>
    <w:p>
      <w:pPr>
        <w:pStyle w:val="Heading2"/>
        <w:shd w:fill="A84300" w:val="clear"/>
        <w:spacing w:after="100" w:before="200"/>
      </w:pPr>
      <w:r>
        <w:rPr>
          <w:rFonts w:ascii="Arial" w:cs="Arial" w:eastAsia="Arial" w:hAnsi="Arial"/>
          <w:b/>
          <w:bCs/>
          <w:color w:val="FFFFFF"/>
          <w:sz w:val="26"/>
          <w:szCs w:val="26"/>
        </w:rPr>
        <w:t xml:space="preserve">6.3  Arbitration Window Obligations</w:t>
      </w:r>
    </w:p>
    <w:p>
      <w:pPr>
        <w:spacing w:after="80" w:before="80" w:line="276" w:lineRule="auto"/>
        <w:jc w:val="both"/>
      </w:pPr>
      <w:r>
        <w:rPr>
          <w:rFonts w:ascii="Arial" w:cs="Arial" w:eastAsia="Arial" w:hAnsi="Arial"/>
          <w:b w:val="false"/>
          <w:bCs w:val="false"/>
          <w:i w:val="false"/>
          <w:iCs w:val="false"/>
          <w:color w:val="000000"/>
          <w:sz w:val="22"/>
          <w:szCs w:val="22"/>
        </w:rPr>
        <w:t xml:space="preserve">During the 48-hour arbitration window:</w:t>
      </w:r>
    </w:p>
    <w:p>
      <w:pPr>
        <w:spacing w:after="40" w:before="40"/>
      </w:pPr>
      <w:r>
        <w:t xml:space="preserve"/>
      </w:r>
    </w:p>
    <w:p>
      <w:pPr>
        <w:pStyle w:val="ListParagraph"/>
        <w:numPr>
          <w:ilvl w:val="0"/>
          <w:numId w:val="2"/>
        </w:numPr>
        <w:spacing w:after="60" w:before="60"/>
      </w:pPr>
      <w:r>
        <w:rPr>
          <w:rFonts w:ascii="Arial" w:cs="Arial" w:eastAsia="Arial" w:hAnsi="Arial"/>
          <w:sz w:val="22"/>
          <w:szCs w:val="22"/>
        </w:rPr>
        <w:t xml:space="preserve">The Escalation Buffer Period under Annex R.a remains active.</w:t>
      </w:r>
    </w:p>
    <w:p>
      <w:pPr>
        <w:pStyle w:val="ListParagraph"/>
        <w:numPr>
          <w:ilvl w:val="0"/>
          <w:numId w:val="2"/>
        </w:numPr>
        <w:spacing w:after="60" w:before="60"/>
      </w:pPr>
      <w:r>
        <w:rPr>
          <w:rFonts w:ascii="Arial" w:cs="Arial" w:eastAsia="Arial" w:hAnsi="Arial"/>
          <w:sz w:val="22"/>
          <w:szCs w:val="22"/>
        </w:rPr>
        <w:t xml:space="preserve">No retaliatory military action is permitted.</w:t>
      </w:r>
    </w:p>
    <w:p>
      <w:pPr>
        <w:pStyle w:val="ListParagraph"/>
        <w:numPr>
          <w:ilvl w:val="0"/>
          <w:numId w:val="2"/>
        </w:numPr>
        <w:spacing w:after="60" w:before="60"/>
      </w:pPr>
      <w:r>
        <w:rPr>
          <w:rFonts w:ascii="Arial" w:cs="Arial" w:eastAsia="Arial" w:hAnsi="Arial"/>
          <w:sz w:val="22"/>
          <w:szCs w:val="22"/>
        </w:rPr>
        <w:t xml:space="preserve">The Hard Ceiling remains in force.</w:t>
      </w:r>
    </w:p>
    <w:p>
      <w:pPr>
        <w:pStyle w:val="ListParagraph"/>
        <w:numPr>
          <w:ilvl w:val="0"/>
          <w:numId w:val="2"/>
        </w:numPr>
        <w:spacing w:after="60" w:before="60"/>
      </w:pPr>
      <w:r>
        <w:rPr>
          <w:rFonts w:ascii="Arial" w:cs="Arial" w:eastAsia="Arial" w:hAnsi="Arial"/>
          <w:sz w:val="22"/>
          <w:szCs w:val="22"/>
        </w:rPr>
        <w:t xml:space="preserve">Any further advancement during arbitration constitutes an additional Automatic Breach.</w:t>
      </w:r>
    </w:p>
    <w:p>
      <w:pPr>
        <w:spacing w:after="40" w:before="40"/>
      </w:pPr>
      <w:r>
        <w:t xml:space="preserve"/>
      </w:r>
    </w:p>
    <w:p>
      <w:pPr>
        <w:pStyle w:val="Heading2"/>
        <w:shd w:fill="A84300" w:val="clear"/>
        <w:spacing w:after="100" w:before="200"/>
      </w:pPr>
      <w:r>
        <w:rPr>
          <w:rFonts w:ascii="Arial" w:cs="Arial" w:eastAsia="Arial" w:hAnsi="Arial"/>
          <w:b/>
          <w:bCs/>
          <w:color w:val="FFFFFF"/>
          <w:sz w:val="26"/>
          <w:szCs w:val="26"/>
        </w:rPr>
        <w:t xml:space="preserve">6.4  Deadlock Resolution</w:t>
      </w:r>
    </w:p>
    <w:p>
      <w:pPr>
        <w:spacing w:after="80" w:before="80" w:line="276" w:lineRule="auto"/>
        <w:jc w:val="both"/>
      </w:pPr>
      <w:r>
        <w:rPr>
          <w:rFonts w:ascii="Arial" w:cs="Arial" w:eastAsia="Arial" w:hAnsi="Arial"/>
          <w:b w:val="false"/>
          <w:bCs w:val="false"/>
          <w:i w:val="false"/>
          <w:iCs w:val="false"/>
          <w:color w:val="000000"/>
          <w:sz w:val="22"/>
          <w:szCs w:val="22"/>
        </w:rPr>
        <w:t xml:space="preserve">Where the Panel cannot reach a unanimous ruling within 48 hours, the chair's ruling is final. The chair issues a written determination within 6 hours of the deadline, with reasoning sufficient to guide implementation.</w:t>
      </w:r>
    </w:p>
    <w:p>
      <w:pPr>
        <w:spacing w:after="40" w:before="40"/>
      </w:pPr>
      <w:r>
        <w:t xml:space="preserve"/>
      </w:r>
    </w:p>
    <w:p>
      <w:pPr>
        <w:pStyle w:val="Heading2"/>
        <w:shd w:fill="A84300" w:val="clear"/>
        <w:spacing w:after="100" w:before="200"/>
      </w:pPr>
      <w:r>
        <w:rPr>
          <w:rFonts w:ascii="Arial" w:cs="Arial" w:eastAsia="Arial" w:hAnsi="Arial"/>
          <w:b/>
          <w:bCs/>
          <w:color w:val="FFFFFF"/>
          <w:sz w:val="26"/>
          <w:szCs w:val="26"/>
        </w:rPr>
        <w:t xml:space="preserve">6.5  Expedited Procedures</w:t>
      </w:r>
    </w:p>
    <w:p>
      <w:pPr>
        <w:spacing w:after="80" w:before="80" w:line="276" w:lineRule="auto"/>
        <w:jc w:val="both"/>
      </w:pPr>
      <w:r>
        <w:rPr>
          <w:rFonts w:ascii="Arial" w:cs="Arial" w:eastAsia="Arial" w:hAnsi="Arial"/>
          <w:b w:val="false"/>
          <w:bCs w:val="false"/>
          <w:i w:val="false"/>
          <w:iCs w:val="false"/>
          <w:color w:val="000000"/>
          <w:sz w:val="22"/>
          <w:szCs w:val="22"/>
        </w:rPr>
        <w:t xml:space="preserve">The Panel operates under the following expedited procedures:</w:t>
      </w:r>
    </w:p>
    <w:p>
      <w:pPr>
        <w:spacing w:after="40" w:before="40"/>
      </w:pPr>
      <w:r>
        <w:t xml:space="preserve"/>
      </w:r>
    </w:p>
    <w:p>
      <w:pPr>
        <w:pStyle w:val="ListParagraph"/>
        <w:numPr>
          <w:ilvl w:val="0"/>
          <w:numId w:val="2"/>
        </w:numPr>
        <w:spacing w:after="60" w:before="60"/>
      </w:pPr>
      <w:r>
        <w:rPr>
          <w:rFonts w:ascii="Arial" w:cs="Arial" w:eastAsia="Arial" w:hAnsi="Arial"/>
          <w:sz w:val="22"/>
          <w:szCs w:val="22"/>
        </w:rPr>
        <w:t xml:space="preserve">Written submissions only; no oral hearings unless the chair determines they are essential.</w:t>
      </w:r>
    </w:p>
    <w:p>
      <w:pPr>
        <w:pStyle w:val="ListParagraph"/>
        <w:numPr>
          <w:ilvl w:val="0"/>
          <w:numId w:val="2"/>
        </w:numPr>
        <w:spacing w:after="60" w:before="60"/>
      </w:pPr>
      <w:r>
        <w:rPr>
          <w:rFonts w:ascii="Arial" w:cs="Arial" w:eastAsia="Arial" w:hAnsi="Arial"/>
          <w:sz w:val="22"/>
          <w:szCs w:val="22"/>
        </w:rPr>
        <w:t xml:space="preserve">Submissions limited to 10 pages per Party.</w:t>
      </w:r>
    </w:p>
    <w:p>
      <w:pPr>
        <w:pStyle w:val="ListParagraph"/>
        <w:numPr>
          <w:ilvl w:val="0"/>
          <w:numId w:val="2"/>
        </w:numPr>
        <w:spacing w:after="60" w:before="60"/>
      </w:pPr>
      <w:r>
        <w:rPr>
          <w:rFonts w:ascii="Arial" w:cs="Arial" w:eastAsia="Arial" w:hAnsi="Arial"/>
          <w:sz w:val="22"/>
          <w:szCs w:val="22"/>
        </w:rPr>
        <w:t xml:space="preserve">Registry data is presumptive evidence; the challenging Party bears the burden of proof.</w:t>
      </w:r>
    </w:p>
    <w:p>
      <w:pPr>
        <w:pStyle w:val="ListParagraph"/>
        <w:numPr>
          <w:ilvl w:val="0"/>
          <w:numId w:val="2"/>
        </w:numPr>
        <w:spacing w:after="60" w:before="60"/>
      </w:pPr>
      <w:r>
        <w:rPr>
          <w:rFonts w:ascii="Arial" w:cs="Arial" w:eastAsia="Arial" w:hAnsi="Arial"/>
          <w:sz w:val="22"/>
          <w:szCs w:val="22"/>
        </w:rPr>
        <w:t xml:space="preserve">Ruling issued within 48 hours or chair's determination becomes final.</w:t>
      </w:r>
    </w:p>
    <w:p>
      <w:pPr>
        <w:pStyle w:val="ListParagraph"/>
        <w:numPr>
          <w:ilvl w:val="0"/>
          <w:numId w:val="2"/>
        </w:numPr>
        <w:spacing w:after="60" w:before="60"/>
      </w:pPr>
      <w:r>
        <w:rPr>
          <w:rFonts w:ascii="Arial" w:cs="Arial" w:eastAsia="Arial" w:hAnsi="Arial"/>
          <w:sz w:val="22"/>
          <w:szCs w:val="22"/>
        </w:rPr>
        <w:t xml:space="preserve">Publication to transparency dashboard within 6 hours of issuance.</w:t>
      </w:r>
    </w:p>
    <w:p>
      <w:r>
        <w:br w:type="page"/>
      </w:r>
    </w:p>
    <w:p>
      <w:pPr>
        <w:pStyle w:val="Heading1"/>
        <w:shd w:fill="7B2C00" w:val="clear"/>
        <w:spacing w:after="120" w:before="240"/>
      </w:pPr>
      <w:r>
        <w:rPr>
          <w:rFonts w:ascii="Arial" w:cs="Arial" w:eastAsia="Arial" w:hAnsi="Arial"/>
          <w:b/>
          <w:bCs/>
          <w:color w:val="FFFFFF"/>
          <w:sz w:val="30"/>
          <w:szCs w:val="30"/>
        </w:rPr>
        <w:t xml:space="preserve">Article 7: Relationship to Existing Frameworks</w:t>
      </w:r>
    </w:p>
    <w:p>
      <w:pPr>
        <w:spacing w:after="40" w:before="40"/>
      </w:pPr>
      <w:r>
        <w:t xml:space="preserve"/>
      </w:r>
    </w:p>
    <w:p>
      <w:pPr>
        <w:pStyle w:val="Heading2"/>
        <w:shd w:fill="A84300" w:val="clear"/>
        <w:spacing w:after="100" w:before="200"/>
      </w:pPr>
      <w:r>
        <w:rPr>
          <w:rFonts w:ascii="Arial" w:cs="Arial" w:eastAsia="Arial" w:hAnsi="Arial"/>
          <w:b/>
          <w:bCs/>
          <w:color w:val="FFFFFF"/>
          <w:sz w:val="26"/>
          <w:szCs w:val="26"/>
        </w:rPr>
        <w:t xml:space="preserve">7.1  Supersession of UNSCR 2803</w:t>
      </w:r>
    </w:p>
    <w:p>
      <w:pPr>
        <w:spacing w:after="80" w:before="80" w:line="276" w:lineRule="auto"/>
        <w:jc w:val="both"/>
      </w:pPr>
      <w:r>
        <w:rPr>
          <w:rFonts w:ascii="Arial" w:cs="Arial" w:eastAsia="Arial" w:hAnsi="Arial"/>
          <w:b w:val="false"/>
          <w:bCs w:val="false"/>
          <w:i w:val="false"/>
          <w:iCs w:val="false"/>
          <w:color w:val="000000"/>
          <w:sz w:val="22"/>
          <w:szCs w:val="22"/>
        </w:rPr>
        <w:t xml:space="preserve">This Addendum supersedes any inconsistent provisions of UNSCR 2803 (October 2025) with respect to territorial ceilings for the duration of the 60-day truce. All other provisions of UNSCR 2803 remain in full force and effect.</w:t>
      </w:r>
    </w:p>
    <w:p>
      <w:pPr>
        <w:spacing w:after="40" w:before="40"/>
      </w:pPr>
      <w:r>
        <w:t xml:space="preserve"/>
      </w:r>
    </w:p>
    <w:p>
      <w:pPr>
        <w:pStyle w:val="Heading2"/>
        <w:shd w:fill="A84300" w:val="clear"/>
        <w:spacing w:after="100" w:before="200"/>
      </w:pPr>
      <w:r>
        <w:rPr>
          <w:rFonts w:ascii="Arial" w:cs="Arial" w:eastAsia="Arial" w:hAnsi="Arial"/>
          <w:b/>
          <w:bCs/>
          <w:color w:val="FFFFFF"/>
          <w:sz w:val="26"/>
          <w:szCs w:val="26"/>
        </w:rPr>
        <w:t xml:space="preserve">7.2  Conjunction with Appendix E</w:t>
      </w:r>
    </w:p>
    <w:p>
      <w:pPr>
        <w:spacing w:after="80" w:before="80" w:line="276" w:lineRule="auto"/>
        <w:jc w:val="both"/>
      </w:pPr>
      <w:r>
        <w:rPr>
          <w:rFonts w:ascii="Arial" w:cs="Arial" w:eastAsia="Arial" w:hAnsi="Arial"/>
          <w:b w:val="false"/>
          <w:bCs w:val="false"/>
          <w:i w:val="false"/>
          <w:iCs w:val="false"/>
          <w:color w:val="000000"/>
          <w:sz w:val="22"/>
          <w:szCs w:val="22"/>
        </w:rPr>
        <w:t xml:space="preserve">This Addendum operates in conjunction with Appendix E (Lebanon and Levant Front Stabilization Protocol) of the parent framework. Any violation of the Hard Ceiling in Gaza is treated as a violation of the Proxy Operational Pause under Appendix E.1, with all associated consequences.</w:t>
      </w:r>
    </w:p>
    <w:p>
      <w:pPr>
        <w:spacing w:after="40" w:before="40"/>
      </w:pPr>
      <w:r>
        <w:t xml:space="preserve"/>
      </w:r>
    </w:p>
    <w:p>
      <w:pPr>
        <w:pStyle w:val="Heading2"/>
        <w:shd w:fill="A84300" w:val="clear"/>
        <w:spacing w:after="100" w:before="200"/>
      </w:pPr>
      <w:r>
        <w:rPr>
          <w:rFonts w:ascii="Arial" w:cs="Arial" w:eastAsia="Arial" w:hAnsi="Arial"/>
          <w:b/>
          <w:bCs/>
          <w:color w:val="FFFFFF"/>
          <w:sz w:val="26"/>
          <w:szCs w:val="26"/>
        </w:rPr>
        <w:t xml:space="preserve">7.3  Relationship to Annex R and R.a</w:t>
      </w:r>
    </w:p>
    <w:p>
      <w:pPr>
        <w:spacing w:after="80" w:before="80" w:line="276" w:lineRule="auto"/>
        <w:jc w:val="both"/>
      </w:pPr>
      <w:r>
        <w:rPr>
          <w:rFonts w:ascii="Arial" w:cs="Arial" w:eastAsia="Arial" w:hAnsi="Arial"/>
          <w:b w:val="false"/>
          <w:bCs w:val="false"/>
          <w:i w:val="false"/>
          <w:iCs w:val="false"/>
          <w:color w:val="000000"/>
          <w:sz w:val="22"/>
          <w:szCs w:val="22"/>
        </w:rPr>
        <w:t xml:space="preserve">In the event of any inconsistency between this Addendum and Annex R (Escalation Buffer Protocol) or Annex R.a (Activation Protocol), the more stringent consequence applies for territorial violations. The Parties agree that territorial violations pose a unique threat to framework stability and warrant the most stringent available consequences.</w:t>
      </w:r>
    </w:p>
    <w:p>
      <w:pPr>
        <w:spacing w:after="40" w:before="40"/>
      </w:pPr>
      <w:r>
        <w:t xml:space="preserve"/>
      </w:r>
    </w:p>
    <w:p>
      <w:pPr>
        <w:pStyle w:val="Heading2"/>
        <w:shd w:fill="A84300" w:val="clear"/>
        <w:spacing w:after="100" w:before="200"/>
      </w:pPr>
      <w:r>
        <w:rPr>
          <w:rFonts w:ascii="Arial" w:cs="Arial" w:eastAsia="Arial" w:hAnsi="Arial"/>
          <w:b/>
          <w:bCs/>
          <w:color w:val="FFFFFF"/>
          <w:sz w:val="26"/>
          <w:szCs w:val="26"/>
        </w:rPr>
        <w:t xml:space="preserve">7.4  No Amendment of Parent Framework</w:t>
      </w:r>
    </w:p>
    <w:p>
      <w:pPr>
        <w:spacing w:after="80" w:before="80" w:line="276" w:lineRule="auto"/>
        <w:jc w:val="both"/>
      </w:pPr>
      <w:r>
        <w:rPr>
          <w:rFonts w:ascii="Arial" w:cs="Arial" w:eastAsia="Arial" w:hAnsi="Arial"/>
          <w:b w:val="false"/>
          <w:bCs w:val="false"/>
          <w:i w:val="false"/>
          <w:iCs w:val="false"/>
          <w:color w:val="000000"/>
          <w:sz w:val="22"/>
          <w:szCs w:val="22"/>
        </w:rPr>
        <w:t xml:space="preserve">This Addendum does not amend the parent framework. It is a modular, self-contained addendum that expires automatically upon the conclusion of the 60-day truce, unless renewed by mutual agreement. All provisions of the parent framework remain operative and are supplemented, not replaced, by this Addendum.</w:t>
      </w:r>
    </w:p>
    <w:p>
      <w:pPr>
        <w:spacing w:after="40" w:before="40"/>
      </w:pPr>
      <w:r>
        <w:t xml:space="preserve"/>
      </w:r>
    </w:p>
    <w:p>
      <w:pPr>
        <w:pStyle w:val="Heading2"/>
        <w:shd w:fill="A84300" w:val="clear"/>
        <w:spacing w:after="100" w:before="200"/>
      </w:pPr>
      <w:r>
        <w:rPr>
          <w:rFonts w:ascii="Arial" w:cs="Arial" w:eastAsia="Arial" w:hAnsi="Arial"/>
          <w:b/>
          <w:bCs/>
          <w:color w:val="FFFFFF"/>
          <w:sz w:val="26"/>
          <w:szCs w:val="26"/>
        </w:rPr>
        <w:t xml:space="preserve">7.5  Relationship to Annex M</w:t>
      </w:r>
    </w:p>
    <w:p>
      <w:pPr>
        <w:spacing w:after="80" w:before="80" w:line="276" w:lineRule="auto"/>
        <w:jc w:val="both"/>
      </w:pPr>
      <w:r>
        <w:rPr>
          <w:rFonts w:ascii="Arial" w:cs="Arial" w:eastAsia="Arial" w:hAnsi="Arial"/>
          <w:b w:val="false"/>
          <w:bCs w:val="false"/>
          <w:i w:val="false"/>
          <w:iCs w:val="false"/>
          <w:color w:val="000000"/>
          <w:sz w:val="22"/>
          <w:szCs w:val="22"/>
        </w:rPr>
        <w:t xml:space="preserve">This Annex U derives all territorial reference points from Annex M (Territorial Baseline and Ceasefire Demarcation Protocol), including the Current Operational Footprint coordinates, the UNSCR 2803 Yellow Line baseline, and the prohibition on the 70% Directive. Annex M's factual and legal baselines control interpretation of all territorial provisions in this Annex U. Where Annex U establishes operative mechanisms (breach triggers, penalties, arbitration) and Annex M establishes factual baselines (reference points, coordinate definitions, status quo affirmation), both Annexes are read together as an integrated territorial stabilization architecture.</w:t>
      </w:r>
    </w:p>
    <w:p>
      <w:r>
        <w:br w:type="page"/>
      </w:r>
    </w:p>
    <w:p>
      <w:pPr>
        <w:pStyle w:val="Heading1"/>
        <w:shd w:fill="7B2C00" w:val="clear"/>
        <w:spacing w:after="120" w:before="240"/>
      </w:pPr>
      <w:r>
        <w:rPr>
          <w:rFonts w:ascii="Arial" w:cs="Arial" w:eastAsia="Arial" w:hAnsi="Arial"/>
          <w:b/>
          <w:bCs/>
          <w:color w:val="FFFFFF"/>
          <w:sz w:val="30"/>
          <w:szCs w:val="30"/>
        </w:rPr>
        <w:t xml:space="preserve">Article 8: Duration and Renewal</w:t>
      </w:r>
    </w:p>
    <w:p>
      <w:pPr>
        <w:spacing w:after="40" w:before="40"/>
      </w:pPr>
      <w:r>
        <w:t xml:space="preserve"/>
      </w:r>
    </w:p>
    <w:p>
      <w:pPr>
        <w:pStyle w:val="Heading2"/>
        <w:shd w:fill="A84300" w:val="clear"/>
        <w:spacing w:after="100" w:before="200"/>
      </w:pPr>
      <w:r>
        <w:rPr>
          <w:rFonts w:ascii="Arial" w:cs="Arial" w:eastAsia="Arial" w:hAnsi="Arial"/>
          <w:b/>
          <w:bCs/>
          <w:color w:val="FFFFFF"/>
          <w:sz w:val="26"/>
          <w:szCs w:val="26"/>
        </w:rPr>
        <w:t xml:space="preserve">8.1  Duration</w:t>
      </w:r>
    </w:p>
    <w:p>
      <w:pPr>
        <w:spacing w:after="80" w:before="80" w:line="276" w:lineRule="auto"/>
        <w:jc w:val="both"/>
      </w:pPr>
      <w:r>
        <w:rPr>
          <w:rFonts w:ascii="Arial" w:cs="Arial" w:eastAsia="Arial" w:hAnsi="Arial"/>
          <w:b w:val="false"/>
          <w:bCs w:val="false"/>
          <w:i w:val="false"/>
          <w:iCs w:val="false"/>
          <w:color w:val="000000"/>
          <w:sz w:val="22"/>
          <w:szCs w:val="22"/>
        </w:rPr>
        <w:t xml:space="preserve">This Addendum remains in force for the duration of the 60-day truce, commencing upon signature and expiring at 23:59 UTC on Day 60.</w:t>
      </w:r>
    </w:p>
    <w:p>
      <w:pPr>
        <w:spacing w:after="40" w:before="40"/>
      </w:pPr>
      <w:r>
        <w:t xml:space="preserve"/>
      </w:r>
    </w:p>
    <w:p>
      <w:pPr>
        <w:pStyle w:val="Heading2"/>
        <w:shd w:fill="A84300" w:val="clear"/>
        <w:spacing w:after="100" w:before="200"/>
      </w:pPr>
      <w:r>
        <w:rPr>
          <w:rFonts w:ascii="Arial" w:cs="Arial" w:eastAsia="Arial" w:hAnsi="Arial"/>
          <w:b/>
          <w:bCs/>
          <w:color w:val="FFFFFF"/>
          <w:sz w:val="26"/>
          <w:szCs w:val="26"/>
        </w:rPr>
        <w:t xml:space="preserve">8.2  Renewal</w:t>
      </w:r>
    </w:p>
    <w:p>
      <w:pPr>
        <w:spacing w:after="80" w:before="80" w:line="276" w:lineRule="auto"/>
        <w:jc w:val="both"/>
      </w:pPr>
      <w:r>
        <w:rPr>
          <w:rFonts w:ascii="Arial" w:cs="Arial" w:eastAsia="Arial" w:hAnsi="Arial"/>
          <w:b w:val="false"/>
          <w:bCs w:val="false"/>
          <w:i w:val="false"/>
          <w:iCs w:val="false"/>
          <w:color w:val="000000"/>
          <w:sz w:val="22"/>
          <w:szCs w:val="22"/>
        </w:rPr>
        <w:t xml:space="preserve">The Addendum is renewable for successive 60-day periods by mutual written agreement of the Parties, with notification to the PCC Secretariat and all guarantor states. The Parties confirm renewal prior to expiry; silence constitutes automatic non-renewal.</w:t>
      </w:r>
    </w:p>
    <w:p>
      <w:pPr>
        <w:spacing w:after="40" w:before="40"/>
      </w:pPr>
      <w:r>
        <w:t xml:space="preserve"/>
      </w:r>
    </w:p>
    <w:p>
      <w:pPr>
        <w:pStyle w:val="Heading2"/>
        <w:shd w:fill="A84300" w:val="clear"/>
        <w:spacing w:after="100" w:before="200"/>
      </w:pPr>
      <w:r>
        <w:rPr>
          <w:rFonts w:ascii="Arial" w:cs="Arial" w:eastAsia="Arial" w:hAnsi="Arial"/>
          <w:b/>
          <w:bCs/>
          <w:color w:val="FFFFFF"/>
          <w:sz w:val="26"/>
          <w:szCs w:val="26"/>
        </w:rPr>
        <w:t xml:space="preserve">8.3  Technical Review</w:t>
      </w:r>
    </w:p>
    <w:p>
      <w:pPr>
        <w:spacing w:after="80" w:before="80" w:line="276" w:lineRule="auto"/>
        <w:jc w:val="both"/>
      </w:pPr>
      <w:r>
        <w:rPr>
          <w:rFonts w:ascii="Arial" w:cs="Arial" w:eastAsia="Arial" w:hAnsi="Arial"/>
          <w:b w:val="false"/>
          <w:bCs w:val="false"/>
          <w:i w:val="false"/>
          <w:iCs w:val="false"/>
          <w:color w:val="000000"/>
          <w:sz w:val="22"/>
          <w:szCs w:val="22"/>
        </w:rPr>
        <w:t xml:space="preserve">Either Party has the right to request a technical review of the Hard Ceiling coordinates at the 30-day mark. The PCC conducts such review using Shared Digital Registry data. Adjustments require mutual agreement. No unilateral adjustment of the Hard Ceiling is permitted.</w:t>
      </w:r>
    </w:p>
    <w:p>
      <w:pPr>
        <w:spacing w:after="40" w:before="40"/>
      </w:pPr>
      <w:r>
        <w:t xml:space="preserve"/>
      </w:r>
    </w:p>
    <w:p>
      <w:pPr>
        <w:pStyle w:val="Heading2"/>
        <w:shd w:fill="A84300" w:val="clear"/>
        <w:spacing w:after="100" w:before="200"/>
      </w:pPr>
      <w:r>
        <w:rPr>
          <w:rFonts w:ascii="Arial" w:cs="Arial" w:eastAsia="Arial" w:hAnsi="Arial"/>
          <w:b/>
          <w:bCs/>
          <w:color w:val="FFFFFF"/>
          <w:sz w:val="26"/>
          <w:szCs w:val="26"/>
        </w:rPr>
        <w:t xml:space="preserve">8.4  Automatic Expiry</w:t>
      </w:r>
    </w:p>
    <w:p>
      <w:pPr>
        <w:spacing w:after="80" w:before="80" w:line="276" w:lineRule="auto"/>
        <w:jc w:val="both"/>
      </w:pPr>
      <w:r>
        <w:rPr>
          <w:rFonts w:ascii="Arial" w:cs="Arial" w:eastAsia="Arial" w:hAnsi="Arial"/>
          <w:b w:val="false"/>
          <w:bCs w:val="false"/>
          <w:i w:val="false"/>
          <w:iCs w:val="false"/>
          <w:color w:val="000000"/>
          <w:sz w:val="22"/>
          <w:szCs w:val="22"/>
        </w:rPr>
        <w:t xml:space="preserve">Upon expiry, this Addendum ceases to have operative effect. The territorial provisions of UNSCR 2803 and the parent framework's Appendix E govern. The Shared Digital Registry continues to operate for 30 days post-expiry to provide continuity data, after which the PCC Secretariat suspends its operation unless the Parties agree to maintain it.</w:t>
      </w:r>
    </w:p>
    <w:p>
      <w:r>
        <w:br w:type="page"/>
      </w:r>
    </w:p>
    <w:p>
      <w:pPr>
        <w:pStyle w:val="Heading1"/>
        <w:shd w:fill="7B2C00" w:val="clear"/>
        <w:spacing w:after="120" w:before="240"/>
      </w:pPr>
      <w:r>
        <w:rPr>
          <w:rFonts w:ascii="Arial" w:cs="Arial" w:eastAsia="Arial" w:hAnsi="Arial"/>
          <w:b/>
          <w:bCs/>
          <w:color w:val="FFFFFF"/>
          <w:sz w:val="30"/>
          <w:szCs w:val="30"/>
        </w:rPr>
        <w:t xml:space="preserve">Article 9: Incorporation by Reference</w:t>
      </w:r>
    </w:p>
    <w:p>
      <w:pPr>
        <w:spacing w:after="40" w:before="40"/>
      </w:pPr>
      <w:r>
        <w:t xml:space="preserve"/>
      </w:r>
    </w:p>
    <w:p>
      <w:pPr>
        <w:spacing w:after="80" w:before="80" w:line="276" w:lineRule="auto"/>
        <w:jc w:val="both"/>
      </w:pPr>
      <w:r>
        <w:rPr>
          <w:rFonts w:ascii="Arial" w:cs="Arial" w:eastAsia="Arial" w:hAnsi="Arial"/>
          <w:b w:val="false"/>
          <w:bCs w:val="false"/>
          <w:i w:val="false"/>
          <w:iCs w:val="false"/>
          <w:color w:val="000000"/>
          <w:sz w:val="22"/>
          <w:szCs w:val="22"/>
        </w:rPr>
        <w:t xml:space="preserve">This Addendum is incorporable into any existing or future agreement through the following sentence:</w:t>
      </w:r>
    </w:p>
    <w:p>
      <w:pPr>
        <w:spacing w:after="40" w:before="40"/>
      </w:pPr>
      <w:r>
        <w:t xml:space="preserve"/>
      </w:r>
    </w:p>
    <w:p>
      <w:pPr>
        <w:pBdr>
          <w:left w:val="single" w:color="A84300" w:sz="8"/>
        </w:pBdr>
        <w:spacing w:after="120" w:before="120"/>
        <w:ind w:left="720"/>
        <w:jc w:val="both"/>
      </w:pPr>
      <w:r>
        <w:rPr>
          <w:rFonts w:ascii="Arial" w:cs="Arial" w:eastAsia="Arial" w:hAnsi="Arial"/>
          <w:sz w:val="22"/>
          <w:szCs w:val="22"/>
        </w:rPr>
        <w:t xml:space="preserve">"The Parties adopt Annex U (Technical Demarcation and Stabilization Addendum) as an operative provision of this Agreement. In the event of any inconsistency, Annex U governs with respect to territorial ceilings, automatic breach triggers, proportional penalties, the Shared Digital Registry, and fast-track arbitration for border incidents."</w:t>
      </w:r>
    </w:p>
    <w:p>
      <w:pPr>
        <w:spacing w:after="40" w:before="40"/>
      </w:pPr>
      <w:r>
        <w:t xml:space="preserve"/>
      </w:r>
    </w:p>
    <w:p>
      <w:pPr>
        <w:spacing w:after="80" w:before="80" w:line="276" w:lineRule="auto"/>
        <w:jc w:val="both"/>
      </w:pPr>
      <w:r>
        <w:rPr>
          <w:rFonts w:ascii="Arial" w:cs="Arial" w:eastAsia="Arial" w:hAnsi="Arial"/>
          <w:b w:val="false"/>
          <w:bCs w:val="false"/>
          <w:i w:val="false"/>
          <w:iCs w:val="false"/>
          <w:color w:val="000000"/>
          <w:sz w:val="22"/>
          <w:szCs w:val="22"/>
        </w:rPr>
        <w:t xml:space="preserve">No amendment of the parent framework is required. This Addendum enters into force upon signature by both Parties or upon provisional application by exchange of diplomatic notes.</w:t>
      </w:r>
    </w:p>
    <w:p>
      <w:r>
        <w:br w:type="page"/>
      </w:r>
    </w:p>
    <w:p>
      <w:pPr>
        <w:pStyle w:val="Heading1"/>
        <w:shd w:fill="7B2C00" w:val="clear"/>
        <w:spacing w:after="120" w:before="240"/>
      </w:pPr>
      <w:r>
        <w:rPr>
          <w:rFonts w:ascii="Arial" w:cs="Arial" w:eastAsia="Arial" w:hAnsi="Arial"/>
          <w:b/>
          <w:bCs/>
          <w:color w:val="FFFFFF"/>
          <w:sz w:val="30"/>
          <w:szCs w:val="30"/>
        </w:rPr>
        <w:t xml:space="preserve">Article 10: Provisional Application</w:t>
      </w:r>
    </w:p>
    <w:p>
      <w:pPr>
        <w:spacing w:after="40" w:before="40"/>
      </w:pPr>
      <w:r>
        <w:t xml:space="preserve"/>
      </w:r>
    </w:p>
    <w:p>
      <w:pPr>
        <w:pStyle w:val="ListParagraph"/>
        <w:numPr>
          <w:ilvl w:val="0"/>
          <w:numId w:val="2"/>
        </w:numPr>
        <w:spacing w:after="60" w:before="60"/>
      </w:pPr>
      <w:r>
        <w:rPr>
          <w:rFonts w:ascii="Arial" w:cs="Arial" w:eastAsia="Arial" w:hAnsi="Arial"/>
          <w:sz w:val="22"/>
          <w:szCs w:val="22"/>
        </w:rPr>
        <w:t xml:space="preserve">The Parties apply this Addendum provisionally for 90 days, pending formal incorporation.</w:t>
      </w:r>
    </w:p>
    <w:p>
      <w:pPr>
        <w:pStyle w:val="ListParagraph"/>
        <w:numPr>
          <w:ilvl w:val="0"/>
          <w:numId w:val="2"/>
        </w:numPr>
        <w:spacing w:after="60" w:before="60"/>
      </w:pPr>
      <w:r>
        <w:rPr>
          <w:rFonts w:ascii="Arial" w:cs="Arial" w:eastAsia="Arial" w:hAnsi="Arial"/>
          <w:sz w:val="22"/>
          <w:szCs w:val="22"/>
        </w:rPr>
        <w:t xml:space="preserve">The Parties effect provisional application through an exchange of diplomatic notes.</w:t>
      </w:r>
    </w:p>
    <w:p>
      <w:pPr>
        <w:pStyle w:val="ListParagraph"/>
        <w:numPr>
          <w:ilvl w:val="0"/>
          <w:numId w:val="2"/>
        </w:numPr>
        <w:spacing w:after="60" w:before="60"/>
      </w:pPr>
      <w:r>
        <w:rPr>
          <w:rFonts w:ascii="Arial" w:cs="Arial" w:eastAsia="Arial" w:hAnsi="Arial"/>
          <w:sz w:val="22"/>
          <w:szCs w:val="22"/>
        </w:rPr>
        <w:t xml:space="preserve">During provisional application, all provisions of this Addendum are operative and binding, including the full Automatic Breach mechanism and Proportional Penalty Matrix.</w:t>
      </w:r>
    </w:p>
    <w:p>
      <w:pPr>
        <w:pStyle w:val="ListParagraph"/>
        <w:numPr>
          <w:ilvl w:val="0"/>
          <w:numId w:val="2"/>
        </w:numPr>
        <w:spacing w:after="60" w:before="60"/>
      </w:pPr>
      <w:r>
        <w:rPr>
          <w:rFonts w:ascii="Arial" w:cs="Arial" w:eastAsia="Arial" w:hAnsi="Arial"/>
          <w:sz w:val="22"/>
          <w:szCs w:val="22"/>
        </w:rPr>
        <w:t xml:space="preserve">Either Party has the right to terminate provisional application with 14 days' written notice.</w:t>
      </w:r>
    </w:p>
    <w:p>
      <w:pPr>
        <w:spacing w:after="40" w:before="40"/>
      </w:pPr>
      <w:r>
        <w:t xml:space="preserve"/>
      </w:r>
    </w:p>
    <w:p>
      <w:pPr>
        <w:spacing w:after="80" w:before="80"/>
        <w:ind w:left="360"/>
        <w:jc w:val="both"/>
      </w:pPr>
      <w:r>
        <w:rPr>
          <w:rFonts w:ascii="Arial" w:cs="Arial" w:eastAsia="Arial" w:hAnsi="Arial"/>
          <w:color w:val="5C4033"/>
          <w:sz w:val="20"/>
          <w:szCs w:val="20"/>
        </w:rPr>
        <w:t xml:space="preserve">Note: Termination of provisional application does not affect breaches that occurred during provisional application; those remain governed by this Addendum. The 14-day notice period allows for orderly transition without leaving active breaches ungoverned.</w:t>
      </w:r>
    </w:p>
    <w:p>
      <w:r>
        <w:br w:type="page"/>
      </w:r>
    </w:p>
    <w:p>
      <w:pPr>
        <w:pStyle w:val="Heading1"/>
        <w:shd w:fill="7B2C00" w:val="clear"/>
        <w:spacing w:after="120" w:before="240"/>
      </w:pPr>
      <w:r>
        <w:rPr>
          <w:rFonts w:ascii="Arial" w:cs="Arial" w:eastAsia="Arial" w:hAnsi="Arial"/>
          <w:b/>
          <w:bCs/>
          <w:color w:val="FFFFFF"/>
          <w:sz w:val="30"/>
          <w:szCs w:val="30"/>
        </w:rPr>
        <w:t xml:space="preserve">What This Addendum Does</w:t>
      </w:r>
    </w:p>
    <w:p>
      <w:pPr>
        <w:spacing w:after="40" w:before="40"/>
      </w:pPr>
      <w:r>
        <w:t xml:space="preserve"/>
      </w:r>
    </w:p>
    <w:p>
      <w:pPr>
        <w:spacing w:after="80" w:before="80" w:line="276" w:lineRule="auto"/>
        <w:jc w:val="both"/>
      </w:pPr>
      <w:r>
        <w:rPr>
          <w:rFonts w:ascii="Arial" w:cs="Arial" w:eastAsia="Arial" w:hAnsi="Arial"/>
          <w:b/>
          <w:bCs/>
          <w:i w:val="false"/>
          <w:iCs w:val="false"/>
          <w:color w:val="000000"/>
          <w:sz w:val="22"/>
          <w:szCs w:val="22"/>
        </w:rPr>
        <w:t xml:space="preserve">Table U-5: Problem-Solution Architecture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8A898" w:sz="2"/>
              <w:left w:val="single" w:color="C8A898" w:sz="2"/>
              <w:bottom w:val="single" w:color="C8A898" w:sz="2"/>
              <w:right w:val="single" w:color="C8A898" w:sz="2"/>
            </w:tcBorders>
            <w:shd w:fill="A84300"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PROBLEM</w:t>
            </w:r>
          </w:p>
        </w:tc>
        <w:tc>
          <w:tcPr>
            <w:tcW w:type="dxa" w:w="5760"/>
            <w:tcBorders>
              <w:top w:val="single" w:color="C8A898" w:sz="2"/>
              <w:left w:val="single" w:color="C8A898" w:sz="2"/>
              <w:bottom w:val="single" w:color="C8A898" w:sz="2"/>
              <w:right w:val="single" w:color="C8A898" w:sz="2"/>
            </w:tcBorders>
            <w:shd w:fill="A84300"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SOLUTION</w:t>
            </w:r>
          </w:p>
        </w:tc>
      </w:tr>
      <w:tr>
        <w:trPr>
          <w:tblHeader w:val="false"/>
        </w:trPr>
        <w:tc>
          <w:tcPr>
            <w:tcW w:type="dxa" w:w="3600"/>
            <w:tcBorders>
              <w:top w:val="single" w:color="C8A898" w:sz="2"/>
              <w:left w:val="single" w:color="C8A898" w:sz="2"/>
              <w:bottom w:val="single" w:color="C8A898" w:sz="2"/>
              <w:right w:val="single" w:color="C8A8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Directive ordering 70% expansion</w:t>
            </w:r>
          </w:p>
        </w:tc>
        <w:tc>
          <w:tcPr>
            <w:tcW w:type="dxa" w:w="5760"/>
            <w:tcBorders>
              <w:top w:val="single" w:color="C8A898" w:sz="2"/>
              <w:left w:val="single" w:color="C8A898" w:sz="2"/>
              <w:bottom w:val="single" w:color="C8A898" w:sz="2"/>
              <w:right w:val="single" w:color="C8A8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Hard Ceiling freezes current footprint (~60%) as absolute maximum for 60-day truce duration</w:t>
            </w:r>
          </w:p>
        </w:tc>
      </w:tr>
      <w:tr>
        <w:trPr>
          <w:tblHeader w:val="false"/>
        </w:trPr>
        <w:tc>
          <w:tcPr>
            <w:tcW w:type="dxa" w:w="3600"/>
            <w:tcBorders>
              <w:top w:val="single" w:color="C8A898" w:sz="2"/>
              <w:left w:val="single" w:color="C8A898" w:sz="2"/>
              <w:bottom w:val="single" w:color="C8A898" w:sz="2"/>
              <w:right w:val="single" w:color="C8A8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Political debate over breaches</w:t>
            </w:r>
          </w:p>
        </w:tc>
        <w:tc>
          <w:tcPr>
            <w:tcW w:type="dxa" w:w="5760"/>
            <w:tcBorders>
              <w:top w:val="single" w:color="C8A898" w:sz="2"/>
              <w:left w:val="single" w:color="C8A898" w:sz="2"/>
              <w:bottom w:val="single" w:color="C8A898" w:sz="2"/>
              <w:right w:val="single" w:color="C8A8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Automatic Breach triggers bypass the PCC vote, consensus requirements, and political delays entirely</w:t>
            </w:r>
          </w:p>
        </w:tc>
      </w:tr>
      <w:tr>
        <w:trPr>
          <w:tblHeader w:val="false"/>
        </w:trPr>
        <w:tc>
          <w:tcPr>
            <w:tcW w:type="dxa" w:w="3600"/>
            <w:tcBorders>
              <w:top w:val="single" w:color="C8A898" w:sz="2"/>
              <w:left w:val="single" w:color="C8A898" w:sz="2"/>
              <w:bottom w:val="single" w:color="C8A898" w:sz="2"/>
              <w:right w:val="single" w:color="C8A8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Creeping advancement</w:t>
            </w:r>
          </w:p>
        </w:tc>
        <w:tc>
          <w:tcPr>
            <w:tcW w:type="dxa" w:w="5760"/>
            <w:tcBorders>
              <w:top w:val="single" w:color="C8A898" w:sz="2"/>
              <w:left w:val="single" w:color="C8A898" w:sz="2"/>
              <w:bottom w:val="single" w:color="C8A898" w:sz="2"/>
              <w:right w:val="single" w:color="C8A8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Proportional penalty matrix: 1% seized = 10% reconstruction freeze, scaling to 5% = full suspension</w:t>
            </w:r>
          </w:p>
        </w:tc>
      </w:tr>
      <w:tr>
        <w:trPr>
          <w:tblHeader w:val="false"/>
        </w:trPr>
        <w:tc>
          <w:tcPr>
            <w:tcW w:type="dxa" w:w="3600"/>
            <w:tcBorders>
              <w:top w:val="single" w:color="C8A898" w:sz="2"/>
              <w:left w:val="single" w:color="C8A898" w:sz="2"/>
              <w:bottom w:val="single" w:color="C8A898" w:sz="2"/>
              <w:right w:val="single" w:color="C8A8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"He said, she said" over who crossed what</w:t>
            </w:r>
          </w:p>
        </w:tc>
        <w:tc>
          <w:tcPr>
            <w:tcW w:type="dxa" w:w="5760"/>
            <w:tcBorders>
              <w:top w:val="single" w:color="C8A898" w:sz="2"/>
              <w:left w:val="single" w:color="C8A898" w:sz="2"/>
              <w:bottom w:val="single" w:color="C8A898" w:sz="2"/>
              <w:right w:val="single" w:color="C8A8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Shared Digital Registry — real-time satellite telemetry from 6 guarantor states, unalterable SHA-3 ledger</w:t>
            </w:r>
          </w:p>
        </w:tc>
      </w:tr>
      <w:tr>
        <w:trPr>
          <w:tblHeader w:val="false"/>
        </w:trPr>
        <w:tc>
          <w:tcPr>
            <w:tcW w:type="dxa" w:w="3600"/>
            <w:tcBorders>
              <w:top w:val="single" w:color="C8A898" w:sz="2"/>
              <w:left w:val="single" w:color="C8A898" w:sz="2"/>
              <w:bottom w:val="single" w:color="C8A898" w:sz="2"/>
              <w:right w:val="single" w:color="C8A8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Slow arbitration (weeks/months)</w:t>
            </w:r>
          </w:p>
        </w:tc>
        <w:tc>
          <w:tcPr>
            <w:tcW w:type="dxa" w:w="5760"/>
            <w:tcBorders>
              <w:top w:val="single" w:color="C8A898" w:sz="2"/>
              <w:left w:val="single" w:color="C8A898" w:sz="2"/>
              <w:bottom w:val="single" w:color="C8A898" w:sz="2"/>
              <w:right w:val="single" w:color="C8A8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48-hour fast-track PCA panel with mandatory chair's determination on deadlock</w:t>
            </w:r>
          </w:p>
        </w:tc>
      </w:tr>
      <w:tr>
        <w:trPr>
          <w:tblHeader w:val="false"/>
        </w:trPr>
        <w:tc>
          <w:tcPr>
            <w:tcW w:type="dxa" w:w="3600"/>
            <w:tcBorders>
              <w:top w:val="single" w:color="C8A898" w:sz="2"/>
              <w:left w:val="single" w:color="C8A898" w:sz="2"/>
              <w:bottom w:val="single" w:color="C8A898" w:sz="2"/>
              <w:right w:val="single" w:color="C8A8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No consequence for violating October lines</w:t>
            </w:r>
          </w:p>
        </w:tc>
        <w:tc>
          <w:tcPr>
            <w:tcW w:type="dxa" w:w="5760"/>
            <w:tcBorders>
              <w:top w:val="single" w:color="C8A898" w:sz="2"/>
              <w:left w:val="single" w:color="C8A898" w:sz="2"/>
              <w:bottom w:val="single" w:color="C8A898" w:sz="2"/>
              <w:right w:val="single" w:color="C8A8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Automatic economic penalties tied to reconstruction capital, supply clearances, and transit access</w:t>
            </w:r>
          </w:p>
        </w:tc>
      </w:tr>
      <w:tr>
        <w:trPr>
          <w:tblHeader w:val="false"/>
        </w:trPr>
        <w:tc>
          <w:tcPr>
            <w:tcW w:type="dxa" w:w="3600"/>
            <w:tcBorders>
              <w:top w:val="single" w:color="C8A898" w:sz="2"/>
              <w:left w:val="single" w:color="C8A898" w:sz="2"/>
              <w:bottom w:val="single" w:color="C8A898" w:sz="2"/>
              <w:right w:val="single" w:color="C8A8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Uncertainty about data integrity</w:t>
            </w:r>
          </w:p>
        </w:tc>
        <w:tc>
          <w:tcPr>
            <w:tcW w:type="dxa" w:w="5760"/>
            <w:tcBorders>
              <w:top w:val="single" w:color="C8A898" w:sz="2"/>
              <w:left w:val="single" w:color="C8A898" w:sz="2"/>
              <w:bottom w:val="single" w:color="C8A898" w:sz="2"/>
              <w:right w:val="single" w:color="C8A8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Weekly algorithmic review; source code escrowed; distributed across 6 guarantor nodes; any Party audits</w:t>
            </w:r>
          </w:p>
        </w:tc>
      </w:tr>
    </w:tbl>
    <w:p>
      <w:r>
        <w:br w:type="page"/>
      </w:r>
    </w:p>
    <w:p>
      <w:pPr>
        <w:pStyle w:val="Heading1"/>
        <w:shd w:fill="7B2C00" w:val="clear"/>
        <w:spacing w:after="120" w:before="240"/>
      </w:pPr>
      <w:r>
        <w:rPr>
          <w:rFonts w:ascii="Arial" w:cs="Arial" w:eastAsia="Arial" w:hAnsi="Arial"/>
          <w:b/>
          <w:bCs/>
          <w:color w:val="FFFFFF"/>
          <w:sz w:val="30"/>
          <w:szCs w:val="30"/>
        </w:rPr>
        <w:t xml:space="preserve">Political Pitch to Each Side</w:t>
      </w:r>
    </w:p>
    <w:p>
      <w:pPr>
        <w:spacing w:after="40" w:before="40"/>
      </w:pPr>
      <w:r>
        <w:t xml:space="preserve"/>
      </w:r>
    </w:p>
    <w:p>
      <w:pPr>
        <w:spacing w:after="80" w:before="80" w:line="276" w:lineRule="auto"/>
        <w:jc w:val="both"/>
      </w:pPr>
      <w:r>
        <w:rPr>
          <w:rFonts w:ascii="Arial" w:cs="Arial" w:eastAsia="Arial" w:hAnsi="Arial"/>
          <w:b/>
          <w:bCs/>
          <w:i w:val="false"/>
          <w:iCs w:val="false"/>
          <w:color w:val="000000"/>
          <w:sz w:val="22"/>
          <w:szCs w:val="22"/>
        </w:rPr>
        <w:t xml:space="preserve">Table U-6: Political Pitch Matrix</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8A898" w:sz="2"/>
              <w:left w:val="single" w:color="C8A898" w:sz="2"/>
              <w:bottom w:val="single" w:color="C8A898" w:sz="2"/>
              <w:right w:val="single" w:color="C8A898" w:sz="2"/>
            </w:tcBorders>
            <w:shd w:fill="A84300"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TO ISRAEL</w:t>
            </w:r>
          </w:p>
        </w:tc>
        <w:tc>
          <w:tcPr>
            <w:tcW w:type="dxa" w:w="3120"/>
            <w:tcBorders>
              <w:top w:val="single" w:color="C8A898" w:sz="2"/>
              <w:left w:val="single" w:color="C8A898" w:sz="2"/>
              <w:bottom w:val="single" w:color="C8A898" w:sz="2"/>
              <w:right w:val="single" w:color="C8A898" w:sz="2"/>
            </w:tcBorders>
            <w:shd w:fill="A84300"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TO IRAN</w:t>
            </w:r>
          </w:p>
        </w:tc>
        <w:tc>
          <w:tcPr>
            <w:tcW w:type="dxa" w:w="3120"/>
            <w:tcBorders>
              <w:top w:val="single" w:color="C8A898" w:sz="2"/>
              <w:left w:val="single" w:color="C8A898" w:sz="2"/>
              <w:bottom w:val="single" w:color="C8A898" w:sz="2"/>
              <w:right w:val="single" w:color="C8A898" w:sz="2"/>
            </w:tcBorders>
            <w:shd w:fill="A84300"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TO THE UNITED STATES</w:t>
            </w:r>
          </w:p>
        </w:tc>
      </w:tr>
      <w:tr>
        <w:trPr>
          <w:tblHeader w:val="false"/>
        </w:trPr>
        <w:tc>
          <w:tcPr>
            <w:tcW w:type="dxa" w:w="3120"/>
            <w:tcBorders>
              <w:top w:val="single" w:color="C8A898" w:sz="2"/>
              <w:left w:val="single" w:color="C8A898" w:sz="2"/>
              <w:bottom w:val="single" w:color="C8A898" w:sz="2"/>
              <w:right w:val="single" w:color="C8A8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iCs/>
                <w:color w:val="000000"/>
                <w:sz w:val="20"/>
                <w:szCs w:val="20"/>
              </w:rPr>
              <w:t xml:space="preserve">"We are not forcing you back to the October lines. The freeze-in-place acknowledges the current reality. You do not have to retreat. But you cannot advance one inch further during the 60 days."</w:t>
            </w:r>
          </w:p>
        </w:tc>
        <w:tc>
          <w:tcPr>
            <w:tcW w:type="dxa" w:w="3120"/>
            <w:tcBorders>
              <w:top w:val="single" w:color="C8A898" w:sz="2"/>
              <w:left w:val="single" w:color="C8A898" w:sz="2"/>
              <w:bottom w:val="single" w:color="C8A898" w:sz="2"/>
              <w:right w:val="single" w:color="C8A8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iCs/>
                <w:color w:val="000000"/>
                <w:sz w:val="20"/>
                <w:szCs w:val="20"/>
              </w:rPr>
              <w:t xml:space="preserve">"The addendum locks in Israeli territorial expansion at 60% — not 70%. It gives you automatic penalties if they advance further. This is the best you will get without collapsing the entire deal."</w:t>
            </w:r>
          </w:p>
        </w:tc>
        <w:tc>
          <w:tcPr>
            <w:tcW w:type="dxa" w:w="3120"/>
            <w:tcBorders>
              <w:top w:val="single" w:color="C8A898" w:sz="2"/>
              <w:left w:val="single" w:color="C8A898" w:sz="2"/>
              <w:bottom w:val="single" w:color="C8A898" w:sz="2"/>
              <w:right w:val="single" w:color="C8A8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iCs/>
                <w:color w:val="000000"/>
                <w:sz w:val="20"/>
                <w:szCs w:val="20"/>
              </w:rPr>
              <w:t xml:space="preserve">"This saves the Accord. It gives Iran a reason to sign despite the provocation. It does not require you to publicly restrain Israel — just to monitor the line through satellite data."</w:t>
            </w:r>
          </w:p>
        </w:tc>
      </w:tr>
      <w:tr>
        <w:trPr>
          <w:tblHeader w:val="false"/>
        </w:trPr>
        <w:tc>
          <w:tcPr>
            <w:tcW w:type="dxa" w:w="3120"/>
            <w:tcBorders>
              <w:top w:val="single" w:color="C8A898" w:sz="2"/>
              <w:left w:val="single" w:color="C8A898" w:sz="2"/>
              <w:bottom w:val="single" w:color="C8A898" w:sz="2"/>
              <w:right w:val="single" w:color="C8A8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iCs/>
                <w:color w:val="000000"/>
                <w:sz w:val="20"/>
                <w:szCs w:val="20"/>
              </w:rPr>
              <w:t xml:space="preserve">"The 60-day truce is preserved. Your reconstruction capital and dual-use clearances flow as long as the Hard Ceiling is respected."</w:t>
            </w:r>
          </w:p>
        </w:tc>
        <w:tc>
          <w:tcPr>
            <w:tcW w:type="dxa" w:w="3120"/>
            <w:tcBorders>
              <w:top w:val="single" w:color="C8A898" w:sz="2"/>
              <w:left w:val="single" w:color="C8A898" w:sz="2"/>
              <w:bottom w:val="single" w:color="C8A898" w:sz="2"/>
              <w:right w:val="single" w:color="C8A8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iCs/>
                <w:color w:val="000000"/>
                <w:sz w:val="20"/>
                <w:szCs w:val="20"/>
              </w:rPr>
              <w:t xml:space="preserve">"The Shared Digital Registry means you have real-time visibility. No one can hide an advancement."</w:t>
            </w:r>
          </w:p>
        </w:tc>
        <w:tc>
          <w:tcPr>
            <w:tcW w:type="dxa" w:w="3120"/>
            <w:tcBorders>
              <w:top w:val="single" w:color="C8A898" w:sz="2"/>
              <w:left w:val="single" w:color="C8A898" w:sz="2"/>
              <w:bottom w:val="single" w:color="C8A898" w:sz="2"/>
              <w:right w:val="single" w:color="C8A8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iCs/>
                <w:color w:val="000000"/>
                <w:sz w:val="20"/>
                <w:szCs w:val="20"/>
              </w:rPr>
              <w:t xml:space="preserve">"The automatic breach mechanism removes you from the position of having to decide whether Israel violated. The sensors decide."</w:t>
            </w:r>
          </w:p>
        </w:tc>
      </w:tr>
      <w:tr>
        <w:trPr>
          <w:tblHeader w:val="false"/>
        </w:trPr>
        <w:tc>
          <w:tcPr>
            <w:tcW w:type="dxa" w:w="3120"/>
            <w:tcBorders>
              <w:top w:val="single" w:color="C8A898" w:sz="2"/>
              <w:left w:val="single" w:color="C8A898" w:sz="2"/>
              <w:bottom w:val="single" w:color="C8A898" w:sz="2"/>
              <w:right w:val="single" w:color="C8A8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iCs/>
                <w:color w:val="000000"/>
                <w:sz w:val="20"/>
                <w:szCs w:val="20"/>
              </w:rPr>
              <w:t xml:space="preserve">"At the 30-day mark, you can request a technical review. If the security situation warrants, the coordinates are adjustable by mutual agreement."</w:t>
            </w:r>
          </w:p>
        </w:tc>
        <w:tc>
          <w:tcPr>
            <w:tcW w:type="dxa" w:w="3120"/>
            <w:tcBorders>
              <w:top w:val="single" w:color="C8A898" w:sz="2"/>
              <w:left w:val="single" w:color="C8A898" w:sz="2"/>
              <w:bottom w:val="single" w:color="C8A898" w:sz="2"/>
              <w:right w:val="single" w:color="C8A8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iCs/>
                <w:color w:val="000000"/>
                <w:sz w:val="20"/>
                <w:szCs w:val="20"/>
              </w:rPr>
              <w:t xml:space="preserve">"The penalties are economic, not military. No one is threatening to bomb anyone. The consequence is lost reconstruction money — a price Israel pays in concrete, not blood."</w:t>
            </w:r>
          </w:p>
        </w:tc>
        <w:tc>
          <w:tcPr>
            <w:tcW w:type="dxa" w:w="3120"/>
            <w:tcBorders>
              <w:top w:val="single" w:color="C8A898" w:sz="2"/>
              <w:left w:val="single" w:color="C8A898" w:sz="2"/>
              <w:bottom w:val="single" w:color="C8A898" w:sz="2"/>
              <w:right w:val="single" w:color="C8A898"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iCs/>
                <w:color w:val="000000"/>
                <w:sz w:val="20"/>
                <w:szCs w:val="20"/>
              </w:rPr>
              <w:t xml:space="preserve">"The 48-hour arbitration is fast enough to prevent the dispute from festering. The Panel rules before either side can mobilize public opinion against the other."</w:t>
            </w:r>
          </w:p>
        </w:tc>
      </w:tr>
    </w:tbl>
    <w:p>
      <w:r>
        <w:br w:type="page"/>
      </w:r>
    </w:p>
    <w:p>
      <w:pPr>
        <w:pStyle w:val="Heading1"/>
        <w:shd w:fill="7B2C00" w:val="clear"/>
        <w:spacing w:after="120" w:before="240"/>
      </w:pPr>
      <w:r>
        <w:rPr>
          <w:rFonts w:ascii="Arial" w:cs="Arial" w:eastAsia="Arial" w:hAnsi="Arial"/>
          <w:b/>
          <w:bCs/>
          <w:color w:val="FFFFFF"/>
          <w:sz w:val="30"/>
          <w:szCs w:val="30"/>
        </w:rPr>
        <w:t xml:space="preserve">Signature Block</w:t>
      </w:r>
    </w:p>
    <w:p>
      <w:pPr>
        <w:spacing w:after="40" w:before="40"/>
      </w:pPr>
      <w:r>
        <w:t xml:space="preserve"/>
      </w:r>
    </w:p>
    <w:p>
      <w:pPr>
        <w:spacing w:after="80" w:before="80" w:line="276" w:lineRule="auto"/>
        <w:jc w:val="both"/>
      </w:pPr>
      <w:r>
        <w:rPr>
          <w:rFonts w:ascii="Arial" w:cs="Arial" w:eastAsia="Arial" w:hAnsi="Arial"/>
          <w:b/>
          <w:bCs/>
          <w:i w:val="false"/>
          <w:iCs w:val="false"/>
          <w:color w:val="000000"/>
          <w:sz w:val="22"/>
          <w:szCs w:val="22"/>
        </w:rPr>
        <w:t xml:space="preserve">For the Government of Israel (as affected Party, for purposes of territorial compliance):</w:t>
      </w:r>
    </w:p>
    <w:p>
      <w:pPr>
        <w:spacing w:after="40" w:before="40"/>
      </w:pPr>
      <w:r>
        <w:t xml:space="preserve"/>
      </w:r>
    </w:p>
    <w:p>
      <w:pPr>
        <w:spacing w:after="80" w:before="80" w:line="276" w:lineRule="auto"/>
        <w:jc w:val="both"/>
      </w:pPr>
      <w:r>
        <w:rPr>
          <w:rFonts w:ascii="Arial" w:cs="Arial" w:eastAsia="Arial" w:hAnsi="Arial"/>
          <w:b w:val="false"/>
          <w:bCs w:val="false"/>
          <w:i w:val="false"/>
          <w:iCs w:val="false"/>
          <w:color w:val="000000"/>
          <w:sz w:val="22"/>
          <w:szCs w:val="22"/>
        </w:rPr>
        <w:t xml:space="preserve">Name: _______________________________________</w:t>
      </w:r>
    </w:p>
    <w:p>
      <w:pPr>
        <w:spacing w:after="40" w:before="40"/>
      </w:pPr>
      <w:r>
        <w:t xml:space="preserve"/>
      </w:r>
    </w:p>
    <w:p>
      <w:pPr>
        <w:spacing w:after="80" w:before="80" w:line="276" w:lineRule="auto"/>
        <w:jc w:val="both"/>
      </w:pPr>
      <w:r>
        <w:rPr>
          <w:rFonts w:ascii="Arial" w:cs="Arial" w:eastAsia="Arial" w:hAnsi="Arial"/>
          <w:b w:val="false"/>
          <w:bCs w:val="false"/>
          <w:i w:val="false"/>
          <w:iCs w:val="false"/>
          <w:color w:val="000000"/>
          <w:sz w:val="22"/>
          <w:szCs w:val="22"/>
        </w:rPr>
        <w:t xml:space="preserve">Title: ________________________________________</w:t>
      </w:r>
    </w:p>
    <w:p>
      <w:pPr>
        <w:spacing w:after="40" w:before="40"/>
      </w:pPr>
      <w:r>
        <w:t xml:space="preserve"/>
      </w:r>
    </w:p>
    <w:p>
      <w:pPr>
        <w:spacing w:after="80" w:before="80" w:line="276" w:lineRule="auto"/>
        <w:jc w:val="both"/>
      </w:pPr>
      <w:r>
        <w:rPr>
          <w:rFonts w:ascii="Arial" w:cs="Arial" w:eastAsia="Arial" w:hAnsi="Arial"/>
          <w:b w:val="false"/>
          <w:bCs w:val="false"/>
          <w:i w:val="false"/>
          <w:iCs w:val="false"/>
          <w:color w:val="000000"/>
          <w:sz w:val="22"/>
          <w:szCs w:val="22"/>
        </w:rPr>
        <w:t xml:space="preserve">Date: ________________________________________</w:t>
      </w:r>
    </w:p>
    <w:p>
      <w:pPr>
        <w:spacing w:after="40" w:before="40"/>
      </w:pPr>
      <w:r>
        <w:t xml:space="preserve"/>
      </w:r>
    </w:p>
    <w:p>
      <w:pPr>
        <w:pBdr>
          <w:bottom w:val="single" w:color="7B2C00" w:sz="6"/>
        </w:pBdr>
        <w:spacing w:after="100" w:before="100"/>
      </w:pPr>
      <w:r>
        <w:rPr>
          <w:rFonts w:ascii="Arial" w:cs="Arial" w:eastAsia="Arial" w:hAnsi="Arial"/>
          <w:sz w:val="4"/>
          <w:szCs w:val="4"/>
        </w:rPr>
        <w:t xml:space="preserve"/>
      </w:r>
    </w:p>
    <w:p>
      <w:pPr>
        <w:spacing w:after="40" w:before="40"/>
      </w:pPr>
      <w:r>
        <w:t xml:space="preserve"/>
      </w:r>
    </w:p>
    <w:p>
      <w:pPr>
        <w:spacing w:after="80" w:before="80" w:line="276" w:lineRule="auto"/>
        <w:jc w:val="both"/>
      </w:pPr>
      <w:r>
        <w:rPr>
          <w:rFonts w:ascii="Arial" w:cs="Arial" w:eastAsia="Arial" w:hAnsi="Arial"/>
          <w:b/>
          <w:bCs/>
          <w:i w:val="false"/>
          <w:iCs w:val="false"/>
          <w:color w:val="000000"/>
          <w:sz w:val="22"/>
          <w:szCs w:val="22"/>
        </w:rPr>
        <w:t xml:space="preserve">For the United States of America (as endorsing Party):</w:t>
      </w:r>
    </w:p>
    <w:p>
      <w:pPr>
        <w:spacing w:after="40" w:before="40"/>
      </w:pPr>
      <w:r>
        <w:t xml:space="preserve"/>
      </w:r>
    </w:p>
    <w:p>
      <w:pPr>
        <w:spacing w:after="80" w:before="80" w:line="276" w:lineRule="auto"/>
        <w:jc w:val="both"/>
      </w:pPr>
      <w:r>
        <w:rPr>
          <w:rFonts w:ascii="Arial" w:cs="Arial" w:eastAsia="Arial" w:hAnsi="Arial"/>
          <w:b w:val="false"/>
          <w:bCs w:val="false"/>
          <w:i w:val="false"/>
          <w:iCs w:val="false"/>
          <w:color w:val="000000"/>
          <w:sz w:val="22"/>
          <w:szCs w:val="22"/>
        </w:rPr>
        <w:t xml:space="preserve">Name: _______________________________________</w:t>
      </w:r>
    </w:p>
    <w:p>
      <w:pPr>
        <w:spacing w:after="40" w:before="40"/>
      </w:pPr>
      <w:r>
        <w:t xml:space="preserve"/>
      </w:r>
    </w:p>
    <w:p>
      <w:pPr>
        <w:spacing w:after="80" w:before="80" w:line="276" w:lineRule="auto"/>
        <w:jc w:val="both"/>
      </w:pPr>
      <w:r>
        <w:rPr>
          <w:rFonts w:ascii="Arial" w:cs="Arial" w:eastAsia="Arial" w:hAnsi="Arial"/>
          <w:b w:val="false"/>
          <w:bCs w:val="false"/>
          <w:i w:val="false"/>
          <w:iCs w:val="false"/>
          <w:color w:val="000000"/>
          <w:sz w:val="22"/>
          <w:szCs w:val="22"/>
        </w:rPr>
        <w:t xml:space="preserve">Title: ________________________________________</w:t>
      </w:r>
    </w:p>
    <w:p>
      <w:pPr>
        <w:spacing w:after="40" w:before="40"/>
      </w:pPr>
      <w:r>
        <w:t xml:space="preserve"/>
      </w:r>
    </w:p>
    <w:p>
      <w:pPr>
        <w:spacing w:after="80" w:before="80" w:line="276" w:lineRule="auto"/>
        <w:jc w:val="both"/>
      </w:pPr>
      <w:r>
        <w:rPr>
          <w:rFonts w:ascii="Arial" w:cs="Arial" w:eastAsia="Arial" w:hAnsi="Arial"/>
          <w:b w:val="false"/>
          <w:bCs w:val="false"/>
          <w:i w:val="false"/>
          <w:iCs w:val="false"/>
          <w:color w:val="000000"/>
          <w:sz w:val="22"/>
          <w:szCs w:val="22"/>
        </w:rPr>
        <w:t xml:space="preserve">Date: ________________________________________</w:t>
      </w:r>
    </w:p>
    <w:p>
      <w:pPr>
        <w:spacing w:after="40" w:before="40"/>
      </w:pPr>
      <w:r>
        <w:t xml:space="preserve"/>
      </w:r>
    </w:p>
    <w:p>
      <w:pPr>
        <w:pBdr>
          <w:bottom w:val="single" w:color="7B2C00" w:sz="6"/>
        </w:pBdr>
        <w:spacing w:after="100" w:before="100"/>
      </w:pPr>
      <w:r>
        <w:rPr>
          <w:rFonts w:ascii="Arial" w:cs="Arial" w:eastAsia="Arial" w:hAnsi="Arial"/>
          <w:sz w:val="4"/>
          <w:szCs w:val="4"/>
        </w:rPr>
        <w:t xml:space="preserve"/>
      </w:r>
    </w:p>
    <w:p>
      <w:pPr>
        <w:spacing w:after="40" w:before="40"/>
      </w:pPr>
      <w:r>
        <w:t xml:space="preserve"/>
      </w:r>
    </w:p>
    <w:p>
      <w:pPr>
        <w:spacing w:after="80" w:before="80" w:line="276" w:lineRule="auto"/>
        <w:jc w:val="both"/>
      </w:pPr>
      <w:r>
        <w:rPr>
          <w:rFonts w:ascii="Arial" w:cs="Arial" w:eastAsia="Arial" w:hAnsi="Arial"/>
          <w:b/>
          <w:bCs/>
          <w:i w:val="false"/>
          <w:iCs w:val="false"/>
          <w:color w:val="000000"/>
          <w:sz w:val="22"/>
          <w:szCs w:val="22"/>
        </w:rPr>
        <w:t xml:space="preserve">For the Islamic Republic of Iran (as endorsing Party):</w:t>
      </w:r>
    </w:p>
    <w:p>
      <w:pPr>
        <w:spacing w:after="40" w:before="40"/>
      </w:pPr>
      <w:r>
        <w:t xml:space="preserve"/>
      </w:r>
    </w:p>
    <w:p>
      <w:pPr>
        <w:spacing w:after="80" w:before="80" w:line="276" w:lineRule="auto"/>
        <w:jc w:val="both"/>
      </w:pPr>
      <w:r>
        <w:rPr>
          <w:rFonts w:ascii="Arial" w:cs="Arial" w:eastAsia="Arial" w:hAnsi="Arial"/>
          <w:b w:val="false"/>
          <w:bCs w:val="false"/>
          <w:i w:val="false"/>
          <w:iCs w:val="false"/>
          <w:color w:val="000000"/>
          <w:sz w:val="22"/>
          <w:szCs w:val="22"/>
        </w:rPr>
        <w:t xml:space="preserve">Name: _______________________________________</w:t>
      </w:r>
    </w:p>
    <w:p>
      <w:pPr>
        <w:spacing w:after="40" w:before="40"/>
      </w:pPr>
      <w:r>
        <w:t xml:space="preserve"/>
      </w:r>
    </w:p>
    <w:p>
      <w:pPr>
        <w:spacing w:after="80" w:before="80" w:line="276" w:lineRule="auto"/>
        <w:jc w:val="both"/>
      </w:pPr>
      <w:r>
        <w:rPr>
          <w:rFonts w:ascii="Arial" w:cs="Arial" w:eastAsia="Arial" w:hAnsi="Arial"/>
          <w:b w:val="false"/>
          <w:bCs w:val="false"/>
          <w:i w:val="false"/>
          <w:iCs w:val="false"/>
          <w:color w:val="000000"/>
          <w:sz w:val="22"/>
          <w:szCs w:val="22"/>
        </w:rPr>
        <w:t xml:space="preserve">Title: ________________________________________</w:t>
      </w:r>
    </w:p>
    <w:p>
      <w:pPr>
        <w:spacing w:after="40" w:before="40"/>
      </w:pPr>
      <w:r>
        <w:t xml:space="preserve"/>
      </w:r>
    </w:p>
    <w:p>
      <w:pPr>
        <w:spacing w:after="80" w:before="80" w:line="276" w:lineRule="auto"/>
        <w:jc w:val="both"/>
      </w:pPr>
      <w:r>
        <w:rPr>
          <w:rFonts w:ascii="Arial" w:cs="Arial" w:eastAsia="Arial" w:hAnsi="Arial"/>
          <w:b w:val="false"/>
          <w:bCs w:val="false"/>
          <w:i w:val="false"/>
          <w:iCs w:val="false"/>
          <w:color w:val="000000"/>
          <w:sz w:val="22"/>
          <w:szCs w:val="22"/>
        </w:rPr>
        <w:t xml:space="preserve">Date: ________________________________________</w:t>
      </w:r>
    </w:p>
    <w:p>
      <w:pPr>
        <w:spacing w:after="40" w:before="40"/>
      </w:pPr>
      <w:r>
        <w:t xml:space="preserve"/>
      </w:r>
    </w:p>
    <w:p>
      <w:pPr>
        <w:pBdr>
          <w:bottom w:val="single" w:color="7B2C00" w:sz="6"/>
        </w:pBdr>
        <w:spacing w:after="100" w:before="100"/>
      </w:pPr>
      <w:r>
        <w:rPr>
          <w:rFonts w:ascii="Arial" w:cs="Arial" w:eastAsia="Arial" w:hAnsi="Arial"/>
          <w:sz w:val="4"/>
          <w:szCs w:val="4"/>
        </w:rPr>
        <w:t xml:space="preserve"/>
      </w:r>
    </w:p>
    <w:p>
      <w:pPr>
        <w:spacing w:after="40" w:before="40"/>
      </w:pPr>
      <w:r>
        <w:t xml:space="preserve"/>
      </w:r>
    </w:p>
    <w:p>
      <w:pPr>
        <w:spacing w:after="80" w:before="80" w:line="276" w:lineRule="auto"/>
        <w:jc w:val="both"/>
      </w:pPr>
      <w:r>
        <w:rPr>
          <w:rFonts w:ascii="Arial" w:cs="Arial" w:eastAsia="Arial" w:hAnsi="Arial"/>
          <w:b/>
          <w:bCs/>
          <w:i w:val="false"/>
          <w:iCs w:val="false"/>
          <w:color w:val="000000"/>
          <w:sz w:val="22"/>
          <w:szCs w:val="22"/>
        </w:rPr>
        <w:t xml:space="preserve">Witnessed by the PCC Secretariat (Geneva) and Guarantor States:</w:t>
      </w:r>
    </w:p>
    <w:p>
      <w:pPr>
        <w:spacing w:after="40" w:before="40"/>
      </w:pPr>
      <w:r>
        <w:t xml:space="preserve"/>
      </w:r>
    </w:p>
    <w:p>
      <w:pPr>
        <w:spacing w:after="80" w:before="80" w:line="276" w:lineRule="auto"/>
        <w:jc w:val="both"/>
      </w:pPr>
      <w:r>
        <w:rPr>
          <w:rFonts w:ascii="Arial" w:cs="Arial" w:eastAsia="Arial" w:hAnsi="Arial"/>
          <w:b w:val="false"/>
          <w:bCs w:val="false"/>
          <w:i w:val="false"/>
          <w:iCs w:val="false"/>
          <w:color w:val="000000"/>
          <w:sz w:val="22"/>
          <w:szCs w:val="22"/>
        </w:rPr>
        <w:t xml:space="preserve">Signature: ____________________________________</w:t>
      </w:r>
    </w:p>
    <w:p>
      <w:pPr>
        <w:spacing w:after="40" w:before="40"/>
      </w:pPr>
      <w:r>
        <w:t xml:space="preserve"/>
      </w:r>
    </w:p>
    <w:p>
      <w:pPr>
        <w:spacing w:after="80" w:before="80" w:line="276" w:lineRule="auto"/>
        <w:jc w:val="both"/>
      </w:pPr>
      <w:r>
        <w:rPr>
          <w:rFonts w:ascii="Arial" w:cs="Arial" w:eastAsia="Arial" w:hAnsi="Arial"/>
          <w:b w:val="false"/>
          <w:bCs w:val="false"/>
          <w:i w:val="false"/>
          <w:iCs w:val="false"/>
          <w:color w:val="000000"/>
          <w:sz w:val="22"/>
          <w:szCs w:val="22"/>
        </w:rPr>
        <w:t xml:space="preserve">Date: ________________________________________</w:t>
      </w:r>
    </w:p>
    <w:p>
      <w:pPr>
        <w:spacing w:after="40" w:before="40"/>
      </w:pPr>
      <w:r>
        <w:t xml:space="preserve"/>
      </w:r>
    </w:p>
    <w:p>
      <w:pPr>
        <w:spacing w:after="40" w:before="40"/>
      </w:pPr>
      <w:r>
        <w:t xml:space="preserve"/>
      </w:r>
    </w:p>
    <w:p>
      <w:pPr>
        <w:pBdr>
          <w:bottom w:val="single" w:color="7B2C00" w:sz="6"/>
        </w:pBdr>
        <w:spacing w:after="100" w:before="100"/>
      </w:pPr>
      <w:r>
        <w:rPr>
          <w:rFonts w:ascii="Arial" w:cs="Arial" w:eastAsia="Arial" w:hAnsi="Arial"/>
          <w:sz w:val="4"/>
          <w:szCs w:val="4"/>
        </w:rPr>
        <w:t xml:space="preserve"/>
      </w:r>
    </w:p>
    <w:p>
      <w:pPr>
        <w:spacing w:after="40" w:before="40"/>
      </w:pPr>
      <w:r>
        <w:t xml:space="preserve"/>
      </w:r>
    </w:p>
    <w:p>
      <w:pPr>
        <w:spacing w:after="40" w:before="80"/>
        <w:jc w:val="center"/>
      </w:pPr>
      <w:r>
        <w:rPr>
          <w:rFonts w:ascii="Arial" w:cs="Arial" w:eastAsia="Arial" w:hAnsi="Arial"/>
          <w:color w:val="7B2C00"/>
          <w:sz w:val="20"/>
          <w:szCs w:val="20"/>
        </w:rPr>
        <w:t xml:space="preserve">Annex U — Technical Demarcation and Stabilization Addendum — Version 1.0</w:t>
      </w:r>
    </w:p>
    <w:p>
      <w:pPr>
        <w:spacing w:after="80" w:before="40"/>
        <w:jc w:val="center"/>
      </w:pPr>
      <w:r>
        <w:rPr>
          <w:rFonts w:ascii="Arial" w:cs="Arial" w:eastAsia="Arial" w:hAnsi="Arial"/>
          <w:color w:val="7B2C00"/>
          <w:sz w:val="20"/>
          <w:szCs w:val="20"/>
        </w:rPr>
        <w:t xml:space="preserve">Expires automatically at 23:59 UTC on Day 60 of the truce unless renewed by mutual agreement</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7B2C00" w:sz="4"/>
      </w:pBdr>
      <w:tabs>
        <w:tab w:val="right" w:pos="9360"/>
      </w:tabs>
      <w:spacing w:after="40" w:before="40"/>
    </w:pPr>
    <w:r>
      <w:rPr>
        <w:rFonts w:ascii="Arial" w:cs="Arial" w:eastAsia="Arial" w:hAnsi="Arial"/>
        <w:b/>
        <w:bCs/>
        <w:color w:val="7B2C00"/>
        <w:sz w:val="16"/>
        <w:szCs w:val="16"/>
      </w:rPr>
      <w:t xml:space="preserve">EXPIRES AUTOMATICALLY AT 23:59 UTC ON DAY 60 UNLESS RENEWED	</w:t>
    </w:r>
    <w:r>
      <w:rPr>
        <w:rFonts w:ascii="Arial" w:cs="Arial" w:eastAsia="Arial" w:hAnsi="Arial"/>
        <w:color w:val="7B2C0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B2C00" w:sz="4"/>
      </w:pBdr>
      <w:tabs>
        <w:tab w:val="right" w:pos="9360"/>
      </w:tabs>
      <w:spacing w:after="40" w:before="40"/>
    </w:pPr>
    <w:r>
      <w:rPr>
        <w:rFonts w:ascii="Arial" w:cs="Arial" w:eastAsia="Arial" w:hAnsi="Arial"/>
        <w:b/>
        <w:bCs/>
        <w:color w:val="7B2C00"/>
        <w:sz w:val="16"/>
        <w:szCs w:val="16"/>
      </w:rPr>
      <w:t xml:space="preserve">IMMEDIATE OPERATIONAL USE — MODULAR ADDENDUM</w:t>
    </w:r>
    <w:r>
      <w:rPr>
        <w:rFonts w:ascii="Arial" w:cs="Arial" w:eastAsia="Arial" w:hAnsi="Arial"/>
        <w:color w:val="A84300"/>
        <w:sz w:val="16"/>
        <w:szCs w:val="16"/>
      </w:rPr>
      <w:t xml:space="preserve">	Annex U — Technical Demarcation and Stabilization Addendum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hd w:fill="7B2C00" w:val="clear"/>
      <w:spacing w:after="120" w:before="240"/>
      <w:outlineLvl w:val="0"/>
    </w:pPr>
    <w:rPr>
      <w:rFonts w:ascii="Arial" w:cs="Arial" w:eastAsia="Arial" w:hAnsi="Arial"/>
      <w:b/>
      <w:bCs/>
      <w:color w:val="FFFFFF"/>
      <w:sz w:val="30"/>
      <w:szCs w:val="30"/>
    </w:rPr>
  </w:style>
  <w:style w:type="paragraph" w:styleId="Heading2">
    <w:name w:val="Heading 2"/>
    <w:basedOn w:val="Normal"/>
    <w:next w:val="Normal"/>
    <w:qFormat/>
    <w:pPr>
      <w:shd w:fill="A84300" w:val="clear"/>
      <w:spacing w:after="100" w:before="200"/>
      <w:outlineLvl w:val="1"/>
    </w:pPr>
    <w:rPr>
      <w:rFonts w:ascii="Arial" w:cs="Arial" w:eastAsia="Arial" w:hAnsi="Arial"/>
      <w:b/>
      <w:bCs/>
      <w:color w:val="FFFFFF"/>
      <w:sz w:val="26"/>
      <w:szCs w:val="26"/>
    </w:rPr>
  </w:style>
  <w:style w:type="paragraph" w:styleId="Heading3">
    <w:name w:val="Heading 3"/>
    <w:basedOn w:val="Normal"/>
    <w:next w:val="Normal"/>
    <w:qFormat/>
    <w:pPr>
      <w:spacing w:after="80" w:before="160"/>
      <w:outlineLvl w:val="2"/>
    </w:pPr>
    <w:rPr>
      <w:rFonts w:ascii="Arial" w:cs="Arial" w:eastAsia="Arial" w:hAnsi="Arial"/>
      <w:b/>
      <w:bCs/>
      <w:color w:val="7B2C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2026-06-07T02:26:00.532Z</dcterms:created>
  <dcterms:modified xsi:type="dcterms:W3CDTF">2026-06-07T02:26:00.532Z</dcterms:modified>
</cp:coreProperties>
</file>

<file path=docProps/custom.xml><?xml version="1.0" encoding="utf-8"?>
<Properties xmlns="http://schemas.openxmlformats.org/officeDocument/2006/custom-properties" xmlns:vt="http://schemas.openxmlformats.org/officeDocument/2006/docPropsVTypes"/>
</file>