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03adbb37a50641e3" /></Relationships>
</file>

<file path=word/document.xml><?xml version="1.0" encoding="utf-8"?>
<w:document xmlns:r="http://schemas.openxmlformats.org/officeDocument/2006/relationships" xmlns:w="http://schemas.openxmlformats.org/wordprocessingml/2006/main">
  <w:body>
    <w:p>
      <w:pPr>
        <w:spacing w:before="200" w:after="100"/>
        <w:jc w:val="center"/>
      </w:pPr>
      <w:r>
        <w:rPr>
          <w:i/>
          <w:color w:val="7a7a7a"/>
          <w:sz w:val="18"/>
        </w:rPr>
        <w:t>MODULAR ANNEX</w:t>
      </w:r>
    </w:p>
    <w:p>
      <w:pPr>
        <w:spacing w:before="200" w:after="200"/>
        <w:jc w:val="center"/>
      </w:pPr>
      <w:r>
        <w:rPr>
          <w:b/>
          <w:color w:val="1E3A5F"/>
          <w:sz w:val="48"/>
        </w:rPr>
        <w:t>Annex V.S.</w:t>
      </w:r>
    </w:p>
    <w:p>
      <w:pPr>
        <w:spacing w:before="0" w:after="60"/>
        <w:jc w:val="center"/>
      </w:pPr>
      <w:r>
        <w:rPr>
          <w:b/>
          <w:color w:val="1E3A5F"/>
          <w:sz w:val="28"/>
        </w:rPr>
        <w:t>VERIFICATION SEQUENCING PROTOCOL</w:t>
      </w:r>
    </w:p>
    <w:p>
      <w:pPr>
        <w:spacing w:before="100" w:after="40"/>
        <w:jc w:val="center"/>
      </w:pPr>
      <w:r>
        <w:rPr>
          <w:color w:val="4a4a4a"/>
          <w:sz w:val="20"/>
        </w:rPr>
        <w:t>Step-by-Step IAEA Inspection, Verification, and Certification Timeline</w:t>
      </w:r>
    </w:p>
    <w:p>
      <w:pPr>
        <w:spacing w:before="200" w:after="60"/>
        <w:jc w:val="center"/>
      </w:pPr>
      <w:r>
        <w:rPr>
          <w:color w:val="1a1a1a"/>
          <w:sz w:val="18"/>
        </w:rPr>
        <w:t>IAEA-Led - No Unannounced Military Access - Milestone-Driven</w:t>
      </w:r>
    </w:p>
    <w:p>
      <w:pPr>
        <w:spacing w:before="200" w:after="40"/>
        <w:jc w:val="center"/>
      </w:pPr>
      <w:r>
        <w:rPr>
          <w:color w:val="1a1a1a"/>
          <w:sz w:val="18"/>
        </w:rPr>
        <w:t>Incorporated by reference into:</w:t>
      </w:r>
    </w:p>
    <w:p>
      <w:pPr>
        <w:spacing w:before="0" w:after="40"/>
        <w:jc w:val="center"/>
      </w:pPr>
      <w:r>
        <w:rPr>
          <w:color w:val="4a4a4a"/>
          <w:sz w:val="18"/>
        </w:rPr>
        <w:t>Memorandum of Understanding Pertaining to PEACE (v7.0)</w:t>
      </w:r>
    </w:p>
    <w:p>
      <w:pPr>
        <w:spacing w:before="0" w:after="100"/>
        <w:jc w:val="center"/>
      </w:pPr>
      <w:r>
        <w:rPr>
          <w:color w:val="4a4a4a"/>
          <w:sz w:val="18"/>
        </w:rPr>
        <w:t>and the Provisional Steps Framework (v1.8)</w:t>
      </w:r>
    </w:p>
    <w:p>
      <w:pPr>
        <w:spacing w:before="200" w:after="100"/>
        <w:jc w:val="center"/>
      </w:pPr>
      <w:r>
        <w:rPr>
          <w:color w:val="1a1a1a"/>
          <w:sz w:val="20"/>
        </w:rPr>
        <w:t>Version 1.0 - June 2026</w:t>
      </w:r>
    </w:p>
    <w:p>
      <w:pPr>
        <w:pBdr>
          <w:top w:val="single" w:color="8B0000" w:sz="12"/>
          <w:left w:val="single" w:color="8B0000" w:sz="12"/>
          <w:bottom w:val="single" w:color="8B0000" w:sz="12"/>
          <w:right w:val="single" w:color="8B0000" w:sz="12"/>
        </w:pBdr>
        <w:shd w:val="clear" w:fill="FFF8F8"/>
        <w:spacing w:before="200" w:after="400"/>
        <w:ind w:left="720" w:right="720"/>
        <w:jc w:val="center"/>
      </w:pPr>
      <w:r>
        <w:rPr>
          <w:b/>
          <w:color w:val="8B0000"/>
          <w:sz w:val="20"/>
        </w:rPr>
        <w:t>CLASSIFICATION: AUTHORIZED NEGOTIATORS ONLY - CONFIDENTIAL</w:t>
      </w:r>
      <w:r>
        <w:rPr>
          <w:color w:val="8B0000"/>
          <w:sz w:val="20"/>
        </w:rPr>
        <w:t> - NOT FOR PUBLIC DISTRIBUTION</w:t>
      </w:r>
    </w:p>
    <w:p>
      <w:r>
        <w:br w:type="page"/>
      </w:r>
    </w:p>
    <w:p>
      <w:pPr>
        <w:pStyle w:val="Heading1"/>
      </w:pPr>
      <w:r>
        <w:t>PREAMBLE</w:t>
      </w:r>
    </w:p>
    <w:p>
      <w:pPr>
        <w:spacing w:before="60" w:after="120"/>
      </w:pPr>
      <w:r>
        <w:rPr>
          <w:sz w:val="21"/>
        </w:rPr>
        <w:t>The International Atomic Energy Agency (IAEA) has not had full access to certain Iranian nuclear facilities for an extended period. Structural damage from military strikes affects the integrity of HEU storage cylinders and the accessibility of declared sites. The United States has called for a clear, sequenced plan specifying when inspectors enter, what they check, and how compliance is certified.</w:t>
      </w:r>
    </w:p>
    <w:p>
      <w:pPr>
        <w:spacing w:before="60" w:after="120"/>
      </w:pPr>
      <w:r>
        <w:rPr>
          <w:sz w:val="21"/>
        </w:rPr>
        <w:t>This Annex establishes a phased, milestone-driven verification protocol that aligns with the 60-Day Reciprocal Sequencing Schedule (Annex S) and the IAEA Access and Site Integrity Protocol (Annex O). The IAEA leads all verification activities; the United States does not receive direct, unannounced access. Iran retains sovereignty over its facilities while providing IAEA inspectors the access necessary to verify compliance.</w:t>
      </w:r>
    </w:p>
    <w:p>
      <w:pPr>
        <w:spacing w:before="60" w:after="120"/>
      </w:pPr>
      <w:r>
        <w:rPr>
          <w:sz w:val="21"/>
        </w:rPr>
        <w:t>All obligations execute in the active present tense. Step-back and earn-back follow MOU Article 7.3.</w:t>
      </w:r>
    </w:p>
    <w:p>
      <w:pPr>
        <w:pStyle w:val="Heading2"/>
      </w:pPr>
      <w:r>
        <w:t>Modularity Clause</w:t>
      </w:r>
    </w:p>
    <w:p>
      <w:pPr>
        <w:spacing w:before="60" w:after="120"/>
      </w:pPr>
      <w:r>
        <w:rPr>
          <w:sz w:val="21"/>
        </w:rPr>
        <w:t>This Annex V.S. is self-contained and incorporates into the Memorandum of Understanding Pertaining to PEACE and the Provisional Steps Framework by the sentence of adoption in Part D-1 of the MOU. It does not amend or supersede conflicting provisions of any parent framework unless the Parties explicitly so agree. In the event of inconsistency, this Annex V.S. governs with respect to the sequencing of IAEA inspector deployment, inspection scope and checkpoints, compliance certification gates, and integration with the 60-Day Reciprocal Sequencing Schedule.</w:t>
      </w:r>
    </w:p>
    <w:p>
      <w:pPr>
        <w:pStyle w:val="Heading1"/>
      </w:pPr>
      <w:r>
        <w:t>ARTICLE 1: PHASED INSPECTOR DEPLOYMENT AND ACCESS</w:t>
      </w:r>
    </w:p>
    <w:p>
      <w:pPr>
        <w:pStyle w:val="Heading2"/>
      </w:pPr>
      <w:r>
        <w:t>1.1 Pre-Entry Phase (Days 1-7)</w:t>
      </w:r>
    </w:p>
    <w:p>
      <w:pPr>
        <w:spacing w:before="60" w:after="120"/>
      </w:pPr>
      <w:r>
        <w:rPr>
          <w:sz w:val="21"/>
        </w:rPr>
        <w:t>The Pre-Entry Phase establishes the operational foundation for all subsequent verification activities. IAEA inspectors deploy to Iran, receive safety briefings, conduct joint walkthroughs, install baseline monitoring equipment, and issue the Preliminary Access Report that certifies facility readiness for full inspection operations.</w:t>
      </w:r>
    </w:p>
    <w:tbl>
      <w:tblPr>
        <w:tblW w:w="5000" w:type="pct"/>
        <w:tblBorders>
          <w:top w:val="single" w:color="1E3A5F" w:sz="8"/>
          <w:left w:val="nil"/>
          <w:bottom w:val="single" w:color="1E3A5F" w:sz="8"/>
          <w:right w:val="nil"/>
          <w:insideH w:val="single" w:color="CCCCCC" w:sz="4"/>
          <w:insideV w:val="nil"/>
        </w:tblBorders>
      </w:tblPr>
      <w:tblGrid>
        <w:gridCol w:w="800"/>
        <w:gridCol w:w="3000"/>
        <w:gridCol w:w="3200"/>
        <w:gridCol w:w="2000"/>
      </w:tblGrid>
      <w:tr>
        <w:trPr>
          <w:tblHeader/>
        </w:trPr>
        <w:tc>
          <w:tcPr>
            <w:tcW w:w="800" w:type="dxa"/>
            <w:shd w:val="clear" w:fill="E8EDF2"/>
          </w:tcPr>
          <w:p>
            <w:pPr>
              <w:spacing w:before="40" w:after="40"/>
            </w:pPr>
            <w:r>
              <w:rPr>
                <w:b/>
                <w:color w:val="1a1a1a"/>
                <w:sz w:val="19"/>
              </w:rPr>
              <w:t>Day</w:t>
            </w:r>
          </w:p>
        </w:tc>
        <w:tc>
          <w:tcPr>
            <w:tcW w:w="3000" w:type="dxa"/>
            <w:shd w:val="clear" w:fill="E8EDF2"/>
          </w:tcPr>
          <w:p>
            <w:pPr>
              <w:spacing w:before="40" w:after="40"/>
            </w:pPr>
            <w:r>
              <w:rPr>
                <w:b/>
                <w:color w:val="1a1a1a"/>
                <w:sz w:val="19"/>
              </w:rPr>
              <w:t>IAEA Activity</w:t>
            </w:r>
          </w:p>
        </w:tc>
        <w:tc>
          <w:tcPr>
            <w:tcW w:w="3200" w:type="dxa"/>
            <w:shd w:val="clear" w:fill="E8EDF2"/>
          </w:tcPr>
          <w:p>
            <w:pPr>
              <w:spacing w:before="40" w:after="40"/>
            </w:pPr>
            <w:r>
              <w:rPr>
                <w:b/>
                <w:color w:val="1a1a1a"/>
                <w:sz w:val="19"/>
              </w:rPr>
              <w:t>Iranian Obligation</w:t>
            </w:r>
          </w:p>
        </w:tc>
        <w:tc>
          <w:tcPr>
            <w:tcW w:w="2000" w:type="dxa"/>
            <w:shd w:val="clear" w:fill="E8EDF2"/>
          </w:tcPr>
          <w:p>
            <w:pPr>
              <w:spacing w:before="40" w:after="40"/>
            </w:pPr>
            <w:r>
              <w:rPr>
                <w:b/>
                <w:color w:val="1a1a1a"/>
                <w:sz w:val="19"/>
              </w:rPr>
              <w:t>Verification Output</w:t>
            </w:r>
          </w:p>
        </w:tc>
      </w:tr>
      <w:tr>
        <w:tc>
          <w:tcPr>
            <w:tcW w:w="800" w:type="dxa"/>
          </w:tcPr>
          <w:p>
            <w:pPr>
              <w:spacing w:before="40" w:after="40"/>
            </w:pPr>
            <w:r>
              <w:rPr>
                <w:color w:val="4a4a4a"/>
                <w:sz w:val="19"/>
              </w:rPr>
              <w:t>1</w:t>
            </w:r>
          </w:p>
        </w:tc>
        <w:tc>
          <w:tcPr>
            <w:tcW w:w="3000" w:type="dxa"/>
          </w:tcPr>
          <w:p>
            <w:pPr>
              <w:spacing w:before="40" w:after="40"/>
            </w:pPr>
            <w:r>
              <w:rPr>
                <w:color w:val="4a4a4a"/>
                <w:sz w:val="19"/>
              </w:rPr>
              <w:t>IAEA submits final inspector roster to Iran</w:t>
            </w:r>
          </w:p>
        </w:tc>
        <w:tc>
          <w:tcPr>
            <w:tcW w:w="3200" w:type="dxa"/>
          </w:tcPr>
          <w:p>
            <w:pPr>
              <w:spacing w:before="40" w:after="40"/>
            </w:pPr>
            <w:r>
              <w:rPr>
                <w:color w:val="4a4a4a"/>
                <w:sz w:val="19"/>
              </w:rPr>
              <w:t>Iran approves visas within 48 hours (per Annex O, Article 1.3)</w:t>
            </w:r>
          </w:p>
        </w:tc>
        <w:tc>
          <w:tcPr>
            <w:tcW w:w="2000" w:type="dxa"/>
          </w:tcPr>
          <w:p>
            <w:pPr>
              <w:spacing w:before="40" w:after="40"/>
            </w:pPr>
            <w:r>
              <w:rPr>
                <w:color w:val="4a4a4a"/>
                <w:sz w:val="19"/>
              </w:rPr>
              <w:t>Roster confirmation</w:t>
            </w:r>
          </w:p>
        </w:tc>
      </w:tr>
      <w:tr>
        <w:tc>
          <w:tcPr>
            <w:tcW w:w="800" w:type="dxa"/>
          </w:tcPr>
          <w:p>
            <w:pPr>
              <w:spacing w:before="40" w:after="40"/>
            </w:pPr>
            <w:r>
              <w:rPr>
                <w:color w:val="4a4a4a"/>
                <w:sz w:val="19"/>
              </w:rPr>
              <w:t>2</w:t>
            </w:r>
          </w:p>
        </w:tc>
        <w:tc>
          <w:tcPr>
            <w:tcW w:w="3000" w:type="dxa"/>
          </w:tcPr>
          <w:p>
            <w:pPr>
              <w:spacing w:before="40" w:after="40"/>
            </w:pPr>
            <w:r>
              <w:rPr>
                <w:color w:val="4a4a4a"/>
                <w:sz w:val="19"/>
              </w:rPr>
              <w:t>IAEA advance team arrives at Tehran airport; receives safety briefing</w:t>
            </w:r>
          </w:p>
        </w:tc>
        <w:tc>
          <w:tcPr>
            <w:tcW w:w="3200" w:type="dxa"/>
          </w:tcPr>
          <w:p>
            <w:pPr>
              <w:spacing w:before="40" w:after="40"/>
            </w:pPr>
            <w:r>
              <w:rPr>
                <w:color w:val="4a4a4a"/>
                <w:sz w:val="19"/>
              </w:rPr>
              <w:t>Iranian facility directors notified; hazard maps provided</w:t>
            </w:r>
          </w:p>
        </w:tc>
        <w:tc>
          <w:tcPr>
            <w:tcW w:w="2000" w:type="dxa"/>
          </w:tcPr>
          <w:p>
            <w:pPr>
              <w:spacing w:before="40" w:after="40"/>
            </w:pPr>
            <w:r>
              <w:rPr>
                <w:color w:val="4a4a4a"/>
                <w:sz w:val="19"/>
              </w:rPr>
              <w:t>Travel log; briefing acknowledgment</w:t>
            </w:r>
          </w:p>
        </w:tc>
      </w:tr>
      <w:tr>
        <w:tc>
          <w:tcPr>
            <w:tcW w:w="800" w:type="dxa"/>
          </w:tcPr>
          <w:p>
            <w:pPr>
              <w:spacing w:before="40" w:after="40"/>
            </w:pPr>
            <w:r>
              <w:rPr>
                <w:color w:val="4a4a4a"/>
                <w:sz w:val="19"/>
              </w:rPr>
              <w:t>3</w:t>
            </w:r>
          </w:p>
        </w:tc>
        <w:tc>
          <w:tcPr>
            <w:tcW w:w="3000" w:type="dxa"/>
          </w:tcPr>
          <w:p>
            <w:pPr>
              <w:spacing w:before="40" w:after="40"/>
            </w:pPr>
            <w:r>
              <w:rPr>
                <w:color w:val="4a4a4a"/>
                <w:sz w:val="19"/>
              </w:rPr>
              <w:t>Joint safety walkthrough at first priority facility (Esfahan)</w:t>
            </w:r>
          </w:p>
        </w:tc>
        <w:tc>
          <w:tcPr>
            <w:tcW w:w="3200" w:type="dxa"/>
          </w:tcPr>
          <w:p>
            <w:pPr>
              <w:spacing w:before="40" w:after="40"/>
            </w:pPr>
            <w:r>
              <w:rPr>
                <w:color w:val="4a4a4a"/>
                <w:sz w:val="19"/>
              </w:rPr>
              <w:t>IAEA inspectors and Iranian officers jointly assess hazards</w:t>
            </w:r>
          </w:p>
        </w:tc>
        <w:tc>
          <w:tcPr>
            <w:tcW w:w="2000" w:type="dxa"/>
          </w:tcPr>
          <w:p>
            <w:pPr>
              <w:spacing w:before="40" w:after="40"/>
            </w:pPr>
            <w:r>
              <w:rPr>
                <w:color w:val="4a4a4a"/>
                <w:sz w:val="19"/>
              </w:rPr>
              <w:t>Signed walkthrough report</w:t>
            </w:r>
          </w:p>
        </w:tc>
      </w:tr>
      <w:tr>
        <w:tc>
          <w:tcPr>
            <w:tcW w:w="800" w:type="dxa"/>
          </w:tcPr>
          <w:p>
            <w:pPr>
              <w:spacing w:before="40" w:after="40"/>
            </w:pPr>
            <w:r>
              <w:rPr>
                <w:color w:val="4a4a4a"/>
                <w:sz w:val="19"/>
              </w:rPr>
              <w:t>4</w:t>
            </w:r>
          </w:p>
        </w:tc>
        <w:tc>
          <w:tcPr>
            <w:tcW w:w="3000" w:type="dxa"/>
          </w:tcPr>
          <w:p>
            <w:pPr>
              <w:spacing w:before="40" w:after="40"/>
            </w:pPr>
            <w:r>
              <w:rPr>
                <w:color w:val="4a4a4a"/>
                <w:sz w:val="19"/>
              </w:rPr>
              <w:t>IAEA deploys initial monitoring equipment at Esfahan</w:t>
            </w:r>
          </w:p>
        </w:tc>
        <w:tc>
          <w:tcPr>
            <w:tcW w:w="3200" w:type="dxa"/>
          </w:tcPr>
          <w:p>
            <w:pPr>
              <w:spacing w:before="40" w:after="40"/>
            </w:pPr>
            <w:r>
              <w:rPr>
                <w:color w:val="4a4a4a"/>
                <w:sz w:val="19"/>
              </w:rPr>
              <w:t>Iran provides access to cylinder storage areas</w:t>
            </w:r>
          </w:p>
        </w:tc>
        <w:tc>
          <w:tcPr>
            <w:tcW w:w="2000" w:type="dxa"/>
          </w:tcPr>
          <w:p>
            <w:pPr>
              <w:spacing w:before="40" w:after="40"/>
            </w:pPr>
            <w:r>
              <w:rPr>
                <w:color w:val="4a4a4a"/>
                <w:sz w:val="19"/>
              </w:rPr>
              <w:t>Equipment installation log</w:t>
            </w:r>
          </w:p>
        </w:tc>
      </w:tr>
      <w:tr>
        <w:tc>
          <w:tcPr>
            <w:tcW w:w="800" w:type="dxa"/>
          </w:tcPr>
          <w:p>
            <w:pPr>
              <w:spacing w:before="40" w:after="40"/>
            </w:pPr>
            <w:r>
              <w:rPr>
                <w:color w:val="4a4a4a"/>
                <w:sz w:val="19"/>
              </w:rPr>
              <w:t>5</w:t>
            </w:r>
          </w:p>
        </w:tc>
        <w:tc>
          <w:tcPr>
            <w:tcW w:w="3000" w:type="dxa"/>
          </w:tcPr>
          <w:p>
            <w:pPr>
              <w:spacing w:before="40" w:after="40"/>
            </w:pPr>
            <w:r>
              <w:rPr>
                <w:color w:val="4a4a4a"/>
                <w:sz w:val="19"/>
              </w:rPr>
              <w:t>IAEA begins baseline gamma spectroscopy of accessible cylinders</w:t>
            </w:r>
          </w:p>
        </w:tc>
        <w:tc>
          <w:tcPr>
            <w:tcW w:w="3200" w:type="dxa"/>
          </w:tcPr>
          <w:p>
            <w:pPr>
              <w:spacing w:before="40" w:after="40"/>
            </w:pPr>
            <w:r>
              <w:rPr>
                <w:color w:val="4a4a4a"/>
                <w:sz w:val="19"/>
              </w:rPr>
              <w:t>Iranian technicians operate equipment under IAEA supervision</w:t>
            </w:r>
          </w:p>
        </w:tc>
        <w:tc>
          <w:tcPr>
            <w:tcW w:w="2000" w:type="dxa"/>
          </w:tcPr>
          <w:p>
            <w:pPr>
              <w:spacing w:before="40" w:after="40"/>
            </w:pPr>
            <w:r>
              <w:rPr>
                <w:color w:val="4a4a4a"/>
                <w:sz w:val="19"/>
              </w:rPr>
              <w:t>Baseline spectral data</w:t>
            </w:r>
          </w:p>
        </w:tc>
      </w:tr>
      <w:tr>
        <w:tc>
          <w:tcPr>
            <w:tcW w:w="800" w:type="dxa"/>
          </w:tcPr>
          <w:p>
            <w:pPr>
              <w:spacing w:before="40" w:after="40"/>
            </w:pPr>
            <w:r>
              <w:rPr>
                <w:color w:val="4a4a4a"/>
                <w:sz w:val="19"/>
              </w:rPr>
              <w:t>6</w:t>
            </w:r>
          </w:p>
        </w:tc>
        <w:tc>
          <w:tcPr>
            <w:tcW w:w="3000" w:type="dxa"/>
          </w:tcPr>
          <w:p>
            <w:pPr>
              <w:spacing w:before="40" w:after="40"/>
            </w:pPr>
            <w:r>
              <w:rPr>
                <w:color w:val="4a4a4a"/>
                <w:sz w:val="19"/>
              </w:rPr>
              <w:t>Equipment calibration and verification; second facility walkthrough (Natanz)</w:t>
            </w:r>
          </w:p>
        </w:tc>
        <w:tc>
          <w:tcPr>
            <w:tcW w:w="3200" w:type="dxa"/>
          </w:tcPr>
          <w:p>
            <w:pPr>
              <w:spacing w:before="40" w:after="40"/>
            </w:pPr>
            <w:r>
              <w:rPr>
                <w:color w:val="4a4a4a"/>
                <w:sz w:val="19"/>
              </w:rPr>
              <w:t>Iran provides Natanz access; confirms site readiness</w:t>
            </w:r>
          </w:p>
        </w:tc>
        <w:tc>
          <w:tcPr>
            <w:tcW w:w="2000" w:type="dxa"/>
          </w:tcPr>
          <w:p>
            <w:pPr>
              <w:spacing w:before="40" w:after="40"/>
            </w:pPr>
            <w:r>
              <w:rPr>
                <w:color w:val="4a4a4a"/>
                <w:sz w:val="19"/>
              </w:rPr>
              <w:t>Calibration certificate; Natanz walkthrough report</w:t>
            </w:r>
          </w:p>
        </w:tc>
      </w:tr>
      <w:tr>
        <w:tc>
          <w:tcPr>
            <w:tcW w:w="800" w:type="dxa"/>
          </w:tcPr>
          <w:p>
            <w:pPr>
              <w:spacing w:before="40" w:after="40"/>
            </w:pPr>
            <w:r>
              <w:rPr>
                <w:color w:val="4a4a4a"/>
                <w:sz w:val="19"/>
              </w:rPr>
              <w:t>7</w:t>
            </w:r>
          </w:p>
        </w:tc>
        <w:tc>
          <w:tcPr>
            <w:tcW w:w="3000" w:type="dxa"/>
          </w:tcPr>
          <w:p>
            <w:pPr>
              <w:spacing w:before="40" w:after="40"/>
            </w:pPr>
            <w:r>
              <w:rPr>
                <w:color w:val="4a4a4a"/>
                <w:sz w:val="19"/>
              </w:rPr>
              <w:t>IAEA issues Preliminary Access Report</w:t>
            </w:r>
          </w:p>
        </w:tc>
        <w:tc>
          <w:tcPr>
            <w:tcW w:w="3200" w:type="dxa"/>
          </w:tcPr>
          <w:p>
            <w:pPr>
              <w:spacing w:before="40" w:after="40"/>
            </w:pPr>
            <w:r>
              <w:rPr>
                <w:color w:val="4a4a4a"/>
                <w:sz w:val="19"/>
              </w:rPr>
              <w:t>Iran confirms all Tier 1 facilities accessible</w:t>
            </w:r>
          </w:p>
        </w:tc>
        <w:tc>
          <w:tcPr>
            <w:tcW w:w="2000" w:type="dxa"/>
          </w:tcPr>
          <w:p>
            <w:pPr>
              <w:spacing w:before="40" w:after="40"/>
            </w:pPr>
            <w:r>
              <w:rPr>
                <w:color w:val="4a4a4a"/>
                <w:sz w:val="19"/>
              </w:rPr>
              <w:t>Report filed with PCC Secretariat</w:t>
            </w:r>
          </w:p>
        </w:tc>
      </w:tr>
    </w:tbl>
    <w:p>
      <w:pPr>
        <w:pStyle w:val="Heading2"/>
      </w:pPr>
      <w:r>
        <w:t>1.2 Full Inspection Phase (Days 8-30)</w:t>
      </w:r>
    </w:p>
    <w:p>
      <w:pPr>
        <w:spacing w:before="60" w:after="120"/>
      </w:pPr>
      <w:r>
        <w:rPr>
          <w:sz w:val="21"/>
        </w:rPr>
        <w:t>The Full Inspection Phase covers the systematic physical inventory, non-destructive assay, and environmental sampling of all HEU storage cylinders and declared facilities. IAEA inspectors work with Iranian technicians to verify material presence, assess damage, and establish the baseline for all subsequent certification.</w:t>
      </w:r>
    </w:p>
    <w:tbl>
      <w:tblPr>
        <w:tblW w:w="5000" w:type="pct"/>
        <w:tblBorders>
          <w:top w:val="single" w:color="1E3A5F" w:sz="8"/>
          <w:left w:val="nil"/>
          <w:bottom w:val="single" w:color="1E3A5F" w:sz="8"/>
          <w:right w:val="nil"/>
          <w:insideH w:val="single" w:color="CCCCCC" w:sz="4"/>
          <w:insideV w:val="nil"/>
        </w:tblBorders>
      </w:tblPr>
      <w:tblGrid>
        <w:gridCol w:w="1200"/>
        <w:gridCol w:w="3200"/>
        <w:gridCol w:w="3000"/>
        <w:gridCol w:w="1600"/>
      </w:tblGrid>
      <w:tr>
        <w:trPr>
          <w:tblHeader/>
        </w:trPr>
        <w:tc>
          <w:tcPr>
            <w:tcW w:w="1200" w:type="dxa"/>
            <w:shd w:val="clear" w:fill="E8EDF2"/>
          </w:tcPr>
          <w:p>
            <w:pPr>
              <w:spacing w:before="40" w:after="40"/>
            </w:pPr>
            <w:r>
              <w:rPr>
                <w:b/>
                <w:color w:val="1a1a1a"/>
                <w:sz w:val="19"/>
              </w:rPr>
              <w:t>Week</w:t>
            </w:r>
          </w:p>
        </w:tc>
        <w:tc>
          <w:tcPr>
            <w:tcW w:w="3200" w:type="dxa"/>
            <w:shd w:val="clear" w:fill="E8EDF2"/>
          </w:tcPr>
          <w:p>
            <w:pPr>
              <w:spacing w:before="40" w:after="40"/>
            </w:pPr>
            <w:r>
              <w:rPr>
                <w:b/>
                <w:color w:val="1a1a1a"/>
                <w:sz w:val="19"/>
              </w:rPr>
              <w:t>IAEA Activity</w:t>
            </w:r>
          </w:p>
        </w:tc>
        <w:tc>
          <w:tcPr>
            <w:tcW w:w="3000" w:type="dxa"/>
            <w:shd w:val="clear" w:fill="E8EDF2"/>
          </w:tcPr>
          <w:p>
            <w:pPr>
              <w:spacing w:before="40" w:after="40"/>
            </w:pPr>
            <w:r>
              <w:rPr>
                <w:b/>
                <w:color w:val="1a1a1a"/>
                <w:sz w:val="19"/>
              </w:rPr>
              <w:t>Iranian Obligation</w:t>
            </w:r>
          </w:p>
        </w:tc>
        <w:tc>
          <w:tcPr>
            <w:tcW w:w="1600" w:type="dxa"/>
            <w:shd w:val="clear" w:fill="E8EDF2"/>
          </w:tcPr>
          <w:p>
            <w:pPr>
              <w:spacing w:before="40" w:after="40"/>
            </w:pPr>
            <w:r>
              <w:rPr>
                <w:b/>
                <w:color w:val="1a1a1a"/>
                <w:sz w:val="19"/>
              </w:rPr>
              <w:t>Verification Output</w:t>
            </w:r>
          </w:p>
        </w:tc>
      </w:tr>
      <w:tr>
        <w:tc>
          <w:tcPr>
            <w:tcW w:w="1200" w:type="dxa"/>
          </w:tcPr>
          <w:p>
            <w:pPr>
              <w:spacing w:before="40" w:after="40"/>
            </w:pPr>
            <w:r>
              <w:rPr>
                <w:color w:val="4a4a4a"/>
                <w:sz w:val="19"/>
              </w:rPr>
              <w:t>Week 2 (Days 8-14)</w:t>
            </w:r>
          </w:p>
        </w:tc>
        <w:tc>
          <w:tcPr>
            <w:tcW w:w="3200" w:type="dxa"/>
          </w:tcPr>
          <w:p>
            <w:pPr>
              <w:spacing w:before="40" w:after="40"/>
            </w:pPr>
            <w:r>
              <w:rPr>
                <w:color w:val="4a4a4a"/>
                <w:sz w:val="19"/>
              </w:rPr>
              <w:t>Physical inventory of all Category I (intact) cylinders at Natanz and Fordow</w:t>
            </w:r>
          </w:p>
        </w:tc>
        <w:tc>
          <w:tcPr>
            <w:tcW w:w="3000" w:type="dxa"/>
          </w:tcPr>
          <w:p>
            <w:pPr>
              <w:spacing w:before="40" w:after="40"/>
            </w:pPr>
            <w:r>
              <w:rPr>
                <w:color w:val="4a4a4a"/>
                <w:sz w:val="19"/>
              </w:rPr>
              <w:t>Provide cylinder location records; escort inspectors; operate lifting equipment</w:t>
            </w:r>
          </w:p>
        </w:tc>
        <w:tc>
          <w:tcPr>
            <w:tcW w:w="1600" w:type="dxa"/>
          </w:tcPr>
          <w:p>
            <w:pPr>
              <w:spacing w:before="40" w:after="40"/>
            </w:pPr>
            <w:r>
              <w:rPr>
                <w:color w:val="4a4a4a"/>
                <w:sz w:val="19"/>
              </w:rPr>
              <w:t>25% cylinder verification certificate</w:t>
            </w:r>
          </w:p>
        </w:tc>
      </w:tr>
      <w:tr>
        <w:tc>
          <w:tcPr>
            <w:tcW w:w="1200" w:type="dxa"/>
          </w:tcPr>
          <w:p>
            <w:pPr>
              <w:spacing w:before="40" w:after="40"/>
            </w:pPr>
            <w:r>
              <w:rPr>
                <w:color w:val="4a4a4a"/>
                <w:sz w:val="19"/>
              </w:rPr>
              <w:t>Week 3 (Days 15-21)</w:t>
            </w:r>
          </w:p>
        </w:tc>
        <w:tc>
          <w:tcPr>
            <w:tcW w:w="3200" w:type="dxa"/>
          </w:tcPr>
          <w:p>
            <w:pPr>
              <w:spacing w:before="40" w:after="40"/>
            </w:pPr>
            <w:r>
              <w:rPr>
                <w:color w:val="4a4a4a"/>
                <w:sz w:val="19"/>
              </w:rPr>
              <w:t>Non-destructive assay (NDA) of Category II-A cylinders (minor damage) at all declared sites</w:t>
            </w:r>
          </w:p>
        </w:tc>
        <w:tc>
          <w:tcPr>
            <w:tcW w:w="3000" w:type="dxa"/>
          </w:tcPr>
          <w:p>
            <w:pPr>
              <w:spacing w:before="40" w:after="40"/>
            </w:pPr>
            <w:r>
              <w:rPr>
                <w:color w:val="4a4a4a"/>
                <w:sz w:val="19"/>
              </w:rPr>
              <w:t>Clear debris for cylinder access; joint NDA measurements; provide damage documentation</w:t>
            </w:r>
          </w:p>
        </w:tc>
        <w:tc>
          <w:tcPr>
            <w:tcW w:w="1600" w:type="dxa"/>
          </w:tcPr>
          <w:p>
            <w:pPr>
              <w:spacing w:before="40" w:after="40"/>
            </w:pPr>
            <w:r>
              <w:rPr>
                <w:color w:val="4a4a4a"/>
                <w:sz w:val="19"/>
              </w:rPr>
              <w:t>Damage classification report</w:t>
            </w:r>
          </w:p>
        </w:tc>
      </w:tr>
      <w:tr>
        <w:tc>
          <w:tcPr>
            <w:tcW w:w="1200" w:type="dxa"/>
          </w:tcPr>
          <w:p>
            <w:pPr>
              <w:spacing w:before="40" w:after="40"/>
            </w:pPr>
            <w:r>
              <w:rPr>
                <w:color w:val="4a4a4a"/>
                <w:sz w:val="19"/>
              </w:rPr>
              <w:t>Week 4 (Days 22-28)</w:t>
            </w:r>
          </w:p>
        </w:tc>
        <w:tc>
          <w:tcPr>
            <w:tcW w:w="3200" w:type="dxa"/>
          </w:tcPr>
          <w:p>
            <w:pPr>
              <w:spacing w:before="40" w:after="40"/>
            </w:pPr>
            <w:r>
              <w:rPr>
                <w:color w:val="4a4a4a"/>
                <w:sz w:val="19"/>
              </w:rPr>
              <w:t>Environmental sampling at all declared storage areas; remote sensing setup</w:t>
            </w:r>
          </w:p>
        </w:tc>
        <w:tc>
          <w:tcPr>
            <w:tcW w:w="3000" w:type="dxa"/>
          </w:tcPr>
          <w:p>
            <w:pPr>
              <w:spacing w:before="40" w:after="40"/>
            </w:pPr>
            <w:r>
              <w:rPr>
                <w:color w:val="4a4a4a"/>
                <w:sz w:val="19"/>
              </w:rPr>
              <w:t>Provide swipe samples; witness sealing; permit drone staging</w:t>
            </w:r>
          </w:p>
        </w:tc>
        <w:tc>
          <w:tcPr>
            <w:tcW w:w="1600" w:type="dxa"/>
          </w:tcPr>
          <w:p>
            <w:pPr>
              <w:spacing w:before="40" w:after="40"/>
            </w:pPr>
            <w:r>
              <w:rPr>
                <w:color w:val="4a4a4a"/>
                <w:sz w:val="19"/>
              </w:rPr>
              <w:t>Environmental analysis report; remote sensing readiness certificate</w:t>
            </w:r>
          </w:p>
        </w:tc>
      </w:tr>
      <w:tr>
        <w:tc>
          <w:tcPr>
            <w:tcW w:w="1200" w:type="dxa"/>
          </w:tcPr>
          <w:p>
            <w:pPr>
              <w:spacing w:before="40" w:after="40"/>
            </w:pPr>
            <w:r>
              <w:rPr>
                <w:color w:val="4a4a4a"/>
                <w:sz w:val="19"/>
              </w:rPr>
              <w:t>Week 4 cont.</w:t>
            </w:r>
          </w:p>
        </w:tc>
        <w:tc>
          <w:tcPr>
            <w:tcW w:w="3200" w:type="dxa"/>
          </w:tcPr>
          <w:p>
            <w:pPr>
              <w:spacing w:before="40" w:after="40"/>
            </w:pPr>
            <w:r>
              <w:rPr>
                <w:color w:val="4a4a4a"/>
                <w:sz w:val="19"/>
              </w:rPr>
              <w:t>Fordow deep-tunnel assessment; inventory of cylinders in underground storage</w:t>
            </w:r>
          </w:p>
        </w:tc>
        <w:tc>
          <w:tcPr>
            <w:tcW w:w="3000" w:type="dxa"/>
          </w:tcPr>
          <w:p>
            <w:pPr>
              <w:spacing w:before="40" w:after="40"/>
            </w:pPr>
            <w:r>
              <w:rPr>
                <w:color w:val="4a4a4a"/>
                <w:sz w:val="19"/>
              </w:rPr>
              <w:t>Provide tunnel access; ventilation assurance; emergency egress briefing</w:t>
            </w:r>
          </w:p>
        </w:tc>
        <w:tc>
          <w:tcPr>
            <w:tcW w:w="1600" w:type="dxa"/>
          </w:tcPr>
          <w:p>
            <w:pPr>
              <w:spacing w:before="40" w:after="40"/>
            </w:pPr>
            <w:r>
              <w:rPr>
                <w:color w:val="4a4a4a"/>
                <w:sz w:val="19"/>
              </w:rPr>
              <w:t>Fordow inventory certificate</w:t>
            </w:r>
          </w:p>
        </w:tc>
      </w:tr>
    </w:tbl>
    <w:p>
      <w:pPr>
        <w:pStyle w:val="Heading2"/>
      </w:pPr>
      <w:r>
        <w:t>1.3 Advanced Verification Phase (Days 31-60)</w:t>
      </w:r>
    </w:p>
    <w:p>
      <w:pPr>
        <w:spacing w:before="60" w:after="120"/>
      </w:pPr>
      <w:r>
        <w:rPr>
          <w:sz w:val="21"/>
        </w:rPr>
        <w:t>The Advanced Verification Phase transitions from initial inventory to sustained compliance monitoring. Remote sensing, continuous monitoring installation, and interim compliance certification demonstrate that Iran maintains its obligations over the full 60-day window.</w:t>
      </w:r>
    </w:p>
    <w:tbl>
      <w:tblPr>
        <w:tblW w:w="5000" w:type="pct"/>
        <w:tblBorders>
          <w:top w:val="single" w:color="1E3A5F" w:sz="8"/>
          <w:left w:val="nil"/>
          <w:bottom w:val="single" w:color="1E3A5F" w:sz="8"/>
          <w:right w:val="nil"/>
          <w:insideH w:val="single" w:color="CCCCCC" w:sz="4"/>
          <w:insideV w:val="nil"/>
        </w:tblBorders>
      </w:tblPr>
      <w:tblGrid>
        <w:gridCol w:w="1200"/>
        <w:gridCol w:w="3200"/>
        <w:gridCol w:w="3000"/>
        <w:gridCol w:w="1600"/>
      </w:tblGrid>
      <w:tr>
        <w:trPr>
          <w:tblHeader/>
        </w:trPr>
        <w:tc>
          <w:tcPr>
            <w:tcW w:w="1200" w:type="dxa"/>
            <w:shd w:val="clear" w:fill="E8EDF2"/>
          </w:tcPr>
          <w:p>
            <w:pPr>
              <w:spacing w:before="40" w:after="40"/>
            </w:pPr>
            <w:r>
              <w:rPr>
                <w:b/>
                <w:color w:val="1a1a1a"/>
                <w:sz w:val="19"/>
              </w:rPr>
              <w:t>Week</w:t>
            </w:r>
          </w:p>
        </w:tc>
        <w:tc>
          <w:tcPr>
            <w:tcW w:w="3200" w:type="dxa"/>
            <w:shd w:val="clear" w:fill="E8EDF2"/>
          </w:tcPr>
          <w:p>
            <w:pPr>
              <w:spacing w:before="40" w:after="40"/>
            </w:pPr>
            <w:r>
              <w:rPr>
                <w:b/>
                <w:color w:val="1a1a1a"/>
                <w:sz w:val="19"/>
              </w:rPr>
              <w:t>IAEA Activity</w:t>
            </w:r>
          </w:p>
        </w:tc>
        <w:tc>
          <w:tcPr>
            <w:tcW w:w="3000" w:type="dxa"/>
            <w:shd w:val="clear" w:fill="E8EDF2"/>
          </w:tcPr>
          <w:p>
            <w:pPr>
              <w:spacing w:before="40" w:after="40"/>
            </w:pPr>
            <w:r>
              <w:rPr>
                <w:b/>
                <w:color w:val="1a1a1a"/>
                <w:sz w:val="19"/>
              </w:rPr>
              <w:t>Iranian Obligation</w:t>
            </w:r>
          </w:p>
        </w:tc>
        <w:tc>
          <w:tcPr>
            <w:tcW w:w="1600" w:type="dxa"/>
            <w:shd w:val="clear" w:fill="E8EDF2"/>
          </w:tcPr>
          <w:p>
            <w:pPr>
              <w:spacing w:before="40" w:after="40"/>
            </w:pPr>
            <w:r>
              <w:rPr>
                <w:b/>
                <w:color w:val="1a1a1a"/>
                <w:sz w:val="19"/>
              </w:rPr>
              <w:t>Verification Output</w:t>
            </w:r>
          </w:p>
        </w:tc>
      </w:tr>
      <w:tr>
        <w:tc>
          <w:tcPr>
            <w:tcW w:w="1200" w:type="dxa"/>
          </w:tcPr>
          <w:p>
            <w:pPr>
              <w:spacing w:before="40" w:after="40"/>
            </w:pPr>
            <w:r>
              <w:rPr>
                <w:color w:val="4a4a4a"/>
                <w:sz w:val="19"/>
              </w:rPr>
              <w:t>Week 5 (Days 29-35)</w:t>
            </w:r>
          </w:p>
        </w:tc>
        <w:tc>
          <w:tcPr>
            <w:tcW w:w="3200" w:type="dxa"/>
          </w:tcPr>
          <w:p>
            <w:pPr>
              <w:spacing w:before="40" w:after="40"/>
            </w:pPr>
            <w:r>
              <w:rPr>
                <w:color w:val="4a4a4a"/>
                <w:sz w:val="19"/>
              </w:rPr>
              <w:t>Remote sensing survey of Category II-B and III sites (drones, UGVs); continuous monitoring installation begins</w:t>
            </w:r>
          </w:p>
        </w:tc>
        <w:tc>
          <w:tcPr>
            <w:tcW w:w="3000" w:type="dxa"/>
          </w:tcPr>
          <w:p>
            <w:pPr>
              <w:spacing w:before="40" w:after="40"/>
            </w:pPr>
            <w:r>
              <w:rPr>
                <w:color w:val="4a4a4a"/>
                <w:sz w:val="19"/>
              </w:rPr>
              <w:t>Permit drone overflight and ground robot access; provide power and network for encrypted feeds</w:t>
            </w:r>
          </w:p>
        </w:tc>
        <w:tc>
          <w:tcPr>
            <w:tcW w:w="1600" w:type="dxa"/>
          </w:tcPr>
          <w:p>
            <w:pPr>
              <w:spacing w:before="40" w:after="40"/>
            </w:pPr>
            <w:r>
              <w:rPr>
                <w:color w:val="4a4a4a"/>
                <w:sz w:val="19"/>
              </w:rPr>
              <w:t>Remote sensing imagery; 50% verification certificate</w:t>
            </w:r>
          </w:p>
        </w:tc>
      </w:tr>
      <w:tr>
        <w:tc>
          <w:tcPr>
            <w:tcW w:w="1200" w:type="dxa"/>
          </w:tcPr>
          <w:p>
            <w:pPr>
              <w:spacing w:before="40" w:after="40"/>
            </w:pPr>
            <w:r>
              <w:rPr>
                <w:color w:val="4a4a4a"/>
                <w:sz w:val="19"/>
              </w:rPr>
              <w:t>Week 6 (Days 36-42)</w:t>
            </w:r>
          </w:p>
        </w:tc>
        <w:tc>
          <w:tcPr>
            <w:tcW w:w="3200" w:type="dxa"/>
          </w:tcPr>
          <w:p>
            <w:pPr>
              <w:spacing w:before="40" w:after="40"/>
            </w:pPr>
            <w:r>
              <w:rPr>
                <w:color w:val="4a4a4a"/>
                <w:sz w:val="19"/>
              </w:rPr>
              <w:t>Install continuous monitoring cameras and tamper-evident seals at all breakout-relevant facilities; mid-point review</w:t>
            </w:r>
          </w:p>
        </w:tc>
        <w:tc>
          <w:tcPr>
            <w:tcW w:w="3000" w:type="dxa"/>
          </w:tcPr>
          <w:p>
            <w:pPr>
              <w:spacing w:before="40" w:after="40"/>
            </w:pPr>
            <w:r>
              <w:rPr>
                <w:color w:val="4a4a4a"/>
                <w:sz w:val="19"/>
              </w:rPr>
              <w:t>Provide power and network access; verify seal integrity protocols</w:t>
            </w:r>
          </w:p>
        </w:tc>
        <w:tc>
          <w:tcPr>
            <w:tcW w:w="1600" w:type="dxa"/>
          </w:tcPr>
          <w:p>
            <w:pPr>
              <w:spacing w:before="40" w:after="40"/>
            </w:pPr>
            <w:r>
              <w:rPr>
                <w:color w:val="4a4a4a"/>
                <w:sz w:val="19"/>
              </w:rPr>
              <w:t>Monitoring installation certificate</w:t>
            </w:r>
          </w:p>
        </w:tc>
      </w:tr>
      <w:tr>
        <w:tc>
          <w:tcPr>
            <w:tcW w:w="1200" w:type="dxa"/>
          </w:tcPr>
          <w:p>
            <w:pPr>
              <w:spacing w:before="40" w:after="40"/>
            </w:pPr>
            <w:r>
              <w:rPr>
                <w:color w:val="4a4a4a"/>
                <w:sz w:val="19"/>
              </w:rPr>
              <w:t>Week 7 (Days 43-49)</w:t>
            </w:r>
          </w:p>
        </w:tc>
        <w:tc>
          <w:tcPr>
            <w:tcW w:w="3200" w:type="dxa"/>
          </w:tcPr>
          <w:p>
            <w:pPr>
              <w:spacing w:before="40" w:after="40"/>
            </w:pPr>
            <w:r>
              <w:rPr>
                <w:color w:val="4a4a4a"/>
                <w:sz w:val="19"/>
              </w:rPr>
              <w:t>Comprehensive data review; cross-check all inventory, NDA, and environmental data; IAEA issues Interim Compliance Certification (Day 45)</w:t>
            </w:r>
          </w:p>
        </w:tc>
        <w:tc>
          <w:tcPr>
            <w:tcW w:w="3000" w:type="dxa"/>
          </w:tcPr>
          <w:p>
            <w:pPr>
              <w:spacing w:before="40" w:after="40"/>
            </w:pPr>
            <w:r>
              <w:rPr>
                <w:color w:val="4a4a4a"/>
                <w:sz w:val="19"/>
              </w:rPr>
              <w:t>Confirm no enrichment above 3.67% for 45 consecutive days; provide operational records</w:t>
            </w:r>
          </w:p>
        </w:tc>
        <w:tc>
          <w:tcPr>
            <w:tcW w:w="1600" w:type="dxa"/>
          </w:tcPr>
          <w:p>
            <w:pPr>
              <w:spacing w:before="40" w:after="40"/>
            </w:pPr>
            <w:r>
              <w:rPr>
                <w:color w:val="4a4a4a"/>
                <w:sz w:val="19"/>
              </w:rPr>
              <w:t>Interim Compliance Certificate (Day 45)</w:t>
            </w:r>
          </w:p>
        </w:tc>
      </w:tr>
      <w:tr>
        <w:tc>
          <w:tcPr>
            <w:tcW w:w="1200" w:type="dxa"/>
          </w:tcPr>
          <w:p>
            <w:pPr>
              <w:spacing w:before="40" w:after="40"/>
            </w:pPr>
            <w:r>
              <w:rPr>
                <w:color w:val="4a4a4a"/>
                <w:sz w:val="19"/>
              </w:rPr>
              <w:t>Week 8 (Days 50-60)</w:t>
            </w:r>
          </w:p>
        </w:tc>
        <w:tc>
          <w:tcPr>
            <w:tcW w:w="3200" w:type="dxa"/>
          </w:tcPr>
          <w:p>
            <w:pPr>
              <w:spacing w:before="40" w:after="40"/>
            </w:pPr>
            <w:r>
              <w:rPr>
                <w:color w:val="4a4a4a"/>
                <w:sz w:val="19"/>
              </w:rPr>
              <w:t>Final verification sweep; confirm all certification criteria met; IAEA issues Full 60-Day Compliance Certification</w:t>
            </w:r>
          </w:p>
        </w:tc>
        <w:tc>
          <w:tcPr>
            <w:tcW w:w="3000" w:type="dxa"/>
          </w:tcPr>
          <w:p>
            <w:pPr>
              <w:spacing w:before="40" w:after="40"/>
            </w:pPr>
            <w:r>
              <w:rPr>
                <w:color w:val="4a4a4a"/>
                <w:sz w:val="19"/>
              </w:rPr>
              <w:t>Demonstrate sustained compliance; confirm no material unaccounted for; provide final operational declaration</w:t>
            </w:r>
          </w:p>
        </w:tc>
        <w:tc>
          <w:tcPr>
            <w:tcW w:w="1600" w:type="dxa"/>
          </w:tcPr>
          <w:p>
            <w:pPr>
              <w:spacing w:before="40" w:after="40"/>
            </w:pPr>
            <w:r>
              <w:rPr>
                <w:color w:val="4a4a4a"/>
                <w:sz w:val="19"/>
              </w:rPr>
              <w:t>Full 60-Day Compliance Certificate</w:t>
            </w:r>
          </w:p>
        </w:tc>
      </w:tr>
    </w:tbl>
    <w:p>
      <w:pPr>
        <w:pStyle w:val="Heading1"/>
      </w:pPr>
      <w:r>
        <w:t>ARTICLE 2: INSPECTION SCOPE AND CHECKPOINTS</w:t>
      </w:r>
    </w:p>
    <w:p>
      <w:pPr>
        <w:pStyle w:val="Heading2"/>
      </w:pPr>
      <w:r>
        <w:t>2.1 What Inspectors Check (by Facility Type)</w:t>
      </w:r>
    </w:p>
    <w:p>
      <w:pPr>
        <w:spacing w:before="60" w:after="120"/>
      </w:pPr>
      <w:r>
        <w:rPr>
          <w:sz w:val="21"/>
        </w:rPr>
        <w:t>The IAEA conducts facility-specific inspection activities according to the following schedule. Each activity is tailored to the facility type, its damage status, and its relevance to HEU stockpile verification.</w:t>
      </w:r>
    </w:p>
    <w:tbl>
      <w:tblPr>
        <w:tblW w:w="5000" w:type="pct"/>
        <w:tblBorders>
          <w:top w:val="single" w:color="1E3A5F" w:sz="8"/>
          <w:left w:val="nil"/>
          <w:bottom w:val="single" w:color="1E3A5F" w:sz="8"/>
          <w:right w:val="nil"/>
          <w:insideH w:val="single" w:color="CCCCCC" w:sz="4"/>
          <w:insideV w:val="nil"/>
        </w:tblBorders>
      </w:tblPr>
      <w:tblGrid>
        <w:gridCol w:w="2200"/>
        <w:gridCol w:w="2600"/>
        <w:gridCol w:w="1600"/>
        <w:gridCol w:w="2600"/>
      </w:tblGrid>
      <w:tr>
        <w:trPr>
          <w:tblHeader/>
        </w:trPr>
        <w:tc>
          <w:tcPr>
            <w:tcW w:w="2200" w:type="dxa"/>
            <w:shd w:val="clear" w:fill="E8EDF2"/>
          </w:tcPr>
          <w:p>
            <w:pPr>
              <w:spacing w:before="40" w:after="40"/>
            </w:pPr>
            <w:r>
              <w:rPr>
                <w:b/>
                <w:color w:val="1a1a1a"/>
                <w:sz w:val="19"/>
              </w:rPr>
              <w:t>Facility Type</w:t>
            </w:r>
          </w:p>
        </w:tc>
        <w:tc>
          <w:tcPr>
            <w:tcW w:w="2600" w:type="dxa"/>
            <w:shd w:val="clear" w:fill="E8EDF2"/>
          </w:tcPr>
          <w:p>
            <w:pPr>
              <w:spacing w:before="40" w:after="40"/>
            </w:pPr>
            <w:r>
              <w:rPr>
                <w:b/>
                <w:color w:val="1a1a1a"/>
                <w:sz w:val="19"/>
              </w:rPr>
              <w:t>Inspection Activity</w:t>
            </w:r>
          </w:p>
        </w:tc>
        <w:tc>
          <w:tcPr>
            <w:tcW w:w="1600" w:type="dxa"/>
            <w:shd w:val="clear" w:fill="E8EDF2"/>
          </w:tcPr>
          <w:p>
            <w:pPr>
              <w:spacing w:before="40" w:after="40"/>
            </w:pPr>
            <w:r>
              <w:rPr>
                <w:b/>
                <w:color w:val="1a1a1a"/>
                <w:sz w:val="19"/>
              </w:rPr>
              <w:t>Frequency</w:t>
            </w:r>
          </w:p>
        </w:tc>
        <w:tc>
          <w:tcPr>
            <w:tcW w:w="2600" w:type="dxa"/>
            <w:shd w:val="clear" w:fill="E8EDF2"/>
          </w:tcPr>
          <w:p>
            <w:pPr>
              <w:spacing w:before="40" w:after="40"/>
            </w:pPr>
            <w:r>
              <w:rPr>
                <w:b/>
                <w:color w:val="1a1a1a"/>
                <w:sz w:val="19"/>
              </w:rPr>
              <w:t>Verification Method</w:t>
            </w:r>
          </w:p>
        </w:tc>
      </w:tr>
      <w:tr>
        <w:tc>
          <w:tcPr>
            <w:tcW w:w="2200" w:type="dxa"/>
          </w:tcPr>
          <w:p>
            <w:pPr>
              <w:spacing w:before="40" w:after="40"/>
            </w:pPr>
            <w:r>
              <w:rPr>
                <w:color w:val="4a4a4a"/>
                <w:sz w:val="19"/>
              </w:rPr>
              <w:t>Enrichment sites (Natanz, Fordow)</w:t>
            </w:r>
          </w:p>
        </w:tc>
        <w:tc>
          <w:tcPr>
            <w:tcW w:w="2600" w:type="dxa"/>
          </w:tcPr>
          <w:p>
            <w:pPr>
              <w:spacing w:before="40" w:after="40"/>
            </w:pPr>
            <w:r>
              <w:rPr>
                <w:color w:val="4a4a4a"/>
                <w:sz w:val="19"/>
              </w:rPr>
              <w:t>Cascade hall monitoring; cylinder inventory; enrichment level verification; UF6 feed and product monitoring</w:t>
            </w:r>
          </w:p>
        </w:tc>
        <w:tc>
          <w:tcPr>
            <w:tcW w:w="1600" w:type="dxa"/>
          </w:tcPr>
          <w:p>
            <w:pPr>
              <w:spacing w:before="40" w:after="40"/>
            </w:pPr>
            <w:r>
              <w:rPr>
                <w:color w:val="4a4a4a"/>
                <w:sz w:val="19"/>
              </w:rPr>
              <w:t>Weekly</w:t>
            </w:r>
          </w:p>
        </w:tc>
        <w:tc>
          <w:tcPr>
            <w:tcW w:w="2600" w:type="dxa"/>
          </w:tcPr>
          <w:p>
            <w:pPr>
              <w:spacing w:before="40" w:after="40"/>
            </w:pPr>
            <w:r>
              <w:rPr>
                <w:color w:val="4a4a4a"/>
                <w:sz w:val="19"/>
              </w:rPr>
              <w:t>OLEM monitors; swipe sampling; gamma spectroscopy; mass spectrometry</w:t>
            </w:r>
          </w:p>
        </w:tc>
      </w:tr>
      <w:tr>
        <w:tc>
          <w:tcPr>
            <w:tcW w:w="2200" w:type="dxa"/>
          </w:tcPr>
          <w:p>
            <w:pPr>
              <w:spacing w:before="40" w:after="40"/>
            </w:pPr>
            <w:r>
              <w:rPr>
                <w:color w:val="4a4a4a"/>
                <w:sz w:val="19"/>
              </w:rPr>
              <w:t>Storage areas (Esfahan)</w:t>
            </w:r>
          </w:p>
        </w:tc>
        <w:tc>
          <w:tcPr>
            <w:tcW w:w="2600" w:type="dxa"/>
          </w:tcPr>
          <w:p>
            <w:pPr>
              <w:spacing w:before="40" w:after="40"/>
            </w:pPr>
            <w:r>
              <w:rPr>
                <w:color w:val="4a4a4a"/>
                <w:sz w:val="19"/>
              </w:rPr>
              <w:t>Cylinder identity verification; tamper-evident seal integrity; environmental sampling; temperature and pressure monitoring</w:t>
            </w:r>
          </w:p>
        </w:tc>
        <w:tc>
          <w:tcPr>
            <w:tcW w:w="1600" w:type="dxa"/>
          </w:tcPr>
          <w:p>
            <w:pPr>
              <w:spacing w:before="40" w:after="40"/>
            </w:pPr>
            <w:r>
              <w:rPr>
                <w:color w:val="4a4a4a"/>
                <w:sz w:val="19"/>
              </w:rPr>
              <w:t>Bi-weekly</w:t>
            </w:r>
          </w:p>
        </w:tc>
        <w:tc>
          <w:tcPr>
            <w:tcW w:w="2600" w:type="dxa"/>
          </w:tcPr>
          <w:p>
            <w:pPr>
              <w:spacing w:before="40" w:after="40"/>
            </w:pPr>
            <w:r>
              <w:rPr>
                <w:color w:val="4a4a4a"/>
                <w:sz w:val="19"/>
              </w:rPr>
              <w:t>Seal verification; swipe analysis; radiological assay; chain-of-custody documentation</w:t>
            </w:r>
          </w:p>
        </w:tc>
      </w:tr>
      <w:tr>
        <w:tc>
          <w:tcPr>
            <w:tcW w:w="2200" w:type="dxa"/>
          </w:tcPr>
          <w:p>
            <w:pPr>
              <w:spacing w:before="40" w:after="40"/>
            </w:pPr>
            <w:r>
              <w:rPr>
                <w:color w:val="4a4a4a"/>
                <w:sz w:val="19"/>
              </w:rPr>
              <w:t>Damaged sites (per Annex O)</w:t>
            </w:r>
          </w:p>
        </w:tc>
        <w:tc>
          <w:tcPr>
            <w:tcW w:w="2600" w:type="dxa"/>
          </w:tcPr>
          <w:p>
            <w:pPr>
              <w:spacing w:before="40" w:after="40"/>
            </w:pPr>
            <w:r>
              <w:rPr>
                <w:color w:val="4a4a4a"/>
                <w:sz w:val="19"/>
              </w:rPr>
              <w:t>Remote sensing (drones/UGVs); debris sampling; radiation mapping; structural stability assessment</w:t>
            </w:r>
          </w:p>
        </w:tc>
        <w:tc>
          <w:tcPr>
            <w:tcW w:w="1600" w:type="dxa"/>
          </w:tcPr>
          <w:p>
            <w:pPr>
              <w:spacing w:before="40" w:after="40"/>
            </w:pPr>
            <w:r>
              <w:rPr>
                <w:color w:val="4a4a4a"/>
                <w:sz w:val="19"/>
              </w:rPr>
              <w:t>Monthly</w:t>
            </w:r>
          </w:p>
        </w:tc>
        <w:tc>
          <w:tcPr>
            <w:tcW w:w="2600" w:type="dxa"/>
          </w:tcPr>
          <w:p>
            <w:pPr>
              <w:spacing w:before="40" w:after="40"/>
            </w:pPr>
            <w:r>
              <w:rPr>
                <w:color w:val="4a4a4a"/>
                <w:sz w:val="19"/>
              </w:rPr>
              <w:t>Imagery analysis; isotopic assay; telemetry review; engineering assessment</w:t>
            </w:r>
          </w:p>
        </w:tc>
      </w:tr>
      <w:tr>
        <w:tc>
          <w:tcPr>
            <w:tcW w:w="2200" w:type="dxa"/>
          </w:tcPr>
          <w:p>
            <w:pPr>
              <w:spacing w:before="40" w:after="40"/>
            </w:pPr>
            <w:r>
              <w:rPr>
                <w:color w:val="4a4a4a"/>
                <w:sz w:val="19"/>
              </w:rPr>
              <w:t>Heavy water reactor (Arak)</w:t>
            </w:r>
          </w:p>
        </w:tc>
        <w:tc>
          <w:tcPr>
            <w:tcW w:w="2600" w:type="dxa"/>
          </w:tcPr>
          <w:p>
            <w:pPr>
              <w:spacing w:before="40" w:after="40"/>
            </w:pPr>
            <w:r>
              <w:rPr>
                <w:color w:val="4a4a4a"/>
                <w:sz w:val="19"/>
              </w:rPr>
              <w:t>Reactor operability assessment; moderator sampling; calandria inspection; heavy water inventory verification</w:t>
            </w:r>
          </w:p>
        </w:tc>
        <w:tc>
          <w:tcPr>
            <w:tcW w:w="1600" w:type="dxa"/>
          </w:tcPr>
          <w:p>
            <w:pPr>
              <w:spacing w:before="40" w:after="40"/>
            </w:pPr>
            <w:r>
              <w:rPr>
                <w:color w:val="4a4a4a"/>
                <w:sz w:val="19"/>
              </w:rPr>
              <w:t>Quarterly (until conversion complete)</w:t>
            </w:r>
          </w:p>
        </w:tc>
        <w:tc>
          <w:tcPr>
            <w:tcW w:w="2600" w:type="dxa"/>
          </w:tcPr>
          <w:p>
            <w:pPr>
              <w:spacing w:before="40" w:after="40"/>
            </w:pPr>
            <w:r>
              <w:rPr>
                <w:color w:val="4a4a4a"/>
                <w:sz w:val="19"/>
              </w:rPr>
              <w:t>IAEA inspection report; moderator analysis; photographic documentation</w:t>
            </w:r>
          </w:p>
        </w:tc>
      </w:tr>
      <w:tr>
        <w:tc>
          <w:tcPr>
            <w:tcW w:w="2200" w:type="dxa"/>
          </w:tcPr>
          <w:p>
            <w:pPr>
              <w:spacing w:before="40" w:after="40"/>
            </w:pPr>
            <w:r>
              <w:rPr>
                <w:color w:val="4a4a4a"/>
                <w:sz w:val="19"/>
              </w:rPr>
              <w:t>Conversion facilities (Isfahan UCF)</w:t>
            </w:r>
          </w:p>
        </w:tc>
        <w:tc>
          <w:tcPr>
            <w:tcW w:w="2600" w:type="dxa"/>
          </w:tcPr>
          <w:p>
            <w:pPr>
              <w:spacing w:before="40" w:after="40"/>
            </w:pPr>
            <w:r>
              <w:rPr>
                <w:color w:val="4a4a4a"/>
                <w:sz w:val="19"/>
              </w:rPr>
              <w:t>UF6 production monitoring; feedstock verification; product cylinder sealing</w:t>
            </w:r>
          </w:p>
        </w:tc>
        <w:tc>
          <w:tcPr>
            <w:tcW w:w="1600" w:type="dxa"/>
          </w:tcPr>
          <w:p>
            <w:pPr>
              <w:spacing w:before="40" w:after="40"/>
            </w:pPr>
            <w:r>
              <w:rPr>
                <w:color w:val="4a4a4a"/>
                <w:sz w:val="19"/>
              </w:rPr>
              <w:t>Monthly</w:t>
            </w:r>
          </w:p>
        </w:tc>
        <w:tc>
          <w:tcPr>
            <w:tcW w:w="2600" w:type="dxa"/>
          </w:tcPr>
          <w:p>
            <w:pPr>
              <w:spacing w:before="40" w:after="40"/>
            </w:pPr>
            <w:r>
              <w:rPr>
                <w:color w:val="4a4a4a"/>
                <w:sz w:val="19"/>
              </w:rPr>
              <w:t>Material balance verification; cylinder tracking; seal inspection</w:t>
            </w:r>
          </w:p>
        </w:tc>
      </w:tr>
    </w:tbl>
    <w:p>
      <w:pPr>
        <w:pStyle w:val="Heading2"/>
      </w:pPr>
      <w:r>
        <w:t>2.2 Challenge Inspection Protocol</w:t>
      </w:r>
    </w:p>
    <w:p>
      <w:pPr>
        <w:spacing w:before="60" w:after="120"/>
      </w:pPr>
      <w:r>
        <w:rPr>
          <w:sz w:val="21"/>
        </w:rPr>
        <w:t>If the IAEA identifies a discrepancy or receives a credible allegation of non-compliance, the following protocol applies:</w:t>
      </w:r>
    </w:p>
    <w:p>
      <w:pPr>
        <w:numPr>
          <w:ilvl w:val="0"/>
          <w:numId w:val="2"/>
        </w:numPr>
        <w:spacing w:before="20" w:after="40"/>
      </w:pPr>
      <w:r>
        <w:rPr>
          <w:sz w:val="21"/>
        </w:rPr>
        <w:t>The IAEA notifies Iran within 4 hours of discrepancy identification.</w:t>
      </w:r>
    </w:p>
    <w:p>
      <w:pPr>
        <w:numPr>
          <w:ilvl w:val="0"/>
          <w:numId w:val="2"/>
        </w:numPr>
        <w:spacing w:before="20" w:after="40"/>
      </w:pPr>
      <w:r>
        <w:rPr>
          <w:sz w:val="21"/>
        </w:rPr>
        <w:t>Iran has 24 hours to provide clarifying information or remedy the discrepancy.</w:t>
      </w:r>
    </w:p>
    <w:p>
      <w:pPr>
        <w:numPr>
          <w:ilvl w:val="0"/>
          <w:numId w:val="2"/>
        </w:numPr>
        <w:spacing w:before="20" w:after="40"/>
      </w:pPr>
      <w:r>
        <w:rPr>
          <w:sz w:val="21"/>
        </w:rPr>
        <w:t>If the discrepancy remains unresolved, the IAEA requests managed access to a specific location (not open-ended "anywhere, anytime").</w:t>
      </w:r>
    </w:p>
    <w:p>
      <w:pPr>
        <w:numPr>
          <w:ilvl w:val="0"/>
          <w:numId w:val="2"/>
        </w:numPr>
        <w:spacing w:before="20" w:after="40"/>
      </w:pPr>
      <w:r>
        <w:rPr>
          <w:sz w:val="21"/>
        </w:rPr>
        <w:t>Managed access is limited to the area necessary to resolve the discrepancy, with Iranian escorts present at all times.</w:t>
      </w:r>
    </w:p>
    <w:p>
      <w:pPr>
        <w:numPr>
          <w:ilvl w:val="0"/>
          <w:numId w:val="2"/>
        </w:numPr>
        <w:spacing w:before="20" w:after="40"/>
      </w:pPr>
      <w:r>
        <w:rPr>
          <w:sz w:val="21"/>
        </w:rPr>
        <w:t>Refusal of managed access triggers a Tier 2 material disruption under MOU Article 7.3.</w:t>
      </w:r>
    </w:p>
    <w:p>
      <w:pPr>
        <w:spacing w:before="60" w:after="120"/>
      </w:pPr>
      <w:r>
        <w:rPr>
          <w:sz w:val="21"/>
        </w:rPr>
        <w:t>The challenge inspection protocol respects Iran's sovereignty while ensuring the IAEA retains the operational tools necessary to resolve genuine compliance concerns. The framework architecture excludes open-ended access demands.</w:t>
      </w:r>
    </w:p>
    <w:p>
      <w:pPr>
        <w:pStyle w:val="Heading2"/>
      </w:pPr>
      <w:r>
        <w:t>2.3 No Unannounced Military Access</w:t>
      </w:r>
    </w:p>
    <w:p>
      <w:pPr>
        <w:spacing w:before="60" w:after="120"/>
      </w:pPr>
      <w:r>
        <w:rPr>
          <w:sz w:val="21"/>
        </w:rPr>
        <w:t>The United States does not receive direct, unannounced access to Iranian facilities. All inspection access possesses the following characteristics:</w:t>
      </w:r>
    </w:p>
    <w:p>
      <w:pPr>
        <w:numPr>
          <w:ilvl w:val="0"/>
          <w:numId w:val="2"/>
        </w:numPr>
        <w:spacing w:before="20" w:after="40"/>
      </w:pPr>
      <w:r>
        <w:rPr>
          <w:sz w:val="21"/>
        </w:rPr>
        <w:t>IAEA-led: Only IAEA inspectors conduct physical inspections. U.S. personnel observe through IAEA reporting and live video feeds, not through direct facility access.</w:t>
      </w:r>
    </w:p>
    <w:p>
      <w:pPr>
        <w:numPr>
          <w:ilvl w:val="0"/>
          <w:numId w:val="2"/>
        </w:numPr>
        <w:spacing w:before="20" w:after="40"/>
      </w:pPr>
      <w:r>
        <w:rPr>
          <w:sz w:val="21"/>
        </w:rPr>
        <w:t>Scheduled with advance notification: All routine inspections are scheduled at least 48 hours in advance through the PCC Secretariat, except challenge inspections under Article 2.2.</w:t>
      </w:r>
    </w:p>
    <w:p>
      <w:pPr>
        <w:numPr>
          <w:ilvl w:val="0"/>
          <w:numId w:val="2"/>
        </w:numPr>
        <w:spacing w:before="20" w:after="40"/>
      </w:pPr>
      <w:r>
        <w:rPr>
          <w:sz w:val="21"/>
        </w:rPr>
        <w:t>Limited to declared facilities: Inspection scope extends only to declared nuclear facilities and locations relevant to HEU stockpile verification.</w:t>
      </w:r>
    </w:p>
    <w:p>
      <w:pPr>
        <w:numPr>
          <w:ilvl w:val="0"/>
          <w:numId w:val="2"/>
        </w:numPr>
        <w:spacing w:before="20" w:after="40"/>
      </w:pPr>
      <w:r>
        <w:rPr>
          <w:sz w:val="21"/>
        </w:rPr>
        <w:t>Iranian personnel present: AEOI officials or designated Iranian technicians escort all IAEA inspectors during facility access.</w:t>
      </w:r>
    </w:p>
    <w:p>
      <w:pPr>
        <w:pStyle w:val="Heading1"/>
      </w:pPr>
      <w:r>
        <w:t>ARTICLE 3: COMPLIANCE CERTIFICATION GATES</w:t>
      </w:r>
    </w:p>
    <w:p>
      <w:pPr>
        <w:pStyle w:val="Heading2"/>
      </w:pPr>
      <w:r>
        <w:t>3.1 Certification Levels and Triggers</w:t>
      </w:r>
    </w:p>
    <w:p>
      <w:pPr>
        <w:spacing w:before="60" w:after="120"/>
      </w:pPr>
      <w:r>
        <w:rPr>
          <w:sz w:val="21"/>
        </w:rPr>
        <w:t>Each compliance certification constitutes a verified milestone that unlocks specific economic relief measures under Annex S and MOU Article 5. The IAEA issues certificates based solely on technical verification, not political judgment.</w:t>
      </w:r>
    </w:p>
    <w:tbl>
      <w:tblPr>
        <w:tblW w:w="5000" w:type="pct"/>
        <w:tblBorders>
          <w:top w:val="single" w:color="1E3A5F" w:sz="8"/>
          <w:left w:val="nil"/>
          <w:bottom w:val="single" w:color="1E3A5F" w:sz="8"/>
          <w:right w:val="nil"/>
          <w:insideH w:val="single" w:color="CCCCCC" w:sz="4"/>
          <w:insideV w:val="nil"/>
        </w:tblBorders>
      </w:tblPr>
      <w:tblGrid>
        <w:gridCol w:w="2400"/>
        <w:gridCol w:w="1600"/>
        <w:gridCol w:w="2800"/>
        <w:gridCol w:w="2200"/>
      </w:tblGrid>
      <w:tr>
        <w:trPr>
          <w:tblHeader/>
        </w:trPr>
        <w:tc>
          <w:tcPr>
            <w:tcW w:w="2400" w:type="dxa"/>
            <w:shd w:val="clear" w:fill="E8EDF2"/>
          </w:tcPr>
          <w:p>
            <w:pPr>
              <w:spacing w:before="40" w:after="40"/>
            </w:pPr>
            <w:r>
              <w:rPr>
                <w:b/>
                <w:color w:val="1a1a1a"/>
                <w:sz w:val="19"/>
              </w:rPr>
              <w:t>Certificate</w:t>
            </w:r>
          </w:p>
        </w:tc>
        <w:tc>
          <w:tcPr>
            <w:tcW w:w="1600" w:type="dxa"/>
            <w:shd w:val="clear" w:fill="E8EDF2"/>
          </w:tcPr>
          <w:p>
            <w:pPr>
              <w:spacing w:before="40" w:after="40"/>
            </w:pPr>
            <w:r>
              <w:rPr>
                <w:b/>
                <w:color w:val="1a1a1a"/>
                <w:sz w:val="19"/>
              </w:rPr>
              <w:t>Issuing Authority</w:t>
            </w:r>
          </w:p>
        </w:tc>
        <w:tc>
          <w:tcPr>
            <w:tcW w:w="2800" w:type="dxa"/>
            <w:shd w:val="clear" w:fill="E8EDF2"/>
          </w:tcPr>
          <w:p>
            <w:pPr>
              <w:spacing w:before="40" w:after="40"/>
            </w:pPr>
            <w:r>
              <w:rPr>
                <w:b/>
                <w:color w:val="1a1a1a"/>
                <w:sz w:val="19"/>
              </w:rPr>
              <w:t>Trigger</w:t>
            </w:r>
          </w:p>
        </w:tc>
        <w:tc>
          <w:tcPr>
            <w:tcW w:w="2200" w:type="dxa"/>
            <w:shd w:val="clear" w:fill="E8EDF2"/>
          </w:tcPr>
          <w:p>
            <w:pPr>
              <w:spacing w:before="40" w:after="40"/>
            </w:pPr>
            <w:r>
              <w:rPr>
                <w:b/>
                <w:color w:val="1a1a1a"/>
                <w:sz w:val="19"/>
              </w:rPr>
              <w:t>Consequence</w:t>
            </w:r>
          </w:p>
        </w:tc>
      </w:tr>
      <w:tr>
        <w:tc>
          <w:tcPr>
            <w:tcW w:w="2400" w:type="dxa"/>
          </w:tcPr>
          <w:p>
            <w:pPr>
              <w:spacing w:before="40" w:after="40"/>
            </w:pPr>
            <w:r>
              <w:rPr>
                <w:color w:val="4a4a4a"/>
                <w:sz w:val="19"/>
              </w:rPr>
              <w:t>Baseline Inventory Certificate</w:t>
            </w:r>
          </w:p>
        </w:tc>
        <w:tc>
          <w:tcPr>
            <w:tcW w:w="1600" w:type="dxa"/>
          </w:tcPr>
          <w:p>
            <w:pPr>
              <w:spacing w:before="40" w:after="40"/>
            </w:pPr>
            <w:r>
              <w:rPr>
                <w:color w:val="4a4a4a"/>
                <w:sz w:val="19"/>
              </w:rPr>
              <w:t>IAEA</w:t>
            </w:r>
          </w:p>
        </w:tc>
        <w:tc>
          <w:tcPr>
            <w:tcW w:w="2800" w:type="dxa"/>
          </w:tcPr>
          <w:p>
            <w:pPr>
              <w:spacing w:before="40" w:after="40"/>
            </w:pPr>
            <w:r>
              <w:rPr>
                <w:color w:val="4a4a4a"/>
                <w:sz w:val="19"/>
              </w:rPr>
              <w:t>Completion of initial inventory and Preliminary Access Report (Day 7-14)</w:t>
            </w:r>
          </w:p>
        </w:tc>
        <w:tc>
          <w:tcPr>
            <w:tcW w:w="2200" w:type="dxa"/>
          </w:tcPr>
          <w:p>
            <w:pPr>
              <w:spacing w:before="40" w:after="40"/>
            </w:pPr>
            <w:r>
              <w:rPr>
                <w:color w:val="4a4a4a"/>
                <w:sz w:val="19"/>
              </w:rPr>
              <w:t>Releases first escrow tranche ($500M) per MOU Article 5</w:t>
            </w:r>
          </w:p>
        </w:tc>
      </w:tr>
      <w:tr>
        <w:tc>
          <w:tcPr>
            <w:tcW w:w="2400" w:type="dxa"/>
          </w:tcPr>
          <w:p>
            <w:pPr>
              <w:spacing w:before="40" w:after="40"/>
            </w:pPr>
            <w:r>
              <w:rPr>
                <w:color w:val="4a4a4a"/>
                <w:sz w:val="19"/>
              </w:rPr>
              <w:t>25% Verification Certificate</w:t>
            </w:r>
          </w:p>
        </w:tc>
        <w:tc>
          <w:tcPr>
            <w:tcW w:w="1600" w:type="dxa"/>
          </w:tcPr>
          <w:p>
            <w:pPr>
              <w:spacing w:before="40" w:after="40"/>
            </w:pPr>
            <w:r>
              <w:rPr>
                <w:color w:val="4a4a4a"/>
                <w:sz w:val="19"/>
              </w:rPr>
              <w:t>IAEA</w:t>
            </w:r>
          </w:p>
        </w:tc>
        <w:tc>
          <w:tcPr>
            <w:tcW w:w="2800" w:type="dxa"/>
          </w:tcPr>
          <w:p>
            <w:pPr>
              <w:spacing w:before="40" w:after="40"/>
            </w:pPr>
            <w:r>
              <w:rPr>
                <w:color w:val="4a4a4a"/>
                <w:sz w:val="19"/>
              </w:rPr>
              <w:t>Physical verification of 25% of declared HEU cylinders as intact (Day 14)</w:t>
            </w:r>
          </w:p>
        </w:tc>
        <w:tc>
          <w:tcPr>
            <w:tcW w:w="2200" w:type="dxa"/>
          </w:tcPr>
          <w:p>
            <w:pPr>
              <w:spacing w:before="40" w:after="40"/>
            </w:pPr>
            <w:r>
              <w:rPr>
                <w:color w:val="4a4a4a"/>
                <w:sz w:val="19"/>
              </w:rPr>
              <w:t>Triggers Week 2 economic relief under Annex S</w:t>
            </w:r>
          </w:p>
        </w:tc>
      </w:tr>
      <w:tr>
        <w:tc>
          <w:tcPr>
            <w:tcW w:w="2400" w:type="dxa"/>
          </w:tcPr>
          <w:p>
            <w:pPr>
              <w:spacing w:before="40" w:after="40"/>
            </w:pPr>
            <w:r>
              <w:rPr>
                <w:color w:val="4a4a4a"/>
                <w:sz w:val="19"/>
              </w:rPr>
              <w:t>Damage Classification Certificate</w:t>
            </w:r>
          </w:p>
        </w:tc>
        <w:tc>
          <w:tcPr>
            <w:tcW w:w="1600" w:type="dxa"/>
          </w:tcPr>
          <w:p>
            <w:pPr>
              <w:spacing w:before="40" w:after="40"/>
            </w:pPr>
            <w:r>
              <w:rPr>
                <w:color w:val="4a4a4a"/>
                <w:sz w:val="19"/>
              </w:rPr>
              <w:t>IAEA</w:t>
            </w:r>
          </w:p>
        </w:tc>
        <w:tc>
          <w:tcPr>
            <w:tcW w:w="2800" w:type="dxa"/>
          </w:tcPr>
          <w:p>
            <w:pPr>
              <w:spacing w:before="40" w:after="40"/>
            </w:pPr>
            <w:r>
              <w:rPr>
                <w:color w:val="4a4a4a"/>
                <w:sz w:val="19"/>
              </w:rPr>
              <w:t>Completion of NDA for all Category II-A cylinders (Day 21)</w:t>
            </w:r>
          </w:p>
        </w:tc>
        <w:tc>
          <w:tcPr>
            <w:tcW w:w="2200" w:type="dxa"/>
          </w:tcPr>
          <w:p>
            <w:pPr>
              <w:spacing w:before="40" w:after="40"/>
            </w:pPr>
            <w:r>
              <w:rPr>
                <w:color w:val="4a4a4a"/>
                <w:sz w:val="19"/>
              </w:rPr>
              <w:t>Enables downblending pathway selection; opens structural relief track</w:t>
            </w:r>
          </w:p>
        </w:tc>
      </w:tr>
      <w:tr>
        <w:tc>
          <w:tcPr>
            <w:tcW w:w="2400" w:type="dxa"/>
          </w:tcPr>
          <w:p>
            <w:pPr>
              <w:spacing w:before="40" w:after="40"/>
            </w:pPr>
            <w:r>
              <w:rPr>
                <w:color w:val="4a4a4a"/>
                <w:sz w:val="19"/>
              </w:rPr>
              <w:t>30-Day Compliance Certificate</w:t>
            </w:r>
          </w:p>
        </w:tc>
        <w:tc>
          <w:tcPr>
            <w:tcW w:w="1600" w:type="dxa"/>
          </w:tcPr>
          <w:p>
            <w:pPr>
              <w:spacing w:before="40" w:after="40"/>
            </w:pPr>
            <w:r>
              <w:rPr>
                <w:color w:val="4a4a4a"/>
                <w:sz w:val="19"/>
              </w:rPr>
              <w:t>IAEA</w:t>
            </w:r>
          </w:p>
        </w:tc>
        <w:tc>
          <w:tcPr>
            <w:tcW w:w="2800" w:type="dxa"/>
          </w:tcPr>
          <w:p>
            <w:pPr>
              <w:spacing w:before="40" w:after="40"/>
            </w:pPr>
            <w:r>
              <w:rPr>
                <w:color w:val="4a4a4a"/>
                <w:sz w:val="19"/>
              </w:rPr>
              <w:t>30 consecutive days of verified compliance with zero Tier 2/3 violations (Day 30)</w:t>
            </w:r>
          </w:p>
        </w:tc>
        <w:tc>
          <w:tcPr>
            <w:tcW w:w="2200" w:type="dxa"/>
          </w:tcPr>
          <w:p>
            <w:pPr>
              <w:spacing w:before="40" w:after="40"/>
            </w:pPr>
            <w:r>
              <w:rPr>
                <w:color w:val="4a4a4a"/>
                <w:sz w:val="19"/>
              </w:rPr>
              <w:t>Triggers Tranche 1 of frozen assets (15% cumulative release)</w:t>
            </w:r>
          </w:p>
        </w:tc>
      </w:tr>
      <w:tr>
        <w:tc>
          <w:tcPr>
            <w:tcW w:w="2400" w:type="dxa"/>
          </w:tcPr>
          <w:p>
            <w:pPr>
              <w:spacing w:before="40" w:after="40"/>
            </w:pPr>
            <w:r>
              <w:rPr>
                <w:color w:val="4a4a4a"/>
                <w:sz w:val="19"/>
              </w:rPr>
              <w:t>Disposition Milestone Certificate</w:t>
            </w:r>
          </w:p>
        </w:tc>
        <w:tc>
          <w:tcPr>
            <w:tcW w:w="1600" w:type="dxa"/>
          </w:tcPr>
          <w:p>
            <w:pPr>
              <w:spacing w:before="40" w:after="40"/>
            </w:pPr>
            <w:r>
              <w:rPr>
                <w:color w:val="4a4a4a"/>
                <w:sz w:val="19"/>
              </w:rPr>
              <w:t>IAEA</w:t>
            </w:r>
          </w:p>
        </w:tc>
        <w:tc>
          <w:tcPr>
            <w:tcW w:w="2800" w:type="dxa"/>
          </w:tcPr>
          <w:p>
            <w:pPr>
              <w:spacing w:before="40" w:after="40"/>
            </w:pPr>
            <w:r>
              <w:rPr>
                <w:color w:val="4a4a4a"/>
                <w:sz w:val="19"/>
              </w:rPr>
              <w:t>First verified 50% reduction of 60% HEU through downblending or export (Day 45-60)</w:t>
            </w:r>
          </w:p>
        </w:tc>
        <w:tc>
          <w:tcPr>
            <w:tcW w:w="2200" w:type="dxa"/>
          </w:tcPr>
          <w:p>
            <w:pPr>
              <w:spacing w:before="40" w:after="40"/>
            </w:pPr>
            <w:r>
              <w:rPr>
                <w:color w:val="4a4a4a"/>
                <w:sz w:val="19"/>
              </w:rPr>
              <w:t>Opens good-faith fast lane; converts structural relief to normalized trade</w:t>
            </w:r>
          </w:p>
        </w:tc>
      </w:tr>
      <w:tr>
        <w:tc>
          <w:tcPr>
            <w:tcW w:w="2400" w:type="dxa"/>
          </w:tcPr>
          <w:p>
            <w:pPr>
              <w:spacing w:before="40" w:after="40"/>
            </w:pPr>
            <w:r>
              <w:rPr>
                <w:color w:val="4a4a4a"/>
                <w:sz w:val="19"/>
              </w:rPr>
              <w:t>Interim Compliance Certificate</w:t>
            </w:r>
          </w:p>
        </w:tc>
        <w:tc>
          <w:tcPr>
            <w:tcW w:w="1600" w:type="dxa"/>
          </w:tcPr>
          <w:p>
            <w:pPr>
              <w:spacing w:before="40" w:after="40"/>
            </w:pPr>
            <w:r>
              <w:rPr>
                <w:color w:val="4a4a4a"/>
                <w:sz w:val="19"/>
              </w:rPr>
              <w:t>IAEA</w:t>
            </w:r>
          </w:p>
        </w:tc>
        <w:tc>
          <w:tcPr>
            <w:tcW w:w="2800" w:type="dxa"/>
          </w:tcPr>
          <w:p>
            <w:pPr>
              <w:spacing w:before="40" w:after="40"/>
            </w:pPr>
            <w:r>
              <w:rPr>
                <w:color w:val="4a4a4a"/>
                <w:sz w:val="19"/>
              </w:rPr>
              <w:t>45 consecutive days of clean telemetry, inspection results, and no enrichment above 3.67% (Day 45)</w:t>
            </w:r>
          </w:p>
        </w:tc>
        <w:tc>
          <w:tcPr>
            <w:tcW w:w="2200" w:type="dxa"/>
          </w:tcPr>
          <w:p>
            <w:pPr>
              <w:spacing w:before="40" w:after="40"/>
            </w:pPr>
            <w:r>
              <w:rPr>
                <w:color w:val="4a4a4a"/>
                <w:sz w:val="19"/>
              </w:rPr>
              <w:t>Accelerates Phase II preparation; signals sustained compliance</w:t>
            </w:r>
          </w:p>
        </w:tc>
      </w:tr>
      <w:tr>
        <w:tc>
          <w:tcPr>
            <w:tcW w:w="2400" w:type="dxa"/>
          </w:tcPr>
          <w:p>
            <w:pPr>
              <w:spacing w:before="40" w:after="40"/>
            </w:pPr>
            <w:r>
              <w:rPr>
                <w:color w:val="4a4a4a"/>
                <w:sz w:val="19"/>
              </w:rPr>
              <w:t>Full 60-Day Compliance Certificate</w:t>
            </w:r>
          </w:p>
        </w:tc>
        <w:tc>
          <w:tcPr>
            <w:tcW w:w="1600" w:type="dxa"/>
          </w:tcPr>
          <w:p>
            <w:pPr>
              <w:spacing w:before="40" w:after="40"/>
            </w:pPr>
            <w:r>
              <w:rPr>
                <w:color w:val="4a4a4a"/>
                <w:sz w:val="19"/>
              </w:rPr>
              <w:t>IAEA</w:t>
            </w:r>
          </w:p>
        </w:tc>
        <w:tc>
          <w:tcPr>
            <w:tcW w:w="2800" w:type="dxa"/>
          </w:tcPr>
          <w:p>
            <w:pPr>
              <w:spacing w:before="40" w:after="40"/>
            </w:pPr>
            <w:r>
              <w:rPr>
                <w:color w:val="4a4a4a"/>
                <w:sz w:val="19"/>
              </w:rPr>
              <w:t>60 consecutive days of clean telemetry, inspection results, and full inventory verification (Day 60)</w:t>
            </w:r>
          </w:p>
        </w:tc>
        <w:tc>
          <w:tcPr>
            <w:tcW w:w="2200" w:type="dxa"/>
          </w:tcPr>
          <w:p>
            <w:pPr>
              <w:spacing w:before="40" w:after="40"/>
            </w:pPr>
            <w:r>
              <w:rPr>
                <w:color w:val="4a4a4a"/>
                <w:sz w:val="19"/>
              </w:rPr>
              <w:t>Full Phase I verification complete; Phase II negotiations commence</w:t>
            </w:r>
          </w:p>
        </w:tc>
      </w:tr>
      <w:tr>
        <w:tc>
          <w:tcPr>
            <w:tcW w:w="2400" w:type="dxa"/>
          </w:tcPr>
          <w:p>
            <w:pPr>
              <w:spacing w:before="40" w:after="40"/>
            </w:pPr>
            <w:r>
              <w:rPr>
                <w:color w:val="4a4a4a"/>
                <w:sz w:val="19"/>
              </w:rPr>
              <w:t>Quarterly Certification</w:t>
            </w:r>
          </w:p>
        </w:tc>
        <w:tc>
          <w:tcPr>
            <w:tcW w:w="1600" w:type="dxa"/>
          </w:tcPr>
          <w:p>
            <w:pPr>
              <w:spacing w:before="40" w:after="40"/>
            </w:pPr>
            <w:r>
              <w:rPr>
                <w:color w:val="4a4a4a"/>
                <w:sz w:val="19"/>
              </w:rPr>
              <w:t>IAEA</w:t>
            </w:r>
          </w:p>
        </w:tc>
        <w:tc>
          <w:tcPr>
            <w:tcW w:w="2800" w:type="dxa"/>
          </w:tcPr>
          <w:p>
            <w:pPr>
              <w:spacing w:before="40" w:after="40"/>
            </w:pPr>
            <w:r>
              <w:rPr>
                <w:color w:val="4a4a4a"/>
                <w:sz w:val="19"/>
              </w:rPr>
              <w:t>Every 90 days thereafter with continuous monitoring data review</w:t>
            </w:r>
          </w:p>
        </w:tc>
        <w:tc>
          <w:tcPr>
            <w:tcW w:w="2200" w:type="dxa"/>
          </w:tcPr>
          <w:p>
            <w:pPr>
              <w:spacing w:before="40" w:after="40"/>
            </w:pPr>
            <w:r>
              <w:rPr>
                <w:color w:val="4a4a4a"/>
                <w:sz w:val="19"/>
              </w:rPr>
              <w:t>Maintains economic relief tranches; prevents step-back reversion</w:t>
            </w:r>
          </w:p>
        </w:tc>
      </w:tr>
    </w:tbl>
    <w:p>
      <w:pPr>
        <w:pStyle w:val="Heading2"/>
      </w:pPr>
      <w:r>
        <w:t>3.2 Certificate Issuance Procedure</w:t>
      </w:r>
    </w:p>
    <w:p>
      <w:pPr>
        <w:spacing w:before="60" w:after="120"/>
      </w:pPr>
      <w:r>
        <w:rPr>
          <w:sz w:val="21"/>
        </w:rPr>
        <w:t>The IAEA follows a standardized procedure for issuing all compliance certificates:</w:t>
      </w:r>
    </w:p>
    <w:p>
      <w:pPr>
        <w:numPr>
          <w:ilvl w:val="0"/>
          <w:numId w:val="2"/>
        </w:numPr>
        <w:spacing w:before="20" w:after="40"/>
      </w:pPr>
      <w:r>
        <w:rPr>
          <w:sz w:val="21"/>
        </w:rPr>
        <w:t>The IAEA inspection team submits a draft certificate to IAEA Vienna within 24 hours of milestone completion.</w:t>
      </w:r>
    </w:p>
    <w:p>
      <w:pPr>
        <w:numPr>
          <w:ilvl w:val="0"/>
          <w:numId w:val="2"/>
        </w:numPr>
        <w:spacing w:before="20" w:after="40"/>
      </w:pPr>
      <w:r>
        <w:rPr>
          <w:sz w:val="21"/>
        </w:rPr>
        <w:t>IAEA Vienna reviews the draft and either confirms the certificate or requests additional verification data.</w:t>
      </w:r>
    </w:p>
    <w:p>
      <w:pPr>
        <w:numPr>
          <w:ilvl w:val="0"/>
          <w:numId w:val="2"/>
        </w:numPr>
        <w:spacing w:before="20" w:after="40"/>
      </w:pPr>
      <w:r>
        <w:rPr>
          <w:sz w:val="21"/>
        </w:rPr>
        <w:t>Upon confirmation, the IAEA Director General signs the certificate and transmits it to: the Islamic Republic of Iran (AEOI); the United States (via diplomatic channel); and the PCC Secretariat (Geneva) for logging in the Shared Digital Registry.</w:t>
      </w:r>
    </w:p>
    <w:p>
      <w:pPr>
        <w:numPr>
          <w:ilvl w:val="0"/>
          <w:numId w:val="2"/>
        </w:numPr>
        <w:spacing w:before="20" w:after="40"/>
      </w:pPr>
      <w:r>
        <w:rPr>
          <w:sz w:val="21"/>
        </w:rPr>
        <w:t>The certificate is presumptively correct - rebuttable only by clear and convincing evidence of material error.</w:t>
      </w:r>
    </w:p>
    <w:p>
      <w:pPr>
        <w:numPr>
          <w:ilvl w:val="0"/>
          <w:numId w:val="2"/>
        </w:numPr>
        <w:spacing w:before="20" w:after="40"/>
      </w:pPr>
      <w:r>
        <w:rPr>
          <w:sz w:val="21"/>
        </w:rPr>
        <w:t>The Swiss facilitator receives a copy of each certificate and executes the corresponding tranche release within 24 hours of certificate transmission.</w:t>
      </w:r>
    </w:p>
    <w:p>
      <w:pPr>
        <w:pStyle w:val="Heading2"/>
      </w:pPr>
      <w:r>
        <w:t>3.3 Disputed Certificates</w:t>
      </w:r>
    </w:p>
    <w:p>
      <w:pPr>
        <w:spacing w:before="60" w:after="120"/>
      </w:pPr>
      <w:r>
        <w:rPr>
          <w:sz w:val="21"/>
        </w:rPr>
        <w:t>If Iran challenges a certificate's factual accuracy, the following dispute resolution procedure applies:</w:t>
      </w:r>
    </w:p>
    <w:p>
      <w:pPr>
        <w:numPr>
          <w:ilvl w:val="0"/>
          <w:numId w:val="2"/>
        </w:numPr>
        <w:spacing w:before="20" w:after="40"/>
      </w:pPr>
      <w:r>
        <w:rPr>
          <w:sz w:val="21"/>
        </w:rPr>
        <w:t>Iran files a notice of dispute with the PCC within 7 days of certificate issuance.</w:t>
      </w:r>
    </w:p>
    <w:p>
      <w:pPr>
        <w:numPr>
          <w:ilvl w:val="0"/>
          <w:numId w:val="2"/>
        </w:numPr>
        <w:spacing w:before="20" w:after="40"/>
      </w:pPr>
      <w:r>
        <w:rPr>
          <w:sz w:val="21"/>
        </w:rPr>
        <w:t>The PCC convenes a technical review panel comprising IAEA technical staff plus one representative each from Iran and the United States.</w:t>
      </w:r>
    </w:p>
    <w:p>
      <w:pPr>
        <w:numPr>
          <w:ilvl w:val="0"/>
          <w:numId w:val="2"/>
        </w:numPr>
        <w:spacing w:before="20" w:after="40"/>
      </w:pPr>
      <w:r>
        <w:rPr>
          <w:sz w:val="21"/>
        </w:rPr>
        <w:t>The panel issues a non-binding recommendation within 14 days.</w:t>
      </w:r>
    </w:p>
    <w:p>
      <w:pPr>
        <w:numPr>
          <w:ilvl w:val="0"/>
          <w:numId w:val="2"/>
        </w:numPr>
        <w:spacing w:before="20" w:after="40"/>
      </w:pPr>
      <w:r>
        <w:rPr>
          <w:sz w:val="21"/>
        </w:rPr>
        <w:t>If the dispute persists, the matter proceeds to binding arbitration under Annex O, Article 6 (expedited 5-7 day timeline).</w:t>
      </w:r>
    </w:p>
    <w:p>
      <w:pPr>
        <w:numPr>
          <w:ilvl w:val="0"/>
          <w:numId w:val="2"/>
        </w:numPr>
        <w:spacing w:before="20" w:after="40"/>
      </w:pPr>
      <w:r>
        <w:rPr>
          <w:sz w:val="21"/>
        </w:rPr>
        <w:t>Pending resolution, the certificate remains in effect unless the panel orders a temporary suspension.</w:t>
      </w:r>
    </w:p>
    <w:p>
      <w:pPr>
        <w:numPr>
          <w:ilvl w:val="0"/>
          <w:numId w:val="2"/>
        </w:numPr>
        <w:spacing w:before="20" w:after="40"/>
      </w:pPr>
      <w:r>
        <w:rPr>
          <w:sz w:val="21"/>
        </w:rPr>
        <w:t>No escrow tranche is held pending dispute resolution unless the panel specifically orders a suspension. Tranches release on schedule; any clawback occurs only if arbitration reverses the certification.</w:t>
      </w:r>
    </w:p>
    <w:p>
      <w:pPr>
        <w:pStyle w:val="Heading1"/>
      </w:pPr>
      <w:r>
        <w:t>ARTICLE 4: INTEGRATION WITH ANNEX S (60-DAY SCHEDULE)</w:t>
      </w:r>
    </w:p>
    <w:p>
      <w:pPr>
        <w:spacing w:before="60" w:after="120"/>
      </w:pPr>
      <w:r>
        <w:rPr>
          <w:sz w:val="21"/>
        </w:rPr>
        <w:t>This Annex V.S. provides the verification details that Annex S assumes. The following table maps each week of the Annex S schedule to the corresponding verification activity and certificate under this Annex V.S.</w:t>
      </w:r>
    </w:p>
    <w:tbl>
      <w:tblPr>
        <w:tblW w:w="5000" w:type="pct"/>
        <w:tblBorders>
          <w:top w:val="single" w:color="1E3A5F" w:sz="8"/>
          <w:left w:val="nil"/>
          <w:bottom w:val="single" w:color="1E3A5F" w:sz="8"/>
          <w:right w:val="nil"/>
          <w:insideH w:val="single" w:color="CCCCCC" w:sz="4"/>
          <w:insideV w:val="nil"/>
        </w:tblBorders>
      </w:tblPr>
      <w:tblGrid>
        <w:gridCol w:w="1800"/>
        <w:gridCol w:w="3600"/>
        <w:gridCol w:w="2600"/>
      </w:tblGrid>
      <w:tr>
        <w:trPr>
          <w:tblHeader/>
        </w:trPr>
        <w:tc>
          <w:tcPr>
            <w:tcW w:w="1800" w:type="dxa"/>
            <w:shd w:val="clear" w:fill="E8EDF2"/>
          </w:tcPr>
          <w:p>
            <w:pPr>
              <w:spacing w:before="40" w:after="40"/>
            </w:pPr>
            <w:r>
              <w:rPr>
                <w:b/>
                <w:color w:val="1a1a1a"/>
                <w:sz w:val="19"/>
              </w:rPr>
              <w:t>Annex S Week</w:t>
            </w:r>
          </w:p>
        </w:tc>
        <w:tc>
          <w:tcPr>
            <w:tcW w:w="3600" w:type="dxa"/>
            <w:shd w:val="clear" w:fill="E8EDF2"/>
          </w:tcPr>
          <w:p>
            <w:pPr>
              <w:spacing w:before="40" w:after="40"/>
            </w:pPr>
            <w:r>
              <w:rPr>
                <w:b/>
                <w:color w:val="1a1a1a"/>
                <w:sz w:val="19"/>
              </w:rPr>
              <w:t>Corresponding Verification Activity</w:t>
            </w:r>
          </w:p>
        </w:tc>
        <w:tc>
          <w:tcPr>
            <w:tcW w:w="2600" w:type="dxa"/>
            <w:shd w:val="clear" w:fill="E8EDF2"/>
          </w:tcPr>
          <w:p>
            <w:pPr>
              <w:spacing w:before="40" w:after="40"/>
            </w:pPr>
            <w:r>
              <w:rPr>
                <w:b/>
                <w:color w:val="1a1a1a"/>
                <w:sz w:val="19"/>
              </w:rPr>
              <w:t>Certificate</w:t>
            </w:r>
          </w:p>
        </w:tc>
      </w:tr>
      <w:tr>
        <w:tc>
          <w:tcPr>
            <w:tcW w:w="1800" w:type="dxa"/>
          </w:tcPr>
          <w:p>
            <w:pPr>
              <w:spacing w:before="40" w:after="40"/>
            </w:pPr>
            <w:r>
              <w:rPr>
                <w:color w:val="4a4a4a"/>
                <w:sz w:val="19"/>
              </w:rPr>
              <w:t>Week 1 (Days 1-7)</w:t>
            </w:r>
          </w:p>
        </w:tc>
        <w:tc>
          <w:tcPr>
            <w:tcW w:w="3600" w:type="dxa"/>
          </w:tcPr>
          <w:p>
            <w:pPr>
              <w:spacing w:before="40" w:after="40"/>
            </w:pPr>
            <w:r>
              <w:rPr>
                <w:color w:val="4a4a4a"/>
                <w:sz w:val="19"/>
              </w:rPr>
              <w:t>IAEA inspector deployment; visa approval; safety walkthrough; equipment installation; Preliminary Access Report</w:t>
            </w:r>
          </w:p>
        </w:tc>
        <w:tc>
          <w:tcPr>
            <w:tcW w:w="2600" w:type="dxa"/>
          </w:tcPr>
          <w:p>
            <w:pPr>
              <w:spacing w:before="40" w:after="40"/>
            </w:pPr>
            <w:r>
              <w:rPr>
                <w:color w:val="4a4a4a"/>
                <w:sz w:val="19"/>
              </w:rPr>
              <w:t>Baseline Inventory Certificate</w:t>
            </w:r>
          </w:p>
        </w:tc>
      </w:tr>
      <w:tr>
        <w:tc>
          <w:tcPr>
            <w:tcW w:w="1800" w:type="dxa"/>
          </w:tcPr>
          <w:p>
            <w:pPr>
              <w:spacing w:before="40" w:after="40"/>
            </w:pPr>
            <w:r>
              <w:rPr>
                <w:color w:val="4a4a4a"/>
                <w:sz w:val="19"/>
              </w:rPr>
              <w:t>Week 2 (Days 8-14)</w:t>
            </w:r>
          </w:p>
        </w:tc>
        <w:tc>
          <w:tcPr>
            <w:tcW w:w="3600" w:type="dxa"/>
          </w:tcPr>
          <w:p>
            <w:pPr>
              <w:spacing w:before="40" w:after="40"/>
            </w:pPr>
            <w:r>
              <w:rPr>
                <w:color w:val="4a4a4a"/>
                <w:sz w:val="19"/>
              </w:rPr>
              <w:t>Physical inventory of Category I cylinders at Natanz and Fordow; 25% verification</w:t>
            </w:r>
          </w:p>
        </w:tc>
        <w:tc>
          <w:tcPr>
            <w:tcW w:w="2600" w:type="dxa"/>
          </w:tcPr>
          <w:p>
            <w:pPr>
              <w:spacing w:before="40" w:after="40"/>
            </w:pPr>
            <w:r>
              <w:rPr>
                <w:color w:val="4a4a4a"/>
                <w:sz w:val="19"/>
              </w:rPr>
              <w:t>25% Verification Certificate</w:t>
            </w:r>
          </w:p>
        </w:tc>
      </w:tr>
      <w:tr>
        <w:tc>
          <w:tcPr>
            <w:tcW w:w="1800" w:type="dxa"/>
          </w:tcPr>
          <w:p>
            <w:pPr>
              <w:spacing w:before="40" w:after="40"/>
            </w:pPr>
            <w:r>
              <w:rPr>
                <w:color w:val="4a4a4a"/>
                <w:sz w:val="19"/>
              </w:rPr>
              <w:t>Week 3 (Days 15-21)</w:t>
            </w:r>
          </w:p>
        </w:tc>
        <w:tc>
          <w:tcPr>
            <w:tcW w:w="3600" w:type="dxa"/>
          </w:tcPr>
          <w:p>
            <w:pPr>
              <w:spacing w:before="40" w:after="40"/>
            </w:pPr>
            <w:r>
              <w:rPr>
                <w:color w:val="4a4a4a"/>
                <w:sz w:val="19"/>
              </w:rPr>
              <w:t>NDA of Category II-A cylinders; damage classification; environmental sampling</w:t>
            </w:r>
          </w:p>
        </w:tc>
        <w:tc>
          <w:tcPr>
            <w:tcW w:w="2600" w:type="dxa"/>
          </w:tcPr>
          <w:p>
            <w:pPr>
              <w:spacing w:before="40" w:after="40"/>
            </w:pPr>
            <w:r>
              <w:rPr>
                <w:color w:val="4a4a4a"/>
                <w:sz w:val="19"/>
              </w:rPr>
              <w:t>Damage Classification Certificate</w:t>
            </w:r>
          </w:p>
        </w:tc>
      </w:tr>
      <w:tr>
        <w:tc>
          <w:tcPr>
            <w:tcW w:w="1800" w:type="dxa"/>
          </w:tcPr>
          <w:p>
            <w:pPr>
              <w:spacing w:before="40" w:after="40"/>
            </w:pPr>
            <w:r>
              <w:rPr>
                <w:color w:val="4a4a4a"/>
                <w:sz w:val="19"/>
              </w:rPr>
              <w:t>Week 4 (Days 22-28)</w:t>
            </w:r>
          </w:p>
        </w:tc>
        <w:tc>
          <w:tcPr>
            <w:tcW w:w="3600" w:type="dxa"/>
          </w:tcPr>
          <w:p>
            <w:pPr>
              <w:spacing w:before="40" w:after="40"/>
            </w:pPr>
            <w:r>
              <w:rPr>
                <w:color w:val="4a4a4a"/>
                <w:sz w:val="19"/>
              </w:rPr>
              <w:t>Continued NDA; remote sensing setup; Fordow tunnel assessment; downblending preparation</w:t>
            </w:r>
          </w:p>
        </w:tc>
        <w:tc>
          <w:tcPr>
            <w:tcW w:w="2600" w:type="dxa"/>
          </w:tcPr>
          <w:p>
            <w:pPr>
              <w:spacing w:before="40" w:after="40"/>
            </w:pPr>
            <w:r>
              <w:rPr>
                <w:color w:val="4a4a4a"/>
                <w:sz w:val="19"/>
              </w:rPr>
              <w:t>50% Verification Certificate</w:t>
            </w:r>
          </w:p>
        </w:tc>
      </w:tr>
      <w:tr>
        <w:tc>
          <w:tcPr>
            <w:tcW w:w="1800" w:type="dxa"/>
          </w:tcPr>
          <w:p>
            <w:pPr>
              <w:spacing w:before="40" w:after="40"/>
            </w:pPr>
            <w:r>
              <w:rPr>
                <w:color w:val="4a4a4a"/>
                <w:sz w:val="19"/>
              </w:rPr>
              <w:t>Week 5 (Days 29-35)</w:t>
            </w:r>
          </w:p>
        </w:tc>
        <w:tc>
          <w:tcPr>
            <w:tcW w:w="3600" w:type="dxa"/>
          </w:tcPr>
          <w:p>
            <w:pPr>
              <w:spacing w:before="40" w:after="40"/>
            </w:pPr>
            <w:r>
              <w:rPr>
                <w:color w:val="4a4a4a"/>
                <w:sz w:val="19"/>
              </w:rPr>
              <w:t>Remote sensing survey; continuous monitoring installation; mid-point data review</w:t>
            </w:r>
          </w:p>
        </w:tc>
        <w:tc>
          <w:tcPr>
            <w:tcW w:w="2600" w:type="dxa"/>
          </w:tcPr>
          <w:p>
            <w:pPr>
              <w:spacing w:before="40" w:after="40"/>
            </w:pPr>
            <w:r>
              <w:rPr>
                <w:color w:val="4a4a4a"/>
                <w:sz w:val="19"/>
              </w:rPr>
              <w:t>Monitoring Installation Certificate</w:t>
            </w:r>
          </w:p>
        </w:tc>
      </w:tr>
      <w:tr>
        <w:tc>
          <w:tcPr>
            <w:tcW w:w="1800" w:type="dxa"/>
          </w:tcPr>
          <w:p>
            <w:pPr>
              <w:spacing w:before="40" w:after="40"/>
            </w:pPr>
            <w:r>
              <w:rPr>
                <w:color w:val="4a4a4a"/>
                <w:sz w:val="19"/>
              </w:rPr>
              <w:t>Week 6 (Days 36-42)</w:t>
            </w:r>
          </w:p>
        </w:tc>
        <w:tc>
          <w:tcPr>
            <w:tcW w:w="3600" w:type="dxa"/>
          </w:tcPr>
          <w:p>
            <w:pPr>
              <w:spacing w:before="40" w:after="40"/>
            </w:pPr>
            <w:r>
              <w:rPr>
                <w:color w:val="4a4a4a"/>
                <w:sz w:val="19"/>
              </w:rPr>
              <w:t>Comprehensive data cross-check; all breakout-relevant facilities under monitoring; 75% verification</w:t>
            </w:r>
          </w:p>
        </w:tc>
        <w:tc>
          <w:tcPr>
            <w:tcW w:w="2600" w:type="dxa"/>
          </w:tcPr>
          <w:p>
            <w:pPr>
              <w:spacing w:before="40" w:after="40"/>
            </w:pPr>
            <w:r>
              <w:rPr>
                <w:color w:val="4a4a4a"/>
                <w:sz w:val="19"/>
              </w:rPr>
              <w:t>75% Verification Certificate</w:t>
            </w:r>
          </w:p>
        </w:tc>
      </w:tr>
      <w:tr>
        <w:tc>
          <w:tcPr>
            <w:tcW w:w="1800" w:type="dxa"/>
          </w:tcPr>
          <w:p>
            <w:pPr>
              <w:spacing w:before="40" w:after="40"/>
            </w:pPr>
            <w:r>
              <w:rPr>
                <w:color w:val="4a4a4a"/>
                <w:sz w:val="19"/>
              </w:rPr>
              <w:t>Week 7 (Days 43-49)</w:t>
            </w:r>
          </w:p>
        </w:tc>
        <w:tc>
          <w:tcPr>
            <w:tcW w:w="3600" w:type="dxa"/>
          </w:tcPr>
          <w:p>
            <w:pPr>
              <w:spacing w:before="40" w:after="40"/>
            </w:pPr>
            <w:r>
              <w:rPr>
                <w:color w:val="4a4a4a"/>
                <w:sz w:val="19"/>
              </w:rPr>
              <w:t>Interim Compliance Certification (Day 45); final verification sweep preparation</w:t>
            </w:r>
          </w:p>
        </w:tc>
        <w:tc>
          <w:tcPr>
            <w:tcW w:w="2600" w:type="dxa"/>
          </w:tcPr>
          <w:p>
            <w:pPr>
              <w:spacing w:before="40" w:after="40"/>
            </w:pPr>
            <w:r>
              <w:rPr>
                <w:color w:val="4a4a4a"/>
                <w:sz w:val="19"/>
              </w:rPr>
              <w:t>Interim Compliance Certificate</w:t>
            </w:r>
          </w:p>
        </w:tc>
      </w:tr>
      <w:tr>
        <w:tc>
          <w:tcPr>
            <w:tcW w:w="1800" w:type="dxa"/>
          </w:tcPr>
          <w:p>
            <w:pPr>
              <w:spacing w:before="40" w:after="40"/>
            </w:pPr>
            <w:r>
              <w:rPr>
                <w:color w:val="4a4a4a"/>
                <w:sz w:val="19"/>
              </w:rPr>
              <w:t>Week 8 (Days 50-60)</w:t>
            </w:r>
          </w:p>
        </w:tc>
        <w:tc>
          <w:tcPr>
            <w:tcW w:w="3600" w:type="dxa"/>
          </w:tcPr>
          <w:p>
            <w:pPr>
              <w:spacing w:before="40" w:after="40"/>
            </w:pPr>
            <w:r>
              <w:rPr>
                <w:color w:val="4a4a4a"/>
                <w:sz w:val="19"/>
              </w:rPr>
              <w:t>Final verification sweep; full 60-day compliance certification; Phase II transition</w:t>
            </w:r>
          </w:p>
        </w:tc>
        <w:tc>
          <w:tcPr>
            <w:tcW w:w="2600" w:type="dxa"/>
          </w:tcPr>
          <w:p>
            <w:pPr>
              <w:spacing w:before="40" w:after="40"/>
            </w:pPr>
            <w:r>
              <w:rPr>
                <w:color w:val="4a4a4a"/>
                <w:sz w:val="19"/>
              </w:rPr>
              <w:t>Full 60-Day Compliance Certificate</w:t>
            </w:r>
          </w:p>
        </w:tc>
      </w:tr>
    </w:tbl>
    <w:p>
      <w:pPr>
        <w:spacing w:before="60" w:after="120"/>
      </w:pPr>
      <w:r>
        <w:rPr>
          <w:sz w:val="21"/>
        </w:rPr>
        <w:t>Cross-reference: For the full reciprocal pairing of economic relief measures with verification milestones, see Annex S, Article 2. For the financial micro-tranche release schedule, see Annex S, Article 3 and MOU Article 5.</w:t>
      </w:r>
    </w:p>
    <w:p>
      <w:pPr>
        <w:pStyle w:val="Heading1"/>
      </w:pPr>
      <w:r>
        <w:t>ARTICLE 5: RELATIONSHIP TO OTHER ANNEXES</w:t>
      </w:r>
    </w:p>
    <w:tbl>
      <w:tblPr>
        <w:tblW w:w="5000" w:type="pct"/>
        <w:tblBorders>
          <w:top w:val="single" w:color="1E3A5F" w:sz="8"/>
          <w:left w:val="nil"/>
          <w:bottom w:val="single" w:color="1E3A5F" w:sz="8"/>
          <w:right w:val="nil"/>
          <w:insideH w:val="single" w:color="CCCCCC" w:sz="4"/>
          <w:insideV w:val="nil"/>
        </w:tblBorders>
      </w:tblPr>
      <w:tblGrid>
        <w:gridCol w:w="3000"/>
        <w:gridCol w:w="6000"/>
      </w:tblGrid>
      <w:tr>
        <w:trPr>
          <w:tblHeader/>
        </w:trPr>
        <w:tc>
          <w:tcPr>
            <w:tcW w:w="3000" w:type="dxa"/>
            <w:shd w:val="clear" w:fill="E8EDF2"/>
          </w:tcPr>
          <w:p>
            <w:pPr>
              <w:spacing w:before="40" w:after="40"/>
            </w:pPr>
            <w:r>
              <w:rPr>
                <w:b/>
                <w:color w:val="1a1a1a"/>
                <w:sz w:val="19"/>
              </w:rPr>
              <w:t>Annex / Provision</w:t>
            </w:r>
          </w:p>
        </w:tc>
        <w:tc>
          <w:tcPr>
            <w:tcW w:w="6000" w:type="dxa"/>
            <w:shd w:val="clear" w:fill="E8EDF2"/>
          </w:tcPr>
          <w:p>
            <w:pPr>
              <w:spacing w:before="40" w:after="40"/>
            </w:pPr>
            <w:r>
              <w:rPr>
                <w:b/>
                <w:color w:val="1a1a1a"/>
                <w:sz w:val="19"/>
              </w:rPr>
              <w:t>Relationship</w:t>
            </w:r>
          </w:p>
        </w:tc>
      </w:tr>
      <w:tr>
        <w:tc>
          <w:tcPr>
            <w:tcW w:w="3000" w:type="dxa"/>
          </w:tcPr>
          <w:p>
            <w:pPr>
              <w:spacing w:before="40" w:after="40"/>
            </w:pPr>
            <w:r>
              <w:rPr>
                <w:color w:val="4a4a4a"/>
                <w:sz w:val="19"/>
              </w:rPr>
              <w:t>Annex S (60-Day Reciprocal Sequencing)</w:t>
            </w:r>
          </w:p>
        </w:tc>
        <w:tc>
          <w:tcPr>
            <w:tcW w:w="6000" w:type="dxa"/>
          </w:tcPr>
          <w:p>
            <w:pPr>
              <w:spacing w:before="40" w:after="40"/>
            </w:pPr>
            <w:r>
              <w:rPr>
                <w:color w:val="4a4a4a"/>
                <w:sz w:val="19"/>
              </w:rPr>
              <w:t>This Annex V.S. provides the verification details and certification gates that Annex S's economic relief pairings assume.</w:t>
            </w:r>
          </w:p>
        </w:tc>
      </w:tr>
      <w:tr>
        <w:tc>
          <w:tcPr>
            <w:tcW w:w="3000" w:type="dxa"/>
          </w:tcPr>
          <w:p>
            <w:pPr>
              <w:spacing w:before="40" w:after="40"/>
            </w:pPr>
            <w:r>
              <w:rPr>
                <w:color w:val="4a4a4a"/>
                <w:sz w:val="19"/>
              </w:rPr>
              <w:t>Annex O (IAEA Access and Site Integrity)</w:t>
            </w:r>
          </w:p>
        </w:tc>
        <w:tc>
          <w:tcPr>
            <w:tcW w:w="6000" w:type="dxa"/>
          </w:tcPr>
          <w:p>
            <w:pPr>
              <w:spacing w:before="40" w:after="40"/>
            </w:pPr>
            <w:r>
              <w:rPr>
                <w:color w:val="4a4a4a"/>
                <w:sz w:val="19"/>
              </w:rPr>
              <w:t>This Annex V.S. sets the operational timeline for the access rights and inspection procedures established in Annex O.</w:t>
            </w:r>
          </w:p>
        </w:tc>
      </w:tr>
      <w:tr>
        <w:tc>
          <w:tcPr>
            <w:tcW w:w="3000" w:type="dxa"/>
          </w:tcPr>
          <w:p>
            <w:pPr>
              <w:spacing w:before="40" w:after="40"/>
            </w:pPr>
            <w:r>
              <w:rPr>
                <w:color w:val="4a4a4a"/>
                <w:sz w:val="19"/>
              </w:rPr>
              <w:t>MOU Article 7.3 (Step-Back/Earn-Back)</w:t>
            </w:r>
          </w:p>
        </w:tc>
        <w:tc>
          <w:tcPr>
            <w:tcW w:w="6000" w:type="dxa"/>
          </w:tcPr>
          <w:p>
            <w:pPr>
              <w:spacing w:before="40" w:after="40"/>
            </w:pPr>
            <w:r>
              <w:rPr>
                <w:color w:val="4a4a4a"/>
                <w:sz w:val="19"/>
              </w:rPr>
              <w:t>Failure to meet verification milestones or refusal of managed access triggers Tier 2 material disruption under the MOU's step-back architecture.</w:t>
            </w:r>
          </w:p>
        </w:tc>
      </w:tr>
      <w:tr>
        <w:tc>
          <w:tcPr>
            <w:tcW w:w="3000" w:type="dxa"/>
          </w:tcPr>
          <w:p>
            <w:pPr>
              <w:spacing w:before="40" w:after="40"/>
            </w:pPr>
            <w:r>
              <w:rPr>
                <w:color w:val="4a4a4a"/>
                <w:sz w:val="19"/>
              </w:rPr>
              <w:t>Annex H (Mutual Safety Hold)</w:t>
            </w:r>
          </w:p>
        </w:tc>
        <w:tc>
          <w:tcPr>
            <w:tcW w:w="6000" w:type="dxa"/>
          </w:tcPr>
          <w:p>
            <w:pPr>
              <w:spacing w:before="40" w:after="40"/>
            </w:pPr>
            <w:r>
              <w:rPr>
                <w:color w:val="4a4a4a"/>
                <w:sz w:val="19"/>
              </w:rPr>
              <w:t>Safety-related access delays at damaged facilities invoke Annex H's 14-day safety hold mechanism, which suspends the Annex V.S. timeline for the affected facility only.</w:t>
            </w:r>
          </w:p>
        </w:tc>
      </w:tr>
      <w:tr>
        <w:tc>
          <w:tcPr>
            <w:tcW w:w="3000" w:type="dxa"/>
          </w:tcPr>
          <w:p>
            <w:pPr>
              <w:spacing w:before="40" w:after="40"/>
            </w:pPr>
            <w:r>
              <w:rPr>
                <w:color w:val="4a4a4a"/>
                <w:sz w:val="19"/>
              </w:rPr>
              <w:t>Annex V (Nuclear Dust Protocol)</w:t>
            </w:r>
          </w:p>
        </w:tc>
        <w:tc>
          <w:tcPr>
            <w:tcW w:w="6000" w:type="dxa"/>
          </w:tcPr>
          <w:p>
            <w:pPr>
              <w:spacing w:before="40" w:after="40"/>
            </w:pPr>
            <w:r>
              <w:rPr>
                <w:color w:val="4a4a4a"/>
                <w:sz w:val="19"/>
              </w:rPr>
              <w:t>Damaged site verification follows Annex V protocols for extraction and remediation, while Annex V.S. governs the IAEA inspection and certification sequencing.</w:t>
            </w:r>
          </w:p>
        </w:tc>
      </w:tr>
      <w:tr>
        <w:tc>
          <w:tcPr>
            <w:tcW w:w="3000" w:type="dxa"/>
          </w:tcPr>
          <w:p>
            <w:pPr>
              <w:spacing w:before="40" w:after="40"/>
            </w:pPr>
            <w:r>
              <w:rPr>
                <w:color w:val="4a4a4a"/>
                <w:sz w:val="19"/>
              </w:rPr>
              <w:t>Annex Q (IRGC Access Compliance)</w:t>
            </w:r>
          </w:p>
        </w:tc>
        <w:tc>
          <w:tcPr>
            <w:tcW w:w="6000" w:type="dxa"/>
          </w:tcPr>
          <w:p>
            <w:pPr>
              <w:spacing w:before="40" w:after="40"/>
            </w:pPr>
            <w:r>
              <w:rPr>
                <w:color w:val="4a4a4a"/>
                <w:sz w:val="19"/>
              </w:rPr>
              <w:t>Post-14-day access denials at IRGC-controlled facilities invoke Annex Q's classification and expedited dispute resolution mechanisms.</w:t>
            </w:r>
          </w:p>
        </w:tc>
      </w:tr>
    </w:tbl>
    <w:p>
      <w:pPr>
        <w:pStyle w:val="Heading2"/>
      </w:pPr>
      <w:r>
        <w:t>5.1 Distinction from Annex V (Nuclear Dust Protocol)</w:t>
      </w:r>
    </w:p>
    <w:p>
      <w:pPr>
        <w:spacing w:before="60" w:after="120"/>
      </w:pPr>
      <w:r>
        <w:rPr>
          <w:sz w:val="21"/>
        </w:rPr>
        <w:t>Annex V (Nuclear Dust Protocol) governs the physical extraction and remediation of Nuclear Dust from collapsed military engineering sites. Annex V.S. governs the verification sequencing for all declared nuclear facilities, including those damaged by military strikes. Where a facility is both a declared nuclear site and a Nuclear Dust site, Annex V governs the extraction operation and Annex V.S. governs the IAEA inspection and certification sequencing. The two annexes operate in parallel, not in sequence.</w:t>
      </w:r>
    </w:p>
    <w:p>
      <w:pPr>
        <w:pStyle w:val="Heading2"/>
      </w:pPr>
      <w:r>
        <w:t>5.2 Distinction from Annex V-R (Verification Restoration Protocol)</w:t>
      </w:r>
    </w:p>
    <w:p>
      <w:pPr>
        <w:spacing w:before="60" w:after="120"/>
      </w:pPr>
      <w:r>
        <w:rPr>
          <w:sz w:val="21"/>
        </w:rPr>
        <w:t>Annex V-R establishes the pre-signature baseline inventory of declared facilities before MOU entry into force. Annex V.S. operates after MOU entry into force, providing the ongoing verification sequencing for the 60-day window and beyond. Annex V-R is a one-time pre-signature assessment; Annex V.S. is a continuous 60-day (and quarterly) verification architecture.</w:t>
      </w:r>
    </w:p>
    <w:p>
      <w:pPr>
        <w:pStyle w:val="Heading1"/>
      </w:pPr>
      <w:r>
        <w:t>ARTICLE 6: INCORPORATION BY REFERENCE</w:t>
      </w:r>
    </w:p>
    <w:p>
      <w:pPr>
        <w:spacing w:before="60" w:after="120"/>
      </w:pPr>
      <w:r>
        <w:rPr>
          <w:sz w:val="21"/>
        </w:rPr>
        <w:t>This Annex V.S. incorporates into the Memorandum of Understanding Pertaining to PEACE and the Provisional Steps Framework by the following sentence of adoption:</w:t>
      </w:r>
    </w:p>
    <w:p>
      <w:pPr>
        <w:pBdr>
          <w:left w:val="single" w:color="1E3A5F" w:sz="18"/>
        </w:pBdr>
        <w:shd w:val="clear" w:fill="F5F5F5"/>
        <w:spacing w:before="200" w:after="200"/>
        <w:ind w:left="720" w:right="720"/>
      </w:pPr>
      <w:r>
        <w:rPr>
          <w:i/>
          <w:color w:val="1a1a1a"/>
          <w:sz w:val="20"/>
        </w:rPr>
        <w:t>"The Parties adopt Annex V.S. (Verification Sequencing Protocol) as an operative provision of this Agreement. This Annex establishes a step-by-step timeline for IAEA inspector entry, inspection scope, and compliance certification, consistent with the 60-Day Reciprocal Sequencing Schedule (Annex S) and the IAEA Access and Site Integrity Protocol (Annex O)."</w:t>
      </w:r>
    </w:p>
    <w:p>
      <w:pPr>
        <w:spacing w:before="60" w:after="120"/>
      </w:pPr>
      <w:r>
        <w:rPr>
          <w:sz w:val="21"/>
        </w:rPr>
        <w:t>No amendment of the parent MOU is required. This Annex enters into force upon signature by both Parties or provisional application by exchange of diplomatic notes.</w:t>
      </w:r>
    </w:p>
    <w:p>
      <w:pPr>
        <w:pStyle w:val="Heading1"/>
      </w:pPr>
      <w:r>
        <w:t>ARTICLE 7: PROVISIONAL APPLICATION</w:t>
      </w:r>
    </w:p>
    <w:p>
      <w:pPr>
        <w:spacing w:before="60" w:after="120"/>
      </w:pPr>
      <w:r>
        <w:rPr>
          <w:sz w:val="21"/>
        </w:rPr>
        <w:t>The Parties apply this Annex V.S. provisionally for 90 days, pending formal incorporation. Exchange of diplomatic notes between the United States and the Islamic Republic of Iran effects provisional application, with notification to the PCC Secretariat.</w:t>
      </w:r>
    </w:p>
    <w:p>
      <w:pPr>
        <w:spacing w:before="60" w:after="120"/>
      </w:pPr>
      <w:r>
        <w:rPr>
          <w:sz w:val="21"/>
        </w:rPr>
        <w:t>During provisional application, all provisions of this Annex V.S. are operative and binding.</w:t>
      </w:r>
    </w:p>
    <w:p>
      <w:pPr>
        <w:spacing w:before="60" w:after="120"/>
      </w:pPr>
      <w:r>
        <w:rPr>
          <w:sz w:val="21"/>
        </w:rPr>
        <w:t>Either Party terminates provisional application with 14 days' written notice. Termination does not affect: IAEA inspections already completed; certificates already issued; tranches already released; or verification data already collected.</w:t>
      </w:r>
    </w:p>
    <w:p>
      <w:pPr>
        <w:pStyle w:val="Heading1"/>
      </w:pPr>
      <w:r>
        <w:t>SIGNATURE BLOCK</w:t>
      </w:r>
    </w:p>
    <w:p>
      <w:pPr>
        <w:spacing w:before="400"/>
      </w:pPr>
    </w:p>
    <w:tbl>
      <w:tblPr>
        <w:tblW w:w="5000" w:type="pct"/>
        <w:tblBorders>
          <w:top w:val="single" w:color="1E3A5F" w:sz="8"/>
          <w:left w:val="nil"/>
          <w:bottom w:val="single" w:color="1E3A5F" w:sz="8"/>
          <w:right w:val="nil"/>
          <w:insideH w:val="single" w:color="CCCCCC" w:sz="4"/>
          <w:insideV w:val="nil"/>
        </w:tblBorders>
      </w:tblPr>
      <w:tblGrid>
        <w:gridCol w:w="4500"/>
        <w:gridCol w:w="4500"/>
      </w:tblGrid>
      <w:tr>
        <w:tc>
          <w:tcPr>
            <w:tcW w:w="4500" w:type="dxa"/>
          </w:tcPr>
          <w:p>
            <w:pPr>
              <w:spacing w:before="60" w:after="60"/>
            </w:pPr>
            <w:r>
              <w:rPr>
                <w:sz w:val="21"/>
              </w:rPr>
              <w:t>For the Islamic Republic of Iran:</w:t>
            </w:r>
          </w:p>
        </w:tc>
        <w:tc>
          <w:tcPr>
            <w:tcW w:w="4500" w:type="dxa"/>
          </w:tcPr>
          <w:p>
            <w:pPr>
              <w:spacing w:before="60" w:after="60"/>
            </w:pPr>
            <w:r>
              <w:rPr>
                <w:sz w:val="21"/>
              </w:rPr>
              <w:t>For the United States of America:</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Name: _________________________</w:t>
            </w:r>
          </w:p>
        </w:tc>
        <w:tc>
          <w:tcPr>
            <w:tcW w:w="4500" w:type="dxa"/>
          </w:tcPr>
          <w:p>
            <w:pPr>
              <w:spacing w:before="60" w:after="60"/>
            </w:pPr>
            <w:r>
              <w:rPr>
                <w:sz w:val="21"/>
              </w:rPr>
              <w:t>Name: _________________________</w:t>
            </w:r>
          </w:p>
        </w:tc>
      </w:tr>
      <w:tr>
        <w:tc>
          <w:tcPr>
            <w:tcW w:w="4500" w:type="dxa"/>
          </w:tcPr>
          <w:p>
            <w:pPr>
              <w:spacing w:before="60" w:after="60"/>
            </w:pPr>
            <w:r>
              <w:rPr>
                <w:sz w:val="21"/>
              </w:rPr>
              <w:t>Title: ________________________</w:t>
            </w:r>
          </w:p>
        </w:tc>
        <w:tc>
          <w:tcPr>
            <w:tcW w:w="4500" w:type="dxa"/>
          </w:tcPr>
          <w:p>
            <w:pPr>
              <w:spacing w:before="60" w:after="60"/>
            </w:pPr>
            <w:r>
              <w:rPr>
                <w:sz w:val="21"/>
              </w:rPr>
              <w:t>Title: ________________________</w:t>
            </w:r>
          </w:p>
        </w:tc>
      </w:tr>
      <w:tr>
        <w:tc>
          <w:tcPr>
            <w:tcW w:w="4500" w:type="dxa"/>
          </w:tcPr>
          <w:p>
            <w:pPr>
              <w:spacing w:before="60" w:after="60"/>
            </w:pPr>
            <w:r>
              <w:rPr>
                <w:sz w:val="21"/>
              </w:rPr>
              <w:t>Date: _________________________</w:t>
            </w:r>
          </w:p>
        </w:tc>
        <w:tc>
          <w:tcPr>
            <w:tcW w:w="4500" w:type="dxa"/>
          </w:tcPr>
          <w:p>
            <w:pPr>
              <w:spacing w:before="60" w:after="60"/>
            </w:pPr>
            <w:r>
              <w:rPr>
                <w:sz w:val="21"/>
              </w:rPr>
              <w:t>Date: _________________________</w:t>
            </w:r>
          </w:p>
        </w:tc>
      </w:tr>
    </w:tbl>
    <w:p>
      <w:pPr>
        <w:spacing w:before="400"/>
      </w:pPr>
    </w:p>
    <w:p>
      <w:pPr>
        <w:spacing w:before="60" w:after="120"/>
      </w:pPr>
      <w:r>
        <w:rPr>
          <w:sz w:val="21"/>
        </w:rPr>
        <w:t>For the International Atomic Energy Agency (as verification authority):</w:t>
      </w:r>
    </w:p>
    <w:p>
      <w:pPr>
        <w:spacing w:before="60" w:after="120"/>
      </w:pPr>
      <w:r>
        <w:rPr>
          <w:sz w:val="21"/>
        </w:rPr>
        <w:t>Name: Rafael Mariano Grossi, Director General</w:t>
      </w:r>
    </w:p>
    <w:p>
      <w:pPr>
        <w:spacing w:before="60" w:after="120"/>
      </w:pPr>
      <w:r>
        <w:rPr>
          <w:sz w:val="21"/>
        </w:rPr>
        <w:t>Date: _________________________</w:t>
      </w:r>
    </w:p>
    <w:p>
      <w:pPr>
        <w:spacing w:before="400"/>
      </w:pPr>
    </w:p>
    <w:p>
      <w:pPr>
        <w:spacing w:before="200" w:after="60"/>
        <w:jc w:val="center"/>
      </w:pPr>
      <w:r>
        <w:rPr>
          <w:i/>
          <w:color w:val="4a4a4a"/>
          <w:sz w:val="18"/>
        </w:rPr>
        <w:t>Annex V.S. - Verification Sequencing Protocol - Version 1.0</w:t>
      </w:r>
    </w:p>
    <w:p>
      <w:pPr>
        <w:spacing w:before="0" w:after="60"/>
        <w:jc w:val="center"/>
      </w:pPr>
      <w:r>
        <w:rPr>
          <w:i/>
          <w:color w:val="7a7a7a"/>
          <w:sz w:val="16"/>
        </w:rPr>
        <w:t>IAEA-led inspection sequencing - Integrated with Annex S - No unannounced military access</w:t>
      </w:r>
    </w:p>
    <w:p>
      <w:pPr>
        <w:spacing w:before="0" w:after="200"/>
        <w:jc w:val="center"/>
      </w:pPr>
      <w:r>
        <w:rPr>
          <w:i/>
          <w:color w:val="7a7a7a"/>
          <w:sz w:val="16"/>
        </w:rPr>
        <w:t>Immutable Present-Tense Matrix v2.5 governs all clause construction</w:t>
      </w:r>
    </w:p>
    <w:sectPr>
      <w:headerReference w:type="default" r:id="Ref9824726cc840e0"/>
      <w:footerReference w:type="default" r:id="R51430e49225847cf"/>
      <w:pgSz w:w="11906" w:h="16838"/>
      <w:pgMar w:top="1440" w:right="1440" w:bottom="1440" w:left="1440" w:header="720" w:footer="720"/>
    </w:sectPr>
  </w:body>
</w:document>
</file>

<file path=word/footer1.xml><?xml version="1.0" encoding="utf-8"?>
<w:ftr xmlns:w="http://schemas.openxmlformats.org/wordprocessingml/2006/main">
  <w:p>
    <w:pPr>
      <w:pBdr>
        <w:top w:val="single" w:color="7a7a7a" w:sz="4"/>
      </w:pBdr>
      <w:jc w:val="center"/>
    </w:pPr>
    <w:r>
      <w:rPr>
        <w:color w:val="7a7a7a"/>
        <w:sz w:val="16"/>
      </w:rPr>
      <w:t>Authorized Negotiators Only - Confidential - Page </w:t>
    </w:r>
    <w:r>
      <w:rPr>
        <w:color w:val="7a7a7a"/>
        <w:sz w:val="16"/>
      </w:rPr>
      <w:fldChar w:fldCharType="begin"/>
    </w:r>
    <w:r>
      <w:rPr>
        <w:color w:val="7a7a7a"/>
        <w:sz w:val="16"/>
      </w:rPr>
      <w:instrText xml:space="preserve"> PAGE </w:instrText>
    </w:r>
    <w:r>
      <w:rPr>
        <w:color w:val="7a7a7a"/>
        <w:sz w:val="16"/>
      </w:rPr>
      <w:fldChar w:fldCharType="separate"/>
    </w:r>
    <w:r>
      <w:rPr>
        <w:color w:val="7a7a7a"/>
        <w:sz w:val="16"/>
      </w:rPr>
      <w:t>1</w:t>
    </w:r>
    <w:r>
      <w:rPr>
        <w:color w:val="7a7a7a"/>
        <w:sz w:val="16"/>
      </w:rPr>
      <w:fldChar w:fldCharType="end"/>
    </w:r>
  </w:p>
</w:ftr>
</file>

<file path=word/header1.xml><?xml version="1.0" encoding="utf-8"?>
<w:hdr xmlns:w="http://schemas.openxmlformats.org/wordprocessingml/2006/main">
  <w:p>
    <w:pPr>
      <w:pBdr>
        <w:bottom w:val="single" w:color="1E3A5F" w:sz="6"/>
      </w:pBdr>
      <w:jc w:val="center"/>
    </w:pPr>
    <w:r>
      <w:rPr>
        <w:caps/>
        <w:color w:val="7a7a7a"/>
        <w:sz w:val="16"/>
      </w:rPr>
      <w:t>Annex V.S.: Verification Sequencing Protocol</w:t>
    </w:r>
  </w:p>
</w:hdr>
</file>

<file path=word/numbering.xml><?xml version="1.0" encoding="utf-8"?>
<w:numbering xmlns:w="http://schemas.openxmlformats.org/wordprocessingml/2006/main">
  <w:abstractNum w:abstractNumId="2">
    <w:lvl w:ilvl="0">
      <w:numFmt w:val="bullet"/>
      <w:lvlText w:val="•"/>
      <w:lvlJc w:val="left"/>
      <w:pPr>
        <w:ind w:left="720" w:hanging="360"/>
      </w:pPr>
      <w:rPr>
        <w:rFonts w:ascii="Symbol" w:hAnsi="Symbol"/>
      </w:rPr>
    </w:lvl>
  </w:abstract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jc w:val="both"/>
    </w:pPr>
    <w:rPr>
      <w:rFonts w:ascii="Times New Roman" w:hAnsi="Times New Roman"/>
      <w:color w:val="1a1a1a"/>
      <w:sz w:val="21"/>
    </w:rPr>
  </w:style>
  <w:style w:type="paragraph" w:styleId="Heading1">
    <w:name w:val="heading 1"/>
    <w:basedOn w:val="Normal"/>
    <w:pPr>
      <w:keepNext/>
      <w:keepLines/>
      <w:pageBreakBefore/>
      <w:spacing w:before="0" w:after="200"/>
      <w:outlineLvl w:val="0"/>
    </w:pPr>
    <w:rPr>
      <w:rFonts w:ascii="Times New Roman" w:hAnsi="Times New Roman"/>
      <w:b/>
      <w:color w:val="1E3A5F"/>
      <w:sz w:val="30"/>
    </w:rPr>
  </w:style>
  <w:style w:type="paragraph" w:styleId="Heading2">
    <w:name w:val="heading 2"/>
    <w:basedOn w:val="Normal"/>
    <w:pPr>
      <w:keepNext/>
      <w:keepLines/>
      <w:spacing w:before="280" w:after="100"/>
      <w:outlineLvl w:val="1"/>
    </w:pPr>
    <w:rPr>
      <w:rFonts w:ascii="Times New Roman" w:hAnsi="Times New Roman"/>
      <w:b/>
      <w:color w:val="4A6B8A"/>
      <w:sz w:val="23"/>
    </w:rPr>
  </w:style>
</w:styles>
</file>

<file path=word/_rels/document.xml.rels><?xml version='1.0' encoding='UTF-8'?>
<Relationships xmlns="http://schemas.openxmlformats.org/package/2006/relationships"><Relationship Type="http://schemas.openxmlformats.org/officeDocument/2006/relationships/styles" Target="styles.xml" Id="R7639acbfd05d4f0d" /><Relationship Type="http://schemas.openxmlformats.org/officeDocument/2006/relationships/numbering" Target="numbering.xml" Id="R2861296df92244a2" /><Relationship Type="http://schemas.openxmlformats.org/officeDocument/2006/relationships/header" Target="header1.xml" Id="Ref9824726cc840e0" /><Relationship Type="http://schemas.openxmlformats.org/officeDocument/2006/relationships/footer" Target="footer1.xml" Id="R51430e49225847cf" /><Relationship Type="http://schemas.openxmlformats.org/officeDocument/2006/relationships/settings" Target="settings.xml" Id="R7a3e05405f0140da" /></Relationships>
</file>