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a7e1ac76c09452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b2ffa1f6cebc4dbf"/>
                    <a:stretch>
                      <a:fillRect/>
                    </a:stretch>
                  </pic:blipFill>
                  <pic:spPr>
                    <a:xfrm>
                      <a:off x="0" y="0"/>
                      <a:ext cx="7560000" cy="10692000"/>
                    </a:xfrm>
                    <a:prstGeom prst="rect"/>
                  </pic:spPr>
                </pic:pic>
              </a:graphicData>
            </a:graphic>
          </wp:anchor>
        </w:drawing>
      </w:r>
    </w:p>
    <w:p>
      <w:pPr>
        <w:spacing w:before="4800"/>
      </w:pPr>
      <w:r/>
    </w:p>
    <w:p>
      <w:pPr>
        <w:spacing w:after="600"/>
        <w:jc w:val="center"/>
      </w:pPr>
      <w:r>
        <w:rPr>
          <w:rFonts w:ascii="Cambria" w:hAnsi="Cambria"/>
          <w:color w:val="b8860b"/>
          <w:spacing w:val="60"/>
          <w:sz w:val="20"/>
        </w:rPr>
        <w:t>DIPLOMATIC WORKING DOCUMENT — MODULAR ANNEX</w:t>
      </w:r>
    </w:p>
    <w:p>
      <w:pPr>
        <w:spacing w:after="200"/>
        <w:jc w:val="center"/>
      </w:pPr>
      <w:r>
        <w:rPr>
          <w:rFonts w:ascii="Cambria" w:hAnsi="Cambria"/>
          <w:b/>
          <w:color w:val="e0e6ed"/>
          <w:spacing w:val="30"/>
          <w:sz w:val="72"/>
        </w:rPr>
        <w:t>Annex X</w:t>
      </w:r>
    </w:p>
    <w:p>
      <w:pPr>
        <w:spacing w:after="120"/>
        <w:jc w:val="center"/>
      </w:pPr>
      <w:r>
        <w:rPr>
          <w:rFonts w:ascii="Cambria" w:hAnsi="Cambria"/>
          <w:color w:val="e0e6ed"/>
          <w:spacing w:val="20"/>
          <w:sz w:val="36"/>
        </w:rPr>
        <w:t>Mutual Standstill Understanding</w:t>
      </w:r>
    </w:p>
    <w:p>
      <w:pPr>
        <w:spacing w:after="600"/>
        <w:jc w:val="center"/>
      </w:pPr>
      <w:r>
        <w:rPr>
          <w:rFonts w:ascii="Cambria" w:hAnsi="Cambria"/>
          <w:i/>
          <w:color w:val="8d99ae"/>
          <w:sz w:val="22"/>
        </w:rPr>
        <w:t>US-Israel Bilateral Coordination Channel</w:t>
      </w:r>
    </w:p>
    <w:p>
      <w:pPr>
        <w:spacing w:after="600"/>
        <w:jc w:val="center"/>
      </w:pPr>
      <w:r>
        <w:rPr>
          <w:color w:val="b8860b"/>
          <w:sz w:val="18"/>
        </w:rPr>
        <w:t>————————————————————</w:t>
      </w:r>
    </w:p>
    <w:p>
      <w:pPr>
        <w:spacing w:after="80"/>
        <w:jc w:val="center"/>
      </w:pPr>
      <w:r>
        <w:rPr>
          <w:color w:val="8d99ae"/>
          <w:spacing w:val="40"/>
          <w:sz w:val="20"/>
        </w:rPr>
        <w:t>Modular  •  Incorporable by Reference  •  Framework Collapse Prevention</w:t>
      </w:r>
    </w:p>
    <w:p>
      <w:pPr>
        <w:spacing w:after="2400"/>
        <w:jc w:val="center"/>
      </w:pPr>
      <w:r>
        <w:rPr>
          <w:color w:val="8d99ae"/>
          <w:sz w:val="20"/>
        </w:rPr>
        <w:t>Version 1.0  —  June 2026</w:t>
      </w:r>
    </w:p>
    <w:p>
      <w:pPr>
        <w:jc w:val="center"/>
      </w:pPr>
      <w:r>
        <w:rPr>
          <w:color w:val="b8860b"/>
          <w:sz w:val="18"/>
        </w:rPr>
        <w:t>AUTHORIZED NEGOTIATORS ONLY — CONFIDENTIAL — NOT FOR PUBLIC DISTRIBUTION</w:t>
      </w:r>
    </w:p>
    <w:p>
      <w:pPr>
        <w:sectPr>
          <w:type w:val="nextPage"/>
          <w:pgSz w:w="11906" w:h="16838"/>
          <w:pgMar w:top="0" w:right="0" w:bottom="0" w:left="0" w:header="0" w:footer="0"/>
          <w:titlePg/>
        </w:sectPr>
      </w:pPr>
    </w:p>
    <w:p>
      <w:pPr>
        <w:spacing w:before="400" w:after="200"/>
        <w:jc w:val="left"/>
      </w:pPr>
      <w:r>
        <w:rPr>
          <w:rFonts w:ascii="Cambria" w:hAnsi="Cambria"/>
          <w:b/>
          <w:color w:val="3d5a80"/>
          <w:sz w:val="32"/>
        </w:rPr>
        <w:t>Contents</w:t>
      </w:r>
    </w:p>
    <w:p>
      <w:pPr>
        <w:spacing w:after="300"/>
      </w:pPr>
      <w:r>
        <w:rPr>
          <w:i/>
          <w:color w:val="8d99a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Purpose, Background, and Modularity Clause</w:t>
      </w:r>
      <w:r>
        <w:tab/>
      </w:r>
      <w:r>
        <w:t>1</w:t>
      </w:r>
    </w:p>
    <w:p>
      <w:pPr>
        <w:pStyle w:val="TOC1"/>
      </w:pPr>
      <w:r>
        <w:t>Article 1: The Tel Aviv Channel (Reinforced)</w:t>
      </w:r>
      <w:r>
        <w:tab/>
      </w:r>
      <w:r>
        <w:t>2</w:t>
      </w:r>
    </w:p>
    <w:p>
      <w:pPr>
        <w:pStyle w:val="TOC2"/>
      </w:pPr>
      <w:r>
        <w:t>1.1 Purpose and Operation</w:t>
      </w:r>
      <w:r>
        <w:tab/>
      </w:r>
      <w:r>
        <w:t>2</w:t>
      </w:r>
    </w:p>
    <w:p>
      <w:pPr>
        <w:pStyle w:val="TOC2"/>
      </w:pPr>
      <w:r>
        <w:t>1.2 No Veto Clause</w:t>
      </w:r>
      <w:r>
        <w:tab/>
      </w:r>
      <w:r>
        <w:t>3</w:t>
      </w:r>
    </w:p>
    <w:p>
      <w:pPr>
        <w:pStyle w:val="TOC1"/>
      </w:pPr>
      <w:r>
        <w:t>Article 2: Mutual Standstill Commitments</w:t>
      </w:r>
      <w:r>
        <w:tab/>
      </w:r>
      <w:r>
        <w:t>3</w:t>
      </w:r>
    </w:p>
    <w:p>
      <w:pPr>
        <w:pStyle w:val="TOC2"/>
      </w:pPr>
      <w:r>
        <w:t>2.1 Israel Commitments</w:t>
      </w:r>
      <w:r>
        <w:tab/>
      </w:r>
      <w:r>
        <w:t>3</w:t>
      </w:r>
    </w:p>
    <w:p>
      <w:pPr>
        <w:pStyle w:val="TOC2"/>
      </w:pPr>
      <w:r>
        <w:t>2.2 United States Commitments</w:t>
      </w:r>
      <w:r>
        <w:tab/>
      </w:r>
      <w:r>
        <w:t>4</w:t>
      </w:r>
    </w:p>
    <w:p>
      <w:pPr>
        <w:pStyle w:val="TOC1"/>
      </w:pPr>
      <w:r>
        <w:t>Article 3: Escalation Management</w:t>
      </w:r>
      <w:r>
        <w:tab/>
      </w:r>
      <w:r>
        <w:t>5</w:t>
      </w:r>
    </w:p>
    <w:p>
      <w:pPr>
        <w:pStyle w:val="TOC2"/>
      </w:pPr>
      <w:r>
        <w:t>3.1 Immediate Notification</w:t>
      </w:r>
      <w:r>
        <w:tab/>
      </w:r>
      <w:r>
        <w:t>5</w:t>
      </w:r>
    </w:p>
    <w:p>
      <w:pPr>
        <w:pStyle w:val="TOC2"/>
      </w:pPr>
      <w:r>
        <w:t>3.2 Framework Firewall</w:t>
      </w:r>
      <w:r>
        <w:tab/>
      </w:r>
      <w:r>
        <w:t>5</w:t>
      </w:r>
    </w:p>
    <w:p>
      <w:pPr>
        <w:pStyle w:val="TOC1"/>
      </w:pPr>
      <w:r>
        <w:t>Article 4: No Automatic Collapse</w:t>
      </w:r>
      <w:r>
        <w:tab/>
      </w:r>
      <w:r>
        <w:t>6</w:t>
      </w:r>
    </w:p>
    <w:p>
      <w:pPr>
        <w:pStyle w:val="TOC2"/>
      </w:pPr>
      <w:r>
        <w:t>4.1 Presumption of Continuity</w:t>
      </w:r>
      <w:r>
        <w:tab/>
      </w:r>
      <w:r>
        <w:t>6</w:t>
      </w:r>
    </w:p>
    <w:p>
      <w:pPr>
        <w:pStyle w:val="TOC2"/>
      </w:pPr>
      <w:r>
        <w:t>4.2 Step-Back Not Triggered by Israel</w:t>
      </w:r>
      <w:r>
        <w:tab/>
      </w:r>
      <w:r>
        <w:t>6</w:t>
      </w:r>
    </w:p>
    <w:p>
      <w:pPr>
        <w:pStyle w:val="TOC1"/>
      </w:pPr>
      <w:r>
        <w:t>Article 5: Consultation on Remediation</w:t>
      </w:r>
      <w:r>
        <w:tab/>
      </w:r>
      <w:r>
        <w:t>7</w:t>
      </w:r>
    </w:p>
    <w:p>
      <w:pPr>
        <w:pStyle w:val="TOC1"/>
      </w:pPr>
      <w:r>
        <w:t>Article 6: Relationship to Other Annexes</w:t>
      </w:r>
      <w:r>
        <w:tab/>
      </w:r>
      <w:r>
        <w:t>7</w:t>
      </w:r>
    </w:p>
    <w:p>
      <w:pPr>
        <w:pStyle w:val="TOC1"/>
      </w:pPr>
      <w:r>
        <w:t>Article 7: Incorporation by Reference</w:t>
      </w:r>
      <w:r>
        <w:tab/>
      </w:r>
      <w:r>
        <w:t>8</w:t>
      </w:r>
    </w:p>
    <w:p>
      <w:pPr>
        <w:pStyle w:val="TOC1"/>
      </w:pPr>
      <w:r>
        <w:t>Signature Block</w:t>
      </w:r>
      <w:r>
        <w:tab/>
      </w:r>
      <w:r>
        <w:t>8</w:t>
      </w:r>
    </w:p>
    <w:p>
      <w:r>
        <w:fldChar w:fldCharType="end"/>
      </w:r>
    </w:p>
    <w:p>
      <w:pPr>
        <w:sectPr>
          <w:type w:val="nextPage"/>
          <w:pgSz w:w="11906" w:h="16838"/>
          <w:pgMar w:top="1800" w:right="1440" w:bottom="1440" w:left="1440" w:header="720" w:footer="720"/>
        </w:sectPr>
      </w:pPr>
    </w:p>
    <w:p>
      <w:pPr>
        <w:pStyle w:val="Heading1"/>
      </w:pPr>
      <w:r>
        <w:t>Preamble</w:t>
      </w:r>
    </w:p>
    <w:p>
      <w:pPr>
        <w:pStyle w:val="Heading2"/>
      </w:pPr>
      <w:r>
        <w:t>Purpose</w:t>
      </w:r>
    </w:p>
    <w:p>
      <w:pPr>
        <w:ind w:firstLine="480"/>
      </w:pPr>
      <w:r>
        <w:t xml:space="preserve">The State of Israel is not a Party to the US-Iran Memorandum of Understanding Pertaining to PEACE. Nonetheless, Israeli military or covert operations create kinetic events or political crises that materially impair Iran's performance or the United States' ability to maintain its commitments.</w:t>
      </w:r>
    </w:p>
    <w:p>
      <w:pPr>
        <w:ind w:firstLine="480"/>
      </w:pPr>
      <w:r>
        <w:t xml:space="preserve">The Parties to this Annex (the United States and the State of Israel) acknowledge that the US-Iran framework serves their shared interest in regional stability and non-proliferation. The United States keeps Israel informed through the Tel Aviv Channel. The framework architecture excludes Israeli operations whose primary purpose is to cause a material breach of the US-Iran nuclear or maritime cores, without restricting Israel's inherent right to self-defense.</w:t>
      </w:r>
    </w:p>
    <w:p>
      <w:pPr>
        <w:ind w:firstLine="480"/>
      </w:pPr>
      <w:r>
        <w:t xml:space="preserve">All obligations in this Annex execute in the active present tense. Violations of this Annex do not trigger the US-Iran step-back system directly, but the framework provides for suspension of bilateral security coordination or other measures as the Parties agree.</w:t>
      </w:r>
    </w:p>
    <w:p>
      <w:pPr>
        <w:pStyle w:val="Heading2"/>
      </w:pPr>
      <w:r>
        <w:t>Background</w:t>
      </w:r>
    </w:p>
    <w:p>
      <w:pPr>
        <w:ind w:firstLine="480"/>
      </w:pPr>
      <w:r>
        <w:t xml:space="preserve">The parent framework — the Memorandum of Understanding Pertaining to PEACE — establishes a Tel Aviv Channel at Article 13.6, a Shadow-Conflict Ceiling at Article 13.3, and a Syria Freedom of Action provision at Article 13.5. MOU Article 6.4 (Third-Party Action Non-Liability) insulates the nuclear and maritime cores from collapse by non-Party action.</w:t>
      </w:r>
    </w:p>
    <w:p>
      <w:pPr>
        <w:ind w:firstLine="480"/>
      </w:pPr>
      <w:r>
        <w:t xml:space="preserve">This Annex operationalizes those provisions through a bilateral US-Israel instrument. It reinforces the Tel Aviv Channel, specifies mutual standstill commitments, establishes escalation management protocols, creates a firewall against automatic framework collapse, and provides for consultation on remediation. The Annex constitutes a self-contained, modular instrument separate from the US-Iran MOU.</w:t>
      </w:r>
    </w:p>
    <w:p>
      <w:pPr>
        <w:pStyle w:val="Heading2"/>
      </w:pPr>
      <w:r>
        <w:t>Relationship to Parent Framework</w:t>
      </w:r>
    </w:p>
    <w:p>
      <w:pPr>
        <w:ind w:firstLine="480"/>
      </w:pPr>
      <w:r>
        <w:t xml:space="preserve">This Annex supplements and does not replace the provisions of MOU Article 13. Where this Annex provides specific protocols for US-Israel bilateral coordination, the provisions of this Annex govern. This Annex does not create any obligation on Iran or confer any right upon Iran.</w:t>
      </w:r>
    </w:p>
    <w:p>
      <w:pPr>
        <w:pStyle w:val="Heading2"/>
      </w:pPr>
      <w:r>
        <w:t>Modularity Clause</w:t>
      </w:r>
    </w:p>
    <w:p>
      <w:pPr>
        <w:ind w:firstLine="480"/>
      </w:pPr>
      <w:r>
        <w:t xml:space="preserve">This Annex is self-contained and incorporates into any existing or future agreement by a single sentence of adoption. It does not amend or supersede conflicting provisions of any parent framework unless the Parties explicitly so agree. This Annex operates as a separate bilateral instrument between the United States and Israel, deemed incorporated into the US-Iran MOU by reference in the MOU's Part D.</w:t>
      </w:r>
    </w:p>
    <w:p>
      <w:pPr>
        <w:pStyle w:val="Heading1"/>
      </w:pPr>
      <w:r>
        <w:t>Article 1: The Tel Aviv Channel (Reinforced)</w:t>
      </w:r>
    </w:p>
    <w:p>
      <w:pPr>
        <w:spacing w:before="80" w:after="160"/>
      </w:pPr>
      <w:r>
        <w:rPr>
          <w:rFonts w:ascii="Cambria" w:hAnsi="Cambria"/>
          <w:b/>
          <w:color w:val="457b9d"/>
          <w:sz w:val="20"/>
        </w:rPr>
        <w:t>OPERATIVE AND BINDING</w:t>
      </w:r>
    </w:p>
    <w:p>
      <w:pPr>
        <w:pStyle w:val="Heading2"/>
      </w:pPr>
      <w:r>
        <w:t>1.1 Purpose and Operation</w:t>
      </w:r>
    </w:p>
    <w:p>
      <w:pPr>
        <w:ind w:firstLine="480"/>
      </w:pPr>
      <w:r>
        <w:t xml:space="preserve">The Tel Aviv Channel operates as a dedicated, secure, 24/7 communication line between the United States National Security Council (or a designated senior official) and the Israeli Ministry of Defense / National Security Council (or a designated senior official).</w:t>
      </w:r>
    </w:p>
    <w:p>
      <w:pPr>
        <w:ind w:firstLine="480"/>
      </w:pPr>
      <w:r>
        <w:t xml:space="preserve">The Channel serves three functions:</w:t>
      </w:r>
    </w:p>
    <w:p>
      <w:pPr>
        <w:spacing w:after="80"/>
        <w:ind w:left="480" w:hanging="360"/>
      </w:pPr>
      <w:r>
        <w:rPr>
          <w:b/>
          <w:color w:val="3d5a80"/>
        </w:rPr>
        <w:t xml:space="preserve">1. </w:t>
      </w:r>
      <w:r>
        <w:t xml:space="preserve">Prior notification: The United States notifies Israel of any scheduled or anticipated material change in the US-Iran framework that could affect Israeli security interests, no less than 48 hours in advance, unless operational urgency requires shorter notice.</w:t>
      </w:r>
    </w:p>
    <w:p>
      <w:pPr>
        <w:spacing w:after="80"/>
        <w:ind w:left="480" w:hanging="360"/>
      </w:pPr>
      <w:r>
        <w:rPr>
          <w:b/>
          <w:color w:val="3d5a80"/>
        </w:rPr>
        <w:t xml:space="preserve">2. </w:t>
      </w:r>
      <w:r>
        <w:t xml:space="preserve">Real-time consultation: When an Israeli operation risks causing a material breach of the US-Iran cores, the United States requests immediate consultation through the Channel.</w:t>
      </w:r>
    </w:p>
    <w:p>
      <w:pPr>
        <w:spacing w:after="80"/>
        <w:ind w:left="480" w:hanging="360"/>
      </w:pPr>
      <w:r>
        <w:rPr>
          <w:b/>
          <w:color w:val="3d5a80"/>
        </w:rPr>
        <w:t xml:space="preserve">3. </w:t>
      </w:r>
      <w:r>
        <w:t xml:space="preserve">Post-event de-confliction: After any Israeli action that creates a kinetic event near Iranian nuclear or maritime sites, Israel provides a factual summary within 4 hours through the Channel.</w:t>
      </w:r>
    </w:p>
    <w:p>
      <w:pPr>
        <w:pStyle w:val="Heading2"/>
      </w:pPr>
      <w:r>
        <w:t>1.2 No Veto Clause</w:t>
      </w:r>
    </w:p>
    <w:p>
      <w:pPr>
        <w:ind w:firstLine="480"/>
      </w:pPr>
      <w:r>
        <w:t xml:space="preserve">Israel does not possess a veto over any provision of the US-Iran MOU or any decision of the PCC, the JIG, or the Guarantor Matrix. The Tel Aviv Channel functions as an information-sharing and consultation mechanism, not a decision-making body.</w:t>
      </w:r>
    </w:p>
    <w:p>
      <w:pPr>
        <w:ind w:firstLine="480"/>
      </w:pPr>
      <w:r>
        <w:t xml:space="preserve">The United States communicates Israeli concerns to the PCC but makes decisions solely based on the terms of the US-Iran MOU and US national interest.</w:t>
      </w:r>
    </w:p>
    <w:p>
      <w:pPr>
        <w:pStyle w:val="Heading1"/>
      </w:pPr>
      <w:r>
        <w:t>Article 2: Mutual Standstill Commitments</w:t>
      </w:r>
    </w:p>
    <w:p>
      <w:pPr>
        <w:spacing w:before="80" w:after="160"/>
      </w:pPr>
      <w:r>
        <w:rPr>
          <w:rFonts w:ascii="Cambria" w:hAnsi="Cambria"/>
          <w:b/>
          <w:color w:val="457b9d"/>
          <w:sz w:val="20"/>
        </w:rPr>
        <w:t>OPERATIVE AND BINDING</w:t>
      </w:r>
    </w:p>
    <w:p>
      <w:pPr>
        <w:pStyle w:val="Heading2"/>
      </w:pPr>
      <w:r>
        <w:t>2.1 Israel Commitments</w:t>
      </w:r>
    </w:p>
    <w:p>
      <w:pPr>
        <w:ind w:firstLine="480"/>
      </w:pPr>
      <w:r>
        <w:t xml:space="preserve">The framework architecture excludes any Israeli military operation or covert action whose primary purpose is to cause a material breach of Iran's obligations under Articles 2-5 (nuclear and maritime cores) of the US-Iran MOU.</w:t>
      </w:r>
    </w:p>
    <w:p>
      <w:pPr>
        <w:ind w:firstLine="480"/>
      </w:pPr>
      <w:r>
        <w:t xml:space="preserve">For the avoidance of doubt, this architectural exclusion does not restrict:</w:t>
      </w:r>
    </w:p>
    <w:p>
      <w:pPr>
        <w:spacing w:after="60"/>
        <w:ind w:left="720" w:hanging="240"/>
      </w:pPr>
      <w:r>
        <w:rPr>
          <w:color w:val="3d5a80"/>
        </w:rPr>
        <w:t xml:space="preserve">• </w:t>
      </w:r>
      <w:r>
        <w:t xml:space="preserve">Israeli self-defense against an ongoing armed attack originating from Iranian territory or from Iranian-aligned forces.</w:t>
      </w:r>
    </w:p>
    <w:p>
      <w:pPr>
        <w:spacing w:after="60"/>
        <w:ind w:left="720" w:hanging="240"/>
      </w:pPr>
      <w:r>
        <w:rPr>
          <w:color w:val="3d5a80"/>
        </w:rPr>
        <w:t xml:space="preserve">• </w:t>
      </w:r>
      <w:r>
        <w:t xml:space="preserve">Israeli military operations in Syria against Iranian or Hezbollah-affiliated targets, consistent with MOU Article 13.5.</w:t>
      </w:r>
    </w:p>
    <w:p>
      <w:pPr>
        <w:spacing w:after="60"/>
        <w:ind w:left="720" w:hanging="240"/>
      </w:pPr>
      <w:r>
        <w:rPr>
          <w:color w:val="3d5a80"/>
        </w:rPr>
        <w:t xml:space="preserve">• </w:t>
      </w:r>
      <w:r>
        <w:t xml:space="preserve">Israeli counter-proliferation activities that do not target declared IAEA-monitored nuclear facilities.</w:t>
      </w:r>
    </w:p>
    <w:p>
      <w:pPr>
        <w:pStyle w:val="Heading2"/>
      </w:pPr>
      <w:r>
        <w:t>2.2 United States Commitments</w:t>
      </w:r>
    </w:p>
    <w:p>
      <w:pPr>
        <w:ind w:firstLine="480"/>
      </w:pPr>
      <w:r>
        <w:t xml:space="preserve">The United States uses its good offices to prevent any Israeli action that foreseeably and directly causes a material breach of the US-Iran cores. The United States performs the following actions:</w:t>
      </w:r>
    </w:p>
    <w:p>
      <w:pPr>
        <w:spacing w:after="80"/>
        <w:ind w:left="480" w:hanging="360"/>
      </w:pPr>
      <w:r>
        <w:rPr>
          <w:b/>
          <w:color w:val="3d5a80"/>
        </w:rPr>
        <w:t xml:space="preserve">1. </w:t>
      </w:r>
      <w:r>
        <w:t xml:space="preserve">Provides Israel with timely, actionable information about Iranian compliance or non-compliance under the MOU.</w:t>
      </w:r>
    </w:p>
    <w:p>
      <w:pPr>
        <w:spacing w:after="80"/>
        <w:ind w:left="480" w:hanging="360"/>
      </w:pPr>
      <w:r>
        <w:rPr>
          <w:b/>
          <w:color w:val="3d5a80"/>
        </w:rPr>
        <w:t xml:space="preserve">2. </w:t>
      </w:r>
      <w:r>
        <w:t xml:space="preserve">Works through the Tel Aviv Channel to de-conflict any planned Israeli operation that could generate a Tier 2 or Tier 3 incident.</w:t>
      </w:r>
    </w:p>
    <w:p>
      <w:pPr>
        <w:spacing w:after="80"/>
        <w:ind w:left="480" w:hanging="360"/>
      </w:pPr>
      <w:r>
        <w:rPr>
          <w:b/>
          <w:color w:val="3d5a80"/>
        </w:rPr>
        <w:t xml:space="preserve">3. </w:t>
      </w:r>
      <w:r>
        <w:t xml:space="preserve">In the event of an Israeli operation that creates an Unacceptable Escalation Threshold event (per MOU Article 13.3), the United States activates the 72-hour cooling-off period and mediates.</w:t>
      </w:r>
    </w:p>
    <w:p>
      <w:pPr>
        <w:pStyle w:val="Heading1"/>
      </w:pPr>
      <w:r>
        <w:t>Article 3: Escalation Management</w:t>
      </w:r>
    </w:p>
    <w:p>
      <w:pPr>
        <w:spacing w:before="80" w:after="160"/>
      </w:pPr>
      <w:r>
        <w:rPr>
          <w:rFonts w:ascii="Cambria" w:hAnsi="Cambria"/>
          <w:b/>
          <w:color w:val="457b9d"/>
          <w:sz w:val="20"/>
        </w:rPr>
        <w:t>OPERATIVE AND BINDING</w:t>
      </w:r>
    </w:p>
    <w:p>
      <w:pPr>
        <w:pStyle w:val="Heading2"/>
      </w:pPr>
      <w:r>
        <w:t>3.1 Immediate Notification</w:t>
      </w:r>
    </w:p>
    <w:p>
      <w:pPr>
        <w:ind w:firstLine="480"/>
      </w:pPr>
      <w:r>
        <w:t xml:space="preserve">If Israel conducts a military operation that results in any of the following outcomes, the United States notifies Iran through the PCC within 6 hours, without attributing blame or violating Israeli security requirements:</w:t>
      </w:r>
    </w:p>
    <w:p>
      <w:pPr>
        <w:spacing w:after="60"/>
        <w:ind w:left="720" w:hanging="240"/>
      </w:pPr>
      <w:r>
        <w:rPr>
          <w:color w:val="3d5a80"/>
        </w:rPr>
        <w:t xml:space="preserve">• </w:t>
      </w:r>
      <w:r>
        <w:t xml:space="preserve">A strike on a declared Iranian nuclear facility.</w:t>
      </w:r>
    </w:p>
    <w:p>
      <w:pPr>
        <w:spacing w:after="60"/>
        <w:ind w:left="720" w:hanging="240"/>
      </w:pPr>
      <w:r>
        <w:rPr>
          <w:color w:val="3d5a80"/>
        </w:rPr>
        <w:t xml:space="preserve">• </w:t>
      </w:r>
      <w:r>
        <w:t xml:space="preserve">An incident causing 10 or more casualties to Iranian personnel inside Iran.</w:t>
      </w:r>
    </w:p>
    <w:p>
      <w:pPr>
        <w:spacing w:after="60"/>
        <w:ind w:left="720" w:hanging="240"/>
      </w:pPr>
      <w:r>
        <w:rPr>
          <w:color w:val="3d5a80"/>
        </w:rPr>
        <w:t xml:space="preserve">• </w:t>
      </w:r>
      <w:r>
        <w:t xml:space="preserve">A blockade or interdiction event that directly affects the Hormuz Transit Zone.</w:t>
      </w:r>
    </w:p>
    <w:p>
      <w:pPr>
        <w:ind w:firstLine="480"/>
      </w:pPr>
      <w:r>
        <w:t xml:space="preserve">The notification states only the operational facts necessary for Iran to avoid miscalculation (for example: "an explosion occurred at facility X at time Y; Israel has confirmed its involvement"). The United States does not characterize the event as a breach unless the PCC so determines.</w:t>
      </w:r>
    </w:p>
    <w:p>
      <w:pPr>
        <w:pStyle w:val="Heading2"/>
      </w:pPr>
      <w:r>
        <w:t>3.2 Framework Firewall</w:t>
      </w:r>
    </w:p>
    <w:p>
      <w:pPr>
        <w:ind w:firstLine="480"/>
      </w:pPr>
      <w:r>
        <w:t xml:space="preserve">An Israeli operation that does not target declared nuclear facilities or the Hormuz Transit Zone does not constitute a breach of the US-Iran MOU by either the United States or Iran (per MOU Article 6.4).</w:t>
      </w:r>
    </w:p>
    <w:p>
      <w:pPr>
        <w:ind w:firstLine="480"/>
      </w:pPr>
      <w:r>
        <w:t xml:space="preserve">Iran does not invoke an Israeli operation as grounds for suspending its own performance under the US-Iran MOU unless the PCC determines that the operation directly and materially impairs Iran's ability to perform its nuclear or maritime obligations, with specific, non-speculative causation demonstrated within 72 hours (per MOU Article 6.1).</w:t>
      </w:r>
    </w:p>
    <w:p>
      <w:pPr>
        <w:pStyle w:val="Heading1"/>
      </w:pPr>
      <w:r>
        <w:t>Article 4: No Automatic Collapse</w:t>
      </w:r>
    </w:p>
    <w:p>
      <w:pPr>
        <w:spacing w:before="80" w:after="160"/>
      </w:pPr>
      <w:r>
        <w:rPr>
          <w:rFonts w:ascii="Cambria" w:hAnsi="Cambria"/>
          <w:b/>
          <w:color w:val="457b9d"/>
          <w:sz w:val="20"/>
        </w:rPr>
        <w:t>OPERATIVE AND BINDING</w:t>
      </w:r>
    </w:p>
    <w:p>
      <w:pPr>
        <w:pStyle w:val="Heading2"/>
      </w:pPr>
      <w:r>
        <w:t>4.1 Presumption of Continuity</w:t>
      </w:r>
    </w:p>
    <w:p>
      <w:pPr>
        <w:ind w:firstLine="480"/>
      </w:pPr>
      <w:r>
        <w:t xml:space="preserve">An Israeli military action, even one that affects Iranian territory, does not automatically suspend, terminate, or trigger step-back under the US-Iran MOU. The PCC convenes within 48 hours to assess whether the action constitutes a Strategic Breach under Annex R (Escalation Buffer Protocol). Pending that assessment, all US-Iran obligations continue.</w:t>
      </w:r>
    </w:p>
    <w:p>
      <w:pPr>
        <w:pStyle w:val="Heading2"/>
      </w:pPr>
      <w:r>
        <w:t>4.2 Step-Back Not Triggered by Israel</w:t>
      </w:r>
    </w:p>
    <w:p>
      <w:pPr>
        <w:ind w:firstLine="480"/>
      </w:pPr>
      <w:r>
        <w:t xml:space="preserve">Tier 2 or Tier 3 consequences under Annex T do not activate solely because of Israeli action. Only a verified action by Iran or the United States (or an entity under their effective control) triggers step-back. The United States does not attribute Israeli actions to Iran, and Iran does not attribute Israeli actions to the United States, unless evidence shows direct coordination or agency.</w:t>
      </w:r>
    </w:p>
    <w:p>
      <w:pPr>
        <w:pStyle w:val="Heading1"/>
      </w:pPr>
      <w:r>
        <w:t>Article 5: Consultation on Remediation</w:t>
      </w:r>
    </w:p>
    <w:p>
      <w:pPr>
        <w:spacing w:before="80" w:after="160"/>
      </w:pPr>
      <w:r>
        <w:rPr>
          <w:rFonts w:ascii="Cambria" w:hAnsi="Cambria"/>
          <w:b/>
          <w:color w:val="457b9d"/>
          <w:sz w:val="20"/>
        </w:rPr>
        <w:t>OPERATIVE AND BINDING</w:t>
      </w:r>
    </w:p>
    <w:p>
      <w:pPr>
        <w:ind w:firstLine="480"/>
      </w:pPr>
      <w:r>
        <w:t xml:space="preserve">If an Israeli operation creates factual damage that impedes Iran's compliance (for example: destruction of a facility where HEU is stored), the United States and Israel consult through the Tel Aviv Channel on whether remedial measures are appropriate.</w:t>
      </w:r>
    </w:p>
    <w:p>
      <w:pPr>
        <w:ind w:firstLine="480"/>
      </w:pPr>
      <w:r>
        <w:t xml:space="preserve">The United States offers technical assistance or financial compensation to Iran to restore compliance, but such offers are voluntary and do not constitute an admission of liability.</w:t>
      </w:r>
    </w:p>
    <w:p>
      <w:pPr>
        <w:pStyle w:val="Heading1"/>
      </w:pPr>
      <w:r>
        <w:t>Article 6: Relationship to Other Annexes</w:t>
      </w:r>
    </w:p>
    <w:p>
      <w:pPr>
        <w:spacing w:before="80" w:after="160"/>
      </w:pPr>
      <w:r>
        <w:rPr>
          <w:rFonts w:ascii="Cambria" w:hAnsi="Cambria"/>
          <w:b/>
          <w:color w:val="457b9d"/>
          <w:sz w:val="20"/>
        </w:rPr>
        <w:t>OPERATIVE AND BINDING</w:t>
      </w:r>
    </w:p>
    <w:p>
      <w:pPr>
        <w:ind w:firstLine="480"/>
      </w:pPr>
      <w:r>
        <w:t xml:space="preserve">This Annex operates in conjunction with the following provisions of the parent framework and its annexes:</w:t>
      </w:r>
    </w:p>
    <w:tbl>
      <w:tblPr>
        <w:tblW w:w="5000" w:type="pct"/>
        <w:tblBorders>
          <w:top w:val="single" w:color="3d5a80" w:sz="12"/>
          <w:left w:val="nil"/>
          <w:bottom w:val="single" w:color="3d5a80" w:sz="12"/>
          <w:right w:val="nil"/>
          <w:insideH w:val="single" w:color="c8d6e5" w:sz="4"/>
          <w:insideV w:val="nil"/>
        </w:tblBorders>
      </w:tblPr>
      <w:tblGrid>
        <w:gridCol w:w="2400"/>
        <w:gridCol w:w="6600"/>
      </w:tblGrid>
      <w:tr>
        <w:trPr>
          <w:tblHeader/>
        </w:trPr>
        <w:tc>
          <w:tcPr>
            <w:tcW w:w="2400" w:type="dxa"/>
            <w:shd w:val="clear" w:fill="e8f0f8"/>
          </w:tcPr>
          <w:p>
            <w:pPr>
              <w:spacing w:before="60" w:after="60" w:line="240" w:lineRule="auto"/>
            </w:pPr>
            <w:r>
              <w:rPr>
                <w:b/>
                <w:color w:val="1d3557"/>
                <w:sz w:val="20"/>
              </w:rPr>
              <w:t xml:space="preserve">Annex / Provision</w:t>
            </w:r>
          </w:p>
        </w:tc>
        <w:tc>
          <w:tcPr>
            <w:tcW w:w="6600" w:type="dxa"/>
            <w:shd w:val="clear" w:fill="e8f0f8"/>
          </w:tcPr>
          <w:p>
            <w:pPr>
              <w:spacing w:before="60" w:after="60" w:line="240" w:lineRule="auto"/>
            </w:pPr>
            <w:r>
              <w:rPr>
                <w:b/>
                <w:color w:val="1d3557"/>
                <w:sz w:val="20"/>
              </w:rPr>
              <w:t xml:space="preserve">Relationship</w:t>
            </w:r>
          </w:p>
        </w:tc>
      </w:tr>
      <w:tr>
        <w:tc>
          <w:tcPr>
            <w:tcW w:w="2400" w:type="dxa"/>
          </w:tcPr>
          <w:p>
            <w:pPr>
              <w:spacing w:before="60" w:after="60" w:line="240" w:lineRule="auto"/>
              <w:jc w:val="left"/>
            </w:pPr>
            <w:r>
              <w:rPr>
                <w:color w:val="457b9d"/>
                <w:sz w:val="20"/>
              </w:rPr>
              <w:t xml:space="preserve">Annex R / R.a (Escalation Buffer Protocol)</w:t>
            </w:r>
          </w:p>
        </w:tc>
        <w:tc>
          <w:tcPr>
            <w:tcW w:w="6600" w:type="dxa"/>
          </w:tcPr>
          <w:p>
            <w:pPr>
              <w:spacing w:before="60" w:after="60" w:line="240" w:lineRule="auto"/>
              <w:jc w:val="left"/>
            </w:pPr>
            <w:r>
              <w:rPr>
                <w:color w:val="457b9d"/>
                <w:sz w:val="20"/>
              </w:rPr>
              <w:t xml:space="preserve">The Escalation Buffer Protocol applies to any kinetic incident involving Israeli forces, as if the incident were a trigger event under Annex R.a. The 72-hour buffer activates automatically.</w:t>
            </w:r>
          </w:p>
        </w:tc>
      </w:tr>
      <w:tr>
        <w:tc>
          <w:tcPr>
            <w:tcW w:w="2400" w:type="dxa"/>
          </w:tcPr>
          <w:p>
            <w:pPr>
              <w:spacing w:before="60" w:after="60" w:line="240" w:lineRule="auto"/>
              <w:jc w:val="left"/>
            </w:pPr>
            <w:r>
              <w:rPr>
                <w:color w:val="457b9d"/>
                <w:sz w:val="20"/>
              </w:rPr>
              <w:t xml:space="preserve">MOU Article 13 (Regional and Israel Coordination)</w:t>
            </w:r>
          </w:p>
        </w:tc>
        <w:tc>
          <w:tcPr>
            <w:tcW w:w="6600" w:type="dxa"/>
          </w:tcPr>
          <w:p>
            <w:pPr>
              <w:spacing w:before="60" w:after="60" w:line="240" w:lineRule="auto"/>
              <w:jc w:val="left"/>
            </w:pPr>
            <w:r>
              <w:rPr>
                <w:color w:val="457b9d"/>
                <w:sz w:val="20"/>
              </w:rPr>
              <w:t xml:space="preserve">The Shadow-Conflict Ceiling (Art. 13.3), Syria Freedom of Action (13.5), and Tel Aviv Channel (13.6) remain the primary governing provisions. This Annex supplements them with standstill commitments.</w:t>
            </w:r>
          </w:p>
        </w:tc>
      </w:tr>
      <w:tr>
        <w:tc>
          <w:tcPr>
            <w:tcW w:w="2400" w:type="dxa"/>
          </w:tcPr>
          <w:p>
            <w:pPr>
              <w:spacing w:before="60" w:after="60" w:line="240" w:lineRule="auto"/>
              <w:jc w:val="left"/>
            </w:pPr>
            <w:r>
              <w:rPr>
                <w:color w:val="457b9d"/>
                <w:sz w:val="20"/>
              </w:rPr>
              <w:t xml:space="preserve">Annex T (Step-Back / Earn-Back)</w:t>
            </w:r>
          </w:p>
        </w:tc>
        <w:tc>
          <w:tcPr>
            <w:tcW w:w="6600" w:type="dxa"/>
          </w:tcPr>
          <w:p>
            <w:pPr>
              <w:spacing w:before="60" w:after="60" w:line="240" w:lineRule="auto"/>
              <w:jc w:val="left"/>
            </w:pPr>
            <w:r>
              <w:rPr>
                <w:color w:val="457b9d"/>
                <w:sz w:val="20"/>
              </w:rPr>
              <w:t xml:space="preserve">Step-back does not apply to Israeli actions. Only US or Iranian actions trigger tiered penalties.</w:t>
            </w:r>
          </w:p>
        </w:tc>
      </w:tr>
    </w:tbl>
    <w:p>
      <w:pPr>
        <w:pStyle w:val="Heading1"/>
      </w:pPr>
      <w:r>
        <w:t>Article 7: Incorporation by Reference</w:t>
      </w:r>
    </w:p>
    <w:p>
      <w:pPr>
        <w:spacing w:before="80" w:after="160"/>
      </w:pPr>
      <w:r>
        <w:rPr>
          <w:rFonts w:ascii="Cambria" w:hAnsi="Cambria"/>
          <w:b/>
          <w:color w:val="457b9d"/>
          <w:sz w:val="20"/>
        </w:rPr>
        <w:t>OPERATIVE AND BINDING</w:t>
      </w:r>
    </w:p>
    <w:p>
      <w:pPr>
        <w:ind w:firstLine="480"/>
      </w:pPr>
      <w:r>
        <w:t xml:space="preserve">This Annex incorporates into any existing or future agreement by the following adoption sentence:</w:t>
      </w:r>
    </w:p>
    <w:p>
      <w:pPr>
        <w:pBdr>
          <w:left w:val="single" w:color="3d5a80" w:sz="12" w:space="12"/>
        </w:pBdr>
        <w:spacing w:before="200" w:after="200"/>
        <w:ind w:left="720" w:right="720"/>
        <w:jc w:val="both"/>
      </w:pPr>
      <w:r>
        <w:rPr>
          <w:i/>
          <w:color w:val="1d3557"/>
          <w:sz w:val="22"/>
        </w:rPr>
        <w:t xml:space="preserve">"The Parties adopt Annex X (Mutual Standstill Understanding) as an operative provision of this Agreement. In the event of any inconsistency, Annex X governs with respect to US-Israel bilateral coordination, standstill commitments, and framework collapse prevention."</w:t>
      </w:r>
    </w:p>
    <w:p>
      <w:pPr>
        <w:ind w:firstLine="480"/>
      </w:pPr>
      <w:r>
        <w:t xml:space="preserve">This Annex does not amend the US-Iran MOU. It is a separate bilateral instrument between the United States and Israel. It enters into force upon signature by the United States and Israel, and is deemed incorporated into the US-Iran MOU by reference in the MOU's Part D.</w:t>
      </w:r>
    </w:p>
    <w:p>
      <w:pPr>
        <w:pStyle w:val="Heading1"/>
      </w:pPr>
      <w:r>
        <w:t>Signature Block</w:t>
      </w:r>
    </w:p>
    <w:p>
      <w:pPr>
        <w:ind w:firstLine="480"/>
      </w:pPr>
      <w:r>
        <w:t xml:space="preserve">In witness whereof, the undersigned, being duly authorized by their respective governments, have signed this Annex X: Mutual Standstill Understanding.</w:t>
      </w:r>
    </w:p>
    <w:p>
      <w:pPr>
        <w:ind w:firstLine="480"/>
      </w:pPr>
      <w:r>
        <w:t xml:space="preserve">Done at ____________________, this _______ day of _____________________, 2026, in duplicate in the English language.</w:t>
      </w:r>
    </w:p>
    <w:p>
      <w:pPr>
        <w:ind w:firstLine="480"/>
      </w:pPr>
      <w:r>
        <w:t xml:space="preserve"/>
      </w:r>
    </w:p>
    <w:p>
      <w:pPr>
        <w:spacing w:before="300" w:after="40"/>
      </w:pPr>
      <w:r>
        <w:rPr>
          <w:b/>
          <w:color w:val="1d3557"/>
          <w:sz w:val="22"/>
        </w:rPr>
        <w:t>For the United States of America:</w:t>
      </w:r>
    </w:p>
    <w:p>
      <w:pPr>
        <w:spacing w:before="300" w:after="40"/>
      </w:pPr>
      <w:r>
        <w:rPr>
          <w:b/>
          <w:color w:val="1d3557"/>
          <w:sz w:val="22"/>
        </w:rPr>
        <w:t>For the State of Israel:</w:t>
      </w:r>
    </w:p>
    <w:p>
      <w:pPr>
        <w:ind w:firstLine="480"/>
      </w:pPr>
      <w:r>
        <w:t xml:space="preserve"/>
      </w:r>
    </w:p>
    <w:p>
      <w:pPr>
        <w:spacing w:before="200"/>
      </w:pPr>
      <w:r>
        <w:rPr>
          <w:i/>
          <w:color w:val="457b9d"/>
          <w:sz w:val="21"/>
        </w:rPr>
        <w:t>Witnessed by the Joint Secretariat (Muscat) for informational purposes only (no binding effect on the US-Iran MOU).</w:t>
      </w:r>
    </w:p>
    <w:p>
      <w:pPr>
        <w:sectPr>
          <w:headerReference w:type="default" r:id="R52609ec44c4f444d"/>
          <w:footerReference w:type="default" r:id="Rf6334bfe06d04da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869ff7f8674c47d5"/>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Cambria" w:hAnsi="Cambria"/>
          <w:b/>
          <w:color w:val="e0e6ed"/>
          <w:sz w:val="48"/>
        </w:rPr>
        <w:t>Annex X</w:t>
      </w:r>
    </w:p>
    <w:p>
      <w:pPr>
        <w:spacing w:after="400"/>
        <w:jc w:val="center"/>
      </w:pPr>
      <w:r>
        <w:rPr>
          <w:rFonts w:ascii="Cambria" w:hAnsi="Cambria"/>
          <w:color w:val="8d99ae"/>
          <w:sz w:val="24"/>
        </w:rPr>
        <w:t>Mutual Standstill Understanding</w:t>
      </w:r>
    </w:p>
    <w:p>
      <w:pPr>
        <w:spacing w:after="100"/>
        <w:jc w:val="center"/>
      </w:pPr>
      <w:r>
        <w:rPr>
          <w:color w:val="b8860b"/>
          <w:sz w:val="18"/>
        </w:rPr>
        <w:t>————————————————</w:t>
      </w:r>
    </w:p>
    <w:p>
      <w:pPr>
        <w:spacing w:before="400"/>
        <w:jc w:val="center"/>
      </w:pPr>
      <w:r>
        <w:rPr>
          <w:color w:val="8d99ae"/>
          <w:sz w:val="18"/>
        </w:rPr>
        <w:t>Modular  •  Incorporable by Reference  •  Framework Collapse Prevention</w:t>
      </w:r>
    </w:p>
    <w:p>
      <w:pPr>
        <w:spacing w:before="200"/>
        <w:jc w:val="center"/>
      </w:pPr>
      <w:r>
        <w:rPr>
          <w:color w:val="8d99ae"/>
          <w:sz w:val="16"/>
        </w:rPr>
        <w:t>Version 1.0  —  June 2026</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X — Mutual Standstill Understanding</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Type="http://schemas.openxmlformats.org/officeDocument/2006/relationships/styles" Target="styles.xml" Id="R1ffde29863ac48aa" /><Relationship Type="http://schemas.openxmlformats.org/officeDocument/2006/relationships/image" Target="media/image.png" Id="Rb2ffa1f6cebc4dbf" /><Relationship Type="http://schemas.openxmlformats.org/officeDocument/2006/relationships/image" Target="media/image2.png" Id="R869ff7f8674c47d5" /><Relationship Type="http://schemas.openxmlformats.org/officeDocument/2006/relationships/header" Target="header1.xml" Id="R52609ec44c4f444d" /><Relationship Type="http://schemas.openxmlformats.org/officeDocument/2006/relationships/footer" Target="footer1.xml" Id="Rf6334bfe06d04da6" /><Relationship Type="http://schemas.openxmlformats.org/officeDocument/2006/relationships/settings" Target="settings.xml" Id="R600b1512088c4aa9" /></Relationships>
</file>