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161179296f084552"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47000" cy="11023600"/>
            <wp:effectExtent l="0" t="0" r="0" b="0"/>
            <wp:docPr id="1" name="CoverBg"/>
            <wp:cNvGraphicFramePr>
              <a:graphicFrameLocks noChangeAspect="1"/>
            </wp:cNvGraphicFramePr>
            <a:graphic>
              <a:graphicData uri="http://schemas.openxmlformats.org/drawingml/2006/picture">
                <pic:pic>
                  <pic:nvPicPr>
                    <pic:cNvPr id="0" name="CoverBg.png"/>
                    <pic:cNvPicPr/>
                  </pic:nvPicPr>
                  <pic:blipFill>
                    <a:blip r:embed="Rdee6842efbb74417"/>
                    <a:stretch>
                      <a:fillRect/>
                    </a:stretch>
                  </pic:blipFill>
                  <pic:spPr>
                    <a:xfrm>
                      <a:off x="0" y="0"/>
                      <a:ext cx="7747000" cy="11023600"/>
                    </a:xfrm>
                    <a:prstGeom prst="rect"/>
                  </pic:spPr>
                </pic:pic>
              </a:graphicData>
            </a:graphic>
            <wp:wrapNone/>
          </wp:anchor>
        </w:drawing>
      </w:r>
    </w:p>
    <w:p>
      <w:pPr>
        <w:pStyle w:val="Normal"/>
        <w:spacing w:before="5000"/>
      </w:pPr>
    </w:p>
    <w:p>
      <w:pPr>
        <w:pStyle w:val="Normal"/>
        <w:spacing w:after="200"/>
        <w:jc w:val="center"/>
      </w:pPr>
      <w:r>
        <w:rPr>
          <w:color w:val="A8B8CC"/>
          <w:sz w:val="28"/>
          <w:rFonts w:ascii="Cambria" w:hAnsi="Cambria" w:eastAsia="Microsoft YaHei" w:cs="Cambria"/>
          <w:szCs w:val="28"/>
          <w:spacing w:val="60"/>
        </w:rPr>
        <w:t>DIPLOMATIC WORKING DOCUMENT</w:t>
      </w:r>
    </w:p>
    <w:p>
      <w:pPr>
        <w:pStyle w:val="Normal"/>
        <w:spacing w:after="400"/>
        <w:jc w:val="center"/>
      </w:pPr>
      <w:r>
        <w:rPr>
          <w:b/>
          <w:color w:val="FFFFFF"/>
          <w:sz w:val="72"/>
          <w:rFonts w:ascii="Cambria" w:hAnsi="Cambria" w:eastAsia="Microsoft YaHei" w:cs="Cambria"/>
          <w:szCs w:val="72"/>
          <w:spacing w:val="40"/>
        </w:rPr>
        <w:t>Memorandum of Understanding</w:t>
      </w:r>
    </w:p>
    <w:p>
      <w:pPr>
        <w:pStyle w:val="Normal"/>
        <w:spacing w:after="600"/>
        <w:jc w:val="center"/>
      </w:pPr>
      <w:r>
        <w:rPr>
          <w:b/>
          <w:color w:val="FFFFFF"/>
          <w:sz w:val="56"/>
          <w:rFonts w:ascii="Cambria" w:hAnsi="Cambria" w:eastAsia="Microsoft YaHei" w:cs="Cambria"/>
          <w:szCs w:val="56"/>
          <w:spacing w:val="60"/>
        </w:rPr>
        <w:t>Pertaining to PEACE</w:t>
      </w:r>
    </w:p>
    <w:p>
      <w:pPr>
        <w:pStyle w:val="Normal"/>
        <w:spacing w:after="200"/>
        <w:jc w:val="center"/>
      </w:pPr>
      <w:r>
        <w:rPr>
          <w:color w:val="A8B8CC"/>
          <w:sz w:val="24"/>
          <w:rFonts w:ascii="Cambria" w:hAnsi="Cambria" w:eastAsia="Microsoft YaHei" w:cs="Cambria"/>
          <w:szCs w:val="24"/>
        </w:rPr>
        <w:t>A Bridging Instrument for United States - Islamic Republic of Iran Stabilization</w:t>
      </w:r>
    </w:p>
    <w:p>
      <w:pPr>
        <w:pStyle w:val="Normal"/>
        <w:spacing w:after="300"/>
        <w:jc w:val="center"/>
      </w:pPr>
      <w:r>
        <w:rPr>
          <w:color w:val="90A0B0"/>
          <w:sz w:val="20"/>
          <w:rFonts w:ascii="Cambria" w:hAnsi="Cambria" w:eastAsia="Microsoft YaHei" w:cs="Cambria"/>
          <w:szCs w:val="20"/>
        </w:rPr>
        <w:t>Phase I Signing Instrument | Phase II Convergence | Phase III Normalization</w:t>
      </w:r>
    </w:p>
    <w:p>
      <w:pPr>
        <w:pStyle w:val="Normal"/>
        <w:spacing w:after="4000"/>
        <w:jc w:val="center"/>
      </w:pPr>
      <w:r>
        <w:rPr>
          <w:color w:val="8B734B"/>
          <w:sz w:val="22"/>
          <w:rFonts w:ascii="Cambria" w:hAnsi="Cambria" w:eastAsia="Microsoft YaHei" w:cs="Cambria"/>
          <w:szCs w:val="22"/>
        </w:rPr>
        <w:t>Version 7.0 | Merged Edition | June 2026 | Bridging Protocol</w:t>
      </w:r>
    </w:p>
    <w:p>
      <w:pPr>
        <w:pStyle w:val="Normal"/>
        <w:spacing w:after="100"/>
        <w:jc w:val="center"/>
      </w:pPr>
      <w:r>
        <w:rPr>
          <w:color w:val="90A0B0"/>
          <w:sz w:val="18"/>
          <w:rFonts w:ascii="Cambria" w:hAnsi="Cambria" w:eastAsia="Microsoft YaHei" w:cs="Cambria"/>
          <w:szCs w:val="18"/>
        </w:rPr>
        <w:t>Integrating the Sunflower Accord v5.0 and the Provisional Steps Framework v1.8</w:t>
      </w:r>
    </w:p>
    <w:p>
      <w:pPr>
        <w:pStyle w:val="Normal"/>
        <w:spacing w:after="200"/>
        <w:jc w:val="center"/>
      </w:pPr>
      <w:r>
        <w:rPr>
          <w:color w:val="90A0B0"/>
          <w:sz w:val="18"/>
          <w:rFonts w:ascii="Cambria" w:hAnsi="Cambria" w:eastAsia="Microsoft YaHei" w:cs="Cambria"/>
          <w:szCs w:val="18"/>
        </w:rPr>
        <w:t>Built on the Stability First Enhanced Accord as operative core</w:t>
      </w:r>
    </w:p>
    <w:p>
      <w:pPr>
        <w:pStyle w:val="Normal"/>
        <w:spacing w:before="1000"/>
        <w:jc w:val="center"/>
      </w:pPr>
      <w:r>
        <w:rPr>
          <w:color w:val="778899"/>
          <w:sz w:val="16"/>
          <w:rFonts w:ascii="Cambria" w:hAnsi="Cambria" w:eastAsia="Microsoft YaHei" w:cs="Cambria"/>
          <w:szCs w:val="16"/>
        </w:rPr>
        <w:t>AUTHORIZED NEGOTIATORS ONLY - CONFIDENTIAL - NOT FOR PUBLIC DISTRIBUTION</w:t>
      </w:r>
    </w:p>
    <w:p>
      <w:pPr>
        <w:pStyle w:val="Normal"/>
        <w:sectPr>
          <w:type w:val="nextPage"/>
          <w:pgSz w:w="11906" w:h="16838"/>
          <w:pgMar w:top="0" w:right="0" w:bottom="0" w:left="0" w:header="0" w:footer="0"/>
          <w:titlePg/>
        </w:sectPr>
      </w:pPr>
    </w:p>
    <w:p>
      <w:pPr>
        <w:pStyle w:val="Normal"/>
        <w:spacing w:before="600" w:after="400"/>
        <w:jc w:val="center"/>
      </w:pPr>
      <w:r>
        <w:rPr>
          <w:b/>
          <w:color w:val="1A2744"/>
          <w:sz w:val="40"/>
          <w:rFonts w:ascii="Cambria" w:hAnsi="Cambria" w:eastAsia="Microsoft YaHei" w:cs="Cambria"/>
          <w:szCs w:val="40"/>
        </w:rPr>
        <w:t>Contents</w:t>
      </w:r>
    </w:p>
    <w:p>
      <w:pPr>
        <w:pStyle w:val="Normal"/>
        <w:spacing w:after="300"/>
      </w:pPr>
      <w:r>
        <w:rPr>
          <w:color w:val="7A7A8A"/>
          <w:sz w:val="18"/>
          <w:rFonts w:ascii="Cambria" w:hAnsi="Cambria" w:eastAsia="Microsoft YaHei" w:cs="Cambria"/>
          <w:szCs w:val="18"/>
        </w:rPr>
        <w:t>Right-click and select Update Field to populate page numbers</w:t>
      </w:r>
    </w:p>
    <w:p>
      <w:pPr>
        <w:pStyle w:val="Normal"/>
      </w:pPr>
    </w:p>
    <w:p>
      <w:pPr>
        <w:pStyle w:val="TOC1"/>
        <w:ind w:left="0"/>
      </w:pPr>
      <w:r>
        <w:rPr>
          <w:rFonts w:ascii="Cambria" w:hAnsi="Cambria" w:eastAsia="Microsoft YaHei" w:cs="Cambria"/>
          <w:color w:val="1A2744"/>
          <w:sz w:val="24"/>
          <w:b w:val="true"/>
          <w:szCs w:val="24"/>
        </w:rPr>
        <w:t xml:space="preserve">Mediator's Preface: How This Instrument Works</w:t>
      </w:r>
      <w:r>
        <w:rPr>
          <w:rFonts w:ascii="Cambria" w:hAnsi="Cambria" w:eastAsia="Microsoft YaHei"/>
          <w:color w:val="1A2744"/>
          <w:sz w:val="24"/>
          <w:szCs w:val="24"/>
        </w:rPr>
        <w:tab/>
      </w:r>
    </w:p>
    <w:p>
      <w:pPr>
        <w:pStyle w:val="TOC1"/>
        <w:ind w:left="0"/>
      </w:pPr>
      <w:r>
        <w:rPr>
          <w:rFonts w:ascii="Cambria" w:hAnsi="Cambria" w:eastAsia="Microsoft YaHei" w:cs="Cambria"/>
          <w:color w:val="1A2744"/>
          <w:sz w:val="24"/>
          <w:b w:val="true"/>
          <w:szCs w:val="24"/>
        </w:rPr>
        <w:t xml:space="preserve">Executive Summary</w:t>
      </w:r>
      <w:r>
        <w:rPr>
          <w:rFonts w:ascii="Cambria" w:hAnsi="Cambria" w:eastAsia="Microsoft YaHei"/>
          <w:color w:val="1A2744"/>
          <w:sz w:val="24"/>
          <w:szCs w:val="24"/>
        </w:rPr>
        <w:tab/>
      </w:r>
    </w:p>
    <w:p>
      <w:pPr>
        <w:pStyle w:val="TOC2"/>
        <w:ind w:left="420"/>
      </w:pPr>
      <w:r>
        <w:rPr>
          <w:rFonts w:ascii="Cambria" w:hAnsi="Cambria" w:eastAsia="Microsoft YaHei" w:cs="Cambria"/>
          <w:color w:val="4A4A5A"/>
          <w:sz w:val="22"/>
          <w:b w:val="false"/>
          <w:szCs w:val="22"/>
        </w:rPr>
        <w:t xml:space="preserve">The Core Trade, In One Paragraph</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Why Both Capitals Can Declare a Win</w:t>
      </w:r>
      <w:r>
        <w:rPr>
          <w:rFonts w:ascii="Cambria" w:hAnsi="Cambria" w:eastAsia="Microsoft YaHei"/>
          <w:color w:val="4A4A5A"/>
          <w:sz w:val="22"/>
          <w:szCs w:val="22"/>
        </w:rPr>
        <w:tab/>
      </w:r>
    </w:p>
    <w:p>
      <w:pPr>
        <w:pStyle w:val="TOC1"/>
        <w:ind w:left="0"/>
      </w:pPr>
      <w:r>
        <w:rPr>
          <w:rFonts w:ascii="Cambria" w:hAnsi="Cambria" w:eastAsia="Microsoft YaHei" w:cs="Cambria"/>
          <w:color w:val="1A2744"/>
          <w:sz w:val="24"/>
          <w:b w:val="true"/>
          <w:szCs w:val="24"/>
        </w:rPr>
        <w:t xml:space="preserve">Part 0 - The Bridging Logic: Closing the Five Remaining Gaps</w:t>
      </w:r>
      <w:r>
        <w:rPr>
          <w:rFonts w:ascii="Cambria" w:hAnsi="Cambria" w:eastAsia="Microsoft YaHei"/>
          <w:color w:val="1A2744"/>
          <w:sz w:val="24"/>
          <w:szCs w:val="24"/>
        </w:rPr>
        <w:tab/>
      </w:r>
    </w:p>
    <w:p>
      <w:pPr>
        <w:pStyle w:val="TOC1"/>
        <w:ind w:left="0"/>
      </w:pPr>
      <w:r>
        <w:rPr>
          <w:rFonts w:ascii="Cambria" w:hAnsi="Cambria" w:eastAsia="Microsoft YaHei" w:cs="Cambria"/>
          <w:color w:val="1A2744"/>
          <w:sz w:val="24"/>
          <w:b w:val="true"/>
          <w:szCs w:val="24"/>
        </w:rPr>
        <w:t xml:space="preserve">PART A - The Memorandum of Understanding</w:t>
      </w:r>
      <w:r>
        <w:rPr>
          <w:rFonts w:ascii="Cambria" w:hAnsi="Cambria" w:eastAsia="Microsoft YaHei"/>
          <w:color w:val="1A2744"/>
          <w:sz w:val="24"/>
          <w:szCs w:val="24"/>
        </w:rPr>
        <w:tab/>
      </w:r>
    </w:p>
    <w:p>
      <w:pPr>
        <w:pStyle w:val="TOC2"/>
        <w:ind w:left="420"/>
      </w:pPr>
      <w:r>
        <w:rPr>
          <w:rFonts w:ascii="Cambria" w:hAnsi="Cambria" w:eastAsia="Microsoft YaHei" w:cs="Cambria"/>
          <w:color w:val="4A4A5A"/>
          <w:sz w:val="22"/>
          <w:b w:val="false"/>
          <w:szCs w:val="22"/>
        </w:rPr>
        <w:t xml:space="preserve">Article 1 - Definitions and Governing Principles</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2 - Day-1 Mirror Pairings</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3 - Nuclear Stabilization Core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4 - Maritime Stabilization Core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5 - Economic Normalization Core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6 - Regional and Ceasefire Core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7 - Verification and Compliance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8 - Safety Valves and Crisis Resilience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9 - Governance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10 - What Each Side Concedes and Wins</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11 - Phase Transitions and the Binding Timeline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12 - Entry into Force, Depositary, and Signature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Article 13 - Regional and Israel Coordination</w:t>
      </w:r>
      <w:r>
        <w:rPr>
          <w:rFonts w:ascii="Cambria" w:hAnsi="Cambria" w:eastAsia="Microsoft YaHei"/>
          <w:color w:val="4A4A5A"/>
          <w:sz w:val="22"/>
          <w:szCs w:val="22"/>
        </w:rPr>
        <w:tab/>
      </w:r>
    </w:p>
    <w:p>
      <w:pPr>
        <w:pStyle w:val="TOC1"/>
        <w:ind w:left="0"/>
      </w:pPr>
      <w:r>
        <w:rPr>
          <w:rFonts w:ascii="Cambria" w:hAnsi="Cambria" w:eastAsia="Microsoft YaHei" w:cs="Cambria"/>
          <w:color w:val="1A2744"/>
          <w:sz w:val="24"/>
          <w:b w:val="true"/>
          <w:szCs w:val="24"/>
        </w:rPr>
        <w:t xml:space="preserve">PART B - Phase II: The Convergence</w:t>
      </w:r>
      <w:r>
        <w:rPr>
          <w:rFonts w:ascii="Cambria" w:hAnsi="Cambria" w:eastAsia="Microsoft YaHei"/>
          <w:color w:val="1A2744"/>
          <w:sz w:val="24"/>
          <w:szCs w:val="24"/>
        </w:rPr>
        <w:tab/>
      </w:r>
    </w:p>
    <w:p>
      <w:pPr>
        <w:pStyle w:val="TOC2"/>
        <w:ind w:left="420"/>
      </w:pPr>
      <w:r>
        <w:rPr>
          <w:rFonts w:ascii="Cambria" w:hAnsi="Cambria" w:eastAsia="Microsoft YaHei" w:cs="Cambria"/>
          <w:color w:val="4A4A5A"/>
          <w:sz w:val="22"/>
          <w:b w:val="false"/>
          <w:szCs w:val="22"/>
        </w:rPr>
        <w:t xml:space="preserve">B-1 - Nuclear Convergence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B-2 - Maritime Convergence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B-3 - Economic Deepening</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B-4 - Kernel Safeguards</w:t>
      </w:r>
      <w:r>
        <w:rPr>
          <w:rFonts w:ascii="Cambria" w:hAnsi="Cambria" w:eastAsia="Microsoft YaHei"/>
          <w:color w:val="4A4A5A"/>
          <w:sz w:val="22"/>
          <w:szCs w:val="22"/>
        </w:rPr>
        <w:tab/>
      </w:r>
    </w:p>
    <w:p>
      <w:pPr>
        <w:pStyle w:val="TOC1"/>
        <w:ind w:left="0"/>
      </w:pPr>
      <w:r>
        <w:rPr>
          <w:rFonts w:ascii="Cambria" w:hAnsi="Cambria" w:eastAsia="Microsoft YaHei" w:cs="Cambria"/>
          <w:color w:val="1A2744"/>
          <w:sz w:val="24"/>
          <w:b w:val="true"/>
          <w:szCs w:val="24"/>
        </w:rPr>
        <w:t xml:space="preserve">PART C - Phase III: Normalization</w:t>
      </w:r>
      <w:r>
        <w:rPr>
          <w:rFonts w:ascii="Cambria" w:hAnsi="Cambria" w:eastAsia="Microsoft YaHei"/>
          <w:color w:val="1A2744"/>
          <w:sz w:val="24"/>
          <w:szCs w:val="24"/>
        </w:rPr>
        <w:tab/>
      </w:r>
    </w:p>
    <w:p>
      <w:pPr>
        <w:pStyle w:val="TOC2"/>
        <w:ind w:left="420"/>
      </w:pPr>
      <w:r>
        <w:rPr>
          <w:rFonts w:ascii="Cambria" w:hAnsi="Cambria" w:eastAsia="Microsoft YaHei" w:cs="Cambria"/>
          <w:color w:val="4A4A5A"/>
          <w:sz w:val="22"/>
          <w:b w:val="false"/>
          <w:szCs w:val="22"/>
        </w:rPr>
        <w:t xml:space="preserve">C-1 - Restored Symmetry</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C-2 - The Permanence Mechanisms</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C-3 - The Regional Normalization Track</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C-4 - The Sovereignty Restoration Trajectory</w:t>
      </w:r>
      <w:r>
        <w:rPr>
          <w:rFonts w:ascii="Cambria" w:hAnsi="Cambria" w:eastAsia="Microsoft YaHei"/>
          <w:color w:val="4A4A5A"/>
          <w:sz w:val="22"/>
          <w:szCs w:val="22"/>
        </w:rPr>
        <w:tab/>
      </w:r>
    </w:p>
    <w:p>
      <w:pPr>
        <w:pStyle w:val="TOC1"/>
        <w:ind w:left="0"/>
      </w:pPr>
      <w:r>
        <w:rPr>
          <w:rFonts w:ascii="Cambria" w:hAnsi="Cambria" w:eastAsia="Microsoft YaHei" w:cs="Cambria"/>
          <w:color w:val="1A2744"/>
          <w:sz w:val="24"/>
          <w:b w:val="true"/>
          <w:szCs w:val="24"/>
        </w:rPr>
        <w:t xml:space="preserve">PART D - The Integrated Annex Register</w:t>
      </w:r>
      <w:r>
        <w:rPr>
          <w:rFonts w:ascii="Cambria" w:hAnsi="Cambria" w:eastAsia="Microsoft YaHei"/>
          <w:color w:val="1A2744"/>
          <w:sz w:val="24"/>
          <w:szCs w:val="24"/>
        </w:rPr>
        <w:tab/>
      </w:r>
    </w:p>
    <w:p>
      <w:pPr>
        <w:pStyle w:val="TOC1"/>
        <w:ind w:left="0"/>
      </w:pPr>
      <w:r>
        <w:rPr>
          <w:rFonts w:ascii="Cambria" w:hAnsi="Cambria" w:eastAsia="Microsoft YaHei" w:cs="Cambria"/>
          <w:color w:val="1A2744"/>
          <w:sz w:val="24"/>
          <w:b w:val="true"/>
          <w:szCs w:val="24"/>
        </w:rPr>
        <w:t xml:space="preserve">PART E - Appendices for the Table</w:t>
      </w:r>
      <w:r>
        <w:rPr>
          <w:rFonts w:ascii="Cambria" w:hAnsi="Cambria" w:eastAsia="Microsoft YaHei"/>
          <w:color w:val="1A2744"/>
          <w:sz w:val="24"/>
          <w:szCs w:val="24"/>
        </w:rPr>
        <w:tab/>
      </w:r>
    </w:p>
    <w:p>
      <w:pPr>
        <w:pStyle w:val="TOC2"/>
        <w:ind w:left="420"/>
      </w:pPr>
      <w:r>
        <w:rPr>
          <w:rFonts w:ascii="Cambria" w:hAnsi="Cambria" w:eastAsia="Microsoft YaHei" w:cs="Cambria"/>
          <w:color w:val="4A4A5A"/>
          <w:sz w:val="22"/>
          <w:b w:val="false"/>
          <w:szCs w:val="22"/>
        </w:rPr>
        <w:t xml:space="preserve">Appendix E-1 - Day-1 to Day-60 Control Panel</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Appendix E-2 - Declarable-Wins Messaging Sheet</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Appendix E-3 - Letter of Intent Template</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Appendix E-4 - Day-1 Podium Statements</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Appendix E-5 - Signature and Adoption</w:t>
      </w:r>
      <w:r>
        <w:rPr>
          <w:rFonts w:ascii="Cambria" w:hAnsi="Cambria" w:eastAsia="Microsoft YaHei"/>
          <w:color w:val="4A4A5A"/>
          <w:sz w:val="22"/>
          <w:szCs w:val="22"/>
        </w:rPr>
        <w:tab/>
      </w:r>
    </w:p>
    <w:p>
      <w:pPr>
        <w:pStyle w:val="TOC2"/>
        <w:ind w:left="420"/>
      </w:pPr>
      <w:r>
        <w:rPr>
          <w:rFonts w:ascii="Cambria" w:hAnsi="Cambria" w:eastAsia="Microsoft YaHei" w:cs="Cambria"/>
          <w:color w:val="4A4A5A"/>
          <w:sz w:val="22"/>
          <w:b w:val="false"/>
          <w:szCs w:val="22"/>
        </w:rPr>
        <w:t xml:space="preserve">Appendix E-6 - Merge Log</w:t>
      </w:r>
      <w:r>
        <w:rPr>
          <w:rFonts w:ascii="Cambria" w:hAnsi="Cambria" w:eastAsia="Microsoft YaHei"/>
          <w:color w:val="4A4A5A"/>
          <w:sz w:val="22"/>
          <w:szCs w:val="22"/>
        </w:rPr>
        <w:tab/>
      </w:r>
    </w:p>
    <w:p>
      <w:pPr>
        <w:pStyle w:val="Normal"/>
      </w:pPr>
    </w:p>
    <w:p>
      <w:pPr>
        <w:pStyle w:val="Heading1"/>
      </w:pPr>
      <w:bookmarkStart w:name="_Toc002" w:id="2"/>
      <w:r>
        <w:rPr>
          <w:rFonts w:ascii="Cambria" w:hAnsi="Cambria" w:eastAsia="Microsoft YaHei" w:cs="Cambria"/>
          <w:b/>
          <w:color w:val="1A2744"/>
          <w:sz w:val="48"/>
          <w:szCs w:val="48"/>
        </w:rPr>
        <w:t>Executive Summary</w:t>
      </w:r>
      <w:bookmarkEnd w:id="2"/>
    </w:p>
    <w:p>
      <w:pPr>
        <w:pStyle w:val="Normal"/>
      </w:pPr>
      <w:r>
        <w:rPr>
          <w:rFonts w:ascii="Cambria" w:hAnsi="Cambria" w:eastAsia="Microsoft YaHei" w:cs="Cambria"/>
          <w:color w:val="1A1A2E"/>
          <w:sz w:val="22"/>
          <w:szCs w:val="22"/>
        </w:rPr>
        <w:t>The Memorandum of Understanding Pertaining to PEACE converts a stalled exchange into a sequenced, verified, performance-contingent peace. Iran caps and neutralizes its highly enriched uranium and reopens the Strait of Hormuz; the United States lets Iranian oil flow and releases value in escrow-protected, reversible tranches. Nobody moves alone, nothing is unconditional, no cash moves on Day 1, and either Party walks an orderly exit ramp if the other cheats.</w:t>
      </w:r>
    </w:p>
    <w:p>
      <w:pPr>
        <w:pStyle w:val="Heading2"/>
      </w:pPr>
      <w:bookmarkStart w:name="_Toc003" w:id="3"/>
      <w:r>
        <w:rPr>
          <w:rFonts w:ascii="Cambria" w:hAnsi="Cambria" w:eastAsia="Microsoft YaHei" w:cs="Cambria"/>
          <w:b/>
          <w:color w:val="2D4A6F"/>
          <w:sz w:val="32"/>
          <w:szCs w:val="32"/>
        </w:rPr>
        <w:t>The Core Trade, In One Paragraph</w:t>
      </w:r>
      <w:bookmarkEnd w:id="3"/>
    </w:p>
    <w:p>
      <w:pPr>
        <w:pStyle w:val="Normal"/>
      </w:pPr>
      <w:r>
        <w:rPr>
          <w:rFonts w:ascii="Cambria" w:hAnsi="Cambria" w:eastAsia="Microsoft YaHei" w:cs="Cambria"/>
          <w:color w:val="1A1A2E"/>
          <w:sz w:val="22"/>
          <w:szCs w:val="22"/>
        </w:rPr>
        <w:t>Iran reopens Hormuz to unrestricted commercial transit and accepts a binding 3.67% enrichment cap, a twelve-year moratorium, and verified neutralization of its 60% stockpile - neutralized in-country under joint dual-key custody by default, or, by Day 730, irreversibly transformed into fertilizer, with neutral-state export available only if Iran elects it. The United States puts no cash on the table on Day 1: a $5B mutual escrow deposit releases in tranches starting at Day 7, oil and SWIFT restore, and frozen assets stage out on a front-loaded but reversible schedule - every step tied to IAEA-verified compliance and governed by step-back and earn-back rather than an automatic cut-off. The hard nuclear and regional questions move to Phase II and Phase III on a written, binding timeline rather than dissolving into "later."</w:t>
      </w:r>
    </w:p>
    <w:p>
      <w:pPr>
        <w:pStyle w:val="Heading2"/>
      </w:pPr>
      <w:bookmarkStart w:name="_Toc004" w:id="4"/>
      <w:r>
        <w:rPr>
          <w:rFonts w:ascii="Cambria" w:hAnsi="Cambria" w:eastAsia="Microsoft YaHei" w:cs="Cambria"/>
          <w:b/>
          <w:color w:val="2D4A6F"/>
          <w:sz w:val="32"/>
          <w:szCs w:val="32"/>
        </w:rPr>
        <w:t>Why Both Capitals Can Declare a Win</w:t>
      </w:r>
      <w:bookmarkEnd w:id="4"/>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Dimension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The United States Declares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Iran Declares</w:t>
            </w:r>
          </w:p>
        </w:tc>
      </w:tr>
      <w:tr>
        <w:tc>
          <w:tcPr>
            <w:tcW w:w="2000" w:type="dxa"/>
          </w:tcPr>
          <w:p>
            <w:pPr>
              <w:pStyle w:val="Normal"/>
              <w:spacing w:before="40" w:after="40"/>
            </w:pPr>
            <w:r>
              <w:rPr>
                <w:color w:val="4A4A5A"/>
                <w:sz w:val="18"/>
                <w:rFonts w:ascii="Cambria" w:hAnsi="Cambria" w:eastAsia="Microsoft YaHei" w:cs="Cambria"/>
                <w:szCs w:val="18"/>
              </w:rPr>
              <w:t>Nuclear</w:t>
            </w:r>
          </w:p>
        </w:tc>
        <w:tc>
          <w:tcPr>
            <w:tcW w:w="2000" w:type="dxa"/>
          </w:tcPr>
          <w:p>
            <w:pPr>
              <w:pStyle w:val="Normal"/>
              <w:spacing w:before="40" w:after="40"/>
            </w:pPr>
            <w:r>
              <w:rPr>
                <w:color w:val="4A4A5A"/>
                <w:sz w:val="18"/>
                <w:rFonts w:ascii="Cambria" w:hAnsi="Cambria" w:eastAsia="Microsoft YaHei" w:cs="Cambria"/>
                <w:szCs w:val="18"/>
              </w:rPr>
              <w:t>Weapons-usable material neutralizes in-country under joint dual-key by default - or irreversibly transforms into fertilizer - with U.S. control of any material that remains usable; 3.67% cap; 12-year moratorium.</w:t>
            </w:r>
          </w:p>
        </w:tc>
        <w:tc>
          <w:tcPr>
            <w:tcW w:w="2000" w:type="dxa"/>
          </w:tcPr>
          <w:p>
            <w:pPr>
              <w:pStyle w:val="Normal"/>
              <w:spacing w:before="40" w:after="40"/>
            </w:pPr>
            <w:r>
              <w:rPr>
                <w:color w:val="4A4A5A"/>
                <w:sz w:val="18"/>
                <w:rFonts w:ascii="Cambria" w:hAnsi="Cambria" w:eastAsia="Microsoft YaHei" w:cs="Cambria"/>
                <w:szCs w:val="18"/>
              </w:rPr>
              <w:t>A sovereign right to neutralize at home under dual-key; material never leaves unless Iran chooses; the NPT right to peaceful enrichment operationalized at Natanz and the medical-isotope center.</w:t>
            </w:r>
          </w:p>
        </w:tc>
      </w:tr>
      <w:tr>
        <w:tc>
          <w:tcPr>
            <w:tcW w:w="2000" w:type="dxa"/>
          </w:tcPr>
          <w:p>
            <w:pPr>
              <w:pStyle w:val="Normal"/>
              <w:spacing w:before="40" w:after="40"/>
            </w:pPr>
            <w:r>
              <w:rPr>
                <w:color w:val="4A4A5A"/>
                <w:sz w:val="18"/>
                <w:rFonts w:ascii="Cambria" w:hAnsi="Cambria" w:eastAsia="Microsoft YaHei" w:cs="Cambria"/>
                <w:szCs w:val="18"/>
              </w:rPr>
              <w:t>Hormuz</w:t>
            </w:r>
          </w:p>
        </w:tc>
        <w:tc>
          <w:tcPr>
            <w:tcW w:w="2000" w:type="dxa"/>
          </w:tcPr>
          <w:p>
            <w:pPr>
              <w:pStyle w:val="Normal"/>
              <w:spacing w:before="40" w:after="40"/>
            </w:pPr>
            <w:r>
              <w:rPr>
                <w:color w:val="4A4A5A"/>
                <w:sz w:val="18"/>
                <w:rFonts w:ascii="Cambria" w:hAnsi="Cambria" w:eastAsia="Microsoft YaHei" w:cs="Cambria"/>
                <w:szCs w:val="18"/>
              </w:rPr>
              <w:t>Unrestricted freedom of navigation; zero tolls; no Iranian checkpoints, management authority, or revenue share.</w:t>
            </w:r>
          </w:p>
        </w:tc>
        <w:tc>
          <w:tcPr>
            <w:tcW w:w="2000" w:type="dxa"/>
          </w:tcPr>
          <w:p>
            <w:pPr>
              <w:pStyle w:val="Normal"/>
              <w:spacing w:before="40" w:after="40"/>
            </w:pPr>
            <w:r>
              <w:rPr>
                <w:color w:val="4A4A5A"/>
                <w:sz w:val="18"/>
                <w:rFonts w:ascii="Cambria" w:hAnsi="Cambria" w:eastAsia="Microsoft YaHei" w:cs="Cambria"/>
                <w:szCs w:val="18"/>
              </w:rPr>
              <w:t>Coastal-state position acknowledged on the record, and payment for the services Iran performs in the strait.</w:t>
            </w:r>
          </w:p>
        </w:tc>
      </w:tr>
      <w:tr>
        <w:tc>
          <w:tcPr>
            <w:tcW w:w="2000" w:type="dxa"/>
          </w:tcPr>
          <w:p>
            <w:pPr>
              <w:pStyle w:val="Normal"/>
              <w:spacing w:before="40" w:after="40"/>
            </w:pPr>
            <w:r>
              <w:rPr>
                <w:color w:val="4A4A5A"/>
                <w:sz w:val="18"/>
                <w:rFonts w:ascii="Cambria" w:hAnsi="Cambria" w:eastAsia="Microsoft YaHei" w:cs="Cambria"/>
                <w:szCs w:val="18"/>
              </w:rPr>
              <w:t>Economy</w:t>
            </w:r>
          </w:p>
        </w:tc>
        <w:tc>
          <w:tcPr>
            <w:tcW w:w="2000" w:type="dxa"/>
          </w:tcPr>
          <w:p>
            <w:pPr>
              <w:pStyle w:val="Normal"/>
              <w:spacing w:before="40" w:after="40"/>
            </w:pPr>
            <w:r>
              <w:rPr>
                <w:color w:val="4A4A5A"/>
                <w:sz w:val="18"/>
                <w:rFonts w:ascii="Cambria" w:hAnsi="Cambria" w:eastAsia="Microsoft YaHei" w:cs="Cambria"/>
                <w:szCs w:val="18"/>
              </w:rPr>
              <w:t>No cash on Day 1; a $5B escrow releases in tranches starting at Day 7; assets stage slowly and stay reversible.</w:t>
            </w:r>
          </w:p>
        </w:tc>
        <w:tc>
          <w:tcPr>
            <w:tcW w:w="2000" w:type="dxa"/>
          </w:tcPr>
          <w:p>
            <w:pPr>
              <w:pStyle w:val="Normal"/>
              <w:spacing w:before="40" w:after="40"/>
            </w:pPr>
            <w:r>
              <w:rPr>
                <w:color w:val="4A4A5A"/>
                <w:sz w:val="18"/>
                <w:rFonts w:ascii="Cambria" w:hAnsi="Cambria" w:eastAsia="Microsoft YaHei" w:cs="Cambria"/>
                <w:szCs w:val="18"/>
              </w:rPr>
              <w:t>The siege is lifting: oil at 2.1 mbpd, SWIFT restored, $3.6B (first tranche of frozen assets) at Day 30, plus the remainder of the $5B mutual escrow already released on Day 7 and Day 15, and a fund both leaders control jointly.</w:t>
            </w:r>
          </w:p>
        </w:tc>
      </w:tr>
      <w:tr>
        <w:tc>
          <w:tcPr>
            <w:tcW w:w="2000" w:type="dxa"/>
          </w:tcPr>
          <w:p>
            <w:pPr>
              <w:pStyle w:val="Normal"/>
              <w:spacing w:before="40" w:after="40"/>
            </w:pPr>
            <w:r>
              <w:rPr>
                <w:color w:val="4A4A5A"/>
                <w:sz w:val="18"/>
                <w:rFonts w:ascii="Cambria" w:hAnsi="Cambria" w:eastAsia="Microsoft YaHei" w:cs="Cambria"/>
                <w:szCs w:val="18"/>
              </w:rPr>
              <w:t>Region</w:t>
            </w:r>
          </w:p>
        </w:tc>
        <w:tc>
          <w:tcPr>
            <w:tcW w:w="2000" w:type="dxa"/>
          </w:tcPr>
          <w:p>
            <w:pPr>
              <w:pStyle w:val="Normal"/>
              <w:spacing w:before="40" w:after="40"/>
            </w:pPr>
            <w:r>
              <w:rPr>
                <w:color w:val="4A4A5A"/>
                <w:sz w:val="18"/>
                <w:rFonts w:ascii="Cambria" w:hAnsi="Cambria" w:eastAsia="Microsoft YaHei" w:cs="Cambria"/>
                <w:szCs w:val="18"/>
              </w:rPr>
              <w:t>No legal linkage of Hormuz to Lebanon; no third-party military action can breach the deal; the Gulf states, Turkiye, China, and Russia endorse.</w:t>
            </w:r>
          </w:p>
        </w:tc>
        <w:tc>
          <w:tcPr>
            <w:tcW w:w="2000" w:type="dxa"/>
          </w:tcPr>
          <w:p>
            <w:pPr>
              <w:pStyle w:val="Normal"/>
              <w:spacing w:before="40" w:after="40"/>
            </w:pPr>
            <w:r>
              <w:rPr>
                <w:color w:val="4A4A5A"/>
                <w:sz w:val="18"/>
                <w:rFonts w:ascii="Cambria" w:hAnsi="Cambria" w:eastAsia="Microsoft YaHei" w:cs="Cambria"/>
                <w:szCs w:val="18"/>
              </w:rPr>
              <w:t>A region-wide ceasefire and a written door into talks on Lebanon and the wider conflict.</w:t>
            </w:r>
          </w:p>
        </w:tc>
      </w:tr>
      <w:tr>
        <w:tc>
          <w:tcPr>
            <w:tcW w:w="2000" w:type="dxa"/>
          </w:tcPr>
          <w:p>
            <w:pPr>
              <w:pStyle w:val="Normal"/>
              <w:spacing w:before="40" w:after="40"/>
            </w:pPr>
            <w:r>
              <w:rPr>
                <w:color w:val="4A4A5A"/>
                <w:sz w:val="18"/>
                <w:rFonts w:ascii="Cambria" w:hAnsi="Cambria" w:eastAsia="Microsoft YaHei" w:cs="Cambria"/>
                <w:szCs w:val="18"/>
              </w:rPr>
              <w:t>Enforcement</w:t>
            </w:r>
          </w:p>
        </w:tc>
        <w:tc>
          <w:tcPr>
            <w:tcW w:w="2000" w:type="dxa"/>
          </w:tcPr>
          <w:p>
            <w:pPr>
              <w:pStyle w:val="Normal"/>
              <w:spacing w:before="40" w:after="40"/>
            </w:pPr>
            <w:r>
              <w:rPr>
                <w:color w:val="4A4A5A"/>
                <w:sz w:val="18"/>
                <w:rFonts w:ascii="Cambria" w:hAnsi="Cambria" w:eastAsia="Microsoft YaHei" w:cs="Cambria"/>
                <w:szCs w:val="18"/>
              </w:rPr>
              <w:t>A 14-day exit ramp; graduated step-back means cheating costs Iran money quickly.</w:t>
            </w:r>
          </w:p>
        </w:tc>
        <w:tc>
          <w:tcPr>
            <w:tcW w:w="2000" w:type="dxa"/>
          </w:tcPr>
          <w:p>
            <w:pPr>
              <w:pStyle w:val="Normal"/>
              <w:spacing w:before="40" w:after="40"/>
            </w:pPr>
            <w:r>
              <w:rPr>
                <w:color w:val="4A4A5A"/>
                <w:sz w:val="18"/>
                <w:rFonts w:ascii="Cambria" w:hAnsi="Cambria" w:eastAsia="Microsoft YaHei" w:cs="Cambria"/>
                <w:szCs w:val="18"/>
              </w:rPr>
              <w:t>Step-back / earn-back and human review replace cliff-edge snapback; a fast lane rewards clean compliance.</w:t>
            </w:r>
          </w:p>
        </w:tc>
      </w:tr>
    </w:tbl>
    <w:p>
      <w:pPr>
        <w:pStyle w:val="Heading2"/>
      </w:pPr>
      <w:bookmarkStart w:name="_Toc005" w:id="5"/>
      <w:r>
        <w:rPr>
          <w:rFonts w:ascii="Cambria" w:hAnsi="Cambria" w:eastAsia="Microsoft YaHei" w:cs="Cambria"/>
          <w:b/>
          <w:color w:val="2D4A6F"/>
          <w:sz w:val="32"/>
          <w:szCs w:val="32"/>
        </w:rPr>
        <w:t>What Stays Parked, And Where It Goes</w:t>
      </w:r>
      <w:bookmarkEnd w:id="5"/>
    </w:p>
    <w:p>
      <w:pPr>
        <w:pStyle w:val="Normal"/>
      </w:pPr>
      <w:r>
        <w:rPr>
          <w:rFonts w:ascii="Cambria" w:hAnsi="Cambria" w:eastAsia="Microsoft YaHei" w:cs="Cambria"/>
          <w:color w:val="1A1A2E"/>
          <w:sz w:val="22"/>
          <w:szCs w:val="22"/>
        </w:rPr>
        <w:t>The maximalist ends of each position do not vanish; they relocate to phases built to carry them. Physical removal of material, the full duration of restrictions, regional normalization, and compensation questions all have a named home in Part B or Part C, with triggers that make progress automatic when compliance holds.</w:t>
      </w:r>
    </w:p>
    <w:p>
      <w:pPr>
        <w:pStyle w:val="Heading2"/>
      </w:pPr>
      <w:bookmarkStart w:name="_Toc006" w:id="6"/>
      <w:r>
        <w:rPr>
          <w:rFonts w:ascii="Cambria" w:hAnsi="Cambria" w:eastAsia="Microsoft YaHei" w:cs="Cambria"/>
          <w:b/>
          <w:color w:val="2D4A6F"/>
          <w:sz w:val="32"/>
          <w:szCs w:val="32"/>
        </w:rPr>
        <w:t>The Deal at a Glance</w:t>
      </w:r>
      <w:bookmarkEnd w:id="6"/>
    </w:p>
    <w:p>
      <w:pPr>
        <w:pStyle w:val="Normal"/>
      </w:pPr>
      <w:r>
        <w:rPr>
          <w:rFonts w:ascii="Cambria" w:hAnsi="Cambria" w:eastAsia="Microsoft YaHei" w:cs="Cambria"/>
          <w:color w:val="1A1A2E"/>
          <w:sz w:val="22"/>
          <w:szCs w:val="22"/>
        </w:rPr>
        <w:t>A plain-language control sheet for principals - no architecture, no legal prose. It changes no obligation; it shows what each side does, and what happens if either cheats.</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When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Iran Does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United States Does</w:t>
            </w:r>
          </w:p>
        </w:tc>
      </w:tr>
      <w:tr>
        <w:tc>
          <w:tcPr>
            <w:tcW w:w="2000" w:type="dxa"/>
          </w:tcPr>
          <w:p>
            <w:pPr>
              <w:pStyle w:val="Normal"/>
              <w:spacing w:before="40" w:after="40"/>
            </w:pPr>
            <w:r>
              <w:rPr>
                <w:color w:val="4A4A5A"/>
                <w:sz w:val="18"/>
                <w:rFonts w:ascii="Cambria" w:hAnsi="Cambria" w:eastAsia="Microsoft YaHei" w:cs="Cambria"/>
                <w:szCs w:val="18"/>
              </w:rPr>
              <w:t>Day 1</w:t>
            </w:r>
          </w:p>
        </w:tc>
        <w:tc>
          <w:tcPr>
            <w:tcW w:w="2000" w:type="dxa"/>
          </w:tcPr>
          <w:p>
            <w:pPr>
              <w:pStyle w:val="Normal"/>
              <w:spacing w:before="40" w:after="40"/>
            </w:pPr>
            <w:r>
              <w:rPr>
                <w:color w:val="4A4A5A"/>
                <w:sz w:val="18"/>
                <w:rFonts w:ascii="Cambria" w:hAnsi="Cambria" w:eastAsia="Microsoft YaHei" w:cs="Cambria"/>
                <w:szCs w:val="18"/>
              </w:rPr>
              <w:t>Caps enrichment at 3.67%; places the HEU stockpile under joint dual-lock</w:t>
            </w:r>
          </w:p>
        </w:tc>
        <w:tc>
          <w:tcPr>
            <w:tcW w:w="2000" w:type="dxa"/>
          </w:tcPr>
          <w:p>
            <w:pPr>
              <w:pStyle w:val="Normal"/>
              <w:spacing w:before="40" w:after="40"/>
            </w:pPr>
            <w:r>
              <w:rPr>
                <w:color w:val="4A4A5A"/>
                <w:sz w:val="18"/>
                <w:rFonts w:ascii="Cambria" w:hAnsi="Cambria" w:eastAsia="Microsoft YaHei" w:cs="Cambria"/>
                <w:szCs w:val="18"/>
              </w:rPr>
              <w:t>Places $5B in escrow - held, not released; issues oil and banking permits</w:t>
            </w:r>
          </w:p>
        </w:tc>
      </w:tr>
      <w:tr>
        <w:tc>
          <w:tcPr>
            <w:tcW w:w="2000" w:type="dxa"/>
          </w:tcPr>
          <w:p>
            <w:pPr>
              <w:pStyle w:val="Normal"/>
              <w:spacing w:before="40" w:after="40"/>
            </w:pPr>
            <w:r>
              <w:rPr>
                <w:color w:val="4A4A5A"/>
                <w:sz w:val="18"/>
                <w:rFonts w:ascii="Cambria" w:hAnsi="Cambria" w:eastAsia="Microsoft YaHei" w:cs="Cambria"/>
                <w:szCs w:val="18"/>
              </w:rPr>
              <w:t>Day 7</w:t>
            </w:r>
          </w:p>
        </w:tc>
        <w:tc>
          <w:tcPr>
            <w:tcW w:w="2000" w:type="dxa"/>
          </w:tcPr>
          <w:p>
            <w:pPr>
              <w:pStyle w:val="Normal"/>
              <w:spacing w:before="40" w:after="40"/>
            </w:pPr>
            <w:r>
              <w:rPr>
                <w:color w:val="4A4A5A"/>
                <w:sz w:val="18"/>
                <w:rFonts w:ascii="Cambria" w:hAnsi="Cambria" w:eastAsia="Microsoft YaHei" w:cs="Cambria"/>
                <w:szCs w:val="18"/>
              </w:rPr>
              <w:t>Clears mines; withdraws small craft from the corridor</w:t>
            </w:r>
          </w:p>
        </w:tc>
        <w:tc>
          <w:tcPr>
            <w:tcW w:w="2000" w:type="dxa"/>
          </w:tcPr>
          <w:p>
            <w:pPr>
              <w:pStyle w:val="Normal"/>
              <w:spacing w:before="40" w:after="40"/>
            </w:pPr>
            <w:r>
              <w:rPr>
                <w:color w:val="4A4A5A"/>
                <w:sz w:val="18"/>
                <w:rFonts w:ascii="Cambria" w:hAnsi="Cambria" w:eastAsia="Microsoft YaHei" w:cs="Cambria"/>
                <w:szCs w:val="18"/>
              </w:rPr>
              <w:t>Lifts the naval blockade in proportion; humanitarian micro-release begins</w:t>
            </w:r>
          </w:p>
        </w:tc>
      </w:tr>
      <w:tr>
        <w:tc>
          <w:tcPr>
            <w:tcW w:w="2000" w:type="dxa"/>
          </w:tcPr>
          <w:p>
            <w:pPr>
              <w:pStyle w:val="Normal"/>
              <w:spacing w:before="40" w:after="40"/>
            </w:pPr>
            <w:r>
              <w:rPr>
                <w:color w:val="4A4A5A"/>
                <w:sz w:val="18"/>
                <w:rFonts w:ascii="Cambria" w:hAnsi="Cambria" w:eastAsia="Microsoft YaHei" w:cs="Cambria"/>
                <w:szCs w:val="18"/>
              </w:rPr>
              <w:t>Day 30</w:t>
            </w:r>
          </w:p>
        </w:tc>
        <w:tc>
          <w:tcPr>
            <w:tcW w:w="2000" w:type="dxa"/>
          </w:tcPr>
          <w:p>
            <w:pPr>
              <w:pStyle w:val="Normal"/>
              <w:spacing w:before="40" w:after="40"/>
            </w:pPr>
            <w:r>
              <w:rPr>
                <w:color w:val="4A4A5A"/>
                <w:sz w:val="18"/>
                <w:rFonts w:ascii="Cambria" w:hAnsi="Cambria" w:eastAsia="Microsoft YaHei" w:cs="Cambria"/>
                <w:szCs w:val="18"/>
              </w:rPr>
              <w:t>Sustains verified compliance for 30 days</w:t>
            </w:r>
          </w:p>
        </w:tc>
        <w:tc>
          <w:tcPr>
            <w:tcW w:w="2000" w:type="dxa"/>
          </w:tcPr>
          <w:p>
            <w:pPr>
              <w:pStyle w:val="Normal"/>
              <w:spacing w:before="40" w:after="40"/>
            </w:pPr>
            <w:r>
              <w:rPr>
                <w:color w:val="4A4A5A"/>
                <w:sz w:val="18"/>
                <w:rFonts w:ascii="Cambria" w:hAnsi="Cambria" w:eastAsia="Microsoft YaHei" w:cs="Cambria"/>
                <w:szCs w:val="18"/>
              </w:rPr>
              <w:t>Releases the first $3.6B (15% of $24B); frozen-asset Tranche 1 flows</w:t>
            </w:r>
          </w:p>
        </w:tc>
      </w:tr>
      <w:tr>
        <w:tc>
          <w:tcPr>
            <w:tcW w:w="2000" w:type="dxa"/>
          </w:tcPr>
          <w:p>
            <w:pPr>
              <w:pStyle w:val="Normal"/>
              <w:spacing w:before="40" w:after="40"/>
            </w:pPr>
            <w:r>
              <w:rPr>
                <w:color w:val="4A4A5A"/>
                <w:sz w:val="18"/>
                <w:rFonts w:ascii="Cambria" w:hAnsi="Cambria" w:eastAsia="Microsoft YaHei" w:cs="Cambria"/>
                <w:szCs w:val="18"/>
              </w:rPr>
              <w:t>Day 60</w:t>
            </w:r>
          </w:p>
        </w:tc>
        <w:tc>
          <w:tcPr>
            <w:tcW w:w="2000" w:type="dxa"/>
          </w:tcPr>
          <w:p>
            <w:pPr>
              <w:pStyle w:val="Normal"/>
              <w:spacing w:before="40" w:after="40"/>
            </w:pPr>
            <w:r>
              <w:rPr>
                <w:color w:val="4A4A5A"/>
                <w:sz w:val="18"/>
                <w:rFonts w:ascii="Cambria" w:hAnsi="Cambria" w:eastAsia="Microsoft YaHei" w:cs="Cambria"/>
                <w:szCs w:val="18"/>
              </w:rPr>
              <w:t>Hits the disposition milestone (export underway or downblending at rate)</w:t>
            </w:r>
          </w:p>
        </w:tc>
        <w:tc>
          <w:tcPr>
            <w:tcW w:w="2000" w:type="dxa"/>
          </w:tcPr>
          <w:p>
            <w:pPr>
              <w:pStyle w:val="Normal"/>
              <w:spacing w:before="40" w:after="40"/>
            </w:pPr>
            <w:r>
              <w:rPr>
                <w:color w:val="4A4A5A"/>
                <w:sz w:val="18"/>
                <w:rFonts w:ascii="Cambria" w:hAnsi="Cambria" w:eastAsia="Microsoft YaHei" w:cs="Cambria"/>
                <w:szCs w:val="18"/>
              </w:rPr>
              <w:t>Good-faith fast lane opens; structural-relief track converts</w:t>
            </w:r>
          </w:p>
        </w:tc>
      </w:tr>
    </w:tbl>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If a Party Cheats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What Happens</w:t>
            </w:r>
          </w:p>
        </w:tc>
      </w:tr>
      <w:tr>
        <w:tc>
          <w:tcPr>
            <w:tcW w:w="2000" w:type="dxa"/>
          </w:tcPr>
          <w:p>
            <w:pPr>
              <w:pStyle w:val="Normal"/>
              <w:spacing w:before="40" w:after="40"/>
            </w:pPr>
            <w:r>
              <w:rPr>
                <w:color w:val="4A4A5A"/>
                <w:sz w:val="18"/>
                <w:rFonts w:ascii="Cambria" w:hAnsi="Cambria" w:eastAsia="Microsoft YaHei" w:cs="Cambria"/>
                <w:szCs w:val="18"/>
              </w:rPr>
              <w:t>If Iran cheats</w:t>
            </w:r>
          </w:p>
        </w:tc>
        <w:tc>
          <w:tcPr>
            <w:tcW w:w="2000" w:type="dxa"/>
          </w:tcPr>
          <w:p>
            <w:pPr>
              <w:pStyle w:val="Normal"/>
              <w:spacing w:before="40" w:after="40"/>
            </w:pPr>
            <w:r>
              <w:rPr>
                <w:color w:val="4A4A5A"/>
                <w:sz w:val="18"/>
                <w:rFonts w:ascii="Cambria" w:hAnsi="Cambria" w:eastAsia="Microsoft YaHei" w:cs="Cambria"/>
                <w:szCs w:val="18"/>
              </w:rPr>
              <w:t>Benefits step back gradually in proportion to the violation - no automatic cut-off; Iran earns them back on clean compliance; the United States retains the right to exit on 14 days' notice.</w:t>
            </w:r>
          </w:p>
        </w:tc>
      </w:tr>
      <w:tr>
        <w:tc>
          <w:tcPr>
            <w:tcW w:w="2000" w:type="dxa"/>
          </w:tcPr>
          <w:p>
            <w:pPr>
              <w:pStyle w:val="Normal"/>
              <w:spacing w:before="40" w:after="40"/>
            </w:pPr>
            <w:r>
              <w:rPr>
                <w:color w:val="4A4A5A"/>
                <w:sz w:val="18"/>
                <w:rFonts w:ascii="Cambria" w:hAnsi="Cambria" w:eastAsia="Microsoft YaHei" w:cs="Cambria"/>
                <w:szCs w:val="18"/>
              </w:rPr>
              <w:t>If the United States cheats</w:t>
            </w:r>
          </w:p>
        </w:tc>
        <w:tc>
          <w:tcPr>
            <w:tcW w:w="2000" w:type="dxa"/>
          </w:tcPr>
          <w:p>
            <w:pPr>
              <w:pStyle w:val="Normal"/>
              <w:spacing w:before="40" w:after="40"/>
            </w:pPr>
            <w:r>
              <w:rPr>
                <w:color w:val="4A4A5A"/>
                <w:sz w:val="18"/>
                <w:rFonts w:ascii="Cambria" w:hAnsi="Cambria" w:eastAsia="Microsoft YaHei" w:cs="Cambria"/>
                <w:szCs w:val="18"/>
              </w:rPr>
              <w:t>Iran steps back its own cooperation in proportion; the exit ramp is equally available to Iran; humanitarian flows and oil continue either way.</w:t>
            </w:r>
          </w:p>
        </w:tc>
      </w:tr>
    </w:tbl>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The one-sentence version: Iran neutralizes its weapons-usable uranium and opens the strait; the United States lets the oil and money flow on a verified, reversible schedule; no cash moves on Day 1; and either side retains the right to walk away in an orderly way if the other breaks faith.</w:t>
      </w:r>
    </w:p>
    <w:p>
      <w:pPr>
        <w:pStyle w:val="Heading1"/>
      </w:pPr>
      <w:bookmarkStart w:name="_Toc007" w:id="7"/>
      <w:r>
        <w:rPr>
          <w:rFonts w:ascii="Cambria" w:hAnsi="Cambria" w:eastAsia="Microsoft YaHei" w:cs="Cambria"/>
          <w:b/>
          <w:color w:val="1A2744"/>
          <w:sz w:val="48"/>
          <w:szCs w:val="48"/>
        </w:rPr>
        <w:t>Part 0 - The Bridging Logic: Closing the Five Remaining Gaps</w:t>
      </w:r>
      <w:bookmarkEnd w:id="7"/>
    </w:p>
    <w:p>
      <w:pPr>
        <w:pStyle w:val="Normal"/>
      </w:pPr>
      <w:r>
        <w:rPr>
          <w:rFonts w:ascii="Cambria" w:hAnsi="Cambria" w:eastAsia="Microsoft YaHei" w:cs="Cambria"/>
          <w:color w:val="1A1A2E"/>
          <w:sz w:val="22"/>
          <w:szCs w:val="22"/>
        </w:rPr>
        <w:t>The negotiation record shows agreement on the shape of a deal and deadlock on five mechanisms. This Part states each gap as the Parties state it, then shows the single mechanism that lets both sides hold their line. Each mechanism is operationalized in full later in this instrument; the cross-reference appears beside it.</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Gap</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Bridging Mechanism</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Operationalized In</w:t>
            </w:r>
          </w:p>
        </w:tc>
      </w:tr>
      <w:tr>
        <w:tc>
          <w:tcPr>
            <w:tcW w:w="2000" w:type="dxa"/>
          </w:tcPr>
          <w:p>
            <w:pPr>
              <w:pStyle w:val="Normal"/>
              <w:spacing w:before="40" w:after="40"/>
            </w:pPr>
            <w:r>
              <w:rPr>
                <w:color w:val="4A4A5A"/>
                <w:sz w:val="18"/>
                <w:rFonts w:ascii="Cambria" w:hAnsi="Cambria" w:eastAsia="Microsoft YaHei" w:cs="Cambria"/>
                <w:szCs w:val="18"/>
              </w:rPr>
              <w:t>1. Enriched-uranium stockpile</w:t>
            </w:r>
          </w:p>
        </w:tc>
        <w:tc>
          <w:tcPr>
            <w:tcW w:w="2000" w:type="dxa"/>
          </w:tcPr>
          <w:p>
            <w:pPr>
              <w:pStyle w:val="Normal"/>
              <w:spacing w:before="40" w:after="40"/>
            </w:pPr>
            <w:r>
              <w:rPr>
                <w:color w:val="4A4A5A"/>
                <w:sz w:val="18"/>
                <w:rFonts w:ascii="Cambria" w:hAnsi="Cambria" w:eastAsia="Microsoft YaHei" w:cs="Cambria"/>
                <w:szCs w:val="18"/>
              </w:rPr>
              <w:t>Export off Iranian soil by default; in-country only under joint dual-key custody; $1B fund + per-kg incentive; seven-pathway menu including fertilizer (Pathway W).</w:t>
            </w:r>
          </w:p>
        </w:tc>
        <w:tc>
          <w:tcPr>
            <w:tcW w:w="2000" w:type="dxa"/>
          </w:tcPr>
          <w:p>
            <w:pPr>
              <w:pStyle w:val="Normal"/>
              <w:spacing w:before="40" w:after="40"/>
            </w:pPr>
            <w:r>
              <w:rPr>
                <w:color w:val="4A4A5A"/>
                <w:sz w:val="18"/>
                <w:rFonts w:ascii="Cambria" w:hAnsi="Cambria" w:eastAsia="Microsoft YaHei" w:cs="Cambria"/>
                <w:szCs w:val="18"/>
              </w:rPr>
              <w:t>Part B-1; Annexes O, P, V, Y, Z</w:t>
            </w:r>
          </w:p>
        </w:tc>
      </w:tr>
      <w:tr>
        <w:tc>
          <w:tcPr>
            <w:tcW w:w="2000" w:type="dxa"/>
          </w:tcPr>
          <w:p>
            <w:pPr>
              <w:pStyle w:val="Normal"/>
              <w:spacing w:before="40" w:after="40"/>
            </w:pPr>
            <w:r>
              <w:rPr>
                <w:color w:val="4A4A5A"/>
                <w:sz w:val="18"/>
                <w:rFonts w:ascii="Cambria" w:hAnsi="Cambria" w:eastAsia="Microsoft YaHei" w:cs="Cambria"/>
                <w:szCs w:val="18"/>
              </w:rPr>
              <w:t>2. Sequencing of relief</w:t>
            </w:r>
          </w:p>
        </w:tc>
        <w:tc>
          <w:tcPr>
            <w:tcW w:w="2000" w:type="dxa"/>
          </w:tcPr>
          <w:p>
            <w:pPr>
              <w:pStyle w:val="Normal"/>
              <w:spacing w:before="40" w:after="40"/>
            </w:pPr>
            <w:r>
              <w:rPr>
                <w:color w:val="4A4A5A"/>
                <w:sz w:val="18"/>
                <w:rFonts w:ascii="Cambria" w:hAnsi="Cambria" w:eastAsia="Microsoft YaHei" w:cs="Cambria"/>
                <w:szCs w:val="18"/>
              </w:rPr>
              <w:t>Synchronized Reciprocal Motion: 15-day micro-cycles pairing each nuclear step with a relief tranche.</w:t>
            </w:r>
          </w:p>
        </w:tc>
        <w:tc>
          <w:tcPr>
            <w:tcW w:w="2000" w:type="dxa"/>
          </w:tcPr>
          <w:p>
            <w:pPr>
              <w:pStyle w:val="Normal"/>
              <w:spacing w:before="40" w:after="40"/>
            </w:pPr>
            <w:r>
              <w:rPr>
                <w:color w:val="4A4A5A"/>
                <w:sz w:val="18"/>
                <w:rFonts w:ascii="Cambria" w:hAnsi="Cambria" w:eastAsia="Microsoft YaHei" w:cs="Cambria"/>
                <w:szCs w:val="18"/>
              </w:rPr>
              <w:t>Part A Art. 5; Part B; Annex S</w:t>
            </w:r>
          </w:p>
        </w:tc>
      </w:tr>
      <w:tr>
        <w:tc>
          <w:tcPr>
            <w:tcW w:w="2000" w:type="dxa"/>
          </w:tcPr>
          <w:p>
            <w:pPr>
              <w:pStyle w:val="Normal"/>
              <w:spacing w:before="40" w:after="40"/>
            </w:pPr>
            <w:r>
              <w:rPr>
                <w:color w:val="4A4A5A"/>
                <w:sz w:val="18"/>
                <w:rFonts w:ascii="Cambria" w:hAnsi="Cambria" w:eastAsia="Microsoft YaHei" w:cs="Cambria"/>
                <w:szCs w:val="18"/>
              </w:rPr>
              <w:t>3. Frozen-funds mechanism</w:t>
            </w:r>
          </w:p>
        </w:tc>
        <w:tc>
          <w:tcPr>
            <w:tcW w:w="2000" w:type="dxa"/>
          </w:tcPr>
          <w:p>
            <w:pPr>
              <w:pStyle w:val="Normal"/>
              <w:spacing w:before="40" w:after="40"/>
            </w:pPr>
            <w:r>
              <w:rPr>
                <w:color w:val="4A4A5A"/>
                <w:sz w:val="18"/>
                <w:rFonts w:ascii="Cambria" w:hAnsi="Cambria" w:eastAsia="Microsoft YaHei" w:cs="Cambria"/>
                <w:szCs w:val="18"/>
              </w:rPr>
              <w:t>Neutral Swiss-Omani escrow; $5B placed as mutual goodwill deposit with tranched release starting Day 7; front-loaded but reversible asset schedule; step-back / earn-back.</w:t>
            </w:r>
          </w:p>
        </w:tc>
        <w:tc>
          <w:tcPr>
            <w:tcW w:w="2000" w:type="dxa"/>
          </w:tcPr>
          <w:p>
            <w:pPr>
              <w:pStyle w:val="Normal"/>
              <w:spacing w:before="40" w:after="40"/>
            </w:pPr>
            <w:r>
              <w:rPr>
                <w:color w:val="4A4A5A"/>
                <w:sz w:val="18"/>
                <w:rFonts w:ascii="Cambria" w:hAnsi="Cambria" w:eastAsia="Microsoft YaHei" w:cs="Cambria"/>
                <w:szCs w:val="18"/>
              </w:rPr>
              <w:t>Part A Art. 5; Annex T</w:t>
            </w:r>
          </w:p>
        </w:tc>
      </w:tr>
      <w:tr>
        <w:tc>
          <w:tcPr>
            <w:tcW w:w="2000" w:type="dxa"/>
          </w:tcPr>
          <w:p>
            <w:pPr>
              <w:pStyle w:val="Normal"/>
              <w:spacing w:before="40" w:after="40"/>
            </w:pPr>
            <w:r>
              <w:rPr>
                <w:color w:val="4A4A5A"/>
                <w:sz w:val="18"/>
                <w:rFonts w:ascii="Cambria" w:hAnsi="Cambria" w:eastAsia="Microsoft YaHei" w:cs="Cambria"/>
                <w:szCs w:val="18"/>
              </w:rPr>
              <w:t>4. Control of Hormuz</w:t>
            </w:r>
          </w:p>
        </w:tc>
        <w:tc>
          <w:tcPr>
            <w:tcW w:w="2000" w:type="dxa"/>
          </w:tcPr>
          <w:p>
            <w:pPr>
              <w:pStyle w:val="Normal"/>
              <w:spacing w:before="40" w:after="40"/>
            </w:pPr>
            <w:r>
              <w:rPr>
                <w:color w:val="4A4A5A"/>
                <w:sz w:val="18"/>
                <w:rFonts w:ascii="Cambria" w:hAnsi="Cambria" w:eastAsia="Microsoft YaHei" w:cs="Cambria"/>
                <w:szCs w:val="18"/>
              </w:rPr>
              <w:t>Freedom-of-navigation guarantee with zero tolls and no Iranian authority; coastal-state statement; fund pays for services.</w:t>
            </w:r>
          </w:p>
        </w:tc>
        <w:tc>
          <w:tcPr>
            <w:tcW w:w="2000" w:type="dxa"/>
          </w:tcPr>
          <w:p>
            <w:pPr>
              <w:pStyle w:val="Normal"/>
              <w:spacing w:before="40" w:after="40"/>
            </w:pPr>
            <w:r>
              <w:rPr>
                <w:color w:val="4A4A5A"/>
                <w:sz w:val="18"/>
                <w:rFonts w:ascii="Cambria" w:hAnsi="Cambria" w:eastAsia="Microsoft YaHei" w:cs="Cambria"/>
                <w:szCs w:val="18"/>
              </w:rPr>
              <w:t>Part B-2; Annexes N, N.a, W</w:t>
            </w:r>
          </w:p>
        </w:tc>
      </w:tr>
      <w:tr>
        <w:tc>
          <w:tcPr>
            <w:tcW w:w="2000" w:type="dxa"/>
          </w:tcPr>
          <w:p>
            <w:pPr>
              <w:pStyle w:val="Normal"/>
              <w:spacing w:before="40" w:after="40"/>
            </w:pPr>
            <w:r>
              <w:rPr>
                <w:color w:val="4A4A5A"/>
                <w:sz w:val="18"/>
                <w:rFonts w:ascii="Cambria" w:hAnsi="Cambria" w:eastAsia="Microsoft YaHei" w:cs="Cambria"/>
                <w:szCs w:val="18"/>
              </w:rPr>
              <w:t>5. Lebanon / regional linkage</w:t>
            </w:r>
          </w:p>
        </w:tc>
        <w:tc>
          <w:tcPr>
            <w:tcW w:w="2000" w:type="dxa"/>
          </w:tcPr>
          <w:p>
            <w:pPr>
              <w:pStyle w:val="Normal"/>
              <w:spacing w:before="40" w:after="40"/>
            </w:pPr>
            <w:r>
              <w:rPr>
                <w:color w:val="4A4A5A"/>
                <w:sz w:val="18"/>
                <w:rFonts w:ascii="Cambria" w:hAnsi="Cambria" w:eastAsia="Microsoft YaHei" w:cs="Cambria"/>
                <w:szCs w:val="18"/>
              </w:rPr>
              <w:t>Decoupled instruments moving together: no legal linkage, parallel rolling ceasefire, third-party non-liability, scheduled Phase III talks.</w:t>
            </w:r>
          </w:p>
        </w:tc>
        <w:tc>
          <w:tcPr>
            <w:tcW w:w="2000" w:type="dxa"/>
          </w:tcPr>
          <w:p>
            <w:pPr>
              <w:pStyle w:val="Normal"/>
              <w:spacing w:before="40" w:after="40"/>
            </w:pPr>
            <w:r>
              <w:rPr>
                <w:color w:val="4A4A5A"/>
                <w:sz w:val="18"/>
                <w:rFonts w:ascii="Cambria" w:hAnsi="Cambria" w:eastAsia="Microsoft YaHei" w:cs="Cambria"/>
                <w:szCs w:val="18"/>
              </w:rPr>
              <w:t>Part 0; Part C-3; Annexes M, U</w:t>
            </w:r>
          </w:p>
        </w:tc>
      </w:tr>
    </w:tbl>
    <w:p>
      <w:pPr>
        <w:pStyle w:val="Heading2"/>
      </w:pPr>
      <w:bookmarkStart w:name="_Toc008" w:id="8"/>
      <w:r>
        <w:rPr>
          <w:rFonts w:ascii="Cambria" w:hAnsi="Cambria" w:eastAsia="Microsoft YaHei" w:cs="Cambria"/>
          <w:b/>
          <w:color w:val="2D4A6F"/>
          <w:sz w:val="32"/>
          <w:szCs w:val="32"/>
        </w:rPr>
        <w:t>Gap 1 - The Enriched-Uranium Stockpile</w:t>
      </w:r>
      <w:bookmarkEnd w:id="8"/>
    </w:p>
    <w:p>
      <w:pPr>
        <w:pStyle w:val="Heading3"/>
      </w:pPr>
      <w:bookmarkStart w:name="_Toc009" w:id="9"/>
      <w:r>
        <w:rPr>
          <w:rFonts w:ascii="Cambria" w:hAnsi="Cambria" w:eastAsia="Microsoft YaHei" w:cs="Cambria"/>
          <w:b/>
          <w:color w:val="1A1A2E"/>
          <w:sz w:val="26"/>
          <w:szCs w:val="26"/>
        </w:rPr>
        <w:t>The Collision</w:t>
      </w:r>
      <w:bookmarkEnd w:id="9"/>
    </w:p>
    <w:p>
      <w:pPr>
        <w:pStyle w:val="Normal"/>
      </w:pPr>
      <w:r>
        <w:rPr>
          <w:rFonts w:ascii="Cambria" w:hAnsi="Cambria" w:eastAsia="Microsoft YaHei" w:cs="Cambria"/>
          <w:color w:val="1A1A2E"/>
          <w:sz w:val="22"/>
          <w:szCs w:val="22"/>
        </w:rPr>
        <w:t>The United States requires that the 60% highly enriched uranium be removed and the program rolled back. Iran's Supreme Leader has forbidden the material from leaving the country. As written, one demand cancels the other.</w:t>
      </w:r>
    </w:p>
    <w:p>
      <w:pPr>
        <w:pStyle w:val="Heading3"/>
      </w:pPr>
      <w:bookmarkStart w:name="_Toc010" w:id="10"/>
      <w:r>
        <w:rPr>
          <w:rFonts w:ascii="Cambria" w:hAnsi="Cambria" w:eastAsia="Microsoft YaHei" w:cs="Cambria"/>
          <w:b/>
          <w:color w:val="1A1A2E"/>
          <w:sz w:val="26"/>
          <w:szCs w:val="26"/>
        </w:rPr>
        <w:t>The Bridge</w:t>
      </w:r>
      <w:bookmarkEnd w:id="10"/>
    </w:p>
    <w:p>
      <w:pPr>
        <w:pStyle w:val="Normal"/>
      </w:pPr>
      <w:r>
        <w:rPr>
          <w:rFonts w:ascii="Cambria" w:hAnsi="Cambria" w:eastAsia="Microsoft YaHei" w:cs="Cambria"/>
          <w:color w:val="1A1A2E"/>
          <w:sz w:val="22"/>
          <w:szCs w:val="22"/>
        </w:rPr>
        <w:t>Removal is redefined from a question of geography to one of usability. By default the material neutralizes in-country under the Dual-Key Custody Protocol (Annex Y) - IAEA and U.S.-designated locks jointly control it, with no Iranian unilateral access and no route to re-enrich - and, absent another choice, becomes irreversible fertilizer by Day 730 (Pathway W). The fatwa holds: the material does not leave Iran unless Iran itself elects the optional, consensual export lane to Oman. Either way, the outcome the United States needs holds: no weapons-usable material remains under Iran's sole control, and the United States holds one of the two keys to anything that stays intact.</w:t>
      </w:r>
    </w:p>
    <w:p>
      <w:pPr>
        <w:pStyle w:val="Heading3"/>
      </w:pPr>
      <w:bookmarkStart w:name="_Toc011" w:id="11"/>
      <w:r>
        <w:rPr>
          <w:rFonts w:ascii="Cambria" w:hAnsi="Cambria" w:eastAsia="Microsoft YaHei" w:cs="Cambria"/>
          <w:b/>
          <w:color w:val="1A1A2E"/>
          <w:sz w:val="26"/>
          <w:szCs w:val="26"/>
        </w:rPr>
        <w:t>The Face-Savers</w:t>
      </w:r>
      <w:bookmarkEnd w:id="11"/>
    </w:p>
    <w:p>
      <w:pPr>
        <w:pStyle w:val="Normal"/>
      </w:pPr>
      <w:r>
        <w:rPr>
          <w:rFonts w:ascii="Cambria" w:hAnsi="Cambria" w:eastAsia="Microsoft YaHei" w:cs="Cambria"/>
          <w:color w:val="1A1A2E"/>
          <w:sz w:val="22"/>
          <w:szCs w:val="22"/>
        </w:rPr>
        <w:t>Seven pathways exist, not one (Annex Z), including the irreversible fertilizer route of Pathway W. For a negotiator who needs the optics of retention, the in-country dual-key route preserves sovereign geography while satisfying the demand for effective external control. If Iran selects no pathway by Day 180, in-country downblending activates automatically with no penalty. A $1B Joint Disposition Fund, co-funded equally, rewards verified progress on any pathway, so a mutually acceptable disposition is the financially favored choice. Each capital selects the language its audience needs while the verified outcome is identical.</w:t>
      </w:r>
    </w:p>
    <w:p>
      <w:pPr>
        <w:pStyle w:val="Heading2"/>
      </w:pPr>
      <w:bookmarkStart w:name="_Toc012" w:id="12"/>
      <w:r>
        <w:rPr>
          <w:rFonts w:ascii="Cambria" w:hAnsi="Cambria" w:eastAsia="Microsoft YaHei" w:cs="Cambria"/>
          <w:b/>
          <w:color w:val="2D4A6F"/>
          <w:sz w:val="32"/>
          <w:szCs w:val="32"/>
        </w:rPr>
        <w:t>Gap 2 - The Sequencing of Sanctions Relief</w:t>
      </w:r>
      <w:bookmarkEnd w:id="12"/>
    </w:p>
    <w:p>
      <w:pPr>
        <w:pStyle w:val="Heading3"/>
      </w:pPr>
      <w:bookmarkStart w:name="_Toc013" w:id="13"/>
      <w:r>
        <w:rPr>
          <w:rFonts w:ascii="Cambria" w:hAnsi="Cambria" w:eastAsia="Microsoft YaHei" w:cs="Cambria"/>
          <w:b/>
          <w:color w:val="1A1A2E"/>
          <w:sz w:val="26"/>
          <w:szCs w:val="26"/>
        </w:rPr>
        <w:t>The Collision</w:t>
      </w:r>
      <w:bookmarkEnd w:id="13"/>
    </w:p>
    <w:p>
      <w:pPr>
        <w:pStyle w:val="Normal"/>
      </w:pPr>
      <w:r>
        <w:rPr>
          <w:rFonts w:ascii="Cambria" w:hAnsi="Cambria" w:eastAsia="Microsoft YaHei" w:cs="Cambria"/>
          <w:color w:val="1A1A2E"/>
          <w:sz w:val="22"/>
          <w:szCs w:val="22"/>
        </w:rPr>
        <w:t>Iran requires process certainty - relief it predicts and defends at home. The United States requires that no value moves ahead of verified performance, and that everything stays reversible.</w:t>
      </w:r>
    </w:p>
    <w:p>
      <w:pPr>
        <w:pStyle w:val="Heading3"/>
      </w:pPr>
      <w:bookmarkStart w:name="_Toc014" w:id="14"/>
      <w:r>
        <w:rPr>
          <w:rFonts w:ascii="Cambria" w:hAnsi="Cambria" w:eastAsia="Microsoft YaHei" w:cs="Cambria"/>
          <w:b/>
          <w:color w:val="1A1A2E"/>
          <w:sz w:val="26"/>
          <w:szCs w:val="26"/>
        </w:rPr>
        <w:t>The Bridge</w:t>
      </w:r>
      <w:bookmarkEnd w:id="14"/>
    </w:p>
    <w:p>
      <w:pPr>
        <w:pStyle w:val="Normal"/>
      </w:pPr>
      <w:r>
        <w:rPr>
          <w:rFonts w:ascii="Cambria" w:hAnsi="Cambria" w:eastAsia="Microsoft YaHei" w:cs="Cambria"/>
          <w:color w:val="1A1A2E"/>
          <w:sz w:val="22"/>
          <w:szCs w:val="22"/>
        </w:rPr>
        <w:t>Synchronized Reciprocal Motion, executed through the 15-Day Micro-Cycle engine (Part B) and the 60-Day Reciprocal Sequencing Schedule (Annex S). Neither Party is ever exposed to more than fifteen days of unreciprocated compliance. Each nuclear deliverable pairs with a defined relief tranche; a Compliance Cycle Release Certificate authorizes each disbursement. Iran reads the entire schedule in advance - the certainty it needs - while every release remains gated on an IAEA certificate - the conditionality the United States needs.</w:t>
      </w:r>
    </w:p>
    <w:p>
      <w:pPr>
        <w:pStyle w:val="Heading2"/>
      </w:pPr>
      <w:bookmarkStart w:name="_Toc015" w:id="15"/>
      <w:r>
        <w:rPr>
          <w:rFonts w:ascii="Cambria" w:hAnsi="Cambria" w:eastAsia="Microsoft YaHei" w:cs="Cambria"/>
          <w:b/>
          <w:color w:val="2D4A6F"/>
          <w:sz w:val="32"/>
          <w:szCs w:val="32"/>
        </w:rPr>
        <w:t>Gap 3 - The Frozen-Funds Mechanism</w:t>
      </w:r>
      <w:bookmarkEnd w:id="15"/>
    </w:p>
    <w:p>
      <w:pPr>
        <w:pStyle w:val="Heading3"/>
      </w:pPr>
      <w:bookmarkStart w:name="_Toc016" w:id="16"/>
      <w:r>
        <w:rPr>
          <w:rFonts w:ascii="Cambria" w:hAnsi="Cambria" w:eastAsia="Microsoft YaHei" w:cs="Cambria"/>
          <w:b/>
          <w:color w:val="1A1A2E"/>
          <w:sz w:val="26"/>
          <w:szCs w:val="26"/>
        </w:rPr>
        <w:t>The Collision</w:t>
      </w:r>
      <w:bookmarkEnd w:id="16"/>
    </w:p>
    <w:p>
      <w:pPr>
        <w:pStyle w:val="Normal"/>
      </w:pPr>
      <w:r>
        <w:rPr>
          <w:rFonts w:ascii="Cambria" w:hAnsi="Cambria" w:eastAsia="Microsoft YaHei" w:cs="Cambria"/>
          <w:color w:val="1A1A2E"/>
          <w:sz w:val="22"/>
          <w:szCs w:val="22"/>
        </w:rPr>
        <w:t>Iran requires release of its frozen assets. The United States refuses to hand over cash before the agreement is signed and performing, and rejects anything resembling the cash transfers of the prior deal.</w:t>
      </w:r>
    </w:p>
    <w:p>
      <w:pPr>
        <w:pStyle w:val="Heading3"/>
      </w:pPr>
      <w:bookmarkStart w:name="_Toc017" w:id="17"/>
      <w:r>
        <w:rPr>
          <w:rFonts w:ascii="Cambria" w:hAnsi="Cambria" w:eastAsia="Microsoft YaHei" w:cs="Cambria"/>
          <w:b/>
          <w:color w:val="1A1A2E"/>
          <w:sz w:val="26"/>
          <w:szCs w:val="26"/>
        </w:rPr>
        <w:t>The Bridge</w:t>
      </w:r>
      <w:bookmarkEnd w:id="17"/>
    </w:p>
    <w:p>
      <w:pPr>
        <w:pStyle w:val="Normal"/>
      </w:pPr>
      <w:r>
        <w:rPr>
          <w:rFonts w:ascii="Cambria" w:hAnsi="Cambria" w:eastAsia="Microsoft YaHei" w:cs="Cambria"/>
          <w:color w:val="1A1A2E"/>
          <w:sz w:val="22"/>
          <w:szCs w:val="22"/>
        </w:rPr>
        <w:t>A neutral Swiss-Omani escrow, never a U.S. transfer. No cash moves on Day 1: a $5B mutual escrow deposit releases in tranches starting at Day 7, and frozen assets follow a front-loaded but fully reversible schedule - 15% at Day 30, 30% by Day 60, 45% by Day 180, 65% by Day 360, and 100% only at Month 24. The United States describes narrow, reversible escrow steps rather than a cash gift; Iran describes economic relief earned by performance, with a $50M discretionary fund and a good-faith fast lane that releases the next tranche early for sustained clean compliance. Humanitarian-badged funds pass a one-way firewall and never reverse; everything else answers to step-back and earn-back, never a cliff-edge cut-off.</w:t>
      </w:r>
    </w:p>
    <w:p>
      <w:pPr>
        <w:pStyle w:val="Heading2"/>
      </w:pPr>
      <w:bookmarkStart w:name="_Toc018" w:id="18"/>
      <w:r>
        <w:rPr>
          <w:rFonts w:ascii="Cambria" w:hAnsi="Cambria" w:eastAsia="Microsoft YaHei" w:cs="Cambria"/>
          <w:b/>
          <w:color w:val="2D4A6F"/>
          <w:sz w:val="32"/>
          <w:szCs w:val="32"/>
        </w:rPr>
        <w:t>Gap 4 - Control of the Strait of Hormuz</w:t>
      </w:r>
      <w:bookmarkEnd w:id="18"/>
    </w:p>
    <w:p>
      <w:pPr>
        <w:pStyle w:val="Heading3"/>
      </w:pPr>
      <w:bookmarkStart w:name="_Toc019" w:id="19"/>
      <w:r>
        <w:rPr>
          <w:rFonts w:ascii="Cambria" w:hAnsi="Cambria" w:eastAsia="Microsoft YaHei" w:cs="Cambria"/>
          <w:b/>
          <w:color w:val="1A1A2E"/>
          <w:sz w:val="26"/>
          <w:szCs w:val="26"/>
        </w:rPr>
        <w:t>The Collision</w:t>
      </w:r>
      <w:bookmarkEnd w:id="19"/>
    </w:p>
    <w:p>
      <w:pPr>
        <w:pStyle w:val="Normal"/>
      </w:pPr>
      <w:r>
        <w:rPr>
          <w:rFonts w:ascii="Cambria" w:hAnsi="Cambria" w:eastAsia="Microsoft YaHei" w:cs="Cambria"/>
          <w:color w:val="1A1A2E"/>
          <w:sz w:val="22"/>
          <w:szCs w:val="22"/>
        </w:rPr>
        <w:t>The United States requires full freedom of navigation - no Iranian tolls, checkpoints, or management authority. Iran treats the strait as sovereign and requires management standing and revenue.</w:t>
      </w:r>
    </w:p>
    <w:p>
      <w:pPr>
        <w:pStyle w:val="Heading3"/>
      </w:pPr>
      <w:bookmarkStart w:name="_Toc020" w:id="20"/>
      <w:r>
        <w:rPr>
          <w:rFonts w:ascii="Cambria" w:hAnsi="Cambria" w:eastAsia="Microsoft YaHei" w:cs="Cambria"/>
          <w:b/>
          <w:color w:val="1A1A2E"/>
          <w:sz w:val="26"/>
          <w:szCs w:val="26"/>
        </w:rPr>
        <w:t>The Bridge</w:t>
      </w:r>
      <w:bookmarkEnd w:id="20"/>
    </w:p>
    <w:p>
      <w:pPr>
        <w:pStyle w:val="Normal"/>
      </w:pPr>
      <w:r>
        <w:rPr>
          <w:rFonts w:ascii="Cambria" w:hAnsi="Cambria" w:eastAsia="Microsoft YaHei" w:cs="Cambria"/>
          <w:color w:val="1A1A2E"/>
          <w:sz w:val="22"/>
          <w:szCs w:val="22"/>
        </w:rPr>
        <w:t>A freedom-of-navigation guarantee with zero tolls (Part B-2). No vessel is halted, boarded, delayed, or denied passage over a fee, and no Iranian toll, checkpoint, or management authority exists at all. The Non-Interdiction Protocol (Annex N) and its Backdoor-Closure enforcement (Annex N.a) guarantee free passage; a Maritime Stability Board in Muscat takes notifications but holds no regulatory power. Iran's face-savers are deliberately non-operational: a Sovereign Coastal Statement acknowledges its coastal-state position under the law of the sea, its territorial authority (the PGSA) is recognized only within 12 nautical miles and never over the corridor, and a Multilateral Maritime Maintenance Fund reimburses Iran for verified services it performs - value for work, never a toll. The United States gets an open international waterway; Iran gets standing and payment for services without a cent of tribute.</w:t>
      </w:r>
    </w:p>
    <w:p>
      <w:pPr>
        <w:pStyle w:val="Heading2"/>
      </w:pPr>
      <w:bookmarkStart w:name="_Toc021" w:id="21"/>
      <w:r>
        <w:rPr>
          <w:rFonts w:ascii="Cambria" w:hAnsi="Cambria" w:eastAsia="Microsoft YaHei" w:cs="Cambria"/>
          <w:b/>
          <w:color w:val="2D4A6F"/>
          <w:sz w:val="32"/>
          <w:szCs w:val="32"/>
        </w:rPr>
        <w:t>Gap 5 - The Lebanon and Regional Linkage</w:t>
      </w:r>
      <w:bookmarkEnd w:id="21"/>
    </w:p>
    <w:p>
      <w:pPr>
        <w:pStyle w:val="Heading3"/>
      </w:pPr>
      <w:bookmarkStart w:name="_Toc022" w:id="22"/>
      <w:r>
        <w:rPr>
          <w:rFonts w:ascii="Cambria" w:hAnsi="Cambria" w:eastAsia="Microsoft YaHei" w:cs="Cambria"/>
          <w:b/>
          <w:color w:val="1A1A2E"/>
          <w:sz w:val="26"/>
          <w:szCs w:val="26"/>
        </w:rPr>
        <w:t>The Collision</w:t>
      </w:r>
      <w:bookmarkEnd w:id="22"/>
    </w:p>
    <w:p>
      <w:pPr>
        <w:pStyle w:val="Normal"/>
      </w:pPr>
      <w:r>
        <w:rPr>
          <w:rFonts w:ascii="Cambria" w:hAnsi="Cambria" w:eastAsia="Microsoft YaHei" w:cs="Cambria"/>
          <w:color w:val="1A1A2E"/>
          <w:sz w:val="22"/>
          <w:szCs w:val="22"/>
        </w:rPr>
        <w:t>Iran wants the ceasefire tied to Lebanon and the wider conflict. The United States refuses any formal linkage that lets Hormuz be traded for a regional outcome.</w:t>
      </w:r>
    </w:p>
    <w:p>
      <w:pPr>
        <w:pStyle w:val="Heading3"/>
      </w:pPr>
      <w:bookmarkStart w:name="_Toc023" w:id="23"/>
      <w:r>
        <w:rPr>
          <w:rFonts w:ascii="Cambria" w:hAnsi="Cambria" w:eastAsia="Microsoft YaHei" w:cs="Cambria"/>
          <w:b/>
          <w:color w:val="1A1A2E"/>
          <w:sz w:val="26"/>
          <w:szCs w:val="26"/>
        </w:rPr>
        <w:t>The Bridge</w:t>
      </w:r>
      <w:bookmarkEnd w:id="23"/>
    </w:p>
    <w:p>
      <w:pPr>
        <w:pStyle w:val="Normal"/>
      </w:pPr>
      <w:r>
        <w:rPr>
          <w:rFonts w:ascii="Cambria" w:hAnsi="Cambria" w:eastAsia="Microsoft YaHei" w:cs="Cambria"/>
          <w:color w:val="1A1A2E"/>
          <w:sz w:val="22"/>
          <w:szCs w:val="22"/>
        </w:rPr>
        <w:t>Decoupled instruments that point the same direction. The maritime and nuclear cores carry no legal dependency on any regional front - the United States' line holds, reinforced by an explicit firewall (Article 6.1) that bars either Party from invoking regional ceasefire status to delay performance, and by a third-party non-liability clause (Article 6.4) so no third party collapses the cores. A separate, time-limited region-wide ceasefire and a territorial freeze-in-place (Annexes M and U) run in parallel, and Phase III opens a written, scheduled track toward broader regional talks and normalization. The United States states that Hormuz is not linked to Lebanon; Iran states that the deal opens the door to resolving it. Both statements are true because the architecture keeps the instruments separate while moving them together.</w:t>
      </w:r>
    </w:p>
    <w:p>
      <w:pPr>
        <w:pStyle w:val="Heading1"/>
      </w:pPr>
      <w:bookmarkStart w:name="_Toc024" w:id="24"/>
      <w:r>
        <w:rPr>
          <w:rFonts w:ascii="Cambria" w:hAnsi="Cambria" w:eastAsia="Microsoft YaHei" w:cs="Cambria"/>
          <w:b/>
          <w:color w:val="1A2744"/>
          <w:sz w:val="48"/>
          <w:szCs w:val="48"/>
        </w:rPr>
        <w:t>Part 0 - Verification Restoration Period</w:t>
      </w:r>
      <w:bookmarkEnd w:id="24"/>
    </w:p>
    <w:p>
      <w:pPr>
        <w:pStyle w:val="Normal"/>
      </w:pPr>
      <w:r>
        <w:rPr>
          <w:rFonts w:ascii="Cambria" w:hAnsi="Cambria" w:eastAsia="Microsoft YaHei" w:cs="Cambria"/>
          <w:color w:val="1A1A2E"/>
          <w:sz w:val="22"/>
          <w:szCs w:val="22"/>
        </w:rPr>
        <w:t>Before this MOU enters into force, a Verification Restoration Period of up to 30 days commences on mutual written agreement. During this period, Iran grants the IAEA access to all declared nuclear facilities and all sites damaged during the 2025-2026 conflict where nuclear material was known or suspected to be present, as listed in Annex V-R. Access follows the Joint Damage Assessment Protocol (Annex O) and the Nuclear Dust Protocol (Annex V). The IAEA completes a baseline inventory of all enriched uranium stockpiles, including any material remaining at damaged sites, using mass spectrometry and environmental sampling. The IAEA issues a Baseline Verification Certificate.</w:t>
      </w:r>
    </w:p>
    <w:p>
      <w:pPr>
        <w:pStyle w:val="Normal"/>
      </w:pPr>
      <w:r>
        <w:rPr>
          <w:rFonts w:ascii="Cambria" w:hAnsi="Cambria" w:eastAsia="Microsoft YaHei" w:cs="Cambria"/>
          <w:color w:val="1A1A2E"/>
          <w:sz w:val="22"/>
          <w:szCs w:val="22"/>
        </w:rPr>
        <w:t>Neither Party uses this period to demand additional access beyond the listed sites. The United States does not seek direct U.S. access to any site; all access is IAEA-led. Iran does not condition access on unrelated political concessions. If the IAEA cannot complete the baseline inventory within 30 days due to verified technical or security conditions, the period extends once by up to 15 days on PCC recommendation. If Iran refuses access without legitimate safety justification, the United States delays signature until access is granted; such delay is not a breach.</w:t>
      </w:r>
    </w:p>
    <w:p>
      <w:pPr>
        <w:pStyle w:val="Heading1"/>
      </w:pPr>
      <w:r>
        <w:rPr>
          <w:rFonts w:ascii="Cambria" w:hAnsi="Cambria" w:eastAsia="Microsoft YaHei" w:cs="Cambria"/>
          <w:b/>
          <w:color w:val="1A2744"/>
          <w:sz w:val="48"/>
          <w:szCs w:val="48"/>
        </w:rPr>
        <w:t>PART A</w:t>
      </w:r>
    </w:p>
    <w:p>
      <w:pPr>
        <w:pStyle w:val="Heading2"/>
      </w:pPr>
      <w:bookmarkStart w:name="_Toc025" w:id="25"/>
      <w:r>
        <w:rPr>
          <w:rFonts w:ascii="Cambria" w:hAnsi="Cambria" w:eastAsia="Microsoft YaHei" w:cs="Cambria"/>
          <w:b/>
          <w:color w:val="2D4A6F"/>
          <w:sz w:val="32"/>
          <w:szCs w:val="32"/>
        </w:rPr>
        <w:t>The Memorandum of Understanding</w:t>
      </w:r>
      <w:bookmarkEnd w:id="25"/>
    </w:p>
    <w:p>
      <w:pPr>
        <w:pStyle w:val="Normal"/>
      </w:pPr>
      <w:r>
        <w:rPr>
          <w:rFonts w:ascii="Cambria" w:hAnsi="Cambria" w:eastAsia="Microsoft YaHei" w:cs="Cambria"/>
          <w:color w:val="1A1A2E"/>
          <w:sz w:val="22"/>
          <w:szCs w:val="22"/>
        </w:rPr>
        <w:t>The signable Phase I core. Articles 1 through 13 enter into force on signature.</w:t>
      </w:r>
    </w:p>
    <w:p>
      <w:pPr>
        <w:pStyle w:val="Heading2"/>
      </w:pPr>
      <w:bookmarkStart w:name="_Toc026" w:id="26"/>
      <w:r>
        <w:rPr>
          <w:rFonts w:ascii="Cambria" w:hAnsi="Cambria" w:eastAsia="Microsoft YaHei" w:cs="Cambria"/>
          <w:b/>
          <w:color w:val="2D4A6F"/>
          <w:sz w:val="32"/>
          <w:szCs w:val="32"/>
        </w:rPr>
        <w:t>Preamble</w:t>
      </w:r>
      <w:bookmarkEnd w:id="26"/>
    </w:p>
    <w:p>
      <w:pPr>
        <w:pStyle w:val="Normal"/>
      </w:pPr>
      <w:r>
        <w:rPr>
          <w:rFonts w:ascii="Cambria" w:hAnsi="Cambria" w:eastAsia="Microsoft YaHei" w:cs="Cambria"/>
          <w:color w:val="1A1A2E"/>
          <w:sz w:val="22"/>
          <w:szCs w:val="22"/>
        </w:rPr>
        <w:t>The United States of America and the Islamic Republic of Iran (each a "Party," together the "Parties"), convening under the auspices of the Islamic Republic of Pakistan as primary mediator and the Sultanate of Oman as co-facilitator, and with the verification participation of the International Atomic Energy Agency,</w:t>
      </w:r>
    </w:p>
    <w:p>
      <w:pPr>
        <w:pStyle w:val="Normal"/>
      </w:pPr>
      <w:r>
        <w:rPr>
          <w:rFonts w:ascii="Cambria" w:hAnsi="Cambria" w:eastAsia="Microsoft YaHei" w:cs="Cambria"/>
          <w:color w:val="1A1A2E"/>
          <w:sz w:val="22"/>
          <w:szCs w:val="22"/>
        </w:rPr>
        <w:t>RECALLING the legally binding non-proliferation obligations applicable to all state parties and the primacy of the Nuclear Non-Proliferation Treaty as the cornerstone of the global non-proliferation regime;</w:t>
      </w:r>
    </w:p>
    <w:p>
      <w:pPr>
        <w:pStyle w:val="Normal"/>
      </w:pPr>
      <w:r>
        <w:rPr>
          <w:rFonts w:ascii="Cambria" w:hAnsi="Cambria" w:eastAsia="Microsoft YaHei" w:cs="Cambria"/>
          <w:color w:val="1A1A2E"/>
          <w:sz w:val="22"/>
          <w:szCs w:val="22"/>
        </w:rPr>
        <w:t>RECOGNIZING that the present stockpile of highly enriched uranium and the disruption of transit through the Strait of Hormuz together constitute the central risks to regional and global stability, and that each admits a verified, reciprocal solution;</w:t>
      </w:r>
    </w:p>
    <w:p>
      <w:pPr>
        <w:pStyle w:val="Normal"/>
      </w:pPr>
      <w:r>
        <w:rPr>
          <w:rFonts w:ascii="Cambria" w:hAnsi="Cambria" w:eastAsia="Microsoft YaHei" w:cs="Cambria"/>
          <w:color w:val="1A1A2E"/>
          <w:sz w:val="22"/>
          <w:szCs w:val="22"/>
        </w:rPr>
        <w:t>AFFIRMING Iran's sovereign right to peaceful nuclear energy under Article IV of the Non-Proliferation Treaty, operationalized through a capped enrichment regime and an international medical-isotope center;</w:t>
      </w:r>
    </w:p>
    <w:p>
      <w:pPr>
        <w:pStyle w:val="Normal"/>
      </w:pPr>
      <w:r>
        <w:rPr>
          <w:rFonts w:ascii="Cambria" w:hAnsi="Cambria" w:eastAsia="Microsoft YaHei" w:cs="Cambria"/>
          <w:color w:val="1A1A2E"/>
          <w:sz w:val="22"/>
          <w:szCs w:val="22"/>
        </w:rPr>
        <w:t>HAVING REGARD TO the deadlock between a demand for zero enrichment and an assertion of recognized enrichment rights, and to the need for a solution each Party defends to its own constituency;</w:t>
      </w:r>
    </w:p>
    <w:p>
      <w:pPr>
        <w:pStyle w:val="Normal"/>
      </w:pPr>
      <w:r>
        <w:rPr>
          <w:rFonts w:ascii="Cambria" w:hAnsi="Cambria" w:eastAsia="Microsoft YaHei" w:cs="Cambria"/>
          <w:color w:val="1A1A2E"/>
          <w:sz w:val="22"/>
          <w:szCs w:val="22"/>
        </w:rPr>
        <w:t>ACKNOWLEDGING that the Islamic Republic of Iran, as a coastal state with a long history of ensuring safe passage in the Persian Gulf, holds legitimate interests in the stability and environmental health of the Strait of Hormuz, and that this instrument respects Iran's sovereign equality and its right to peaceful nuclear energy under the Non-Proliferation Treaty;</w:t>
      </w:r>
    </w:p>
    <w:p>
      <w:pPr>
        <w:pStyle w:val="Normal"/>
      </w:pPr>
      <w:r>
        <w:rPr>
          <w:rFonts w:ascii="Cambria" w:hAnsi="Cambria" w:eastAsia="Microsoft YaHei" w:cs="Cambria"/>
          <w:color w:val="1A1A2E"/>
          <w:sz w:val="22"/>
          <w:szCs w:val="22"/>
        </w:rPr>
        <w:t>PROCEEDING under the principle of Synchronized Reciprocal Motion, by which no Party makes a unilateral advance concession and every obligation pairs with an immediate, verifiable, proportional counterpart;</w:t>
      </w:r>
    </w:p>
    <w:p>
      <w:pPr>
        <w:pStyle w:val="Normal"/>
      </w:pPr>
      <w:r>
        <w:rPr>
          <w:rFonts w:ascii="Cambria" w:hAnsi="Cambria" w:eastAsia="Microsoft YaHei" w:cs="Cambria"/>
          <w:color w:val="1A1A2E"/>
          <w:sz w:val="22"/>
          <w:szCs w:val="22"/>
        </w:rPr>
        <w:t>THE PARTIES AGREE as follows, intending to be bound by Articles 1 through 13 of this Part on signature, and committing to the Phase II and Phase III architecture set out in Parts B and C on the binding timeline of Article 11.</w:t>
      </w:r>
    </w:p>
    <w:p>
      <w:pPr>
        <w:pStyle w:val="Heading2"/>
      </w:pPr>
      <w:bookmarkStart w:name="_Toc027" w:id="27"/>
      <w:r>
        <w:rPr>
          <w:rFonts w:ascii="Cambria" w:hAnsi="Cambria" w:eastAsia="Microsoft YaHei" w:cs="Cambria"/>
          <w:b/>
          <w:color w:val="2D4A6F"/>
          <w:sz w:val="32"/>
          <w:szCs w:val="32"/>
        </w:rPr>
        <w:t>Article 1 - Definitions and Governing Principles</w:t>
      </w:r>
      <w:bookmarkEnd w:id="27"/>
    </w:p>
    <w:p>
      <w:pPr>
        <w:pStyle w:val="Heading3"/>
      </w:pPr>
      <w:bookmarkStart w:name="_Toc028" w:id="28"/>
      <w:r>
        <w:rPr>
          <w:rFonts w:ascii="Cambria" w:hAnsi="Cambria" w:eastAsia="Microsoft YaHei" w:cs="Cambria"/>
          <w:b/>
          <w:color w:val="1A1A2E"/>
          <w:sz w:val="26"/>
          <w:szCs w:val="26"/>
        </w:rPr>
        <w:t>1.1 Synchronized Reciprocal Motion</w:t>
      </w:r>
      <w:bookmarkEnd w:id="28"/>
    </w:p>
    <w:p>
      <w:pPr>
        <w:pStyle w:val="Normal"/>
      </w:pPr>
      <w:r>
        <w:rPr>
          <w:rFonts w:ascii="Cambria" w:hAnsi="Cambria" w:eastAsia="Microsoft YaHei" w:cs="Cambria"/>
          <w:color w:val="1A1A2E"/>
          <w:sz w:val="22"/>
          <w:szCs w:val="22"/>
        </w:rPr>
        <w:t>Every value one Party provides pairs with a verified counterpart value the other Party provides within the same cycle. No transfer stands alone. If a paired counterpart fails verification, the paired transfer suspends until the verification channel restores it.</w:t>
      </w:r>
    </w:p>
    <w:p>
      <w:pPr>
        <w:pStyle w:val="Heading3"/>
      </w:pPr>
      <w:bookmarkStart w:name="_Toc029" w:id="29"/>
      <w:r>
        <w:rPr>
          <w:rFonts w:ascii="Cambria" w:hAnsi="Cambria" w:eastAsia="Microsoft YaHei" w:cs="Cambria"/>
          <w:b/>
          <w:color w:val="1A1A2E"/>
          <w:sz w:val="26"/>
          <w:szCs w:val="26"/>
        </w:rPr>
        <w:t>1.2 Mutual Architecture</w:t>
      </w:r>
      <w:bookmarkEnd w:id="29"/>
    </w:p>
    <w:p>
      <w:pPr>
        <w:pStyle w:val="Normal"/>
      </w:pPr>
      <w:r>
        <w:rPr>
          <w:rFonts w:ascii="Cambria" w:hAnsi="Cambria" w:eastAsia="Microsoft YaHei" w:cs="Cambria"/>
          <w:color w:val="1A1A2E"/>
          <w:sz w:val="22"/>
          <w:szCs w:val="22"/>
        </w:rPr>
        <w:t>Each constraint in this instrument is a feature of the shared framework, binding both Parties equally, rather than a restraint by one Party for the benefit of the other. The framework architecture excludes kinetic enforcement; commercial transit operates under an absolute non-interdiction protocol; stockpile thresholds execute automatically under the verification architecture.</w:t>
      </w:r>
    </w:p>
    <w:p>
      <w:pPr>
        <w:pStyle w:val="Heading3"/>
      </w:pPr>
      <w:bookmarkStart w:name="_Toc030" w:id="30"/>
      <w:r>
        <w:rPr>
          <w:rFonts w:ascii="Cambria" w:hAnsi="Cambria" w:eastAsia="Microsoft YaHei" w:cs="Cambria"/>
          <w:b/>
          <w:color w:val="1A1A2E"/>
          <w:sz w:val="26"/>
          <w:szCs w:val="26"/>
        </w:rPr>
        <w:t>1.3 Nobody Moves Alone</w:t>
      </w:r>
      <w:bookmarkEnd w:id="30"/>
    </w:p>
    <w:p>
      <w:pPr>
        <w:pStyle w:val="Normal"/>
      </w:pPr>
      <w:r>
        <w:rPr>
          <w:rFonts w:ascii="Cambria" w:hAnsi="Cambria" w:eastAsia="Microsoft YaHei" w:cs="Cambria"/>
          <w:color w:val="1A1A2E"/>
          <w:sz w:val="22"/>
          <w:szCs w:val="22"/>
        </w:rPr>
        <w:t>No Party provides Day-1 value without simultaneously receiving verified reciprocal value. The Day-1 Mirror Pairings of Article 2 carry equal political and legal weight on both sides; neither pairing is a unilateral concession.</w:t>
      </w:r>
    </w:p>
    <w:p>
      <w:pPr>
        <w:pStyle w:val="Heading3"/>
      </w:pPr>
      <w:bookmarkStart w:name="_Toc031" w:id="31"/>
      <w:r>
        <w:rPr>
          <w:rFonts w:ascii="Cambria" w:hAnsi="Cambria" w:eastAsia="Microsoft YaHei" w:cs="Cambria"/>
          <w:b/>
          <w:color w:val="1A1A2E"/>
          <w:sz w:val="26"/>
          <w:szCs w:val="26"/>
        </w:rPr>
        <w:t>1.4 Performance-Contingent Benefit</w:t>
      </w:r>
      <w:bookmarkEnd w:id="31"/>
    </w:p>
    <w:p>
      <w:pPr>
        <w:pStyle w:val="Normal"/>
      </w:pPr>
      <w:r>
        <w:rPr>
          <w:rFonts w:ascii="Cambria" w:hAnsi="Cambria" w:eastAsia="Microsoft YaHei" w:cs="Cambria"/>
          <w:color w:val="1A1A2E"/>
          <w:sz w:val="22"/>
          <w:szCs w:val="22"/>
        </w:rPr>
        <w:t>Every benefit is conditional. No benefit is unconditional. Each Party retains the exit ramp of Article 8 on fourteen days' notice. A quarterly review recurs every ninety days.</w:t>
      </w:r>
    </w:p>
    <w:p>
      <w:pPr>
        <w:pStyle w:val="Heading3"/>
      </w:pPr>
      <w:bookmarkStart w:name="_Toc032" w:id="32"/>
      <w:r>
        <w:rPr>
          <w:rFonts w:ascii="Cambria" w:hAnsi="Cambria" w:eastAsia="Microsoft YaHei" w:cs="Cambria"/>
          <w:b/>
          <w:color w:val="1A1A2E"/>
          <w:sz w:val="26"/>
          <w:szCs w:val="26"/>
        </w:rPr>
        <w:t>1.5 Non-Recognition and Non-Amnesty</w:t>
      </w:r>
      <w:bookmarkEnd w:id="32"/>
    </w:p>
    <w:p>
      <w:pPr>
        <w:pStyle w:val="Normal"/>
      </w:pPr>
      <w:r>
        <w:rPr>
          <w:rFonts w:ascii="Cambria" w:hAnsi="Cambria" w:eastAsia="Microsoft YaHei" w:cs="Cambria"/>
          <w:color w:val="1A1A2E"/>
          <w:sz w:val="22"/>
          <w:szCs w:val="22"/>
        </w:rPr>
        <w:t>Nothing here constitutes recognition of the other Party's government, political system, or regional policies; this is a transactional arrangement. Nothing here grants amnesty, immunity, or retrospective forgiveness for any prior action. Executive authority suffices for entry into force where legislative ratification would itself trigger a recognition dispute. This use of executive authority is consistent with the model of the 1981 Algiers Accords, which the United States and Iran have previously implemented without legislative ratification.</w:t>
      </w:r>
    </w:p>
    <w:p>
      <w:pPr>
        <w:pStyle w:val="Heading3"/>
      </w:pPr>
      <w:bookmarkStart w:name="_Toc033" w:id="33"/>
      <w:r>
        <w:rPr>
          <w:rFonts w:ascii="Cambria" w:hAnsi="Cambria" w:eastAsia="Microsoft YaHei" w:cs="Cambria"/>
          <w:b/>
          <w:color w:val="1A1A2E"/>
          <w:sz w:val="26"/>
          <w:szCs w:val="26"/>
        </w:rPr>
        <w:t>1.6 Key Definitions</w:t>
      </w:r>
      <w:bookmarkEnd w:id="33"/>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Term</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Operative Meaning</w:t>
            </w:r>
          </w:p>
        </w:tc>
      </w:tr>
      <w:tr>
        <w:tc>
          <w:tcPr>
            <w:tcW w:w="2000" w:type="dxa"/>
          </w:tcPr>
          <w:p>
            <w:pPr>
              <w:pStyle w:val="Normal"/>
              <w:spacing w:before="40" w:after="40"/>
            </w:pPr>
            <w:r>
              <w:rPr>
                <w:color w:val="4A4A5A"/>
                <w:sz w:val="18"/>
                <w:rFonts w:ascii="Cambria" w:hAnsi="Cambria" w:eastAsia="Microsoft YaHei" w:cs="Cambria"/>
                <w:szCs w:val="18"/>
              </w:rPr>
              <w:t>HEU</w:t>
            </w:r>
          </w:p>
        </w:tc>
        <w:tc>
          <w:tcPr>
            <w:tcW w:w="2000" w:type="dxa"/>
          </w:tcPr>
          <w:p>
            <w:pPr>
              <w:pStyle w:val="Normal"/>
              <w:spacing w:before="40" w:after="40"/>
            </w:pPr>
            <w:r>
              <w:rPr>
                <w:color w:val="4A4A5A"/>
                <w:sz w:val="18"/>
                <w:rFonts w:ascii="Cambria" w:hAnsi="Cambria" w:eastAsia="Microsoft YaHei" w:cs="Cambria"/>
                <w:szCs w:val="18"/>
              </w:rPr>
              <w:t>Uranium enriched to 20% U-235 or above. The baseline stockpile is as recorded in the IAEA's most recent public safeguards report (working figure at signature: approximately 440-500 kg at ~60% U-235), updating automatically by reference to subsequent IAEA public reports; a reported change in baseline informs monitoring but is not itself a breach.</w:t>
            </w:r>
          </w:p>
        </w:tc>
      </w:tr>
      <w:tr>
        <w:tc>
          <w:tcPr>
            <w:tcW w:w="2000" w:type="dxa"/>
          </w:tcPr>
          <w:p>
            <w:pPr>
              <w:pStyle w:val="Normal"/>
              <w:spacing w:before="40" w:after="40"/>
            </w:pPr>
            <w:r>
              <w:rPr>
                <w:color w:val="4A4A5A"/>
                <w:sz w:val="18"/>
                <w:rFonts w:ascii="Cambria" w:hAnsi="Cambria" w:eastAsia="Microsoft YaHei" w:cs="Cambria"/>
                <w:szCs w:val="18"/>
              </w:rPr>
              <w:t>Medical-grade LEU</w:t>
            </w:r>
          </w:p>
        </w:tc>
        <w:tc>
          <w:tcPr>
            <w:tcW w:w="2000" w:type="dxa"/>
          </w:tcPr>
          <w:p>
            <w:pPr>
              <w:pStyle w:val="Normal"/>
              <w:spacing w:before="40" w:after="40"/>
            </w:pPr>
            <w:r>
              <w:rPr>
                <w:color w:val="4A4A5A"/>
                <w:sz w:val="18"/>
                <w:rFonts w:ascii="Cambria" w:hAnsi="Cambria" w:eastAsia="Microsoft YaHei" w:cs="Cambria"/>
                <w:szCs w:val="18"/>
              </w:rPr>
              <w:t>Uranium at exactly 19.75% U-235, suitable for medical isotope targets, incapable of supporting a weapon.</w:t>
            </w:r>
          </w:p>
        </w:tc>
      </w:tr>
      <w:tr>
        <w:tc>
          <w:tcPr>
            <w:tcW w:w="2000" w:type="dxa"/>
          </w:tcPr>
          <w:p>
            <w:pPr>
              <w:pStyle w:val="Normal"/>
              <w:spacing w:before="40" w:after="40"/>
            </w:pPr>
            <w:r>
              <w:rPr>
                <w:color w:val="4A4A5A"/>
                <w:sz w:val="18"/>
                <w:rFonts w:ascii="Cambria" w:hAnsi="Cambria" w:eastAsia="Microsoft YaHei" w:cs="Cambria"/>
                <w:szCs w:val="18"/>
              </w:rPr>
              <w:t>Step-back / earn-back</w:t>
            </w:r>
          </w:p>
        </w:tc>
        <w:tc>
          <w:tcPr>
            <w:tcW w:w="2000" w:type="dxa"/>
          </w:tcPr>
          <w:p>
            <w:pPr>
              <w:pStyle w:val="Normal"/>
              <w:spacing w:before="40" w:after="40"/>
            </w:pPr>
            <w:r>
              <w:rPr>
                <w:color w:val="4A4A5A"/>
                <w:sz w:val="18"/>
                <w:rFonts w:ascii="Cambria" w:hAnsi="Cambria" w:eastAsia="Microsoft YaHei" w:cs="Cambria"/>
                <w:szCs w:val="18"/>
              </w:rPr>
              <w:t>The graduated, reversible penalty system of Article 7.3: benefit reduces in proportion to a violation and restores fully on verified remediation and sustained compliance. It replaces any automatic, irreversible suspension.</w:t>
            </w:r>
          </w:p>
        </w:tc>
      </w:tr>
      <w:tr>
        <w:tc>
          <w:tcPr>
            <w:tcW w:w="2000" w:type="dxa"/>
          </w:tcPr>
          <w:p>
            <w:pPr>
              <w:pStyle w:val="Normal"/>
              <w:spacing w:before="40" w:after="40"/>
            </w:pPr>
            <w:r>
              <w:rPr>
                <w:color w:val="4A4A5A"/>
                <w:sz w:val="18"/>
                <w:rFonts w:ascii="Cambria" w:hAnsi="Cambria" w:eastAsia="Microsoft YaHei" w:cs="Cambria"/>
                <w:szCs w:val="18"/>
              </w:rPr>
              <w:t>Dual-key custody</w:t>
            </w:r>
          </w:p>
        </w:tc>
        <w:tc>
          <w:tcPr>
            <w:tcW w:w="2000" w:type="dxa"/>
          </w:tcPr>
          <w:p>
            <w:pPr>
              <w:pStyle w:val="Normal"/>
              <w:spacing w:before="40" w:after="40"/>
            </w:pPr>
            <w:r>
              <w:rPr>
                <w:color w:val="4A4A5A"/>
                <w:sz w:val="18"/>
                <w:rFonts w:ascii="Cambria" w:hAnsi="Cambria" w:eastAsia="Microsoft YaHei" w:cs="Cambria"/>
                <w:szCs w:val="18"/>
              </w:rPr>
              <w:t>Storage of nuclear material under two independent locks - one IAEA, one U.S.-designated technical agent - so neither Party opens the store unilaterally (Annex Y).</w:t>
            </w:r>
          </w:p>
        </w:tc>
      </w:tr>
      <w:tr>
        <w:tc>
          <w:tcPr>
            <w:tcW w:w="2000" w:type="dxa"/>
          </w:tcPr>
          <w:p>
            <w:pPr>
              <w:pStyle w:val="Normal"/>
              <w:spacing w:before="40" w:after="40"/>
            </w:pPr>
            <w:r>
              <w:rPr>
                <w:color w:val="4A4A5A"/>
                <w:sz w:val="18"/>
                <w:rFonts w:ascii="Cambria" w:hAnsi="Cambria" w:eastAsia="Microsoft YaHei" w:cs="Cambria"/>
                <w:szCs w:val="18"/>
              </w:rPr>
              <w:t>PRDD</w:t>
            </w:r>
          </w:p>
        </w:tc>
        <w:tc>
          <w:tcPr>
            <w:tcW w:w="2000" w:type="dxa"/>
          </w:tcPr>
          <w:p>
            <w:pPr>
              <w:pStyle w:val="Normal"/>
              <w:spacing w:before="40" w:after="40"/>
            </w:pPr>
            <w:r>
              <w:rPr>
                <w:color w:val="4A4A5A"/>
                <w:sz w:val="18"/>
                <w:rFonts w:ascii="Cambria" w:hAnsi="Cambria" w:eastAsia="Microsoft YaHei" w:cs="Cambria"/>
                <w:szCs w:val="18"/>
              </w:rPr>
              <w:t>Petroleum Revenue Direct Deposit: the Swiss-escrow channel crediting oil revenue to the Central Bank of Iran on verified compliance.</w:t>
            </w:r>
          </w:p>
        </w:tc>
      </w:tr>
      <w:tr>
        <w:tc>
          <w:tcPr>
            <w:tcW w:w="2000" w:type="dxa"/>
          </w:tcPr>
          <w:p>
            <w:pPr>
              <w:pStyle w:val="Normal"/>
              <w:spacing w:before="40" w:after="40"/>
            </w:pPr>
            <w:r>
              <w:rPr>
                <w:color w:val="4A4A5A"/>
                <w:sz w:val="18"/>
                <w:rFonts w:ascii="Cambria" w:hAnsi="Cambria" w:eastAsia="Microsoft YaHei" w:cs="Cambria"/>
                <w:szCs w:val="18"/>
              </w:rPr>
              <w:t>PCC</w:t>
            </w:r>
          </w:p>
        </w:tc>
        <w:tc>
          <w:tcPr>
            <w:tcW w:w="2000" w:type="dxa"/>
          </w:tcPr>
          <w:p>
            <w:pPr>
              <w:pStyle w:val="Normal"/>
              <w:spacing w:before="40" w:after="40"/>
            </w:pPr>
            <w:r>
              <w:rPr>
                <w:color w:val="4A4A5A"/>
                <w:sz w:val="18"/>
                <w:rFonts w:ascii="Cambria" w:hAnsi="Cambria" w:eastAsia="Microsoft YaHei" w:cs="Cambria"/>
                <w:szCs w:val="18"/>
              </w:rPr>
              <w:t>Political &amp; Compliance Council: the single political and compliance body in Geneva (formerly the Joint Implementation Group).</w:t>
            </w:r>
          </w:p>
        </w:tc>
      </w:tr>
      <w:tr>
        <w:tc>
          <w:tcPr>
            <w:tcW w:w="2000" w:type="dxa"/>
          </w:tcPr>
          <w:p>
            <w:pPr>
              <w:pStyle w:val="Normal"/>
              <w:spacing w:before="40" w:after="40"/>
            </w:pPr>
            <w:r>
              <w:rPr>
                <w:color w:val="4A4A5A"/>
                <w:sz w:val="18"/>
                <w:rFonts w:ascii="Cambria" w:hAnsi="Cambria" w:eastAsia="Microsoft YaHei" w:cs="Cambria"/>
                <w:szCs w:val="18"/>
              </w:rPr>
              <w:t>MSB</w:t>
            </w:r>
          </w:p>
        </w:tc>
        <w:tc>
          <w:tcPr>
            <w:tcW w:w="2000" w:type="dxa"/>
          </w:tcPr>
          <w:p>
            <w:pPr>
              <w:pStyle w:val="Normal"/>
              <w:spacing w:before="40" w:after="40"/>
            </w:pPr>
            <w:r>
              <w:rPr>
                <w:color w:val="4A4A5A"/>
                <w:sz w:val="18"/>
                <w:rFonts w:ascii="Cambria" w:hAnsi="Cambria" w:eastAsia="Microsoft YaHei" w:cs="Cambria"/>
                <w:szCs w:val="18"/>
              </w:rPr>
              <w:t>Maritime Stability Board: the advisory maritime body of Part B-2 (merging the former transit authority and coordination center); no governing or revenue power.</w:t>
            </w:r>
          </w:p>
        </w:tc>
      </w:tr>
      <w:tr>
        <w:tc>
          <w:tcPr>
            <w:tcW w:w="2000" w:type="dxa"/>
          </w:tcPr>
          <w:p>
            <w:pPr>
              <w:pStyle w:val="Normal"/>
              <w:spacing w:before="40" w:after="40"/>
            </w:pPr>
            <w:r>
              <w:rPr>
                <w:color w:val="4A4A5A"/>
                <w:sz w:val="18"/>
                <w:rFonts w:ascii="Cambria" w:hAnsi="Cambria" w:eastAsia="Microsoft YaHei" w:cs="Cambria"/>
                <w:szCs w:val="18"/>
              </w:rPr>
              <w:t>Mirror Pairing</w:t>
            </w:r>
          </w:p>
        </w:tc>
        <w:tc>
          <w:tcPr>
            <w:tcW w:w="2000" w:type="dxa"/>
          </w:tcPr>
          <w:p>
            <w:pPr>
              <w:pStyle w:val="Normal"/>
              <w:spacing w:before="40" w:after="40"/>
            </w:pPr>
            <w:r>
              <w:rPr>
                <w:color w:val="4A4A5A"/>
                <w:sz w:val="18"/>
                <w:rFonts w:ascii="Cambria" w:hAnsi="Cambria" w:eastAsia="Microsoft YaHei" w:cs="Cambria"/>
                <w:szCs w:val="18"/>
              </w:rPr>
              <w:t>A Day-1 pair in which a U.S. action and an Iranian action of equal weight execute simultaneously.</w:t>
            </w:r>
          </w:p>
        </w:tc>
      </w:tr>
      <w:tr>
        <w:tc>
          <w:tcPr>
            <w:tcW w:w="2000" w:type="dxa"/>
          </w:tcPr>
          <w:p>
            <w:pPr>
              <w:pStyle w:val="Normal"/>
              <w:spacing w:before="40" w:after="40"/>
            </w:pPr>
            <w:r>
              <w:rPr>
                <w:color w:val="4A4A5A"/>
                <w:sz w:val="18"/>
                <w:rFonts w:ascii="Cambria" w:hAnsi="Cambria" w:eastAsia="Microsoft YaHei" w:cs="Cambria"/>
                <w:szCs w:val="18"/>
              </w:rPr>
              <w:t>Targeted Bank Isolation</w:t>
            </w:r>
          </w:p>
        </w:tc>
        <w:tc>
          <w:tcPr>
            <w:tcW w:w="2000" w:type="dxa"/>
          </w:tcPr>
          <w:p>
            <w:pPr>
              <w:pStyle w:val="Normal"/>
              <w:spacing w:before="40" w:after="40"/>
            </w:pPr>
            <w:r>
              <w:rPr>
                <w:color w:val="4A4A5A"/>
                <w:sz w:val="18"/>
                <w:rFonts w:ascii="Cambria" w:hAnsi="Cambria" w:eastAsia="Microsoft YaHei" w:cs="Cambria"/>
                <w:szCs w:val="18"/>
              </w:rPr>
              <w:t>Individual banks with compliance concerns are isolated from SWIFT while compliant banks retain access. Isolation requires JIG certification of specific violations. Isolated banks are reinstated after 90 days of clean compliance. (Added from Provisional Steps Art. 9.1-A)</w:t>
            </w:r>
          </w:p>
        </w:tc>
      </w:tr>
      <w:tr>
        <w:tc>
          <w:tcPr>
            <w:tcW w:w="2000" w:type="dxa"/>
          </w:tcPr>
          <w:p>
            <w:pPr>
              <w:pStyle w:val="Normal"/>
              <w:spacing w:before="40" w:after="40"/>
            </w:pPr>
            <w:r>
              <w:rPr>
                <w:color w:val="4A4A5A"/>
                <w:sz w:val="18"/>
                <w:rFonts w:ascii="Cambria" w:hAnsi="Cambria" w:eastAsia="Microsoft YaHei" w:cs="Cambria"/>
                <w:szCs w:val="18"/>
              </w:rPr>
              <w:t>Second Look Review</w:t>
            </w:r>
          </w:p>
        </w:tc>
        <w:tc>
          <w:tcPr>
            <w:tcW w:w="2000" w:type="dxa"/>
          </w:tcPr>
          <w:p>
            <w:pPr>
              <w:pStyle w:val="Normal"/>
              <w:spacing w:before="40" w:after="40"/>
            </w:pPr>
            <w:r>
              <w:rPr>
                <w:color w:val="4A4A5A"/>
                <w:sz w:val="18"/>
                <w:rFonts w:ascii="Cambria" w:hAnsi="Cambria" w:eastAsia="Microsoft YaHei" w:cs="Cambria"/>
                <w:szCs w:val="18"/>
              </w:rPr>
              <w:t>Mandatory executive-level review before penalty finalization, providing a 48-hour cooling-off period and human judgment override before any Tier-2 or Tier-3 step-back takes effect. (Added from Provisional Steps Art. 13.3-B)</w:t>
            </w:r>
          </w:p>
        </w:tc>
      </w:tr>
      <w:tr>
        <w:tc>
          <w:tcPr>
            <w:tcW w:w="2000" w:type="dxa"/>
          </w:tcPr>
          <w:p>
            <w:pPr>
              <w:pStyle w:val="Normal"/>
              <w:spacing w:before="40" w:after="40"/>
            </w:pPr>
            <w:r>
              <w:rPr>
                <w:color w:val="4A4A5A"/>
                <w:sz w:val="18"/>
                <w:rFonts w:ascii="Cambria" w:hAnsi="Cambria" w:eastAsia="Microsoft YaHei" w:cs="Cambria"/>
                <w:szCs w:val="18"/>
              </w:rPr>
              <w:t>Consensus Minus One</w:t>
            </w:r>
          </w:p>
        </w:tc>
        <w:tc>
          <w:tcPr>
            <w:tcW w:w="2000" w:type="dxa"/>
          </w:tcPr>
          <w:p>
            <w:pPr>
              <w:pStyle w:val="Normal"/>
              <w:spacing w:before="40" w:after="40"/>
            </w:pPr>
            <w:r>
              <w:rPr>
                <w:color w:val="4A4A5A"/>
                <w:sz w:val="18"/>
                <w:rFonts w:ascii="Cambria" w:hAnsi="Cambria" w:eastAsia="Microsoft YaHei" w:cs="Cambria"/>
                <w:szCs w:val="18"/>
              </w:rPr>
              <w:t>A decision rule by which governance body decisions pass on consensus of all participants except one, preventing any single Party from blocking operational matters. (Added from Provisional Steps Art. 12.5)</w:t>
            </w:r>
          </w:p>
        </w:tc>
      </w:tr>
      <w:tr>
        <w:tc>
          <w:tcPr>
            <w:tcW w:w="2000" w:type="dxa"/>
          </w:tcPr>
          <w:p>
            <w:pPr>
              <w:pStyle w:val="Normal"/>
              <w:spacing w:before="40" w:after="40"/>
            </w:pPr>
            <w:r>
              <w:rPr>
                <w:color w:val="4A4A5A"/>
                <w:sz w:val="18"/>
                <w:rFonts w:ascii="Cambria" w:hAnsi="Cambria" w:eastAsia="Microsoft YaHei" w:cs="Cambria"/>
                <w:szCs w:val="18"/>
              </w:rPr>
              <w:t>Political Judgment Override</w:t>
            </w:r>
          </w:p>
        </w:tc>
        <w:tc>
          <w:tcPr>
            <w:tcW w:w="2000" w:type="dxa"/>
          </w:tcPr>
          <w:p>
            <w:pPr>
              <w:pStyle w:val="Normal"/>
              <w:spacing w:before="40" w:after="40"/>
            </w:pPr>
            <w:r>
              <w:rPr>
                <w:color w:val="4A4A5A"/>
                <w:sz w:val="18"/>
                <w:rFonts w:ascii="Cambria" w:hAnsi="Cambria" w:eastAsia="Microsoft YaHei" w:cs="Cambria"/>
                <w:szCs w:val="18"/>
              </w:rPr>
              <w:t>The head of government of either Party retains the right to override JIG technical findings for a 30-day period, exercisable once per 90 days, preserving executive political control over technical determinations. (Added from Provisional Steps Art. 12.3-B)</w:t>
            </w:r>
          </w:p>
        </w:tc>
      </w:tr>
      <w:tr>
        <w:tc>
          <w:tcPr>
            <w:tcW w:w="2000" w:type="dxa"/>
          </w:tcPr>
          <w:p>
            <w:pPr>
              <w:pStyle w:val="Normal"/>
              <w:spacing w:before="40" w:after="40"/>
            </w:pPr>
            <w:r>
              <w:rPr>
                <w:b/>
                <w:color w:val="4A4A5A"/>
                <w:sz w:val="18"/>
                <w:rFonts w:ascii="Cambria" w:hAnsi="Cambria" w:eastAsia="Microsoft YaHei" w:cs="Cambria"/>
                <w:szCs w:val="18"/>
              </w:rPr>
              <w:t>Disposition Milestone</w:t>
            </w:r>
          </w:p>
        </w:tc>
        <w:tc>
          <w:tcPr>
            <w:tcW w:w="2000" w:type="dxa"/>
          </w:tcPr>
          <w:p>
            <w:pPr>
              <w:pStyle w:val="Normal"/>
              <w:spacing w:before="40" w:after="40"/>
            </w:pPr>
            <w:r>
              <w:rPr>
                <w:b/>
                <w:color w:val="4A4A5A"/>
                <w:sz w:val="18"/>
                <w:rFonts w:ascii="Cambria" w:hAnsi="Cambria" w:eastAsia="Microsoft YaHei" w:cs="Cambria"/>
                <w:szCs w:val="18"/>
              </w:rPr>
              <w:t>The first verified 50% reduction of the 60% HEU stockpile through downblending or export, as certified by the IAEA. This is the threshold that triggers the good-faith fast lane and structural-relief conversion. (Added in v7.0)</w:t>
            </w:r>
          </w:p>
        </w:tc>
      </w:tr>
    </w:tbl>
    <w:p>
      <w:pPr>
        <w:pStyle w:val="Heading3"/>
      </w:pPr>
      <w:bookmarkStart w:name="_Toc034" w:id="34"/>
      <w:r>
        <w:rPr>
          <w:rFonts w:ascii="Cambria" w:hAnsi="Cambria" w:eastAsia="Microsoft YaHei" w:cs="Cambria"/>
          <w:b/>
          <w:color w:val="1A1A2E"/>
          <w:sz w:val="26"/>
          <w:szCs w:val="26"/>
        </w:rPr>
        <w:t>1.7 No Regime Change, Framing Autonomy, and Sovereign Equality</w:t>
      </w:r>
      <w:bookmarkEnd w:id="34"/>
    </w:p>
    <w:p>
      <w:pPr>
        <w:pStyle w:val="Normal"/>
      </w:pPr>
      <w:r>
        <w:rPr>
          <w:rFonts w:ascii="Cambria" w:hAnsi="Cambria" w:eastAsia="Microsoft YaHei" w:cs="Cambria"/>
          <w:color w:val="1A1A2E"/>
          <w:sz w:val="22"/>
          <w:szCs w:val="22"/>
        </w:rPr>
        <w:t>This instrument is a stabilization and verification mechanism, not a tool for regime change, intelligence gathering, or internal political disruption. Each Party describes this instrument to its own public in its own terminology; neither Party requires the other to adopt a specific label such as concession, surrender, or victory, and neither Party adopts language that implies subordination. Any joint statement uses only mutually agreed technical language. A narrative dispute-resolution process (Annex R.b) handles any framing that materially misrepresents a verified technical fact. All governance bodies operate by consensus where both Parties are present.</w:t>
      </w:r>
    </w:p>
    <w:p>
      <w:pPr>
        <w:pStyle w:val="Heading3"/>
      </w:pPr>
      <w:bookmarkStart w:name="_Toc035" w:id="35"/>
      <w:r>
        <w:rPr>
          <w:rFonts w:ascii="Cambria" w:hAnsi="Cambria" w:eastAsia="Microsoft YaHei" w:cs="Cambria"/>
          <w:b/>
          <w:color w:val="1A1A2E"/>
          <w:sz w:val="26"/>
          <w:szCs w:val="26"/>
        </w:rPr>
        <w:t>1.8 No Misuse of Framework Data (Binding, Non-Waivable)</w:t>
      </w:r>
      <w:bookmarkEnd w:id="35"/>
    </w:p>
    <w:p>
      <w:pPr>
        <w:pStyle w:val="Normal"/>
      </w:pPr>
      <w:r>
        <w:rPr>
          <w:rFonts w:ascii="Cambria" w:hAnsi="Cambria" w:eastAsia="Microsoft YaHei" w:cs="Cambria"/>
          <w:color w:val="1A1A2E"/>
          <w:sz w:val="22"/>
          <w:szCs w:val="22"/>
        </w:rPr>
        <w:t>No access, telemetry, monitoring feed, escrow record, or other data generated under this framework is used for intelligence collection, internal political disruption, or any regime-change activity directed at either Party. This article is binding and non-waivable; a verified violation classifies as a Tier-3 deliberate hostile violation under Article 7.3 and automatically suspends the offending Party's data access pending remediation. The clause exists so that verification never becomes a vector for the very hostility the instrument is built to wind down.</w:t>
      </w:r>
    </w:p>
    <w:p>
      <w:pPr>
        <w:pStyle w:val="Heading3"/>
      </w:pPr>
      <w:bookmarkStart w:name="_Toc036" w:id="36"/>
      <w:r>
        <w:rPr>
          <w:rFonts w:ascii="Cambria" w:hAnsi="Cambria" w:eastAsia="Microsoft YaHei" w:cs="Cambria"/>
          <w:b/>
          <w:color w:val="1A1A2E"/>
          <w:sz w:val="26"/>
          <w:szCs w:val="26"/>
        </w:rPr>
        <w:t>1.9 No U.S. Veto Over Enumerated Iranian Decisions</w:t>
      </w:r>
      <w:bookmarkEnd w:id="36"/>
    </w:p>
    <w:p>
      <w:pPr>
        <w:pStyle w:val="Normal"/>
      </w:pPr>
      <w:r>
        <w:rPr>
          <w:rFonts w:ascii="Cambria" w:hAnsi="Cambria" w:eastAsia="Microsoft YaHei" w:cs="Cambria"/>
          <w:color w:val="1A1A2E"/>
          <w:sz w:val="22"/>
          <w:szCs w:val="22"/>
        </w:rPr>
        <w:t>To make the balance explicit, the United States holds no veto over any of the following sovereign Iranian decisions: the selection of an in-country transformation pathway (N, O, T, or W); the denial of U.S. observer access to an IAEA custody facility (Article 3.5); the termination of IAEA custody after Day 365 on the conditions of Article 3.2; or the automatic suspension for monitoring failure (Article 7.5). Each operates on Iran's determination or automatically, without requiring U.S. concurrence.</w:t>
      </w:r>
    </w:p>
    <w:p>
      <w:pPr>
        <w:pStyle w:val="Heading3"/>
      </w:pPr>
      <w:bookmarkStart w:name="_Toc037" w:id="37"/>
      <w:r>
        <w:rPr>
          <w:rFonts w:ascii="Cambria" w:hAnsi="Cambria" w:eastAsia="Microsoft YaHei" w:cs="Cambria"/>
          <w:b/>
          <w:color w:val="1A1A2E"/>
          <w:sz w:val="26"/>
          <w:szCs w:val="26"/>
        </w:rPr>
        <w:t>1.10 No Unilateral Reinterpretation</w:t>
      </w:r>
      <w:bookmarkEnd w:id="37"/>
    </w:p>
    <w:p>
      <w:pPr>
        <w:pStyle w:val="Normal"/>
      </w:pPr>
      <w:r>
        <w:rPr>
          <w:rFonts w:ascii="Cambria" w:hAnsi="Cambria" w:eastAsia="Microsoft YaHei" w:cs="Cambria"/>
          <w:color w:val="1A1A2E"/>
          <w:sz w:val="22"/>
          <w:szCs w:val="22"/>
        </w:rPr>
        <w:t>Neither Party unilaterally reinterprets any provision of this instrument in a manner that materially alters its obligations or the other Party's benefits. A disputed interpretation resolves through the PCC dispute process (Article 7.4) and, where necessary, binding arbitration under Annex T. The clause closes the door on the creative compliance that hollowed out earlier agreements: the text means what the Parties agreed it means, not what one Party later prefers.</w:t>
      </w:r>
    </w:p>
    <w:p>
      <w:pPr>
        <w:pStyle w:val="Heading3"/>
      </w:pPr>
      <w:bookmarkStart w:name="_Toc038" w:id="38"/>
      <w:r>
        <w:rPr>
          <w:rFonts w:ascii="Cambria" w:hAnsi="Cambria" w:eastAsia="Microsoft YaHei" w:cs="Cambria"/>
          <w:b/>
          <w:color w:val="1A1A2E"/>
          <w:sz w:val="26"/>
          <w:szCs w:val="26"/>
        </w:rPr>
        <w:t>1.11 No Preconditions on Track II Channels</w:t>
      </w:r>
      <w:bookmarkEnd w:id="38"/>
    </w:p>
    <w:p>
      <w:pPr>
        <w:pStyle w:val="Normal"/>
      </w:pPr>
      <w:r>
        <w:rPr>
          <w:rFonts w:ascii="Cambria" w:hAnsi="Cambria" w:eastAsia="Microsoft YaHei" w:cs="Cambria"/>
          <w:color w:val="1A1A2E"/>
          <w:sz w:val="22"/>
          <w:szCs w:val="22"/>
        </w:rPr>
        <w:t>Neither Party's legislature imposes preconditions on the existence, staffing, funding, or agenda of the Track II diplomacy channels - quiet negotiation, religious mediation, and business backchannels - that keep the instrument alive during a crisis. These channels draw on the framework's administrative budget rather than annual appropriations, so that an appropriations cycle cannot starve them, while remaining subject to each Party's ordinary law. The point is continuity of contact, not insulation from accountability.</w:t>
      </w:r>
    </w:p>
    <w:p>
      <w:pPr>
        <w:pStyle w:val="Heading2"/>
      </w:pPr>
      <w:bookmarkStart w:name="_Toc039" w:id="39"/>
      <w:r>
        <w:rPr>
          <w:rFonts w:ascii="Cambria" w:hAnsi="Cambria" w:eastAsia="Microsoft YaHei" w:cs="Cambria"/>
          <w:b/>
          <w:color w:val="2D4A6F"/>
          <w:sz w:val="32"/>
          <w:szCs w:val="32"/>
        </w:rPr>
        <w:t>Article 2 - Day-1 Mirror Pairings</w:t>
      </w:r>
      <w:bookmarkEnd w:id="39"/>
    </w:p>
    <w:p>
      <w:pPr>
        <w:pStyle w:val="Normal"/>
      </w:pPr>
      <w:r>
        <w:rPr>
          <w:rFonts w:ascii="Cambria" w:hAnsi="Cambria" w:eastAsia="Microsoft YaHei" w:cs="Cambria"/>
          <w:color w:val="1A1A2E"/>
          <w:sz w:val="22"/>
          <w:szCs w:val="22"/>
        </w:rPr>
        <w:t>On the hour of signature, four pairings execute together. Each U.S. action and its Iranian counterpart hold equal weight. No cash changes hands on Day 1: the first financial instrument is a mutual escrow deposit that releases only after thirty days of verified compliance - the exact opposite of an upfront transfer. If any pairing fails, all pairings suspend until the failure remedies - the non-severability rule that protects both Parties from moving first.</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Pairing</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United States Provides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Iran Provides</w:t>
            </w:r>
          </w:p>
        </w:tc>
      </w:tr>
      <w:tr>
        <w:tc>
          <w:tcPr>
            <w:tcW w:w="2000" w:type="dxa"/>
          </w:tcPr>
          <w:p>
            <w:pPr>
              <w:pStyle w:val="Normal"/>
              <w:spacing w:before="40" w:after="40"/>
            </w:pPr>
            <w:r>
              <w:rPr>
                <w:color w:val="4A4A5A"/>
                <w:sz w:val="18"/>
                <w:rFonts w:ascii="Cambria" w:hAnsi="Cambria" w:eastAsia="Microsoft YaHei" w:cs="Cambria"/>
                <w:szCs w:val="18"/>
              </w:rPr>
              <w:t>1</w:t>
            </w:r>
          </w:p>
        </w:tc>
        <w:tc>
          <w:tcPr>
            <w:tcW w:w="2000" w:type="dxa"/>
          </w:tcPr>
          <w:p>
            <w:pPr>
              <w:pStyle w:val="Normal"/>
              <w:spacing w:before="40" w:after="40"/>
            </w:pPr>
            <w:r>
              <w:rPr>
                <w:color w:val="4A4A5A"/>
                <w:sz w:val="18"/>
                <w:rFonts w:ascii="Cambria" w:hAnsi="Cambria" w:eastAsia="Microsoft YaHei" w:cs="Cambria"/>
                <w:szCs w:val="18"/>
              </w:rPr>
              <w:t>Mutual Escrow Deposit: $5B placed into the Swiss-Omani escrow account as a mutual goodwill deposit. $2.5B releases on Day 7 if Hormuz is mine-free with 72-hour transit; $2.5B on Day 15 with continued compliance</w:t>
            </w:r>
          </w:p>
        </w:tc>
        <w:tc>
          <w:tcPr>
            <w:tcW w:w="2000" w:type="dxa"/>
          </w:tcPr>
          <w:p>
            <w:pPr>
              <w:pStyle w:val="Normal"/>
              <w:spacing w:before="40" w:after="40"/>
            </w:pPr>
            <w:r>
              <w:rPr>
                <w:color w:val="4A4A5A"/>
                <w:sz w:val="18"/>
                <w:rFonts w:ascii="Cambria" w:hAnsi="Cambria" w:eastAsia="Microsoft YaHei" w:cs="Cambria"/>
                <w:szCs w:val="18"/>
              </w:rPr>
              <w:t>Enrichment-cap order posted at 3.67%, effective immediately, and the entire HEU stockpile placed under IAEA dual-lock custody</w:t>
            </w:r>
          </w:p>
        </w:tc>
      </w:tr>
      <w:tr>
        <w:tc>
          <w:tcPr>
            <w:tcW w:w="2000" w:type="dxa"/>
          </w:tcPr>
          <w:p>
            <w:pPr>
              <w:pStyle w:val="Normal"/>
              <w:spacing w:before="40" w:after="40"/>
            </w:pPr>
            <w:r>
              <w:rPr>
                <w:color w:val="4A4A5A"/>
                <w:sz w:val="18"/>
                <w:rFonts w:ascii="Cambria" w:hAnsi="Cambria" w:eastAsia="Microsoft YaHei" w:cs="Cambria"/>
                <w:szCs w:val="18"/>
              </w:rPr>
              <w:t>2</w:t>
            </w:r>
          </w:p>
        </w:tc>
        <w:tc>
          <w:tcPr>
            <w:tcW w:w="2000" w:type="dxa"/>
          </w:tcPr>
          <w:p>
            <w:pPr>
              <w:pStyle w:val="Normal"/>
              <w:spacing w:before="40" w:after="40"/>
            </w:pPr>
            <w:r>
              <w:rPr>
                <w:color w:val="4A4A5A"/>
                <w:sz w:val="18"/>
                <w:rFonts w:ascii="Cambria" w:hAnsi="Cambria" w:eastAsia="Microsoft YaHei" w:cs="Cambria"/>
                <w:szCs w:val="18"/>
              </w:rPr>
              <w:t>OFAC General License covering frozen-asset and escrow transfers</w:t>
            </w:r>
          </w:p>
        </w:tc>
        <w:tc>
          <w:tcPr>
            <w:tcW w:w="2000" w:type="dxa"/>
          </w:tcPr>
          <w:p>
            <w:pPr>
              <w:pStyle w:val="Normal"/>
              <w:spacing w:before="40" w:after="40"/>
            </w:pPr>
            <w:r>
              <w:rPr>
                <w:color w:val="4A4A5A"/>
                <w:sz w:val="18"/>
                <w:rFonts w:ascii="Cambria" w:hAnsi="Cambria" w:eastAsia="Microsoft YaHei" w:cs="Cambria"/>
                <w:szCs w:val="18"/>
              </w:rPr>
              <w:t>IAEA inspector access; border crossing confirmed</w:t>
            </w:r>
          </w:p>
        </w:tc>
      </w:tr>
      <w:tr>
        <w:tc>
          <w:tcPr>
            <w:tcW w:w="2000" w:type="dxa"/>
          </w:tcPr>
          <w:p>
            <w:pPr>
              <w:pStyle w:val="Normal"/>
              <w:spacing w:before="40" w:after="40"/>
            </w:pPr>
            <w:r>
              <w:rPr>
                <w:color w:val="4A4A5A"/>
                <w:sz w:val="18"/>
                <w:rFonts w:ascii="Cambria" w:hAnsi="Cambria" w:eastAsia="Microsoft YaHei" w:cs="Cambria"/>
                <w:szCs w:val="18"/>
              </w:rPr>
              <w:t>3</w:t>
            </w:r>
          </w:p>
        </w:tc>
        <w:tc>
          <w:tcPr>
            <w:tcW w:w="2000" w:type="dxa"/>
          </w:tcPr>
          <w:p>
            <w:pPr>
              <w:pStyle w:val="Normal"/>
              <w:spacing w:before="40" w:after="40"/>
            </w:pPr>
            <w:r>
              <w:rPr>
                <w:color w:val="4A4A5A"/>
                <w:sz w:val="18"/>
                <w:rFonts w:ascii="Cambria" w:hAnsi="Cambria" w:eastAsia="Microsoft YaHei" w:cs="Cambria"/>
                <w:szCs w:val="18"/>
              </w:rPr>
              <w:t>Oil-export normalization permits issued</w:t>
            </w:r>
          </w:p>
        </w:tc>
        <w:tc>
          <w:tcPr>
            <w:tcW w:w="2000" w:type="dxa"/>
          </w:tcPr>
          <w:p>
            <w:pPr>
              <w:pStyle w:val="Normal"/>
              <w:spacing w:before="40" w:after="40"/>
            </w:pPr>
            <w:r>
              <w:rPr>
                <w:color w:val="4A4A5A"/>
                <w:sz w:val="18"/>
                <w:rFonts w:ascii="Cambria" w:hAnsi="Cambria" w:eastAsia="Microsoft YaHei" w:cs="Cambria"/>
                <w:szCs w:val="18"/>
              </w:rPr>
              <w:t>IRGC-Navy small-craft withdrawal from the commercial corridor</w:t>
            </w:r>
          </w:p>
        </w:tc>
      </w:tr>
      <w:tr>
        <w:tc>
          <w:tcPr>
            <w:tcW w:w="2000" w:type="dxa"/>
          </w:tcPr>
          <w:p>
            <w:pPr>
              <w:pStyle w:val="Normal"/>
              <w:spacing w:before="40" w:after="40"/>
            </w:pPr>
            <w:r>
              <w:rPr>
                <w:color w:val="4A4A5A"/>
                <w:sz w:val="18"/>
                <w:rFonts w:ascii="Cambria" w:hAnsi="Cambria" w:eastAsia="Microsoft YaHei" w:cs="Cambria"/>
                <w:szCs w:val="18"/>
              </w:rPr>
              <w:t>4</w:t>
            </w:r>
          </w:p>
        </w:tc>
        <w:tc>
          <w:tcPr>
            <w:tcW w:w="2000" w:type="dxa"/>
          </w:tcPr>
          <w:p>
            <w:pPr>
              <w:pStyle w:val="Normal"/>
              <w:spacing w:before="40" w:after="40"/>
            </w:pPr>
            <w:r>
              <w:rPr>
                <w:color w:val="4A4A5A"/>
                <w:sz w:val="18"/>
                <w:rFonts w:ascii="Cambria" w:hAnsi="Cambria" w:eastAsia="Microsoft YaHei" w:cs="Cambria"/>
                <w:szCs w:val="18"/>
              </w:rPr>
              <w:t>SWIFT reconnection for Bank Melli and Bank Sepah</w:t>
            </w:r>
          </w:p>
        </w:tc>
        <w:tc>
          <w:tcPr>
            <w:tcW w:w="2000" w:type="dxa"/>
          </w:tcPr>
          <w:p>
            <w:pPr>
              <w:pStyle w:val="Normal"/>
              <w:spacing w:before="40" w:after="40"/>
            </w:pPr>
            <w:r>
              <w:rPr>
                <w:color w:val="4A4A5A"/>
                <w:sz w:val="18"/>
                <w:rFonts w:ascii="Cambria" w:hAnsi="Cambria" w:eastAsia="Microsoft YaHei" w:cs="Cambria"/>
                <w:szCs w:val="18"/>
              </w:rPr>
              <w:t>24/7 maritime de-confliction hotline staffed, Farsi-English</w:t>
            </w:r>
          </w:p>
        </w:tc>
      </w:tr>
    </w:tbl>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Mirror-Day-1 cost: The $5B escrow deposit and the dual-lock placement of the stockpile carry equal political and legal weight, and neither is realized on Day 1: the deposit waits on a Day-30 certificate, and the material sits under joint lock from the first hour. Neither Party receives its benefit before the other.</w:t>
      </w:r>
    </w:p>
    <w:p>
      <w:pPr>
        <w:pStyle w:val="Heading2"/>
      </w:pPr>
      <w:bookmarkStart w:name="_Toc040" w:id="40"/>
      <w:r>
        <w:rPr>
          <w:rFonts w:ascii="Cambria" w:hAnsi="Cambria" w:eastAsia="Microsoft YaHei" w:cs="Cambria"/>
          <w:b/>
          <w:color w:val="2D4A6F"/>
          <w:sz w:val="32"/>
          <w:szCs w:val="32"/>
        </w:rPr>
        <w:t>Article 3 - Nuclear Stabilization Core</w:t>
      </w:r>
      <w:bookmarkEnd w:id="40"/>
    </w:p>
    <w:p>
      <w:pPr>
        <w:pStyle w:val="Heading3"/>
      </w:pPr>
      <w:bookmarkStart w:name="_Toc041" w:id="41"/>
      <w:r>
        <w:rPr>
          <w:rFonts w:ascii="Cambria" w:hAnsi="Cambria" w:eastAsia="Microsoft YaHei" w:cs="Cambria"/>
          <w:b/>
          <w:color w:val="1A1A2E"/>
          <w:sz w:val="26"/>
          <w:szCs w:val="26"/>
        </w:rPr>
        <w:t>3.1 The Enrichment Cap and the Moratorium</w:t>
      </w:r>
      <w:bookmarkEnd w:id="41"/>
    </w:p>
    <w:p>
      <w:pPr>
        <w:pStyle w:val="Normal"/>
      </w:pPr>
      <w:r>
        <w:rPr>
          <w:rFonts w:ascii="Cambria" w:hAnsi="Cambria" w:eastAsia="Microsoft YaHei" w:cs="Cambria"/>
          <w:color w:val="1A1A2E"/>
          <w:sz w:val="22"/>
          <w:szCs w:val="22"/>
        </w:rPr>
        <w:t>Enrichment on Iranian soil caps at 3.67% U-235 from Day 1. No new centrifuge capacity installs at any facility during the moratorium. HEU production stops. The moratorium runs twelve years from entry into force. A verified IAEA finding of enrichment above 3.67% at any facility extends the moratorium automatically by twenty-four months per incident, up to a cumulative cap of twenty-five years, with no further act required of either Party and no congressional or UN vote needed. A clean record shortens nothing below the twelve-year floor; a violation only lengthens. Cheating makes the deal longer, automatically.</w:t>
      </w:r>
    </w:p>
    <w:p>
      <w:pPr>
        <w:pStyle w:val="Heading3"/>
      </w:pPr>
      <w:bookmarkStart w:name="_Toc042" w:id="42"/>
      <w:r>
        <w:rPr>
          <w:rFonts w:ascii="Cambria" w:hAnsi="Cambria" w:eastAsia="Microsoft YaHei" w:cs="Cambria"/>
          <w:b/>
          <w:color w:val="1A1A2E"/>
          <w:sz w:val="26"/>
          <w:szCs w:val="26"/>
        </w:rPr>
        <w:t>3.2 Disposition of the Stockpile (Merged from Provisional Steps Art. 1.6-B - Strengthened)</w:t>
      </w:r>
      <w:bookmarkEnd w:id="42"/>
    </w:p>
    <w:p>
      <w:pPr>
        <w:pStyle w:val="Normal"/>
      </w:pPr>
      <w:r>
        <w:rPr>
          <w:rFonts w:ascii="Cambria" w:hAnsi="Cambria" w:eastAsia="Microsoft YaHei" w:cs="Cambria"/>
          <w:color w:val="1A1A2E"/>
          <w:sz w:val="22"/>
          <w:szCs w:val="22"/>
        </w:rPr>
        <w:t>The 60% stockpile neutralizes under verified custody, on Iranian soil unless Iran chooses otherwise - respecting the constraint that the material does not leave the country. The default disposition is an in-country sequence: Pathway A (in-country downblending under dual-key custody) activates automatically at Day 180, and Pathway W (Agriculture and Food Security) activates automatically at Day 730 as the irreversible final back-stop. As Iran's irrevocable, unilateral right - exercisable at any time, without U.S. concurrence, joint review, or the possibility of U.S. veto, and operative on 14-day advance notification to the PCC and IAEA technical clearance - Iran instead selects any In-Iran Transformation Pathway (N, O, T, or W per Annex Z). An in-country election runs under the Dual-Key Custody Protocol (Annex Y): the material stays in Iran under joint IAEA and U.S.-designated lock, with no Iranian unilateral access and no route to re-enrich or divert. An optional export lane to Oman under IAEA custody (Pathway B) is available only with Iran's explicit, revocable, written consent; it is never compelled. All resulting medical-grade material carries a permanent legal restriction to isotope use at the converted Fordow center under joint supervision; diversion or re-enrichment constitutes a Tier-3 deliberate hostile violation.</w:t>
      </w:r>
    </w:p>
    <w:p>
      <w:pPr>
        <w:pStyle w:val="Heading3"/>
      </w:pPr>
      <w:bookmarkStart w:name="_Toc043" w:id="43"/>
      <w:r>
        <w:rPr>
          <w:rFonts w:ascii="Cambria" w:hAnsi="Cambria" w:eastAsia="Microsoft YaHei" w:cs="Cambria"/>
          <w:b/>
          <w:color w:val="1A1A2E"/>
          <w:sz w:val="26"/>
          <w:szCs w:val="26"/>
        </w:rPr>
        <w:t>3.2(a) The Forced-Choice Clock and the 75-Day Initial Downblending Protocol (Merged from Provisional Steps Art. 1.6(e) - Enhanced)</w:t>
      </w:r>
      <w:bookmarkEnd w:id="43"/>
    </w:p>
    <w:p>
      <w:pPr>
        <w:pStyle w:val="Normal"/>
      </w:pPr>
      <w:r>
        <w:rPr>
          <w:rFonts w:ascii="Cambria" w:hAnsi="Cambria" w:eastAsia="Microsoft YaHei" w:cs="Cambria"/>
          <w:color w:val="1A1A2E"/>
          <w:sz w:val="22"/>
          <w:szCs w:val="22"/>
        </w:rPr>
        <w:t>Three dates prevent indefinite stalling. The initial downblending of the 60% HEU stockpile to 19.75% or lower completes within 75 days of Day 1, provided that the IAEA certifies the downblending rate maintains an average of at least 3.0 kg/day over any 14-day period. If the IAEA certifies that technical or environmental conditions prevent compliance with the downblending rate, the Day-180 and Day-730 deadlines automatically extend by the number of days of verified delay, up to a cumulative maximum of 45 days. Any extension requires joint PCC notification but not mutual consent. The Day-180 auto-downblend (Pathway A) and Day-730 auto-fertilizer (Pathway W) remain as final backstops regardless of interim delays.</w:t>
      </w:r>
    </w:p>
    <w:p>
      <w:pPr>
        <w:pStyle w:val="Heading3"/>
      </w:pPr>
      <w:bookmarkStart w:name="_Toc044" w:id="44"/>
      <w:r>
        <w:rPr>
          <w:rFonts w:ascii="Cambria" w:hAnsi="Cambria" w:eastAsia="Microsoft YaHei" w:cs="Cambria"/>
          <w:b/>
          <w:color w:val="1A1A2E"/>
          <w:sz w:val="26"/>
          <w:szCs w:val="26"/>
        </w:rPr>
        <w:t>3.2(b) Custody-Termination Right (After Day 365) (Merged from Provisional Steps Art. 1.6-B(d) - Strengthened)</w:t>
      </w:r>
      <w:bookmarkEnd w:id="44"/>
    </w:p>
    <w:p>
      <w:pPr>
        <w:pStyle w:val="Normal"/>
      </w:pPr>
      <w:r>
        <w:rPr>
          <w:rFonts w:ascii="Cambria" w:hAnsi="Cambria" w:eastAsia="Microsoft YaHei" w:cs="Cambria"/>
          <w:color w:val="1A1A2E"/>
          <w:sz w:val="22"/>
          <w:szCs w:val="22"/>
        </w:rPr>
        <w:t>After Day 365, Iran retains the right to request termination of IAEA custody and return to sovereign control on 180 days' notice, provided no downblending or transformation has commenced. This right is subject only to Iran's own determination; no external approval is required. Escrow funds already disbursed before the termination notice are retained; undisbursed tranches tied to the terminated custody arrangement are suspended but not forfeited, and reinstate if Iran resumes IAEA custody within 180 days. Because Pathway A downblending begins at Day 180 in the default path, the right is available only where Iran has instead kept the material intact under dual-key without processing.</w:t>
      </w:r>
    </w:p>
    <w:p>
      <w:pPr>
        <w:pStyle w:val="Heading3"/>
      </w:pPr>
      <w:bookmarkStart w:name="_Toc045" w:id="45"/>
      <w:r>
        <w:rPr>
          <w:rFonts w:ascii="Cambria" w:hAnsi="Cambria" w:eastAsia="Microsoft YaHei" w:cs="Cambria"/>
          <w:b/>
          <w:color w:val="1A1A2E"/>
          <w:sz w:val="26"/>
          <w:szCs w:val="26"/>
        </w:rPr>
        <w:t>3.2(c) Five-Year Custody Review</w:t>
      </w:r>
      <w:bookmarkEnd w:id="45"/>
    </w:p>
    <w:p>
      <w:pPr>
        <w:pStyle w:val="Normal"/>
      </w:pPr>
      <w:r>
        <w:rPr>
          <w:rFonts w:ascii="Cambria" w:hAnsi="Cambria" w:eastAsia="Microsoft YaHei" w:cs="Cambria"/>
          <w:color w:val="1A1A2E"/>
          <w:sz w:val="22"/>
          <w:szCs w:val="22"/>
        </w:rPr>
        <w:t>Five years after Phase III certification, either Party proposes converting the Dual-Key Custody Protocol to IAEA-only custody (removing the U.S.-designated agent). Conversion requires mutual written consent and IAEA certification of 36 consecutive months with no Tier-2 or higher violation; absent agreement, dual-key custody continues. After a further 24 months of IAEA-only custody, Iran requests full removal of special custody arrangements, subject to PCC majority approval. This review affects neither the 3.67% cap nor the moratorium.</w:t>
      </w:r>
    </w:p>
    <w:p>
      <w:pPr>
        <w:pStyle w:val="Heading3"/>
      </w:pPr>
      <w:bookmarkStart w:name="_Toc046" w:id="46"/>
      <w:r>
        <w:rPr>
          <w:rFonts w:ascii="Cambria" w:hAnsi="Cambria" w:eastAsia="Microsoft YaHei" w:cs="Cambria"/>
          <w:b/>
          <w:color w:val="1A1A2E"/>
          <w:sz w:val="26"/>
          <w:szCs w:val="26"/>
        </w:rPr>
        <w:t>3.2(d) Batch Splitting</w:t>
      </w:r>
      <w:bookmarkEnd w:id="46"/>
    </w:p>
    <w:p>
      <w:pPr>
        <w:pStyle w:val="Normal"/>
      </w:pPr>
      <w:r>
        <w:rPr>
          <w:rFonts w:ascii="Cambria" w:hAnsi="Cambria" w:eastAsia="Microsoft YaHei" w:cs="Cambria"/>
          <w:color w:val="1A1A2E"/>
          <w:sz w:val="22"/>
          <w:szCs w:val="22"/>
        </w:rPr>
        <w:t>Iran splits the stockpile into up to three batches processed sequentially - not in parallel - through different pathways, with PCC notification but not PCC concurrence; the PCC's role is notification only, and it holds no approval authority over batch composition or sequencing. One batch completes substantially before the next commences; all batches stay under IAEA dual-lock custody and material accountancy throughout. Mid-stream switching is permitted on thirty days' notice. The provision lets Iran pursue several disposition objectives at once (for example, civilian fuel for part, fertilizer for the rest) without external approval of its allocation.</w:t>
      </w:r>
    </w:p>
    <w:p>
      <w:pPr>
        <w:pStyle w:val="Heading3"/>
      </w:pPr>
      <w:bookmarkStart w:name="_Toc047" w:id="47"/>
      <w:r>
        <w:rPr>
          <w:rFonts w:ascii="Cambria" w:hAnsi="Cambria" w:eastAsia="Microsoft YaHei" w:cs="Cambria"/>
          <w:b/>
          <w:color w:val="1A1A2E"/>
          <w:sz w:val="26"/>
          <w:szCs w:val="26"/>
        </w:rPr>
        <w:t>3.3 The Three-Facility Framework</w:t>
      </w:r>
      <w:bookmarkEnd w:id="47"/>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Facility</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Function Under This Instrument</w:t>
            </w:r>
          </w:p>
        </w:tc>
      </w:tr>
      <w:tr>
        <w:tc>
          <w:tcPr>
            <w:tcW w:w="2000" w:type="dxa"/>
          </w:tcPr>
          <w:p>
            <w:pPr>
              <w:pStyle w:val="Normal"/>
              <w:spacing w:before="40" w:after="40"/>
            </w:pPr>
            <w:r>
              <w:rPr>
                <w:color w:val="4A4A5A"/>
                <w:sz w:val="18"/>
                <w:rFonts w:ascii="Cambria" w:hAnsi="Cambria" w:eastAsia="Microsoft YaHei" w:cs="Cambria"/>
                <w:szCs w:val="18"/>
              </w:rPr>
              <w:t>Esfahan Tunnel Complex</w:t>
            </w:r>
          </w:p>
        </w:tc>
        <w:tc>
          <w:tcPr>
            <w:tcW w:w="2000" w:type="dxa"/>
          </w:tcPr>
          <w:p>
            <w:pPr>
              <w:pStyle w:val="Normal"/>
              <w:spacing w:before="40" w:after="40"/>
            </w:pPr>
            <w:r>
              <w:rPr>
                <w:color w:val="4A4A5A"/>
                <w:sz w:val="18"/>
                <w:rFonts w:ascii="Cambria" w:hAnsi="Cambria" w:eastAsia="Microsoft YaHei" w:cs="Cambria"/>
                <w:szCs w:val="18"/>
              </w:rPr>
              <w:t>HEU downblending and elimination; sealed to monitoring-only status on completion.</w:t>
            </w:r>
          </w:p>
        </w:tc>
      </w:tr>
      <w:tr>
        <w:tc>
          <w:tcPr>
            <w:tcW w:w="2000" w:type="dxa"/>
          </w:tcPr>
          <w:p>
            <w:pPr>
              <w:pStyle w:val="Normal"/>
              <w:spacing w:before="40" w:after="40"/>
            </w:pPr>
            <w:r>
              <w:rPr>
                <w:color w:val="4A4A5A"/>
                <w:sz w:val="18"/>
                <w:rFonts w:ascii="Cambria" w:hAnsi="Cambria" w:eastAsia="Microsoft YaHei" w:cs="Cambria"/>
                <w:szCs w:val="18"/>
              </w:rPr>
              <w:t>Fordow</w:t>
            </w:r>
          </w:p>
        </w:tc>
        <w:tc>
          <w:tcPr>
            <w:tcW w:w="2000" w:type="dxa"/>
          </w:tcPr>
          <w:p>
            <w:pPr>
              <w:pStyle w:val="Normal"/>
              <w:spacing w:before="40" w:after="40"/>
            </w:pPr>
            <w:r>
              <w:rPr>
                <w:color w:val="4A4A5A"/>
                <w:sz w:val="18"/>
                <w:rFonts w:ascii="Cambria" w:hAnsi="Cambria" w:eastAsia="Microsoft YaHei" w:cs="Cambria"/>
                <w:szCs w:val="18"/>
              </w:rPr>
              <w:t>Conversion to the International Medical Isotope Research Center under an international advisory board with an Iranian co-chair.</w:t>
            </w:r>
          </w:p>
        </w:tc>
      </w:tr>
      <w:tr>
        <w:tc>
          <w:tcPr>
            <w:tcW w:w="2000" w:type="dxa"/>
          </w:tcPr>
          <w:p>
            <w:pPr>
              <w:pStyle w:val="Normal"/>
              <w:spacing w:before="40" w:after="40"/>
            </w:pPr>
            <w:r>
              <w:rPr>
                <w:color w:val="4A4A5A"/>
                <w:sz w:val="18"/>
                <w:rFonts w:ascii="Cambria" w:hAnsi="Cambria" w:eastAsia="Microsoft YaHei" w:cs="Cambria"/>
                <w:szCs w:val="18"/>
              </w:rPr>
              <w:t>Natanz / Pickaxe Mountain</w:t>
            </w:r>
          </w:p>
        </w:tc>
        <w:tc>
          <w:tcPr>
            <w:tcW w:w="2000" w:type="dxa"/>
          </w:tcPr>
          <w:p>
            <w:pPr>
              <w:pStyle w:val="Normal"/>
              <w:spacing w:before="40" w:after="40"/>
            </w:pPr>
            <w:r>
              <w:rPr>
                <w:color w:val="4A4A5A"/>
                <w:sz w:val="18"/>
                <w:rFonts w:ascii="Cambria" w:hAnsi="Cambria" w:eastAsia="Microsoft YaHei" w:cs="Cambria"/>
                <w:szCs w:val="18"/>
              </w:rPr>
              <w:t>Capped civilian enrichment campus at 3.67%; moratorium lock; no new capacity.</w:t>
            </w:r>
          </w:p>
        </w:tc>
      </w:tr>
      <w:tr>
        <w:tc>
          <w:tcPr>
            <w:tcW w:w="2000" w:type="dxa"/>
          </w:tcPr>
          <w:p>
            <w:pPr>
              <w:pStyle w:val="Normal"/>
              <w:spacing w:before="40" w:after="40"/>
            </w:pPr>
            <w:r>
              <w:rPr>
                <w:b/>
                <w:color w:val="4A4A5A"/>
                <w:sz w:val="18"/>
                <w:rFonts w:ascii="Cambria" w:hAnsi="Cambria" w:eastAsia="Microsoft YaHei" w:cs="Cambria"/>
                <w:szCs w:val="18"/>
              </w:rPr>
              <w:t>Arak (IR-40 Heavy Water Reactor)</w:t>
            </w:r>
          </w:p>
        </w:tc>
        <w:tc>
          <w:tcPr>
            <w:tcW w:w="2000" w:type="dxa"/>
          </w:tcPr>
          <w:p>
            <w:pPr>
              <w:pStyle w:val="Normal"/>
              <w:spacing w:before="40" w:after="40"/>
            </w:pPr>
            <w:r>
              <w:rPr>
                <w:b/>
                <w:color w:val="4A4A5A"/>
                <w:sz w:val="18"/>
                <w:rFonts w:ascii="Cambria" w:hAnsi="Cambria" w:eastAsia="Microsoft YaHei" w:cs="Cambria"/>
                <w:szCs w:val="18"/>
              </w:rPr>
              <w:t>Status: Either (a) if the reactor has been rendered inoperable by prior military action, the IAEA confirms inoperability and no further action is required; or (b) if the reactor remains operable, Iran agrees to convert it to a research reactor with no weapons-usable plutonium production, under IAEA monitoring, with conversion completed within Phase II. The Parties determine the reactor's status within 30 days of entry into force via joint IAEA inspection.</w:t>
            </w:r>
          </w:p>
        </w:tc>
      </w:tr>
    </w:tbl>
    <w:p>
      <w:pPr>
        <w:pStyle w:val="Heading3"/>
      </w:pPr>
      <w:bookmarkStart w:name="_Toc048" w:id="48"/>
      <w:r>
        <w:rPr>
          <w:rFonts w:ascii="Cambria" w:hAnsi="Cambria" w:eastAsia="Microsoft YaHei" w:cs="Cambria"/>
          <w:b/>
          <w:color w:val="1A1A2E"/>
          <w:sz w:val="26"/>
          <w:szCs w:val="26"/>
        </w:rPr>
        <w:t>3.4 Enforcement Principle - Step-Back / Earn-Back Replaces the Snap Line</w:t>
      </w:r>
      <w:bookmarkEnd w:id="48"/>
    </w:p>
    <w:p>
      <w:pPr>
        <w:pStyle w:val="Normal"/>
      </w:pPr>
      <w:r>
        <w:rPr>
          <w:rFonts w:ascii="Cambria" w:hAnsi="Cambria" w:eastAsia="Microsoft YaHei" w:cs="Cambria"/>
          <w:color w:val="1A1A2E"/>
          <w:sz w:val="22"/>
          <w:szCs w:val="22"/>
        </w:rPr>
        <w:t>The automatic Snap Line of prior drafts gives way to the tiered step-back and earn-back system of Article 7.3 and Annex T. No violation triggers an automatic, politically irreversible suspension of benefits. Every penalty is graduated, proportional to the violation, reversible on verified remediation and sustained compliance, and subject to the human-in-the-loop review of Article 7.4 and the Second Look Review of Article 7.7. An IAEA finding of enrichment above 3.67% classifies under Tier 3 and runs the graduated step-back ladder - a reduction that earns back on clean compliance, not an instant, irreversible cut-off.</w:t>
      </w:r>
    </w:p>
    <w:p>
      <w:pPr>
        <w:pStyle w:val="Heading3"/>
      </w:pPr>
      <w:bookmarkStart w:name="_Toc049" w:id="49"/>
      <w:r>
        <w:rPr>
          <w:rFonts w:ascii="Cambria" w:hAnsi="Cambria" w:eastAsia="Microsoft YaHei" w:cs="Cambria"/>
          <w:b/>
          <w:color w:val="1A1A2E"/>
          <w:sz w:val="26"/>
          <w:szCs w:val="26"/>
        </w:rPr>
        <w:t>3.5 Sovereignty and Verification Balance</w:t>
      </w:r>
      <w:bookmarkEnd w:id="49"/>
    </w:p>
    <w:p>
      <w:pPr>
        <w:pStyle w:val="Normal"/>
      </w:pPr>
      <w:r>
        <w:rPr>
          <w:rFonts w:ascii="Cambria" w:hAnsi="Cambria" w:eastAsia="Microsoft YaHei" w:cs="Cambria"/>
          <w:color w:val="1A1A2E"/>
          <w:sz w:val="22"/>
          <w:szCs w:val="22"/>
        </w:rPr>
        <w:t>Recognition of IRGC control over certain sites does not dilute compliance: an IRGC denial of access counts as an Iranian denial (Annex Q). Access to damaged sites and recovery of damaged cylinders proceed under Annexes O, P, and V. In return, the verification architecture excludes the non-humiliation prohibitions of Article 8.6 - no public renunciation, no inspection-site media events, no characterization of compliance as submission.</w:t>
      </w:r>
    </w:p>
    <w:p>
      <w:pPr>
        <w:pStyle w:val="Normal"/>
      </w:pPr>
      <w:r>
        <w:rPr>
          <w:rFonts w:ascii="Cambria" w:hAnsi="Cambria" w:eastAsia="Microsoft YaHei" w:cs="Cambria"/>
          <w:color w:val="1A1A2E"/>
          <w:sz w:val="22"/>
          <w:szCs w:val="22"/>
        </w:rPr>
        <w:t>No U.S. custody, no U.S. soil. At no stage does the United States receive, store, or exercise direct physical custody over Iranian enriched uranium, and no material moves to U.S. soil. The IAEA is the custodian; the U.S.-designated agent holds only the second key. A U.S. technical observer accesses an IAEA custody facility only on Iran's explicit, revocable, per-visit written consent. There is no standing or open-ended access right and no "not unreasonably withheld" qualifier: each visit is a fresh sovereign permission, and the second key controls the lock, not the building.</w:t>
      </w:r>
    </w:p>
    <w:p>
      <w:pPr>
        <w:pStyle w:val="Heading3"/>
      </w:pPr>
      <w:bookmarkStart w:name="_Toc050" w:id="50"/>
      <w:r>
        <w:rPr>
          <w:rFonts w:ascii="Cambria" w:hAnsi="Cambria" w:eastAsia="Microsoft YaHei" w:cs="Cambria"/>
          <w:b/>
          <w:color w:val="1A1A2E"/>
          <w:sz w:val="26"/>
          <w:szCs w:val="26"/>
        </w:rPr>
        <w:t>3.6 The Joint Disposition Fund</w:t>
      </w:r>
      <w:bookmarkEnd w:id="50"/>
    </w:p>
    <w:p>
      <w:pPr>
        <w:pStyle w:val="Normal"/>
      </w:pPr>
      <w:r>
        <w:rPr>
          <w:rFonts w:ascii="Cambria" w:hAnsi="Cambria" w:eastAsia="Microsoft YaHei" w:cs="Cambria"/>
          <w:color w:val="1A1A2E"/>
          <w:sz w:val="22"/>
          <w:szCs w:val="22"/>
        </w:rPr>
        <w:t>A $1B Joint Disposition Fund, contributed equally by both Parties, rewards verified progress on disposition. Iran draws on the Fund as milestones verify, independent of which pathway it selects; no pathway is excluded from eligibility. The Fund makes a mutually acceptable disposition the financially advantaged choice for both sides without pre-judging the pathway, and it gives Iran value tied to the nuclear track that it characterizes as cooperation rather than concession.</w:t>
      </w:r>
    </w:p>
    <w:p>
      <w:pPr>
        <w:pStyle w:val="Normal"/>
      </w:pPr>
      <w:r>
        <w:rPr>
          <w:rFonts w:ascii="Cambria" w:hAnsi="Cambria" w:eastAsia="Microsoft YaHei" w:cs="Cambria"/>
          <w:color w:val="1A1A2E"/>
          <w:sz w:val="22"/>
          <w:szCs w:val="22"/>
        </w:rPr>
        <w:t>For clarity, the Fund disburses on IAEA-verified progress under any pathway in Annex Z, including Pathway W (Agriculture and Food Security); Pathway W draws on the in-country schedule of 50% on commencement and 50% on completion. In addition to the $1B cap, the Parties establish a per-kilogram disposition incentive (target $5,000 per kilogram of HEU neutralized, reviewed annually by the PCC), paid from interest accrued on escrowed funds or from voluntary contributions by endorsing states. This incentive does not raise the $1B cap; it is a separate, non-obligatory supplement that gives Iran upside without a new U.S. appropriation.</w:t>
      </w:r>
    </w:p>
    <w:p>
      <w:pPr>
        <w:pStyle w:val="Normal"/>
      </w:pPr>
      <w:r>
        <w:rPr>
          <w:rFonts w:ascii="Cambria" w:hAnsi="Cambria" w:eastAsia="Microsoft YaHei" w:cs="Cambria"/>
          <w:color w:val="1A1A2E"/>
          <w:sz w:val="22"/>
          <w:szCs w:val="22"/>
        </w:rPr>
        <w:t>The Fund is a progress-based drawdown facility, not a one-time completion bonus: Iran draws on verified commencement as well as completion, so the money funds momentum rather than only endpoints. Pathway-switching protection: if Iran switches pathways mid-stream, funds already drawn credit against the new pathway's schedule with no clawback. The rule rewards genuine effort and lets Iran pivot without forfeiting progress.</w:t>
      </w:r>
    </w:p>
    <w:p>
      <w:pPr>
        <w:pStyle w:val="Heading3"/>
      </w:pPr>
      <w:bookmarkStart w:name="_Toc051" w:id="51"/>
      <w:r>
        <w:rPr>
          <w:rFonts w:ascii="Cambria" w:hAnsi="Cambria" w:eastAsia="Microsoft YaHei" w:cs="Cambria"/>
          <w:b/>
          <w:color w:val="1A1A2E"/>
          <w:sz w:val="26"/>
          <w:szCs w:val="26"/>
        </w:rPr>
        <w:t>3.7 Centrifuge Production Ban (Phase I)</w:t>
      </w:r>
      <w:bookmarkEnd w:id="51"/>
    </w:p>
    <w:p>
      <w:pPr>
        <w:pStyle w:val="Normal"/>
      </w:pPr>
      <w:r>
        <w:rPr>
          <w:rFonts w:ascii="Cambria" w:hAnsi="Cambria" w:eastAsia="Microsoft YaHei" w:cs="Cambria"/>
          <w:color w:val="1A1A2E"/>
          <w:sz w:val="22"/>
          <w:szCs w:val="22"/>
        </w:rPr>
        <w:t>Iran does not manufacture, assemble, or install any new centrifuge rotor or cascade component during Phase I (Days 1-365). The IAEA verifies compliance through quarterly inspections of declared centrifuge-manufacturing facilities. A verified violation of this ban classifies as a Tier-2 material disruption under Article 7.3. The ban is temporary and facility-specific: it freezes new enrichment capacity during implementation without touching existing centrifuges, and Iran resumes permitted production in Phase II on clean compliance.</w:t>
      </w:r>
    </w:p>
    <w:p>
      <w:pPr>
        <w:pStyle w:val="Heading2"/>
      </w:pPr>
      <w:bookmarkStart w:name="_Toc052" w:id="52"/>
      <w:r>
        <w:rPr>
          <w:rFonts w:ascii="Cambria" w:hAnsi="Cambria" w:eastAsia="Microsoft YaHei" w:cs="Cambria"/>
          <w:b/>
          <w:color w:val="2D4A6F"/>
          <w:sz w:val="32"/>
          <w:szCs w:val="32"/>
        </w:rPr>
        <w:t>Article 4 - Maritime Stabilization Core</w:t>
      </w:r>
      <w:bookmarkEnd w:id="52"/>
    </w:p>
    <w:p>
      <w:pPr>
        <w:pStyle w:val="Heading3"/>
      </w:pPr>
      <w:bookmarkStart w:name="_Toc053" w:id="53"/>
      <w:r>
        <w:rPr>
          <w:rFonts w:ascii="Cambria" w:hAnsi="Cambria" w:eastAsia="Microsoft YaHei" w:cs="Cambria"/>
          <w:b/>
          <w:color w:val="1A1A2E"/>
          <w:sz w:val="26"/>
          <w:szCs w:val="26"/>
        </w:rPr>
        <w:t>4.1 Freedom of Navigation Guarantee</w:t>
      </w:r>
      <w:bookmarkEnd w:id="53"/>
    </w:p>
    <w:p>
      <w:pPr>
        <w:pStyle w:val="Normal"/>
      </w:pPr>
      <w:r>
        <w:rPr>
          <w:rFonts w:ascii="Cambria" w:hAnsi="Cambria" w:eastAsia="Microsoft YaHei" w:cs="Cambria"/>
          <w:color w:val="1A1A2E"/>
          <w:sz w:val="22"/>
          <w:szCs w:val="22"/>
        </w:rPr>
        <w:t>The Strait of Hormuz reopens to unrestricted commercial transit. No vessel is halted, boarded, delayed, or denied passage for any reason related to fees, tolls, or management authority. No Party levies a toll, checkpoint, or transit charge of any kind. The United States and coalition forces lift the naval blockade in proportion to verified Iranian compliance, as set out in Annex N. A Maritime Stability Board in Muscat, operated by Oman with international maritime-organization observer status, receives transit notifications and exercises no regulatory authority over the corridor.</w:t>
      </w:r>
    </w:p>
    <w:p>
      <w:pPr>
        <w:pStyle w:val="Heading3"/>
      </w:pPr>
      <w:bookmarkStart w:name="_Toc054" w:id="54"/>
      <w:r>
        <w:rPr>
          <w:rFonts w:ascii="Cambria" w:hAnsi="Cambria" w:eastAsia="Microsoft YaHei" w:cs="Cambria"/>
          <w:b/>
          <w:color w:val="1A1A2E"/>
          <w:sz w:val="26"/>
          <w:szCs w:val="26"/>
        </w:rPr>
        <w:t>4.2 Sovereign Coastal Statement</w:t>
      </w:r>
      <w:bookmarkEnd w:id="54"/>
    </w:p>
    <w:p>
      <w:pPr>
        <w:pStyle w:val="Normal"/>
      </w:pPr>
      <w:r>
        <w:rPr>
          <w:rFonts w:ascii="Cambria" w:hAnsi="Cambria" w:eastAsia="Microsoft YaHei" w:cs="Cambria"/>
          <w:color w:val="1A1A2E"/>
          <w:sz w:val="22"/>
          <w:szCs w:val="22"/>
        </w:rPr>
        <w:t>Nothing in this Article prejudices Iran's position as a coastal state under international law, including its rights and responsibilities under the UN Convention on the Law of the Sea regarding safety of navigation and protection of the marine environment. This statement delegates no operational authority over the transit corridor to Iran; it records a sovereign position, not a management power.</w:t>
      </w:r>
    </w:p>
    <w:p>
      <w:pPr>
        <w:pStyle w:val="Heading3"/>
      </w:pPr>
      <w:bookmarkStart w:name="_Toc055" w:id="55"/>
      <w:r>
        <w:rPr>
          <w:rFonts w:ascii="Cambria" w:hAnsi="Cambria" w:eastAsia="Microsoft YaHei" w:cs="Cambria"/>
          <w:b/>
          <w:color w:val="1A1A2E"/>
          <w:sz w:val="26"/>
          <w:szCs w:val="26"/>
        </w:rPr>
        <w:t>4.3 The Synchronized Blockade Lift</w:t>
      </w:r>
      <w:bookmarkEnd w:id="55"/>
    </w:p>
    <w:p>
      <w:pPr>
        <w:pStyle w:val="Normal"/>
      </w:pPr>
      <w:r>
        <w:rPr>
          <w:rFonts w:ascii="Cambria" w:hAnsi="Cambria" w:eastAsia="Microsoft YaHei" w:cs="Cambria"/>
          <w:color w:val="1A1A2E"/>
          <w:sz w:val="22"/>
          <w:szCs w:val="22"/>
        </w:rPr>
        <w:t>On Day 7, the dual blockade lifts on a minute-by-minute reciprocal choreography: as Iran clears mines and withdraws small craft from the corridor, the United States and coalition forces stand down the naval blockade in proportion. A 24-hour bright-line period defines violations; suspension and restoration follow the maritime escalation ladder. Mine-clearing proceeds jointly or through Oman and other third parties, verified by the Maritime Stability Board.</w:t>
      </w:r>
    </w:p>
    <w:p>
      <w:pPr>
        <w:pStyle w:val="Heading3"/>
      </w:pPr>
      <w:bookmarkStart w:name="_Toc056" w:id="56"/>
      <w:r>
        <w:rPr>
          <w:rFonts w:ascii="Cambria" w:hAnsi="Cambria" w:eastAsia="Microsoft YaHei" w:cs="Cambria"/>
          <w:b/>
          <w:color w:val="1A1A2E"/>
          <w:sz w:val="26"/>
          <w:szCs w:val="26"/>
        </w:rPr>
        <w:t>4.4 Non-Interdiction and Backdoor Closure (Merged from Provisional Steps Art. 4.4 - Enhanced Penalties)</w:t>
      </w:r>
      <w:bookmarkEnd w:id="56"/>
    </w:p>
    <w:p>
      <w:pPr>
        <w:pStyle w:val="Normal"/>
      </w:pPr>
      <w:r>
        <w:rPr>
          <w:rFonts w:ascii="Cambria" w:hAnsi="Cambria" w:eastAsia="Microsoft YaHei" w:cs="Cambria"/>
          <w:color w:val="1A1A2E"/>
          <w:sz w:val="22"/>
          <w:szCs w:val="22"/>
        </w:rPr>
        <w:t>Commercial transit operates under an absolute non-interdiction protocol (Annex N): no vessel is halted, boarded, delayed, or denied passage over a fee or management dispute. The Backdoor-Closure protocol (Annex N.a) classifies any pretextual safety inspection automatically against a bright-line test, and activates U.S. escort and override authority plus an automatic $10M penalty, drawn from Iran's escrow, for a repeat interdiction. Any Iranian claim that a vessel sits within territorial waters for the purpose of imposing a toll or inspection goes automatically to Maritime Stability Board arbitration; a finding of pretext forfeits Iran's service reimbursement for ninety days. Humanitarian and Hajj transits run zero-toll because no toll exists at all.</w:t>
      </w:r>
    </w:p>
    <w:p>
      <w:pPr>
        <w:pStyle w:val="Heading3"/>
      </w:pPr>
      <w:bookmarkStart w:name="_Toc057" w:id="57"/>
      <w:r>
        <w:rPr>
          <w:rFonts w:ascii="Cambria" w:hAnsi="Cambria" w:eastAsia="Microsoft YaHei" w:cs="Cambria"/>
          <w:b/>
          <w:color w:val="1A1A2E"/>
          <w:sz w:val="26"/>
          <w:szCs w:val="26"/>
        </w:rPr>
        <w:t>4.5 The Multilateral Maritime Maintenance Fund and Service Reimbursement</w:t>
      </w:r>
      <w:bookmarkEnd w:id="57"/>
    </w:p>
    <w:p>
      <w:pPr>
        <w:pStyle w:val="Normal"/>
      </w:pPr>
      <w:r>
        <w:rPr>
          <w:rFonts w:ascii="Cambria" w:hAnsi="Cambria" w:eastAsia="Microsoft YaHei" w:cs="Cambria"/>
          <w:color w:val="1A1A2E"/>
          <w:sz w:val="22"/>
          <w:szCs w:val="22"/>
        </w:rPr>
        <w:t>A Multilateral Maritime Maintenance Fund, administered by Oman, covers channel maintenance, mine-clearing, and navigation aids. Voluntary contributions from user states finance the Fund; no Iranian sovereign toll, transit charge, or revenue share exists. Iran invoices the Fund for verified services at pre-approved unit rates not exceeding regional market benchmarks, audited independently in Muscat:</w:t>
      </w:r>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Service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Reimbursement Basis</w:t>
            </w:r>
          </w:p>
        </w:tc>
      </w:tr>
      <w:tr>
        <w:tc>
          <w:tcPr>
            <w:tcW w:w="2000" w:type="dxa"/>
          </w:tcPr>
          <w:p>
            <w:pPr>
              <w:pStyle w:val="Normal"/>
              <w:spacing w:before="40" w:after="40"/>
            </w:pPr>
            <w:r>
              <w:rPr>
                <w:color w:val="4A4A5A"/>
                <w:sz w:val="18"/>
                <w:rFonts w:ascii="Cambria" w:hAnsi="Cambria" w:eastAsia="Microsoft YaHei" w:cs="Cambria"/>
                <w:szCs w:val="18"/>
              </w:rPr>
              <w:t>Daily strait monitoring and traffic reporting</w:t>
            </w:r>
          </w:p>
        </w:tc>
        <w:tc>
          <w:tcPr>
            <w:tcW w:w="2000" w:type="dxa"/>
          </w:tcPr>
          <w:p>
            <w:pPr>
              <w:pStyle w:val="Normal"/>
              <w:spacing w:before="40" w:after="40"/>
            </w:pPr>
            <w:r>
              <w:rPr>
                <w:color w:val="4A4A5A"/>
                <w:sz w:val="18"/>
                <w:rFonts w:ascii="Cambria" w:hAnsi="Cambria" w:eastAsia="Microsoft YaHei" w:cs="Cambria"/>
                <w:szCs w:val="18"/>
              </w:rPr>
              <w:t>Per-vessel rate set in Annex N</w:t>
            </w:r>
          </w:p>
        </w:tc>
      </w:tr>
      <w:tr>
        <w:tc>
          <w:tcPr>
            <w:tcW w:w="2000" w:type="dxa"/>
          </w:tcPr>
          <w:p>
            <w:pPr>
              <w:pStyle w:val="Normal"/>
              <w:spacing w:before="40" w:after="40"/>
            </w:pPr>
            <w:r>
              <w:rPr>
                <w:color w:val="4A4A5A"/>
                <w:sz w:val="18"/>
                <w:rFonts w:ascii="Cambria" w:hAnsi="Cambria" w:eastAsia="Microsoft YaHei" w:cs="Cambria"/>
                <w:szCs w:val="18"/>
              </w:rPr>
              <w:t>Mine-sweeping operations</w:t>
            </w:r>
          </w:p>
        </w:tc>
        <w:tc>
          <w:tcPr>
            <w:tcW w:w="2000" w:type="dxa"/>
          </w:tcPr>
          <w:p>
            <w:pPr>
              <w:pStyle w:val="Normal"/>
              <w:spacing w:before="40" w:after="40"/>
            </w:pPr>
            <w:r>
              <w:rPr>
                <w:color w:val="4A4A5A"/>
                <w:sz w:val="18"/>
                <w:rFonts w:ascii="Cambria" w:hAnsi="Cambria" w:eastAsia="Microsoft YaHei" w:cs="Cambria"/>
                <w:szCs w:val="18"/>
              </w:rPr>
              <w:t>Per linear kilometer cleared</w:t>
            </w:r>
          </w:p>
        </w:tc>
      </w:tr>
      <w:tr>
        <w:tc>
          <w:tcPr>
            <w:tcW w:w="2000" w:type="dxa"/>
          </w:tcPr>
          <w:p>
            <w:pPr>
              <w:pStyle w:val="Normal"/>
              <w:spacing w:before="40" w:after="40"/>
            </w:pPr>
            <w:r>
              <w:rPr>
                <w:color w:val="4A4A5A"/>
                <w:sz w:val="18"/>
                <w:rFonts w:ascii="Cambria" w:hAnsi="Cambria" w:eastAsia="Microsoft YaHei" w:cs="Cambria"/>
                <w:szCs w:val="18"/>
              </w:rPr>
              <w:t>Environmental and oil-spill response</w:t>
            </w:r>
          </w:p>
        </w:tc>
        <w:tc>
          <w:tcPr>
            <w:tcW w:w="2000" w:type="dxa"/>
          </w:tcPr>
          <w:p>
            <w:pPr>
              <w:pStyle w:val="Normal"/>
              <w:spacing w:before="40" w:after="40"/>
            </w:pPr>
            <w:r>
              <w:rPr>
                <w:color w:val="4A4A5A"/>
                <w:sz w:val="18"/>
                <w:rFonts w:ascii="Cambria" w:hAnsi="Cambria" w:eastAsia="Microsoft YaHei" w:cs="Cambria"/>
                <w:szCs w:val="18"/>
              </w:rPr>
              <w:t>Per incident, at audited cost</w:t>
            </w:r>
          </w:p>
        </w:tc>
      </w:tr>
      <w:tr>
        <w:tc>
          <w:tcPr>
            <w:tcW w:w="2000" w:type="dxa"/>
          </w:tcPr>
          <w:p>
            <w:pPr>
              <w:pStyle w:val="Normal"/>
              <w:spacing w:before="40" w:after="40"/>
            </w:pPr>
            <w:r>
              <w:rPr>
                <w:color w:val="4A4A5A"/>
                <w:sz w:val="18"/>
                <w:rFonts w:ascii="Cambria" w:hAnsi="Cambria" w:eastAsia="Microsoft YaHei" w:cs="Cambria"/>
                <w:szCs w:val="18"/>
              </w:rPr>
              <w:t>Search-and-rescue coordination</w:t>
            </w:r>
          </w:p>
        </w:tc>
        <w:tc>
          <w:tcPr>
            <w:tcW w:w="2000" w:type="dxa"/>
          </w:tcPr>
          <w:p>
            <w:pPr>
              <w:pStyle w:val="Normal"/>
              <w:spacing w:before="40" w:after="40"/>
            </w:pPr>
            <w:r>
              <w:rPr>
                <w:color w:val="4A4A5A"/>
                <w:sz w:val="18"/>
                <w:rFonts w:ascii="Cambria" w:hAnsi="Cambria" w:eastAsia="Microsoft YaHei" w:cs="Cambria"/>
                <w:szCs w:val="18"/>
              </w:rPr>
              <w:t>Monthly retainer</w:t>
            </w:r>
          </w:p>
        </w:tc>
      </w:tr>
    </w:tbl>
    <w:p>
      <w:pPr>
        <w:pStyle w:val="Normal"/>
      </w:pPr>
      <w:r>
        <w:rPr>
          <w:rFonts w:ascii="Cambria" w:hAnsi="Cambria" w:eastAsia="Microsoft YaHei" w:cs="Cambria"/>
          <w:color w:val="1A1A2E"/>
          <w:sz w:val="22"/>
          <w:szCs w:val="22"/>
        </w:rPr>
        <w:t>These are service reimbursements, not tolls, transit fees, management authority, or revenue share. No vessel is delayed, denied passage, or subjected to additional inspection for non-payment. Invoicing is quarterly; disputes resolve by binding audit; the Parties review the rate schedule annually. Iran gets a predictable income stream for work performed, and the waterway stays free.</w:t>
      </w:r>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Why this resolves the strait: United States: ships move, oil flows, zero Iranian tolls, no checkpoints, no management authority, no revenue share - a fully open international waterway. Iran: its coastal-state position is acknowledged on the record, and it earns reimbursement for verified services - value for work, not a surrender of leverage.</w:t>
      </w:r>
    </w:p>
    <w:p>
      <w:pPr>
        <w:pStyle w:val="Heading3"/>
      </w:pPr>
      <w:bookmarkStart w:name="_Toc058" w:id="58"/>
      <w:r>
        <w:rPr>
          <w:rFonts w:ascii="Cambria" w:hAnsi="Cambria" w:eastAsia="Microsoft YaHei" w:cs="Cambria"/>
          <w:b/>
          <w:color w:val="1A1A2E"/>
          <w:sz w:val="26"/>
          <w:szCs w:val="26"/>
        </w:rPr>
        <w:t>4.8 Maritime Deconfliction Channel via Oman</w:t>
      </w:r>
      <w:bookmarkEnd w:id="58"/>
    </w:p>
    <w:p>
      <w:pPr>
        <w:pStyle w:val="Normal"/>
      </w:pPr>
      <w:r>
        <w:rPr>
          <w:rFonts w:ascii="Cambria" w:hAnsi="Cambria" w:eastAsia="Microsoft YaHei" w:cs="Cambria"/>
          <w:color w:val="1A1A2E"/>
          <w:sz w:val="22"/>
          <w:szCs w:val="22"/>
        </w:rPr>
        <w:t>A maritime deconfliction channel operates between the Israeli Navy and the IRGC Navy exclusively through the Omani Royal Navy as a neutral relay. No direct communication between Israeli and Iranian military personnel occurs. The channel is limited to preventing accidental engagement in the Red Sea and the Gulf of Aden; it constitutes no recognition, negotiation, or normalization, and binds neither force beyond accident prevention. It gives both navies a relayed line that lowers the risk of an unintended clash without asking either to acknowledge the other. The channel runs a mandatory acknowledgment rule: any Tier-2, military-level message is acknowledged within 15 minutes, and a failure to acknowledge three times within 30 days classifies as a Tier-2 material disruption under Article 7.3.</w:t>
      </w:r>
    </w:p>
    <w:p>
      <w:pPr>
        <w:pStyle w:val="Heading3"/>
      </w:pPr>
      <w:bookmarkStart w:name="_Toc059" w:id="59"/>
      <w:r>
        <w:rPr>
          <w:rFonts w:ascii="Cambria" w:hAnsi="Cambria" w:eastAsia="Microsoft YaHei" w:cs="Cambria"/>
          <w:b/>
          <w:color w:val="1A1A2E"/>
          <w:sz w:val="26"/>
          <w:szCs w:val="26"/>
        </w:rPr>
        <w:t>4.9 Force-Posture Stand-Off on Performance, Not Signature (Added from Provisional Steps Art. 4.9 - New)</w:t>
      </w:r>
      <w:bookmarkEnd w:id="59"/>
    </w:p>
    <w:p>
      <w:pPr>
        <w:pStyle w:val="Normal"/>
      </w:pPr>
      <w:r>
        <w:rPr>
          <w:rFonts w:ascii="Cambria" w:hAnsi="Cambria" w:eastAsia="Microsoft YaHei" w:cs="Cambria"/>
          <w:color w:val="1A1A2E"/>
          <w:sz w:val="22"/>
          <w:szCs w:val="22"/>
        </w:rPr>
        <w:t>The U.S. naval stand-off - no patrols within five nautical miles of the transit corridor - triggers only on IAEA confirmation that HEU consolidation has begun, not on signature alone. The United States keeps its posture until Iran performs the first verified step, and Iran earns the stand-off by delivering it. The sequencing ties de-escalation to verified action rather than to a promise on paper.</w:t>
      </w:r>
    </w:p>
    <w:p>
      <w:pPr>
        <w:pStyle w:val="Heading2"/>
      </w:pPr>
      <w:bookmarkStart w:name="_Toc060" w:id="60"/>
      <w:r>
        <w:rPr>
          <w:rFonts w:ascii="Cambria" w:hAnsi="Cambria" w:eastAsia="Microsoft YaHei" w:cs="Cambria"/>
          <w:b/>
          <w:color w:val="2D4A6F"/>
          <w:sz w:val="32"/>
          <w:szCs w:val="32"/>
        </w:rPr>
        <w:t>Article 5 - Economic Normalization Core</w:t>
      </w:r>
      <w:bookmarkEnd w:id="60"/>
    </w:p>
    <w:p>
      <w:pPr>
        <w:pStyle w:val="Heading3"/>
      </w:pPr>
      <w:bookmarkStart w:name="_Toc061" w:id="61"/>
      <w:r>
        <w:rPr>
          <w:rFonts w:ascii="Cambria" w:hAnsi="Cambria" w:eastAsia="Microsoft YaHei" w:cs="Cambria"/>
          <w:b/>
          <w:color w:val="1A1A2E"/>
          <w:sz w:val="26"/>
          <w:szCs w:val="26"/>
        </w:rPr>
        <w:t>5.1 The Escrow Principle</w:t>
      </w:r>
      <w:bookmarkEnd w:id="61"/>
    </w:p>
    <w:p>
      <w:pPr>
        <w:pStyle w:val="Normal"/>
      </w:pPr>
      <w:r>
        <w:rPr>
          <w:rFonts w:ascii="Cambria" w:hAnsi="Cambria" w:eastAsia="Microsoft YaHei" w:cs="Cambria"/>
          <w:color w:val="1A1A2E"/>
          <w:sz w:val="22"/>
          <w:szCs w:val="22"/>
        </w:rPr>
        <w:t>Value moves through a neutral Swiss escrow agent in Zurich, never as a direct U.S. transfer. The agent holds and releases on verified milestones. This keeps every release reversible and compliance-gated, and keeps the United States out of the posture of handing over cash.</w:t>
      </w:r>
    </w:p>
    <w:p>
      <w:pPr>
        <w:pStyle w:val="Heading3"/>
      </w:pPr>
      <w:bookmarkStart w:name="_Toc062" w:id="62"/>
      <w:r>
        <w:rPr>
          <w:rFonts w:ascii="Cambria" w:hAnsi="Cambria" w:eastAsia="Microsoft YaHei" w:cs="Cambria"/>
          <w:b/>
          <w:color w:val="1A1A2E"/>
          <w:sz w:val="26"/>
          <w:szCs w:val="26"/>
        </w:rPr>
        <w:t>5.2 Four Parallel Financial Tracks</w:t>
      </w:r>
      <w:bookmarkEnd w:id="62"/>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Track</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Content</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Timing and Gate</w:t>
            </w:r>
          </w:p>
        </w:tc>
      </w:tr>
      <w:tr>
        <w:tc>
          <w:tcPr>
            <w:tcW w:w="2000" w:type="dxa"/>
          </w:tcPr>
          <w:p>
            <w:pPr>
              <w:pStyle w:val="Normal"/>
              <w:spacing w:before="40" w:after="40"/>
            </w:pPr>
            <w:r>
              <w:rPr>
                <w:color w:val="4A4A5A"/>
                <w:sz w:val="18"/>
                <w:rFonts w:ascii="Cambria" w:hAnsi="Cambria" w:eastAsia="Microsoft YaHei" w:cs="Cambria"/>
                <w:szCs w:val="18"/>
              </w:rPr>
              <w:t>1. Mutual Escrow Deposit</w:t>
            </w:r>
          </w:p>
        </w:tc>
        <w:tc>
          <w:tcPr>
            <w:tcW w:w="2000" w:type="dxa"/>
          </w:tcPr>
          <w:p>
            <w:pPr>
              <w:pStyle w:val="Normal"/>
              <w:spacing w:before="40" w:after="40"/>
            </w:pPr>
            <w:r>
              <w:rPr>
                <w:color w:val="4A4A5A"/>
                <w:sz w:val="18"/>
                <w:rFonts w:ascii="Cambria" w:hAnsi="Cambria" w:eastAsia="Microsoft YaHei" w:cs="Cambria"/>
                <w:szCs w:val="18"/>
              </w:rPr>
              <w:t>$5B placed in the Swiss-Omani escrow on Day 1 as a mutual goodwill deposit; held, not released. Iran places equivalent verified HEU under dual-key custody. No cash moves on Day 1.</w:t>
            </w:r>
          </w:p>
        </w:tc>
        <w:tc>
          <w:tcPr>
            <w:tcW w:w="2000" w:type="dxa"/>
          </w:tcPr>
          <w:p>
            <w:pPr>
              <w:pStyle w:val="Normal"/>
              <w:spacing w:before="40" w:after="40"/>
            </w:pPr>
            <w:r>
              <w:rPr>
                <w:color w:val="4A4A5A"/>
                <w:sz w:val="18"/>
                <w:rFonts w:ascii="Cambria" w:hAnsi="Cambria" w:eastAsia="Microsoft YaHei" w:cs="Cambria"/>
                <w:szCs w:val="18"/>
              </w:rPr>
              <w:t>$2.5B releases on Day 7 if Hormuz is mine-free and transit resumes 72 hours. $2.5B on Day 15 with continued compliance. Remaining $19B follows original schedule.</w:t>
            </w:r>
          </w:p>
        </w:tc>
      </w:tr>
      <w:tr>
        <w:tc>
          <w:tcPr>
            <w:tcW w:w="2000" w:type="dxa"/>
          </w:tcPr>
          <w:p>
            <w:pPr>
              <w:pStyle w:val="Normal"/>
              <w:spacing w:before="40" w:after="40"/>
            </w:pPr>
            <w:r>
              <w:rPr>
                <w:color w:val="4A4A5A"/>
                <w:sz w:val="18"/>
                <w:rFonts w:ascii="Cambria" w:hAnsi="Cambria" w:eastAsia="Microsoft YaHei" w:cs="Cambria"/>
                <w:szCs w:val="18"/>
              </w:rPr>
              <w:t>2. Frozen-asset release</w:t>
            </w:r>
          </w:p>
        </w:tc>
        <w:tc>
          <w:tcPr>
            <w:tcW w:w="2000" w:type="dxa"/>
          </w:tcPr>
          <w:p>
            <w:pPr>
              <w:pStyle w:val="Normal"/>
              <w:spacing w:before="40" w:after="40"/>
            </w:pPr>
            <w:r>
              <w:rPr>
                <w:color w:val="4A4A5A"/>
                <w:sz w:val="18"/>
                <w:rFonts w:ascii="Cambria" w:hAnsi="Cambria" w:eastAsia="Microsoft YaHei" w:cs="Cambria"/>
                <w:szCs w:val="18"/>
              </w:rPr>
              <w:t>Staged, reversible release of frozen sovereign assets. Total value: approximately $24B per joint escrow assessment.</w:t>
            </w:r>
          </w:p>
        </w:tc>
        <w:tc>
          <w:tcPr>
            <w:tcW w:w="2000" w:type="dxa"/>
          </w:tcPr>
          <w:p>
            <w:pPr>
              <w:pStyle w:val="Normal"/>
              <w:spacing w:before="40" w:after="40"/>
            </w:pPr>
            <w:r>
              <w:rPr>
                <w:color w:val="4A4A5A"/>
                <w:sz w:val="18"/>
                <w:rFonts w:ascii="Cambria" w:hAnsi="Cambria" w:eastAsia="Microsoft YaHei" w:cs="Cambria"/>
                <w:szCs w:val="18"/>
              </w:rPr>
              <w:t>15% Day 30; 30% by Day 60; 45% by Day 180; 65% by Day 360; 100% by Month 24</w:t>
            </w:r>
          </w:p>
        </w:tc>
      </w:tr>
      <w:tr>
        <w:tc>
          <w:tcPr>
            <w:tcW w:w="2000" w:type="dxa"/>
          </w:tcPr>
          <w:p>
            <w:pPr>
              <w:pStyle w:val="Normal"/>
              <w:spacing w:before="40" w:after="40"/>
            </w:pPr>
            <w:r>
              <w:rPr>
                <w:color w:val="4A4A5A"/>
                <w:sz w:val="18"/>
                <w:rFonts w:ascii="Cambria" w:hAnsi="Cambria" w:eastAsia="Microsoft YaHei" w:cs="Cambria"/>
                <w:szCs w:val="18"/>
              </w:rPr>
              <w:t>3. Oil-export normalization</w:t>
            </w:r>
          </w:p>
        </w:tc>
        <w:tc>
          <w:tcPr>
            <w:tcW w:w="2000" w:type="dxa"/>
          </w:tcPr>
          <w:p>
            <w:pPr>
              <w:pStyle w:val="Normal"/>
              <w:spacing w:before="40" w:after="40"/>
            </w:pPr>
            <w:r>
              <w:rPr>
                <w:color w:val="4A4A5A"/>
                <w:sz w:val="18"/>
                <w:rFonts w:ascii="Cambria" w:hAnsi="Cambria" w:eastAsia="Microsoft YaHei" w:cs="Cambria"/>
                <w:szCs w:val="18"/>
              </w:rPr>
              <w:t>Up to 2.1 mbpd to whitelisted purchasers (~$130M/day)</w:t>
            </w:r>
          </w:p>
        </w:tc>
        <w:tc>
          <w:tcPr>
            <w:tcW w:w="2000" w:type="dxa"/>
          </w:tcPr>
          <w:p>
            <w:pPr>
              <w:pStyle w:val="Normal"/>
              <w:spacing w:before="40" w:after="40"/>
            </w:pPr>
            <w:r>
              <w:rPr>
                <w:color w:val="4A4A5A"/>
                <w:sz w:val="18"/>
                <w:rFonts w:ascii="Cambria" w:hAnsi="Cambria" w:eastAsia="Microsoft YaHei" w:cs="Cambria"/>
                <w:szCs w:val="18"/>
              </w:rPr>
              <w:t>Permits Day 1; IAEA quarterly pre-clearance; revenue via PRDD</w:t>
            </w:r>
          </w:p>
        </w:tc>
      </w:tr>
      <w:tr>
        <w:tc>
          <w:tcPr>
            <w:tcW w:w="2000" w:type="dxa"/>
          </w:tcPr>
          <w:p>
            <w:pPr>
              <w:pStyle w:val="Normal"/>
              <w:spacing w:before="40" w:after="40"/>
            </w:pPr>
            <w:r>
              <w:rPr>
                <w:color w:val="4A4A5A"/>
                <w:sz w:val="18"/>
                <w:rFonts w:ascii="Cambria" w:hAnsi="Cambria" w:eastAsia="Microsoft YaHei" w:cs="Cambria"/>
                <w:szCs w:val="18"/>
              </w:rPr>
              <w:t>4. PRDD</w:t>
            </w:r>
          </w:p>
        </w:tc>
        <w:tc>
          <w:tcPr>
            <w:tcW w:w="2000" w:type="dxa"/>
          </w:tcPr>
          <w:p>
            <w:pPr>
              <w:pStyle w:val="Normal"/>
              <w:spacing w:before="40" w:after="40"/>
            </w:pPr>
            <w:r>
              <w:rPr>
                <w:color w:val="4A4A5A"/>
                <w:sz w:val="18"/>
                <w:rFonts w:ascii="Cambria" w:hAnsi="Cambria" w:eastAsia="Microsoft YaHei" w:cs="Cambria"/>
                <w:szCs w:val="18"/>
              </w:rPr>
              <w:t>Direct deposit of oil revenue to the Central Bank of Iran</w:t>
            </w:r>
          </w:p>
        </w:tc>
        <w:tc>
          <w:tcPr>
            <w:tcW w:w="2000" w:type="dxa"/>
          </w:tcPr>
          <w:p>
            <w:pPr>
              <w:pStyle w:val="Normal"/>
              <w:spacing w:before="40" w:after="40"/>
            </w:pPr>
            <w:r>
              <w:rPr>
                <w:color w:val="4A4A5A"/>
                <w:sz w:val="18"/>
                <w:rFonts w:ascii="Cambria" w:hAnsi="Cambria" w:eastAsia="Microsoft YaHei" w:cs="Cambria"/>
                <w:szCs w:val="18"/>
              </w:rPr>
              <w:t>From downblending commencement, weekly; graduated step-back governs any reduction, never an automatic cut-off</w:t>
            </w:r>
          </w:p>
        </w:tc>
      </w:tr>
    </w:tbl>
    <w:p>
      <w:pPr>
        <w:pStyle w:val="Heading3"/>
      </w:pPr>
      <w:bookmarkStart w:name="_Toc063" w:id="63"/>
      <w:r>
        <w:rPr>
          <w:rFonts w:ascii="Cambria" w:hAnsi="Cambria" w:eastAsia="Microsoft YaHei" w:cs="Cambria"/>
          <w:b/>
          <w:color w:val="1A1A2E"/>
          <w:sz w:val="26"/>
          <w:szCs w:val="26"/>
        </w:rPr>
        <w:t>5.3 The Frozen-Asset Schedule</w:t>
      </w:r>
      <w:bookmarkEnd w:id="63"/>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Tranche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Day</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Amount</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Trigger</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Reversibility</w:t>
            </w:r>
          </w:p>
        </w:tc>
      </w:tr>
      <w:tr>
        <w:tc>
          <w:tcPr>
            <w:tcW w:w="2000" w:type="dxa"/>
          </w:tcPr>
          <w:p>
            <w:pPr>
              <w:pStyle w:val="Normal"/>
              <w:spacing w:before="40" w:after="40"/>
            </w:pPr>
            <w:r>
              <w:rPr>
                <w:color w:val="4A4A5A"/>
                <w:sz w:val="18"/>
                <w:rFonts w:ascii="Cambria" w:hAnsi="Cambria" w:eastAsia="Microsoft YaHei" w:cs="Cambria"/>
                <w:szCs w:val="18"/>
              </w:rPr>
              <w:t>Tranche 1</w:t>
            </w:r>
          </w:p>
        </w:tc>
        <w:tc>
          <w:tcPr>
            <w:tcW w:w="2000" w:type="dxa"/>
          </w:tcPr>
          <w:p>
            <w:pPr>
              <w:pStyle w:val="Normal"/>
              <w:spacing w:before="40" w:after="40"/>
            </w:pPr>
            <w:r>
              <w:rPr>
                <w:color w:val="4A4A5A"/>
                <w:sz w:val="18"/>
                <w:rFonts w:ascii="Cambria" w:hAnsi="Cambria" w:eastAsia="Microsoft YaHei" w:cs="Cambria"/>
                <w:szCs w:val="18"/>
              </w:rPr>
              <w:t>Day 30</w:t>
            </w:r>
          </w:p>
        </w:tc>
        <w:tc>
          <w:tcPr>
            <w:tcW w:w="2000" w:type="dxa"/>
          </w:tcPr>
          <w:p>
            <w:pPr>
              <w:pStyle w:val="Normal"/>
              <w:spacing w:before="40" w:after="40"/>
            </w:pPr>
            <w:r>
              <w:rPr>
                <w:color w:val="4A4A5A"/>
                <w:sz w:val="18"/>
                <w:rFonts w:ascii="Cambria" w:hAnsi="Cambria" w:eastAsia="Microsoft YaHei" w:cs="Cambria"/>
                <w:szCs w:val="18"/>
              </w:rPr>
              <w:t>15%</w:t>
            </w:r>
          </w:p>
        </w:tc>
        <w:tc>
          <w:tcPr>
            <w:tcW w:w="2000" w:type="dxa"/>
          </w:tcPr>
          <w:p>
            <w:pPr>
              <w:pStyle w:val="Normal"/>
              <w:spacing w:before="40" w:after="40"/>
            </w:pPr>
            <w:r>
              <w:rPr>
                <w:color w:val="4A4A5A"/>
                <w:sz w:val="18"/>
                <w:rFonts w:ascii="Cambria" w:hAnsi="Cambria" w:eastAsia="Microsoft YaHei" w:cs="Cambria"/>
                <w:szCs w:val="18"/>
              </w:rPr>
              <w:t>30 days of downblending or custody compliance + IAEA certificate</w:t>
            </w:r>
          </w:p>
        </w:tc>
        <w:tc>
          <w:tcPr>
            <w:tcW w:w="2000" w:type="dxa"/>
          </w:tcPr>
          <w:p>
            <w:pPr>
              <w:pStyle w:val="Normal"/>
              <w:spacing w:before="40" w:after="40"/>
            </w:pPr>
            <w:r>
              <w:rPr>
                <w:color w:val="4A4A5A"/>
                <w:sz w:val="18"/>
                <w:rFonts w:ascii="Cambria" w:hAnsi="Cambria" w:eastAsia="Microsoft YaHei" w:cs="Cambria"/>
                <w:szCs w:val="18"/>
              </w:rPr>
              <w:t>Reversible</w:t>
            </w:r>
          </w:p>
        </w:tc>
      </w:tr>
      <w:tr>
        <w:tc>
          <w:tcPr>
            <w:tcW w:w="2000" w:type="dxa"/>
          </w:tcPr>
          <w:p>
            <w:pPr>
              <w:pStyle w:val="Normal"/>
              <w:spacing w:before="40" w:after="40"/>
            </w:pPr>
            <w:r>
              <w:rPr>
                <w:color w:val="4A4A5A"/>
                <w:sz w:val="18"/>
                <w:rFonts w:ascii="Cambria" w:hAnsi="Cambria" w:eastAsia="Microsoft YaHei" w:cs="Cambria"/>
                <w:szCs w:val="18"/>
              </w:rPr>
              <w:t>Tranche 2</w:t>
            </w:r>
          </w:p>
        </w:tc>
        <w:tc>
          <w:tcPr>
            <w:tcW w:w="2000" w:type="dxa"/>
          </w:tcPr>
          <w:p>
            <w:pPr>
              <w:pStyle w:val="Normal"/>
              <w:spacing w:before="40" w:after="40"/>
            </w:pPr>
            <w:r>
              <w:rPr>
                <w:color w:val="4A4A5A"/>
                <w:sz w:val="18"/>
                <w:rFonts w:ascii="Cambria" w:hAnsi="Cambria" w:eastAsia="Microsoft YaHei" w:cs="Cambria"/>
                <w:szCs w:val="18"/>
              </w:rPr>
              <w:t>Day 60</w:t>
            </w:r>
          </w:p>
        </w:tc>
        <w:tc>
          <w:tcPr>
            <w:tcW w:w="2000" w:type="dxa"/>
          </w:tcPr>
          <w:p>
            <w:pPr>
              <w:pStyle w:val="Normal"/>
              <w:spacing w:before="40" w:after="40"/>
            </w:pPr>
            <w:r>
              <w:rPr>
                <w:color w:val="4A4A5A"/>
                <w:sz w:val="18"/>
                <w:rFonts w:ascii="Cambria" w:hAnsi="Cambria" w:eastAsia="Microsoft YaHei" w:cs="Cambria"/>
                <w:szCs w:val="18"/>
              </w:rPr>
              <w:t>15% (cum. 30%)</w:t>
            </w:r>
          </w:p>
        </w:tc>
        <w:tc>
          <w:tcPr>
            <w:tcW w:w="2000" w:type="dxa"/>
          </w:tcPr>
          <w:p>
            <w:pPr>
              <w:pStyle w:val="Normal"/>
              <w:spacing w:before="40" w:after="40"/>
            </w:pPr>
            <w:r>
              <w:rPr>
                <w:color w:val="4A4A5A"/>
                <w:sz w:val="18"/>
                <w:rFonts w:ascii="Cambria" w:hAnsi="Cambria" w:eastAsia="Microsoft YaHei" w:cs="Cambria"/>
                <w:szCs w:val="18"/>
              </w:rPr>
              <w:t>60-day compliance certified</w:t>
            </w:r>
          </w:p>
        </w:tc>
        <w:tc>
          <w:tcPr>
            <w:tcW w:w="2000" w:type="dxa"/>
          </w:tcPr>
          <w:p>
            <w:pPr>
              <w:pStyle w:val="Normal"/>
              <w:spacing w:before="40" w:after="40"/>
            </w:pPr>
            <w:r>
              <w:rPr>
                <w:color w:val="4A4A5A"/>
                <w:sz w:val="18"/>
                <w:rFonts w:ascii="Cambria" w:hAnsi="Cambria" w:eastAsia="Microsoft YaHei" w:cs="Cambria"/>
                <w:szCs w:val="18"/>
              </w:rPr>
              <w:t>Reversible</w:t>
            </w:r>
          </w:p>
        </w:tc>
      </w:tr>
      <w:tr>
        <w:tc>
          <w:tcPr>
            <w:tcW w:w="2000" w:type="dxa"/>
          </w:tcPr>
          <w:p>
            <w:pPr>
              <w:pStyle w:val="Normal"/>
              <w:spacing w:before="40" w:after="40"/>
            </w:pPr>
            <w:r>
              <w:rPr>
                <w:color w:val="4A4A5A"/>
                <w:sz w:val="18"/>
                <w:rFonts w:ascii="Cambria" w:hAnsi="Cambria" w:eastAsia="Microsoft YaHei" w:cs="Cambria"/>
                <w:szCs w:val="18"/>
              </w:rPr>
              <w:t>Tranche 3</w:t>
            </w:r>
          </w:p>
        </w:tc>
        <w:tc>
          <w:tcPr>
            <w:tcW w:w="2000" w:type="dxa"/>
          </w:tcPr>
          <w:p>
            <w:pPr>
              <w:pStyle w:val="Normal"/>
              <w:spacing w:before="40" w:after="40"/>
            </w:pPr>
            <w:r>
              <w:rPr>
                <w:color w:val="4A4A5A"/>
                <w:sz w:val="18"/>
                <w:rFonts w:ascii="Cambria" w:hAnsi="Cambria" w:eastAsia="Microsoft YaHei" w:cs="Cambria"/>
                <w:szCs w:val="18"/>
              </w:rPr>
              <w:t>Day 180</w:t>
            </w:r>
          </w:p>
        </w:tc>
        <w:tc>
          <w:tcPr>
            <w:tcW w:w="2000" w:type="dxa"/>
          </w:tcPr>
          <w:p>
            <w:pPr>
              <w:pStyle w:val="Normal"/>
              <w:spacing w:before="40" w:after="40"/>
            </w:pPr>
            <w:r>
              <w:rPr>
                <w:color w:val="4A4A5A"/>
                <w:sz w:val="18"/>
                <w:rFonts w:ascii="Cambria" w:hAnsi="Cambria" w:eastAsia="Microsoft YaHei" w:cs="Cambria"/>
                <w:szCs w:val="18"/>
              </w:rPr>
              <w:t>15% (cum. 45%)</w:t>
            </w:r>
          </w:p>
        </w:tc>
        <w:tc>
          <w:tcPr>
            <w:tcW w:w="2000" w:type="dxa"/>
          </w:tcPr>
          <w:p>
            <w:pPr>
              <w:pStyle w:val="Normal"/>
              <w:spacing w:before="40" w:after="40"/>
            </w:pPr>
            <w:r>
              <w:rPr>
                <w:color w:val="4A4A5A"/>
                <w:sz w:val="18"/>
                <w:rFonts w:ascii="Cambria" w:hAnsi="Cambria" w:eastAsia="Microsoft YaHei" w:cs="Cambria"/>
                <w:szCs w:val="18"/>
              </w:rPr>
              <w:t>Disposition / neutralization milestone certified</w:t>
            </w:r>
          </w:p>
        </w:tc>
        <w:tc>
          <w:tcPr>
            <w:tcW w:w="2000" w:type="dxa"/>
          </w:tcPr>
          <w:p>
            <w:pPr>
              <w:pStyle w:val="Normal"/>
              <w:spacing w:before="40" w:after="40"/>
            </w:pPr>
            <w:r>
              <w:rPr>
                <w:color w:val="4A4A5A"/>
                <w:sz w:val="18"/>
                <w:rFonts w:ascii="Cambria" w:hAnsi="Cambria" w:eastAsia="Microsoft YaHei" w:cs="Cambria"/>
                <w:szCs w:val="18"/>
              </w:rPr>
              <w:t>Reversible</w:t>
            </w:r>
          </w:p>
        </w:tc>
      </w:tr>
      <w:tr>
        <w:tc>
          <w:tcPr>
            <w:tcW w:w="2000" w:type="dxa"/>
          </w:tcPr>
          <w:p>
            <w:pPr>
              <w:pStyle w:val="Normal"/>
              <w:spacing w:before="40" w:after="40"/>
            </w:pPr>
            <w:r>
              <w:rPr>
                <w:color w:val="4A4A5A"/>
                <w:sz w:val="18"/>
                <w:rFonts w:ascii="Cambria" w:hAnsi="Cambria" w:eastAsia="Microsoft YaHei" w:cs="Cambria"/>
                <w:szCs w:val="18"/>
              </w:rPr>
              <w:t>Tranche 4</w:t>
            </w:r>
          </w:p>
        </w:tc>
        <w:tc>
          <w:tcPr>
            <w:tcW w:w="2000" w:type="dxa"/>
          </w:tcPr>
          <w:p>
            <w:pPr>
              <w:pStyle w:val="Normal"/>
              <w:spacing w:before="40" w:after="40"/>
            </w:pPr>
            <w:r>
              <w:rPr>
                <w:color w:val="4A4A5A"/>
                <w:sz w:val="18"/>
                <w:rFonts w:ascii="Cambria" w:hAnsi="Cambria" w:eastAsia="Microsoft YaHei" w:cs="Cambria"/>
                <w:szCs w:val="18"/>
              </w:rPr>
              <w:t>Day 360</w:t>
            </w:r>
          </w:p>
        </w:tc>
        <w:tc>
          <w:tcPr>
            <w:tcW w:w="2000" w:type="dxa"/>
          </w:tcPr>
          <w:p>
            <w:pPr>
              <w:pStyle w:val="Normal"/>
              <w:spacing w:before="40" w:after="40"/>
            </w:pPr>
            <w:r>
              <w:rPr>
                <w:color w:val="4A4A5A"/>
                <w:sz w:val="18"/>
                <w:rFonts w:ascii="Cambria" w:hAnsi="Cambria" w:eastAsia="Microsoft YaHei" w:cs="Cambria"/>
                <w:szCs w:val="18"/>
              </w:rPr>
              <w:t>20% (cum. 65%)</w:t>
            </w:r>
          </w:p>
        </w:tc>
        <w:tc>
          <w:tcPr>
            <w:tcW w:w="2000" w:type="dxa"/>
          </w:tcPr>
          <w:p>
            <w:pPr>
              <w:pStyle w:val="Normal"/>
              <w:spacing w:before="40" w:after="40"/>
            </w:pPr>
            <w:r>
              <w:rPr>
                <w:color w:val="4A4A5A"/>
                <w:sz w:val="18"/>
                <w:rFonts w:ascii="Cambria" w:hAnsi="Cambria" w:eastAsia="Microsoft YaHei" w:cs="Cambria"/>
                <w:szCs w:val="18"/>
              </w:rPr>
              <w:t>Phase II Kernel completion</w:t>
            </w:r>
          </w:p>
        </w:tc>
        <w:tc>
          <w:tcPr>
            <w:tcW w:w="2000" w:type="dxa"/>
          </w:tcPr>
          <w:p>
            <w:pPr>
              <w:pStyle w:val="Normal"/>
              <w:spacing w:before="40" w:after="40"/>
            </w:pPr>
            <w:r>
              <w:rPr>
                <w:color w:val="4A4A5A"/>
                <w:sz w:val="18"/>
                <w:rFonts w:ascii="Cambria" w:hAnsi="Cambria" w:eastAsia="Microsoft YaHei" w:cs="Cambria"/>
                <w:szCs w:val="18"/>
              </w:rPr>
              <w:t>Reversible</w:t>
            </w:r>
          </w:p>
        </w:tc>
      </w:tr>
      <w:tr>
        <w:tc>
          <w:tcPr>
            <w:tcW w:w="2000" w:type="dxa"/>
          </w:tcPr>
          <w:p>
            <w:pPr>
              <w:pStyle w:val="Normal"/>
              <w:spacing w:before="40" w:after="40"/>
            </w:pPr>
            <w:r>
              <w:rPr>
                <w:color w:val="4A4A5A"/>
                <w:sz w:val="18"/>
                <w:rFonts w:ascii="Cambria" w:hAnsi="Cambria" w:eastAsia="Microsoft YaHei" w:cs="Cambria"/>
                <w:szCs w:val="18"/>
              </w:rPr>
              <w:t>Final</w:t>
            </w:r>
          </w:p>
        </w:tc>
        <w:tc>
          <w:tcPr>
            <w:tcW w:w="2000" w:type="dxa"/>
          </w:tcPr>
          <w:p>
            <w:pPr>
              <w:pStyle w:val="Normal"/>
              <w:spacing w:before="40" w:after="40"/>
            </w:pPr>
            <w:r>
              <w:rPr>
                <w:color w:val="4A4A5A"/>
                <w:sz w:val="18"/>
                <w:rFonts w:ascii="Cambria" w:hAnsi="Cambria" w:eastAsia="Microsoft YaHei" w:cs="Cambria"/>
                <w:szCs w:val="18"/>
              </w:rPr>
              <w:t>Month 24</w:t>
            </w:r>
          </w:p>
        </w:tc>
        <w:tc>
          <w:tcPr>
            <w:tcW w:w="2000" w:type="dxa"/>
          </w:tcPr>
          <w:p>
            <w:pPr>
              <w:pStyle w:val="Normal"/>
              <w:spacing w:before="40" w:after="40"/>
            </w:pPr>
            <w:r>
              <w:rPr>
                <w:color w:val="4A4A5A"/>
                <w:sz w:val="18"/>
                <w:rFonts w:ascii="Cambria" w:hAnsi="Cambria" w:eastAsia="Microsoft YaHei" w:cs="Cambria"/>
                <w:szCs w:val="18"/>
              </w:rPr>
              <w:t>35% (cum. 100%)</w:t>
            </w:r>
          </w:p>
        </w:tc>
        <w:tc>
          <w:tcPr>
            <w:tcW w:w="2000" w:type="dxa"/>
          </w:tcPr>
          <w:p>
            <w:pPr>
              <w:pStyle w:val="Normal"/>
              <w:spacing w:before="40" w:after="40"/>
            </w:pPr>
            <w:r>
              <w:rPr>
                <w:color w:val="4A4A5A"/>
                <w:sz w:val="18"/>
                <w:rFonts w:ascii="Cambria" w:hAnsi="Cambria" w:eastAsia="Microsoft YaHei" w:cs="Cambria"/>
                <w:szCs w:val="18"/>
              </w:rPr>
              <w:t>Phase III + 12 months sustained compliance</w:t>
            </w:r>
          </w:p>
        </w:tc>
        <w:tc>
          <w:tcPr>
            <w:tcW w:w="2000" w:type="dxa"/>
          </w:tcPr>
          <w:p>
            <w:pPr>
              <w:pStyle w:val="Normal"/>
              <w:spacing w:before="40" w:after="40"/>
            </w:pPr>
            <w:r>
              <w:rPr>
                <w:color w:val="4A4A5A"/>
                <w:sz w:val="18"/>
                <w:rFonts w:ascii="Cambria" w:hAnsi="Cambria" w:eastAsia="Microsoft YaHei" w:cs="Cambria"/>
                <w:szCs w:val="18"/>
              </w:rPr>
              <w:t>Permanent</w:t>
            </w:r>
          </w:p>
        </w:tc>
      </w:tr>
    </w:tbl>
    <w:p>
      <w:pPr>
        <w:pStyle w:val="Normal"/>
      </w:pPr>
      <w:r>
        <w:rPr>
          <w:rFonts w:ascii="Cambria" w:hAnsi="Cambria" w:eastAsia="Microsoft YaHei" w:cs="Cambria"/>
          <w:color w:val="1A1A2E"/>
          <w:sz w:val="22"/>
          <w:szCs w:val="22"/>
        </w:rPr>
        <w:t>The total value of frozen sovereign assets subject to this schedule is approximately $24B, based on the most recent joint escrow assessment. The percentages above apply to that total. Day 30 means 30 days of verified compliance, not 30 calendar days from signature.</w:t>
      </w:r>
    </w:p>
    <w:p>
      <w:pPr>
        <w:pStyle w:val="Heading3"/>
      </w:pPr>
      <w:bookmarkStart w:name="_Toc064" w:id="64"/>
      <w:r>
        <w:rPr>
          <w:rFonts w:ascii="Cambria" w:hAnsi="Cambria" w:eastAsia="Microsoft YaHei" w:cs="Cambria"/>
          <w:b/>
          <w:color w:val="1A1A2E"/>
          <w:sz w:val="26"/>
          <w:szCs w:val="26"/>
        </w:rPr>
        <w:t>5.4 Reversibility, the Humanitarian Firewall, and Good-Faith Acceleration</w:t>
      </w:r>
      <w:bookmarkEnd w:id="64"/>
    </w:p>
    <w:p>
      <w:pPr>
        <w:pStyle w:val="Normal"/>
      </w:pPr>
      <w:r>
        <w:rPr>
          <w:rFonts w:ascii="Cambria" w:hAnsi="Cambria" w:eastAsia="Microsoft YaHei" w:cs="Cambria"/>
          <w:color w:val="1A1A2E"/>
          <w:sz w:val="22"/>
          <w:szCs w:val="22"/>
        </w:rPr>
        <w:t>Every tranche before the final tranche is reversible: a violation steps benefit back under Article 7.3, and clean compliance earns it back. Humanitarian-badged disbursements pass a one-way firewall and never reverse, even at the highest tier. A good-faith acceleration runs alongside the schedule: an IAEA certification of sixty consecutive days with no Tier-2 or higher event releases the next scheduled tranche fifteen days early - a fast lane that rewards sustained performance. Step-back and earn-back (Annex T), not cliff-edge snapback, govern every lapse.</w:t>
      </w:r>
    </w:p>
    <w:p>
      <w:pPr>
        <w:pStyle w:val="Normal"/>
      </w:pPr>
      <w:r>
        <w:rPr>
          <w:rFonts w:ascii="Cambria" w:hAnsi="Cambria" w:eastAsia="Microsoft YaHei" w:cs="Cambria"/>
          <w:color w:val="1A1A2E"/>
          <w:sz w:val="22"/>
          <w:szCs w:val="22"/>
        </w:rPr>
        <w:t>Early Humanitarian Acceleration: The Immediate Liquidity Package carries a $500M humanitarian-badged envelope drawn from the $5B mutual escrow (the first $500M of the mutual deposit is designated for humanitarian purposes). As early as Day 7, the PCC issues a Humanitarian and Goodwill Acceleration Certificate releasing $250M of it into a restricted, auditable humanitarian-only sub-account of the Central Bank of Iran, provided that the IAEA confirms the HEU stockpile is under dual-lock custody, the Strait of Hormuz is mine-free with commercial transits resumed for 72 consecutive hours, and no Tier-2 or higher violation has occurred. The humanitarian envelope is part of the $5B mutual escrow, not additional to it. The $250M humanitarian acceleration on Day 7 is part of the first $2.5B tranche described in Article 2. The $250M humanitarian acceleration on Day 7 is part of the first $2.5B tranche described in Article 2. Funds in the sub-account serve only medicine, food, and medical equipment, are non-reversible once disbursed, and tie to verified actions rather than promises.</w:t>
      </w:r>
    </w:p>
    <w:p>
      <w:pPr>
        <w:pStyle w:val="Normal"/>
      </w:pPr>
      <w:r>
        <w:rPr>
          <w:rFonts w:ascii="Cambria" w:hAnsi="Cambria" w:eastAsia="Microsoft YaHei" w:cs="Cambria"/>
          <w:color w:val="1A1A2E"/>
          <w:sz w:val="22"/>
          <w:szCs w:val="22"/>
        </w:rPr>
        <w:t>Over-compliance credit: When Iran completes a milestone ahead of schedule and sustains verified compliance, the corresponding economic tranche releases proportionally earlier, and unused credit banks for future acceleration. Banking is automatic: a banked credit reduces the compliance period required for any future milestone by the number of days earned, up to a maximum of 30 days per milestone, and credits never expire during Phase I or Phase II. Early, clean performance is rewarded with earlier money, not merely with the absence of penalty.</w:t>
      </w:r>
    </w:p>
    <w:p>
      <w:pPr>
        <w:pStyle w:val="Heading3"/>
      </w:pPr>
      <w:bookmarkStart w:name="_Toc065" w:id="65"/>
      <w:r>
        <w:rPr>
          <w:rFonts w:ascii="Cambria" w:hAnsi="Cambria" w:eastAsia="Microsoft YaHei" w:cs="Cambria"/>
          <w:b/>
          <w:color w:val="1A1A2E"/>
          <w:sz w:val="26"/>
          <w:szCs w:val="26"/>
        </w:rPr>
        <w:t>5.5 SWIFT, Banking, and Sanctions Shielding (Merged from Provisional Steps Art. 9.1-A - Targeted Bank Isolation Added)</w:t>
      </w:r>
      <w:bookmarkEnd w:id="65"/>
    </w:p>
    <w:p>
      <w:pPr>
        <w:pStyle w:val="Normal"/>
      </w:pPr>
      <w:r>
        <w:rPr>
          <w:rFonts w:ascii="Cambria" w:hAnsi="Cambria" w:eastAsia="Microsoft YaHei" w:cs="Cambria"/>
          <w:color w:val="1A1A2E"/>
          <w:sz w:val="22"/>
          <w:szCs w:val="22"/>
        </w:rPr>
        <w:t>SWIFT reconnects in tiers. Five designated, pre-approved, non-IRGC-affiliated Iranian banks reconnect to full SWIFT as early as Day 45, conditional on IAEA confirmation that the HEU stockpile is under dual-lock custody, no enrichment above 3.67%, and the Strait of Hormuz open for thirty consecutive days; the Central Bank and remaining major banks follow, with specialized and private banks on later nuclear milestones. Reconnection is reversible by step-back if a Party cheats. An OFAC General License covers escrow transfers, correspondent banking, and clearing; a third-party liability shield keeps non-U.S. institutions clear of secondary sanctions; a wind-down protection grandfathers deposits and certified releases if sanctions reimpose. The currency of release defaults to Swiss francs, with euro, renminbi (up to 50%), and dirham options.</w:t>
      </w:r>
    </w:p>
    <w:p>
      <w:pPr>
        <w:pStyle w:val="Normal"/>
      </w:pPr>
      <w:r>
        <w:rPr>
          <w:rFonts w:ascii="Cambria" w:hAnsi="Cambria" w:eastAsia="Microsoft YaHei" w:cs="Cambria"/>
          <w:color w:val="1A1A2E"/>
          <w:sz w:val="22"/>
          <w:szCs w:val="22"/>
        </w:rPr>
        <w:t>Targeted Bank Isolation (Added from Provisional Steps Art. 9.1-A): Individual banks with compliance concerns are isolated from SWIFT while compliant banks retain access. Isolation requires JIG certification of specific violations. Isolated banks are reinstated after 90 days of clean compliance. This targeted approach replaces blanket sectoral rollbacks, protecting compliant institutions while addressing specific concerns.</w:t>
      </w:r>
    </w:p>
    <w:p>
      <w:pPr>
        <w:pStyle w:val="Heading3"/>
      </w:pPr>
      <w:bookmarkStart w:name="_Toc066" w:id="66"/>
      <w:r>
        <w:rPr>
          <w:rFonts w:ascii="Cambria" w:hAnsi="Cambria" w:eastAsia="Microsoft YaHei" w:cs="Cambria"/>
          <w:b/>
          <w:color w:val="1A1A2E"/>
          <w:sz w:val="26"/>
          <w:szCs w:val="26"/>
        </w:rPr>
        <w:t>5.6 The Political Discretion Fund</w:t>
      </w:r>
      <w:bookmarkEnd w:id="66"/>
    </w:p>
    <w:p>
      <w:pPr>
        <w:pStyle w:val="Normal"/>
      </w:pPr>
      <w:r>
        <w:rPr>
          <w:rFonts w:ascii="Cambria" w:hAnsi="Cambria" w:eastAsia="Microsoft YaHei" w:cs="Cambria"/>
          <w:color w:val="1A1A2E"/>
          <w:sz w:val="22"/>
          <w:szCs w:val="22"/>
        </w:rPr>
        <w:t>A $50M Political Discretion Fund sits outside the milestone schedule and outside step-back: it is immune to reduction and disburses only by a unanimous heads-of-government decision, for confidence-building or to recognize partial progress that the technical milestones do not yet capture. An early tranche of $10M is available at Day 45 on the concurrence of the two foreign ministers, rather than heads of government, for partial-compliance rewards or confidence-building measures. The Fund gives each leader a small, deniable instrument of goodwill that neither a lapse nor a dispute touches.</w:t>
      </w:r>
    </w:p>
    <w:p>
      <w:pPr>
        <w:pStyle w:val="Heading3"/>
      </w:pPr>
      <w:bookmarkStart w:name="_Toc067" w:id="67"/>
      <w:r>
        <w:rPr>
          <w:rFonts w:ascii="Cambria" w:hAnsi="Cambria" w:eastAsia="Microsoft YaHei" w:cs="Cambria"/>
          <w:b/>
          <w:color w:val="1A1A2E"/>
          <w:sz w:val="26"/>
          <w:szCs w:val="26"/>
        </w:rPr>
        <w:t>5.7 The Energy and Agricultural Release Valve</w:t>
      </w:r>
      <w:bookmarkEnd w:id="67"/>
    </w:p>
    <w:p>
      <w:pPr>
        <w:pStyle w:val="Normal"/>
      </w:pPr>
      <w:r>
        <w:rPr>
          <w:rFonts w:ascii="Cambria" w:hAnsi="Cambria" w:eastAsia="Microsoft YaHei" w:cs="Cambria"/>
          <w:color w:val="1A1A2E"/>
          <w:sz w:val="22"/>
          <w:szCs w:val="22"/>
        </w:rPr>
        <w:t>Because the confrontation strained global energy markets and regional food security, three measures hold a humanitarian floor under the economy independent of every other lever. First, Iranian oil sold at market rates to fund food imports through certified humanitarian food-security programs, including the UN World Food Programme and regional food banks, is exempt from sanctions enforcement. Second, fertilizer, seeds, and agricultural equipment classify as humanitarian goods under the OFAC general license regardless of end use - the channel that lets a fertilizer disposition (Pathway W) and ordinary agriculture proceed without friction. Third, the Political &amp; Compliance Council monitors regional food-security indicators and recommends emergency humanitarian releases from escrow if a threshold is breached. These flows sit behind the one-way humanitarian firewall and never reverse.</w:t>
      </w:r>
    </w:p>
    <w:p>
      <w:pPr>
        <w:pStyle w:val="Normal"/>
      </w:pPr>
      <w:r>
        <w:rPr>
          <w:rFonts w:ascii="Cambria" w:hAnsi="Cambria" w:eastAsia="Microsoft YaHei" w:cs="Cambria"/>
          <w:color w:val="1A1A2E"/>
          <w:sz w:val="22"/>
          <w:szCs w:val="22"/>
        </w:rPr>
        <w:t>Agricultural Green Lane: Iran exports agricultural products - pistachios, saffron, dates, caviar, dried fruits - without case-by-case OFAC licensing, through a dedicated green lane, with no volume cap. Revenue flows through the PRDD escrow with zero holdback (100% released monthly), because these goods carry no dual-use or proliferation risk. The lane delivers visible, immediate benefit to Iran's rural economy and frames as food security rather than sanctions relief.</w:t>
      </w:r>
    </w:p>
    <w:p>
      <w:pPr>
        <w:pStyle w:val="Heading3"/>
      </w:pPr>
      <w:bookmarkStart w:name="_Toc068" w:id="68"/>
      <w:r>
        <w:rPr>
          <w:rFonts w:ascii="Cambria" w:hAnsi="Cambria" w:eastAsia="Microsoft YaHei" w:cs="Cambria"/>
          <w:b/>
          <w:color w:val="1A1A2E"/>
          <w:sz w:val="26"/>
          <w:szCs w:val="26"/>
        </w:rPr>
        <w:t>5.8 U.S. Development-Finance Matching</w:t>
      </w:r>
      <w:bookmarkEnd w:id="68"/>
    </w:p>
    <w:p>
      <w:pPr>
        <w:pStyle w:val="Normal"/>
      </w:pPr>
      <w:r>
        <w:rPr>
          <w:rFonts w:ascii="Cambria" w:hAnsi="Cambria" w:eastAsia="Microsoft YaHei" w:cs="Cambria"/>
          <w:color w:val="1A1A2E"/>
          <w:sz w:val="22"/>
          <w:szCs w:val="22"/>
        </w:rPr>
        <w:t>A U.S. development-finance matching guarantee provides up to $5B per year against approved Iranian civilian-infrastructure budgets - desalination, renewable energy, non-military port modernization, rail corridors, and hospital and clinic construction. Matching runs against budgets approved by the Regional Development Fund, so Iran need not front its own reserves first. No direct U.S. cash outlay occurs unless Iran performs; the guarantee opens bidding to U.S. firms, turning Iranian compliance into U.S. commercial and employment opportunity.</w:t>
      </w:r>
    </w:p>
    <w:p>
      <w:pPr>
        <w:pStyle w:val="Heading3"/>
      </w:pPr>
      <w:bookmarkStart w:name="_Toc069" w:id="69"/>
      <w:r>
        <w:rPr>
          <w:rFonts w:ascii="Cambria" w:hAnsi="Cambria" w:eastAsia="Microsoft YaHei" w:cs="Cambria"/>
          <w:b/>
          <w:color w:val="1A1A2E"/>
          <w:sz w:val="26"/>
          <w:szCs w:val="26"/>
        </w:rPr>
        <w:t>5.9 Sovereign Debt-Service Facilitation</w:t>
      </w:r>
      <w:bookmarkEnd w:id="69"/>
    </w:p>
    <w:p>
      <w:pPr>
        <w:pStyle w:val="Normal"/>
      </w:pPr>
      <w:r>
        <w:rPr>
          <w:rFonts w:ascii="Cambria" w:hAnsi="Cambria" w:eastAsia="Microsoft YaHei" w:cs="Cambria"/>
          <w:color w:val="1A1A2E"/>
          <w:sz w:val="22"/>
          <w:szCs w:val="22"/>
        </w:rPr>
        <w:t>An escrow-channeled, sanctions-shielded mechanism lets Iran service its sovereign and quasi-sovereign debts. Iran applies up to $500M per year from released frozen assets to debt payments routed through the Swiss escrow to pre-registered, non-designated creditors. This is payment to international creditors, not cash to the Iranian government; it averts default, preserves Iran's standing for future borrowing, and helps stabilize the international financial system.</w:t>
      </w:r>
    </w:p>
    <w:p>
      <w:pPr>
        <w:pStyle w:val="Heading3"/>
      </w:pPr>
      <w:bookmarkStart w:name="_Toc070" w:id="70"/>
      <w:r>
        <w:rPr>
          <w:rFonts w:ascii="Cambria" w:hAnsi="Cambria" w:eastAsia="Microsoft YaHei" w:cs="Cambria"/>
          <w:b/>
          <w:color w:val="1A1A2E"/>
          <w:sz w:val="26"/>
          <w:szCs w:val="26"/>
        </w:rPr>
        <w:t>5.10 Diaspora Investment and Return Program</w:t>
      </w:r>
      <w:bookmarkEnd w:id="70"/>
    </w:p>
    <w:p>
      <w:pPr>
        <w:pStyle w:val="Normal"/>
      </w:pPr>
      <w:r>
        <w:rPr>
          <w:rFonts w:ascii="Cambria" w:hAnsi="Cambria" w:eastAsia="Microsoft YaHei" w:cs="Cambria"/>
          <w:color w:val="1A1A2E"/>
          <w:sz w:val="22"/>
          <w:szCs w:val="22"/>
        </w:rPr>
        <w:t>A $200M Regional-Development-Fund program recruits Iranian professionals abroad - engineers, physicians, academics - for time-limited reconstruction assignments, offering market-rate compensation, secure project-site housing, and legal guarantees against both sanctions prosecution (by narrow, reversible OFAC advisory opinion) and domestic legal jeopardy. The program reverses brain drain and signals an opening, funded through the RDF rather than by direct U.S. outlay.</w:t>
      </w:r>
    </w:p>
    <w:p>
      <w:pPr>
        <w:pStyle w:val="Heading2"/>
      </w:pPr>
      <w:bookmarkStart w:name="_Toc071" w:id="71"/>
      <w:r>
        <w:rPr>
          <w:rFonts w:ascii="Cambria" w:hAnsi="Cambria" w:eastAsia="Microsoft YaHei" w:cs="Cambria"/>
          <w:b/>
          <w:color w:val="1A1A2E"/>
          <w:sz w:val="26"/>
          <w:szCs w:val="32"/>
        </w:rPr>
        <w:t>5.11 Ballistic Missile Program - Deferred Discussion</w:t>
      </w:r>
      <w:bookmarkEnd w:id="71"/>
    </w:p>
    <w:p>
      <w:pPr>
        <w:pStyle w:val="Normal"/>
      </w:pPr>
      <w:r>
        <w:rPr>
          <w:rFonts w:ascii="Cambria" w:hAnsi="Cambria" w:eastAsia="Microsoft YaHei" w:cs="Cambria"/>
          <w:color w:val="1A1A2E"/>
          <w:sz w:val="22"/>
          <w:szCs w:val="22"/>
        </w:rPr>
        <w:t>This MOU does not impose any restriction on Iran's ballistic missile program. In Phase III, if both Parties agree, they establish a separate transparency dialogue on missile-related confidence-building measures, including pre-notification of major missile tests. Such dialogue is voluntary, non-binding, and not subject to the compliance mechanisms of this MOU. Neither Party's participation in such dialogue, nor the absence thereof, affects any other provision of this MOU. The United States affirms that it does not condition nuclear or maritime relief under this MOU on any missile-related commitment by Iran.</w:t>
      </w:r>
    </w:p>
    <w:p>
      <w:pPr>
        <w:pStyle w:val="Heading2"/>
      </w:pPr>
      <w:r>
        <w:rPr>
          <w:rFonts w:ascii="Cambria" w:hAnsi="Cambria" w:eastAsia="Microsoft YaHei" w:cs="Cambria"/>
          <w:b/>
          <w:color w:val="2D4A6F"/>
          <w:sz w:val="32"/>
          <w:szCs w:val="32"/>
        </w:rPr>
        <w:t>Article 6 - Regional and Ceasefire Core</w:t>
      </w:r>
    </w:p>
    <w:p>
      <w:pPr>
        <w:pStyle w:val="Heading3"/>
      </w:pPr>
      <w:bookmarkStart w:name="_Toc072" w:id="72"/>
      <w:r>
        <w:rPr>
          <w:rFonts w:ascii="Cambria" w:hAnsi="Cambria" w:eastAsia="Microsoft YaHei" w:cs="Cambria"/>
          <w:b/>
          <w:color w:val="1A1A2E"/>
          <w:sz w:val="26"/>
          <w:szCs w:val="26"/>
        </w:rPr>
        <w:t>6.1 The Rolling Ceasefire and Regional Stabilization Rounds - Parallel Clock, Not Linkage Chain</w:t>
      </w:r>
      <w:bookmarkEnd w:id="72"/>
    </w:p>
    <w:p>
      <w:pPr>
        <w:pStyle w:val="Normal"/>
      </w:pPr>
      <w:r>
        <w:rPr>
          <w:rFonts w:ascii="Cambria" w:hAnsi="Cambria" w:eastAsia="Microsoft YaHei" w:cs="Cambria"/>
          <w:color w:val="1A1A2E"/>
          <w:sz w:val="22"/>
          <w:szCs w:val="22"/>
        </w:rPr>
        <w:t>A ceasefire enters into force across all fronts for an initial sixty days and renews automatically for successive thirty-day periods unless either Party gives written notice of non-renewal at least fifteen days before expiry. The ceasefire covers all fronts, including Lebanon, Gaza, Syria, and Yemen. A breach of the ceasefire on any front is a breach of this Article, but it does not automatically breach Articles 2-5 (nuclear and maritime cores). Instead, the following rules apply: (a) A verified breach of the ceasefire on any front triggers immediate consultation in the PCC within 24 hours. (b) If the PCC determines the breach is material and directly impairs the other Party's ability to perform its nuclear or maritime obligations, the impaired Party suspends non-core benefits - excluding nuclear custody, freedom of navigation, and humanitarian escrow releases - for up to 30 days. (c) Absent such PCC determination, the nuclear and maritime cores continue unchanged. A Party claiming impairment proves specific, direct, and non-speculative causation to the PCC within 72 hours. (d) The ceasefire and its breach provisions expire automatically if the MOU terminates, but not before. The nuclear and maritime cores continue independently regardless of ceasefire status.</w:t>
      </w:r>
    </w:p>
    <w:p>
      <w:pPr>
        <w:pStyle w:val="Normal"/>
      </w:pPr>
      <w:r>
        <w:rPr>
          <w:rFonts w:ascii="Cambria" w:hAnsi="Cambria" w:eastAsia="Microsoft YaHei" w:cs="Cambria"/>
          <w:color w:val="1A1A2E"/>
          <w:sz w:val="22"/>
          <w:szCs w:val="22"/>
        </w:rPr>
        <w:t>During any renewal period, the Parties convene Regional Stabilization Rounds on a fixed calendar, giving structure without compelling any outcome: Round 1 (Days 30-45) on Lebanon ceasefire implementation; Round 2 (Days 75-90) on Syrian de-escalation; Round 3 (Days 120-135) on Yemen humanitarian access; Round 4 (Day 180 onward) on broader normalization within Phase III. Good-faith participation suffices; failure to attend a Round waives the right to raise related grievances until the next Round but does not breach the ceasefire.</w:t>
      </w:r>
    </w:p>
    <w:p>
      <w:pPr>
        <w:pStyle w:val="Normal"/>
      </w:pPr>
      <w:r>
        <w:rPr>
          <w:rFonts w:ascii="Cambria" w:hAnsi="Cambria" w:eastAsia="Microsoft YaHei" w:cs="Cambria"/>
          <w:color w:val="1A1A2E"/>
          <w:sz w:val="22"/>
          <w:szCs w:val="22"/>
        </w:rPr>
        <w:t>Regional-impairment safety valve: If a regional event materially and directly impairs a Party's ability to perform under Articles 2-5, that Party requests an emergency PCC session within 48 hours; the PCC issues a non-binding finding within 72 hours. If the PCC reaches no consensus, the requesting Party suspends only non-core benefits - never nuclear custody, freedom of navigation, or humanitarian escrow releases - for up to thirty days, with no extension absent mutual agreement. Such a suspension is not a breach. This replaces any self-judging suspension and keeps neither side able to detonate the deal unilaterally.</w:t>
      </w:r>
    </w:p>
    <w:p>
      <w:pPr>
        <w:pStyle w:val="Heading3"/>
      </w:pPr>
      <w:bookmarkStart w:name="_Toc073" w:id="73"/>
      <w:r>
        <w:rPr>
          <w:rFonts w:ascii="Cambria" w:hAnsi="Cambria" w:eastAsia="Microsoft YaHei" w:cs="Cambria"/>
          <w:b/>
          <w:color w:val="1A1A2E"/>
          <w:sz w:val="26"/>
          <w:szCs w:val="26"/>
        </w:rPr>
        <w:t>6.2 Territorial Freeze-in-Place</w:t>
      </w:r>
      <w:bookmarkEnd w:id="73"/>
    </w:p>
    <w:p>
      <w:pPr>
        <w:pStyle w:val="Normal"/>
      </w:pPr>
      <w:r>
        <w:rPr>
          <w:rFonts w:ascii="Cambria" w:hAnsi="Cambria" w:eastAsia="Microsoft YaHei" w:cs="Cambria"/>
          <w:color w:val="1A1A2E"/>
          <w:sz w:val="22"/>
          <w:szCs w:val="22"/>
        </w:rPr>
        <w:t>A freeze-in-place boundary holds current positions on the Lebanon and Gaza fronts under Annexes M and U. Automatic breach triggers, a proportional penalty matrix, a shared digital registry, and emergency fast-track arbitration govern the freeze. These emergency stabilization measures expire on termination of the rolling ceasefire unless the Parties renew them.</w:t>
      </w:r>
    </w:p>
    <w:p>
      <w:pPr>
        <w:pStyle w:val="Normal"/>
      </w:pPr>
      <w:r>
        <w:rPr>
          <w:rFonts w:ascii="Cambria" w:hAnsi="Cambria" w:eastAsia="Microsoft YaHei" w:cs="Cambria"/>
          <w:color w:val="1A1A2E"/>
          <w:sz w:val="22"/>
          <w:szCs w:val="22"/>
        </w:rPr>
        <w:t>The Parties acknowledge that armed non-state actors, including Hezbollah, operate in Lebanon. This instrument does not require Iran to disarm, control, or take responsibility for the actions of Hezbollah or any other non-state actor. However, neither Party provides direct material support for cross-border attacks from Lebanese territory during the term of this MOU. Direct material support means the provision of weapons, funding, or operational planning, excluding political or diplomatic support. A verified violation of this paragraph is a Tier-2 material disruption subject to step-back but not automatic cross-module suspension.</w:t>
      </w:r>
    </w:p>
    <w:p>
      <w:pPr>
        <w:pStyle w:val="Heading3"/>
      </w:pPr>
      <w:bookmarkStart w:name="_Toc074" w:id="74"/>
      <w:r>
        <w:rPr>
          <w:rFonts w:ascii="Cambria" w:hAnsi="Cambria" w:eastAsia="Microsoft YaHei" w:cs="Cambria"/>
          <w:b/>
          <w:color w:val="1A1A2E"/>
          <w:sz w:val="26"/>
          <w:szCs w:val="26"/>
        </w:rPr>
        <w:t>6.3 The Door to Broader Talks</w:t>
      </w:r>
      <w:bookmarkEnd w:id="74"/>
    </w:p>
    <w:p>
      <w:pPr>
        <w:pStyle w:val="Normal"/>
      </w:pPr>
      <w:r>
        <w:rPr>
          <w:rFonts w:ascii="Cambria" w:hAnsi="Cambria" w:eastAsia="Microsoft YaHei" w:cs="Cambria"/>
          <w:color w:val="1A1A2E"/>
          <w:sz w:val="22"/>
          <w:szCs w:val="22"/>
        </w:rPr>
        <w:t>Phase III (Part C-3) opens a written, scheduled track toward broader regional security talks and normalization. Iran characterizes the deal as opening the door to resolving Lebanon and the wider conflict; the United States characterizes Hormuz and the nuclear file as legally independent of any regional front. The architecture sustains both characterizations because it moves separate instruments in parallel rather than chaining them.</w:t>
      </w:r>
    </w:p>
    <w:p>
      <w:pPr>
        <w:pStyle w:val="Heading3"/>
      </w:pPr>
      <w:bookmarkStart w:name="_Toc075" w:id="75"/>
      <w:r>
        <w:rPr>
          <w:rFonts w:ascii="Cambria" w:hAnsi="Cambria" w:eastAsia="Microsoft YaHei" w:cs="Cambria"/>
          <w:b/>
          <w:color w:val="1A1A2E"/>
          <w:sz w:val="26"/>
          <w:szCs w:val="26"/>
        </w:rPr>
        <w:t>6.4 Third-Party Action Non-Liability</w:t>
      </w:r>
      <w:bookmarkEnd w:id="75"/>
    </w:p>
    <w:p>
      <w:pPr>
        <w:pStyle w:val="Normal"/>
      </w:pPr>
      <w:r>
        <w:rPr>
          <w:rFonts w:ascii="Cambria" w:hAnsi="Cambria" w:eastAsia="Microsoft YaHei" w:cs="Cambria"/>
          <w:color w:val="1A1A2E"/>
          <w:sz w:val="22"/>
          <w:szCs w:val="22"/>
        </w:rPr>
        <w:t>No action by a non-Party to this instrument, including military operations, constitutes a breach by either Party or triggers any penalty, step-back, dispute resolution, or other consequence under this instrument. For the avoidance of doubt, each Party remains responsible for its own acts and omissions, and this clause waives no right either Party holds under international law against a non-Party. The provision keeps the maritime and nuclear cores insulated from events on a separate front and prevents a third party from collapsing the architecture, while avoiding any explicit endorsement of a non-Party's operations.</w:t>
      </w:r>
    </w:p>
    <w:p>
      <w:pPr>
        <w:pStyle w:val="Heading2"/>
      </w:pPr>
      <w:bookmarkStart w:name="_Toc076" w:id="76"/>
      <w:r>
        <w:rPr>
          <w:rFonts w:ascii="Cambria" w:hAnsi="Cambria" w:eastAsia="Microsoft YaHei" w:cs="Cambria"/>
          <w:b/>
          <w:color w:val="2D4A6F"/>
          <w:sz w:val="32"/>
          <w:szCs w:val="32"/>
        </w:rPr>
        <w:t>Article 7 - Verification and Compliance</w:t>
      </w:r>
      <w:bookmarkEnd w:id="76"/>
    </w:p>
    <w:p>
      <w:pPr>
        <w:pStyle w:val="Heading3"/>
      </w:pPr>
      <w:bookmarkStart w:name="_Toc077" w:id="77"/>
      <w:r>
        <w:rPr>
          <w:rFonts w:ascii="Cambria" w:hAnsi="Cambria" w:eastAsia="Microsoft YaHei" w:cs="Cambria"/>
          <w:b/>
          <w:color w:val="1A1A2E"/>
          <w:sz w:val="26"/>
          <w:szCs w:val="26"/>
        </w:rPr>
        <w:t>7.1 The IAEA Spine</w:t>
      </w:r>
      <w:bookmarkEnd w:id="77"/>
    </w:p>
    <w:p>
      <w:pPr>
        <w:pStyle w:val="Normal"/>
      </w:pPr>
      <w:r>
        <w:rPr>
          <w:rFonts w:ascii="Cambria" w:hAnsi="Cambria" w:eastAsia="Microsoft YaHei" w:cs="Cambria"/>
          <w:color w:val="1A1A2E"/>
          <w:sz w:val="22"/>
          <w:szCs w:val="22"/>
        </w:rPr>
        <w:t>The IAEA verifies the nuclear file end to end: baseline inventory by mass spectrometry, continuous dual-key camera monitoring of blending cascades, tamper-evident seals on feed lines and storage, real-time mass-flow verification, and independent isotopic sampling every seventy-two hours. The IAEA issues the certificates that gate each relief tranche and is the sole authority that certifies remediation under the step-back ladder. Batch telemetry from every breakout-relevant facility delivers on a mandatory 24-hour cycle via an air-gapped batch protocol - a technical hardening of the older weekly standard - so that a developing anomaly surfaces within a day, not a week.</w:t>
      </w:r>
    </w:p>
    <w:p>
      <w:pPr>
        <w:pStyle w:val="Heading3"/>
      </w:pPr>
      <w:bookmarkStart w:name="_Toc078" w:id="78"/>
      <w:r>
        <w:rPr>
          <w:rFonts w:ascii="Cambria" w:hAnsi="Cambria" w:eastAsia="Microsoft YaHei" w:cs="Cambria"/>
          <w:b/>
          <w:color w:val="1A1A2E"/>
          <w:sz w:val="26"/>
          <w:szCs w:val="26"/>
        </w:rPr>
        <w:t>7.2 Human-in-the-Loop Over Automated Findings</w:t>
      </w:r>
      <w:bookmarkEnd w:id="78"/>
    </w:p>
    <w:p>
      <w:pPr>
        <w:pStyle w:val="Normal"/>
      </w:pPr>
      <w:r>
        <w:rPr>
          <w:rFonts w:ascii="Cambria" w:hAnsi="Cambria" w:eastAsia="Microsoft YaHei" w:cs="Cambria"/>
          <w:color w:val="1A1A2E"/>
          <w:sz w:val="22"/>
          <w:szCs w:val="22"/>
        </w:rPr>
        <w:t>Automated detections route through human review before any escalation beyond an advisory log. A verification-inconsistency protocol resolves disputed findings; a no-surprises notification protocol (Annex S) requires advance notice of any anticipated deviation, converting a potential breach into a managed correction.</w:t>
      </w:r>
    </w:p>
    <w:p>
      <w:pPr>
        <w:pStyle w:val="Heading3"/>
      </w:pPr>
      <w:bookmarkStart w:name="_Toc079" w:id="79"/>
      <w:r>
        <w:rPr>
          <w:rFonts w:ascii="Cambria" w:hAnsi="Cambria" w:eastAsia="Microsoft YaHei" w:cs="Cambria"/>
          <w:b/>
          <w:color w:val="1A1A2E"/>
          <w:sz w:val="26"/>
          <w:szCs w:val="26"/>
        </w:rPr>
        <w:t>7.3 The Step-Back / Earn-Back Ladder (Merged from Provisional Steps Art. 13.3 - Enhanced Granularity)</w:t>
      </w:r>
      <w:bookmarkEnd w:id="79"/>
    </w:p>
    <w:p>
      <w:pPr>
        <w:pStyle w:val="Normal"/>
      </w:pPr>
      <w:r>
        <w:rPr>
          <w:rFonts w:ascii="Cambria" w:hAnsi="Cambria" w:eastAsia="Microsoft YaHei" w:cs="Cambria"/>
          <w:color w:val="1A1A2E"/>
          <w:sz w:val="22"/>
          <w:szCs w:val="22"/>
        </w:rPr>
        <w:t>Enforcement runs through a graduated, reversible ladder, not an automatic cut-off. A violation reduces benefit in proportion to its severity; verified remediation and sustained clean compliance earn the benefit back in full. The ladder is the exclusive enforcement mechanism (Article 8.7), detailed in Annex T.</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Tier</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Classification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Examples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Benefit Effect</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Remediation &amp; Earn-Back</w:t>
            </w:r>
          </w:p>
        </w:tc>
      </w:tr>
      <w:tr>
        <w:tc>
          <w:tcPr>
            <w:tcW w:w="2000" w:type="dxa"/>
          </w:tcPr>
          <w:p>
            <w:pPr>
              <w:pStyle w:val="Normal"/>
              <w:spacing w:before="40" w:after="40"/>
            </w:pPr>
            <w:r>
              <w:rPr>
                <w:color w:val="4A4A5A"/>
                <w:sz w:val="18"/>
                <w:rFonts w:ascii="Cambria" w:hAnsi="Cambria" w:eastAsia="Microsoft YaHei" w:cs="Cambria"/>
                <w:szCs w:val="18"/>
              </w:rPr>
              <w:t>1</w:t>
            </w:r>
          </w:p>
        </w:tc>
        <w:tc>
          <w:tcPr>
            <w:tcW w:w="2000" w:type="dxa"/>
          </w:tcPr>
          <w:p>
            <w:pPr>
              <w:pStyle w:val="Normal"/>
              <w:spacing w:before="40" w:after="40"/>
            </w:pPr>
            <w:r>
              <w:rPr>
                <w:color w:val="4A4A5A"/>
                <w:sz w:val="18"/>
                <w:rFonts w:ascii="Cambria" w:hAnsi="Cambria" w:eastAsia="Microsoft YaHei" w:cs="Cambria"/>
                <w:szCs w:val="18"/>
              </w:rPr>
              <w:t>Technical dispute (de minimis)</w:t>
            </w:r>
          </w:p>
        </w:tc>
        <w:tc>
          <w:tcPr>
            <w:tcW w:w="2000" w:type="dxa"/>
          </w:tcPr>
          <w:p>
            <w:pPr>
              <w:pStyle w:val="Normal"/>
              <w:spacing w:before="40" w:after="40"/>
            </w:pPr>
            <w:r>
              <w:rPr>
                <w:color w:val="4A4A5A"/>
                <w:sz w:val="18"/>
                <w:rFonts w:ascii="Cambria" w:hAnsi="Cambria" w:eastAsia="Microsoft YaHei" w:cs="Cambria"/>
                <w:szCs w:val="18"/>
              </w:rPr>
              <w:t>Enrichment less than or equal to 0.5% above cap for less than 48h; reporting delay less than or equal to 24h; minor positioning variance</w:t>
            </w:r>
          </w:p>
        </w:tc>
        <w:tc>
          <w:tcPr>
            <w:tcW w:w="2000" w:type="dxa"/>
          </w:tcPr>
          <w:p>
            <w:pPr>
              <w:pStyle w:val="Normal"/>
              <w:spacing w:before="40" w:after="40"/>
            </w:pPr>
            <w:r>
              <w:rPr>
                <w:color w:val="4A4A5A"/>
                <w:sz w:val="18"/>
                <w:rFonts w:ascii="Cambria" w:hAnsi="Cambria" w:eastAsia="Microsoft YaHei" w:cs="Cambria"/>
                <w:szCs w:val="18"/>
              </w:rPr>
              <w:t>No reduction; confidential handling; PCC technical assistance</w:t>
            </w:r>
          </w:p>
        </w:tc>
        <w:tc>
          <w:tcPr>
            <w:tcW w:w="2000" w:type="dxa"/>
          </w:tcPr>
          <w:p>
            <w:pPr>
              <w:pStyle w:val="Normal"/>
              <w:spacing w:before="40" w:after="40"/>
            </w:pPr>
            <w:r>
              <w:rPr>
                <w:color w:val="4A4A5A"/>
                <w:sz w:val="18"/>
                <w:rFonts w:ascii="Cambria" w:hAnsi="Cambria" w:eastAsia="Microsoft YaHei" w:cs="Cambria"/>
                <w:szCs w:val="18"/>
              </w:rPr>
              <w:t>14-day resolution window; no penalty</w:t>
            </w:r>
          </w:p>
        </w:tc>
      </w:tr>
      <w:tr>
        <w:tc>
          <w:tcPr>
            <w:tcW w:w="2000" w:type="dxa"/>
          </w:tcPr>
          <w:p>
            <w:pPr>
              <w:pStyle w:val="Normal"/>
              <w:spacing w:before="40" w:after="40"/>
            </w:pPr>
            <w:r>
              <w:rPr>
                <w:color w:val="4A4A5A"/>
                <w:sz w:val="18"/>
                <w:rFonts w:ascii="Cambria" w:hAnsi="Cambria" w:eastAsia="Microsoft YaHei" w:cs="Cambria"/>
                <w:szCs w:val="18"/>
              </w:rPr>
              <w:t>2</w:t>
            </w:r>
          </w:p>
        </w:tc>
        <w:tc>
          <w:tcPr>
            <w:tcW w:w="2000" w:type="dxa"/>
          </w:tcPr>
          <w:p>
            <w:pPr>
              <w:pStyle w:val="Normal"/>
              <w:spacing w:before="40" w:after="40"/>
            </w:pPr>
            <w:r>
              <w:rPr>
                <w:color w:val="4A4A5A"/>
                <w:sz w:val="18"/>
                <w:rFonts w:ascii="Cambria" w:hAnsi="Cambria" w:eastAsia="Microsoft YaHei" w:cs="Cambria"/>
                <w:szCs w:val="18"/>
              </w:rPr>
              <w:t>Material disruption</w:t>
            </w:r>
          </w:p>
        </w:tc>
        <w:tc>
          <w:tcPr>
            <w:tcW w:w="2000" w:type="dxa"/>
          </w:tcPr>
          <w:p>
            <w:pPr>
              <w:pStyle w:val="Normal"/>
              <w:spacing w:before="40" w:after="40"/>
            </w:pPr>
            <w:r>
              <w:rPr>
                <w:color w:val="4A4A5A"/>
                <w:sz w:val="18"/>
                <w:rFonts w:ascii="Cambria" w:hAnsi="Cambria" w:eastAsia="Microsoft YaHei" w:cs="Cambria"/>
                <w:szCs w:val="18"/>
              </w:rPr>
              <w:t>Enrichment greater than 0.5% above cap for more than 48h; access denial less than 72h; minor IRGC cash diversion</w:t>
            </w:r>
          </w:p>
        </w:tc>
        <w:tc>
          <w:tcPr>
            <w:tcW w:w="2000" w:type="dxa"/>
          </w:tcPr>
          <w:p>
            <w:pPr>
              <w:pStyle w:val="Normal"/>
              <w:spacing w:before="40" w:after="40"/>
            </w:pPr>
            <w:r>
              <w:rPr>
                <w:color w:val="4A4A5A"/>
                <w:sz w:val="18"/>
                <w:rFonts w:ascii="Cambria" w:hAnsi="Cambria" w:eastAsia="Microsoft YaHei" w:cs="Cambria"/>
                <w:szCs w:val="18"/>
              </w:rPr>
              <w:t>Graduated reduction (below); humanitarian protected; SWIFT holds via targeted bank isolation</w:t>
            </w:r>
          </w:p>
        </w:tc>
        <w:tc>
          <w:tcPr>
            <w:tcW w:w="2000" w:type="dxa"/>
          </w:tcPr>
          <w:p>
            <w:pPr>
              <w:pStyle w:val="Normal"/>
              <w:spacing w:before="40" w:after="40"/>
            </w:pPr>
            <w:r>
              <w:rPr>
                <w:color w:val="4A4A5A"/>
                <w:sz w:val="18"/>
                <w:rFonts w:ascii="Cambria" w:hAnsi="Cambria" w:eastAsia="Microsoft YaHei" w:cs="Cambria"/>
                <w:szCs w:val="18"/>
              </w:rPr>
              <w:t>30-day remediation; full restoration after 14 clean days + IAEA certification</w:t>
            </w:r>
          </w:p>
        </w:tc>
      </w:tr>
      <w:tr>
        <w:tc>
          <w:tcPr>
            <w:tcW w:w="2000" w:type="dxa"/>
          </w:tcPr>
          <w:p>
            <w:pPr>
              <w:pStyle w:val="Normal"/>
              <w:spacing w:before="40" w:after="40"/>
            </w:pPr>
            <w:r>
              <w:rPr>
                <w:color w:val="4A4A5A"/>
                <w:sz w:val="18"/>
                <w:rFonts w:ascii="Cambria" w:hAnsi="Cambria" w:eastAsia="Microsoft YaHei" w:cs="Cambria"/>
                <w:szCs w:val="18"/>
              </w:rPr>
              <w:t>3</w:t>
            </w:r>
          </w:p>
        </w:tc>
        <w:tc>
          <w:tcPr>
            <w:tcW w:w="2000" w:type="dxa"/>
          </w:tcPr>
          <w:p>
            <w:pPr>
              <w:pStyle w:val="Normal"/>
              <w:spacing w:before="40" w:after="40"/>
            </w:pPr>
            <w:r>
              <w:rPr>
                <w:color w:val="4A4A5A"/>
                <w:sz w:val="18"/>
                <w:rFonts w:ascii="Cambria" w:hAnsi="Cambria" w:eastAsia="Microsoft YaHei" w:cs="Cambria"/>
                <w:szCs w:val="18"/>
              </w:rPr>
              <w:t>Deliberate hostile violation</w:t>
            </w:r>
          </w:p>
        </w:tc>
        <w:tc>
          <w:tcPr>
            <w:tcW w:w="2000" w:type="dxa"/>
          </w:tcPr>
          <w:p>
            <w:pPr>
              <w:pStyle w:val="Normal"/>
              <w:spacing w:before="40" w:after="40"/>
            </w:pPr>
            <w:r>
              <w:rPr>
                <w:color w:val="4A4A5A"/>
                <w:sz w:val="18"/>
                <w:rFonts w:ascii="Cambria" w:hAnsi="Cambria" w:eastAsia="Microsoft YaHei" w:cs="Cambria"/>
                <w:szCs w:val="18"/>
              </w:rPr>
              <w:t>Enrichment above 3.67% without plausible explanation; inspector attack; weaponization activity</w:t>
            </w:r>
          </w:p>
        </w:tc>
        <w:tc>
          <w:tcPr>
            <w:tcW w:w="2000" w:type="dxa"/>
          </w:tcPr>
          <w:p>
            <w:pPr>
              <w:pStyle w:val="Normal"/>
              <w:spacing w:before="40" w:after="40"/>
            </w:pPr>
            <w:r>
              <w:rPr>
                <w:color w:val="4A4A5A"/>
                <w:sz w:val="18"/>
                <w:rFonts w:ascii="Cambria" w:hAnsi="Cambria" w:eastAsia="Microsoft YaHei" w:cs="Cambria"/>
                <w:szCs w:val="18"/>
              </w:rPr>
              <w:t>Graduated reduction (below); non-humanitarian modules on hold</w:t>
            </w:r>
          </w:p>
        </w:tc>
        <w:tc>
          <w:tcPr>
            <w:tcW w:w="2000" w:type="dxa"/>
          </w:tcPr>
          <w:p>
            <w:pPr>
              <w:pStyle w:val="Normal"/>
              <w:spacing w:before="40" w:after="40"/>
            </w:pPr>
            <w:r>
              <w:rPr>
                <w:color w:val="4A4A5A"/>
                <w:sz w:val="18"/>
                <w:rFonts w:ascii="Cambria" w:hAnsi="Cambria" w:eastAsia="Microsoft YaHei" w:cs="Cambria"/>
                <w:szCs w:val="18"/>
              </w:rPr>
              <w:t>90-day remediation; full restoration after 90 clean days + PCC majority confirmation</w:t>
            </w:r>
          </w:p>
        </w:tc>
      </w:tr>
      <w:tr>
        <w:tc>
          <w:tcPr>
            <w:tcW w:w="2000" w:type="dxa"/>
          </w:tcPr>
          <w:p>
            <w:pPr>
              <w:pStyle w:val="Normal"/>
              <w:spacing w:before="40" w:after="40"/>
            </w:pPr>
            <w:r>
              <w:rPr>
                <w:color w:val="4A4A5A"/>
                <w:sz w:val="18"/>
                <w:rFonts w:ascii="Cambria" w:hAnsi="Cambria" w:eastAsia="Microsoft YaHei" w:cs="Cambria"/>
                <w:szCs w:val="18"/>
              </w:rPr>
              <w:t>4</w:t>
            </w:r>
          </w:p>
        </w:tc>
        <w:tc>
          <w:tcPr>
            <w:tcW w:w="2000" w:type="dxa"/>
          </w:tcPr>
          <w:p>
            <w:pPr>
              <w:pStyle w:val="Normal"/>
              <w:spacing w:before="40" w:after="40"/>
            </w:pPr>
            <w:r>
              <w:rPr>
                <w:color w:val="4A4A5A"/>
                <w:sz w:val="18"/>
                <w:rFonts w:ascii="Cambria" w:hAnsi="Cambria" w:eastAsia="Microsoft YaHei" w:cs="Cambria"/>
                <w:szCs w:val="18"/>
              </w:rPr>
              <w:t>Strategic flexibility</w:t>
            </w:r>
          </w:p>
        </w:tc>
        <w:tc>
          <w:tcPr>
            <w:tcW w:w="2000" w:type="dxa"/>
          </w:tcPr>
          <w:p>
            <w:pPr>
              <w:pStyle w:val="Normal"/>
              <w:spacing w:before="40" w:after="40"/>
            </w:pPr>
            <w:r>
              <w:rPr>
                <w:color w:val="4A4A5A"/>
                <w:sz w:val="18"/>
                <w:rFonts w:ascii="Cambria" w:hAnsi="Cambria" w:eastAsia="Microsoft YaHei" w:cs="Cambria"/>
                <w:szCs w:val="18"/>
              </w:rPr>
              <w:t>Diplomatic disputes not affecting technical compliance</w:t>
            </w:r>
          </w:p>
        </w:tc>
        <w:tc>
          <w:tcPr>
            <w:tcW w:w="2000" w:type="dxa"/>
          </w:tcPr>
          <w:p>
            <w:pPr>
              <w:pStyle w:val="Normal"/>
              <w:spacing w:before="40" w:after="40"/>
            </w:pPr>
            <w:r>
              <w:rPr>
                <w:color w:val="4A4A5A"/>
                <w:sz w:val="18"/>
                <w:rFonts w:ascii="Cambria" w:hAnsi="Cambria" w:eastAsia="Microsoft YaHei" w:cs="Cambria"/>
                <w:szCs w:val="18"/>
              </w:rPr>
              <w:t>No effect</w:t>
            </w:r>
          </w:p>
        </w:tc>
        <w:tc>
          <w:tcPr>
            <w:tcW w:w="2000" w:type="dxa"/>
          </w:tcPr>
          <w:p>
            <w:pPr>
              <w:pStyle w:val="Normal"/>
              <w:spacing w:before="40" w:after="40"/>
            </w:pPr>
            <w:r>
              <w:rPr>
                <w:color w:val="4A4A5A"/>
                <w:sz w:val="18"/>
                <w:rFonts w:ascii="Cambria" w:hAnsi="Cambria" w:eastAsia="Microsoft YaHei" w:cs="Cambria"/>
                <w:szCs w:val="18"/>
              </w:rPr>
              <w:t>Normal operations</w:t>
            </w:r>
          </w:p>
        </w:tc>
      </w:tr>
      <w:tr>
        <w:tc>
          <w:tcPr>
            <w:tcW w:w="2000" w:type="dxa"/>
          </w:tcPr>
          <w:p>
            <w:pPr>
              <w:pStyle w:val="Normal"/>
              <w:spacing w:before="40" w:after="40"/>
            </w:pPr>
            <w:r>
              <w:rPr>
                <w:color w:val="4A4A5A"/>
                <w:sz w:val="18"/>
                <w:rFonts w:ascii="Cambria" w:hAnsi="Cambria" w:eastAsia="Microsoft YaHei" w:cs="Cambria"/>
                <w:szCs w:val="18"/>
              </w:rPr>
              <w:t>5</w:t>
            </w:r>
          </w:p>
        </w:tc>
        <w:tc>
          <w:tcPr>
            <w:tcW w:w="2000" w:type="dxa"/>
          </w:tcPr>
          <w:p>
            <w:pPr>
              <w:pStyle w:val="Normal"/>
              <w:spacing w:before="40" w:after="40"/>
            </w:pPr>
            <w:r>
              <w:rPr>
                <w:color w:val="4A4A5A"/>
                <w:sz w:val="18"/>
                <w:rFonts w:ascii="Cambria" w:hAnsi="Cambria" w:eastAsia="Microsoft YaHei" w:cs="Cambria"/>
                <w:szCs w:val="18"/>
              </w:rPr>
              <w:t>Force majeure</w:t>
            </w:r>
          </w:p>
        </w:tc>
        <w:tc>
          <w:tcPr>
            <w:tcW w:w="2000" w:type="dxa"/>
          </w:tcPr>
          <w:p>
            <w:pPr>
              <w:pStyle w:val="Normal"/>
              <w:spacing w:before="40" w:after="40"/>
            </w:pPr>
            <w:r>
              <w:rPr>
                <w:color w:val="4A4A5A"/>
                <w:sz w:val="18"/>
                <w:rFonts w:ascii="Cambria" w:hAnsi="Cambria" w:eastAsia="Microsoft YaHei" w:cs="Cambria"/>
                <w:szCs w:val="18"/>
              </w:rPr>
              <w:t>Natural disaster; third-party attack; regional spillover</w:t>
            </w:r>
          </w:p>
        </w:tc>
        <w:tc>
          <w:tcPr>
            <w:tcW w:w="2000" w:type="dxa"/>
          </w:tcPr>
          <w:p>
            <w:pPr>
              <w:pStyle w:val="Normal"/>
              <w:spacing w:before="40" w:after="40"/>
            </w:pPr>
            <w:r>
              <w:rPr>
                <w:color w:val="4A4A5A"/>
                <w:sz w:val="18"/>
                <w:rFonts w:ascii="Cambria" w:hAnsi="Cambria" w:eastAsia="Microsoft YaHei" w:cs="Cambria"/>
                <w:szCs w:val="18"/>
              </w:rPr>
              <w:t>Protected; humanitarian and oil flows continue</w:t>
            </w:r>
          </w:p>
        </w:tc>
        <w:tc>
          <w:tcPr>
            <w:tcW w:w="2000" w:type="dxa"/>
          </w:tcPr>
          <w:p>
            <w:pPr>
              <w:pStyle w:val="Normal"/>
              <w:spacing w:before="40" w:after="40"/>
            </w:pPr>
            <w:r>
              <w:rPr>
                <w:color w:val="4A4A5A"/>
                <w:sz w:val="18"/>
                <w:rFonts w:ascii="Cambria" w:hAnsi="Cambria" w:eastAsia="Microsoft YaHei" w:cs="Cambria"/>
                <w:szCs w:val="18"/>
              </w:rPr>
              <w:t>Stabilization hold; no penalty</w:t>
            </w:r>
          </w:p>
        </w:tc>
      </w:tr>
    </w:tbl>
    <w:p>
      <w:pPr>
        <w:pStyle w:val="Heading4"/>
      </w:pPr>
      <w:r>
        <w:rPr>
          <w:rFonts w:ascii="Cambria" w:hAnsi="Cambria" w:eastAsia="Microsoft YaHei" w:cs="Cambria"/>
          <w:b/>
          <w:color w:val="4A4A5A"/>
          <w:sz w:val="24"/>
          <w:szCs w:val="24"/>
        </w:rPr>
        <w:t>Graduated Step-Back Reductions - Tiers 2 and 3 (Replaced with Provisional Steps Granularity)</w:t>
      </w:r>
    </w:p>
    <w:p>
      <w:pPr>
        <w:pStyle w:val="Normal"/>
      </w:pPr>
      <w:r>
        <w:rPr>
          <w:rFonts w:ascii="Cambria" w:hAnsi="Cambria" w:eastAsia="Microsoft YaHei" w:cs="Cambria"/>
          <w:color w:val="1A1A2E"/>
          <w:sz w:val="22"/>
          <w:szCs w:val="22"/>
        </w:rPr>
        <w:t>Tier 2 graduated reduction: less than 7 days = 10% reduction in non-humanitarian benefits; 7-14 days = 15%; 15-30 days = 25%. After 30 days without remediation: 25% plus referral to the Guarantor Matrix.</w:t>
      </w:r>
    </w:p>
    <w:p>
      <w:pPr>
        <w:pStyle w:val="Normal"/>
      </w:pPr>
      <w:r>
        <w:rPr>
          <w:rFonts w:ascii="Cambria" w:hAnsi="Cambria" w:eastAsia="Microsoft YaHei" w:cs="Cambria"/>
          <w:color w:val="1A1A2E"/>
          <w:sz w:val="22"/>
          <w:szCs w:val="22"/>
        </w:rPr>
        <w:t>Tier 3 graduated reduction: first 72 hours = 25% reduction; after 72 hours = 35%; after 30 days without remediation = 50%.</w:t>
      </w:r>
    </w:p>
    <w:p>
      <w:pPr>
        <w:pStyle w:val="Normal"/>
      </w:pPr>
      <w:r>
        <w:rPr>
          <w:rFonts w:ascii="Cambria" w:hAnsi="Cambria" w:eastAsia="Microsoft YaHei" w:cs="Cambria"/>
          <w:color w:val="1A1A2E"/>
          <w:sz w:val="22"/>
          <w:szCs w:val="22"/>
        </w:rPr>
        <w:t>Earn-back: reductions reverse fully - Tier 2 after 14 consecutive clean days post-remediation; Tier 3 after 90 clean days plus IAEA certification. Over-compliance credit accelerates earn-back by up to 25%.</w:t>
      </w:r>
    </w:p>
    <w:p>
      <w:pPr>
        <w:pStyle w:val="Normal"/>
      </w:pPr>
      <w:r>
        <w:rPr>
          <w:rFonts w:ascii="Cambria" w:hAnsi="Cambria" w:eastAsia="Microsoft YaHei" w:cs="Cambria"/>
          <w:color w:val="1A1A2E"/>
          <w:sz w:val="22"/>
          <w:szCs w:val="22"/>
        </w:rPr>
        <w:t>A pattern is three occurrences of the same error type within sixty days, which graduates that issue to the next tier. No Tier consequence reaches already-released humanitarian funds, the humanitarian corridor, medical-isotope shipments, or UN-agency operations.</w:t>
      </w:r>
    </w:p>
    <w:p>
      <w:pPr>
        <w:pStyle w:val="Normal"/>
      </w:pPr>
      <w:r>
        <w:rPr>
          <w:rFonts w:ascii="Cambria" w:hAnsi="Cambria" w:eastAsia="Microsoft YaHei" w:cs="Cambria"/>
          <w:color w:val="1A1A2E"/>
          <w:sz w:val="22"/>
          <w:szCs w:val="22"/>
        </w:rPr>
        <w:t>Proportional Penalty Clause (Added from Provisional Steps): Penalties are calculated as a percentage of the affected benefit stream, not as a fixed amount. The PCC determines which benefit streams are affected based on the nature of the violation. Cross-module spillover is prohibited: a nuclear violation affects only nuclear-linked benefits; a maritime violation affects only maritime-linked benefits; only a systemic breach across multiple modules triggers cross-module penalties.</w:t>
      </w:r>
    </w:p>
    <w:p>
      <w:pPr>
        <w:pStyle w:val="Heading3"/>
      </w:pPr>
      <w:bookmarkStart w:name="_Toc080" w:id="80"/>
      <w:r>
        <w:rPr>
          <w:rFonts w:ascii="Cambria" w:hAnsi="Cambria" w:eastAsia="Microsoft YaHei" w:cs="Cambria"/>
          <w:b/>
          <w:color w:val="1A1A2E"/>
          <w:sz w:val="26"/>
          <w:szCs w:val="26"/>
        </w:rPr>
        <w:t>7.4 Human-in-the-Loop - No Automated Penalties</w:t>
      </w:r>
      <w:bookmarkEnd w:id="80"/>
    </w:p>
    <w:p>
      <w:pPr>
        <w:pStyle w:val="Normal"/>
      </w:pPr>
      <w:r>
        <w:rPr>
          <w:rFonts w:ascii="Cambria" w:hAnsi="Cambria" w:eastAsia="Microsoft YaHei" w:cs="Cambria"/>
          <w:color w:val="1A1A2E"/>
          <w:sz w:val="22"/>
          <w:szCs w:val="22"/>
        </w:rPr>
        <w:t>Every Tier-2 and Tier-3 step-back determination requires prior consultation between the Parties' designated senior officials, at minister level or above, within a 48-hour cooling-off period. No penalty accrues during that period. The Political &amp; Compliance Council makes technical findings, but a benefit reduction takes effect only after the consultation window expires without resolution. This requirement does not apply to Tier-1 technical issues, which resolve without penalty in any case. For any proposed Tier-3 (deliberate hostile violation) determination, the cooling-off period includes a direct consultation between the foreign ministers, or their equivalents, of both Parties, and no Tier-3 penalty takes effect until that ministerial consultation has occurred.</w:t>
      </w:r>
    </w:p>
    <w:p>
      <w:pPr>
        <w:pStyle w:val="Heading3"/>
      </w:pPr>
      <w:bookmarkStart w:name="_Toc081" w:id="81"/>
      <w:r>
        <w:rPr>
          <w:rFonts w:ascii="Cambria" w:hAnsi="Cambria" w:eastAsia="Microsoft YaHei" w:cs="Cambria"/>
          <w:b/>
          <w:color w:val="1A1A2E"/>
          <w:sz w:val="26"/>
          <w:szCs w:val="26"/>
        </w:rPr>
        <w:t>7.5 Automatic Suspension for Monitoring Failure</w:t>
      </w:r>
      <w:bookmarkEnd w:id="81"/>
    </w:p>
    <w:p>
      <w:pPr>
        <w:pStyle w:val="Normal"/>
      </w:pPr>
      <w:r>
        <w:rPr>
          <w:rFonts w:ascii="Cambria" w:hAnsi="Cambria" w:eastAsia="Microsoft YaHei" w:cs="Cambria"/>
          <w:color w:val="1A1A2E"/>
          <w:sz w:val="22"/>
          <w:szCs w:val="22"/>
        </w:rPr>
        <w:t>If IAEA telemetry from a breakout-relevant facility goes unavailable for 48 consecutive hours for any reason other than scheduled, notified maintenance, all sanctions relief auto-suspends - no human veto, no consultation window. The suspension is a reversible pause, not a snapback: releases resume in full the moment the IAEA certifies monitoring restored, with no clawback of funds already disbursed. Distinct from the step-back ladder, which addresses substantive violations, this clause addresses the verification blackout itself; it gives a hard, automatic assurance that benefits never flow blind, and neither Party holds a veto over its operation.</w:t>
      </w:r>
    </w:p>
    <w:p>
      <w:pPr>
        <w:pStyle w:val="Heading3"/>
      </w:pPr>
      <w:bookmarkStart w:name="_Toc082" w:id="82"/>
      <w:r>
        <w:rPr>
          <w:rFonts w:ascii="Cambria" w:hAnsi="Cambria" w:eastAsia="Microsoft YaHei" w:cs="Cambria"/>
          <w:b/>
          <w:color w:val="1A1A2E"/>
          <w:sz w:val="26"/>
          <w:szCs w:val="26"/>
        </w:rPr>
        <w:t>7.6 Annual Human-in-the-Loop Audit</w:t>
      </w:r>
      <w:bookmarkEnd w:id="82"/>
    </w:p>
    <w:p>
      <w:pPr>
        <w:pStyle w:val="Normal"/>
      </w:pPr>
      <w:r>
        <w:rPr>
          <w:rFonts w:ascii="Cambria" w:hAnsi="Cambria" w:eastAsia="Microsoft YaHei" w:cs="Cambria"/>
          <w:color w:val="1A1A2E"/>
          <w:sz w:val="22"/>
          <w:szCs w:val="22"/>
        </w:rPr>
        <w:t>An annual independent audit verifies that no automated system makes an autonomous penalty decision and that human review occurs within 24 hours of every automated flag. The audit reports to the Political &amp; Compliance Council and publishes its findings on the transparency dashboard. The clause keeps the speed of automated detection from ever hardening into automated punishment.</w:t>
      </w:r>
    </w:p>
    <w:p>
      <w:pPr>
        <w:pStyle w:val="Heading3"/>
      </w:pPr>
      <w:bookmarkStart w:name="_Toc083" w:id="83"/>
      <w:r>
        <w:rPr>
          <w:rFonts w:ascii="Cambria" w:hAnsi="Cambria" w:eastAsia="Microsoft YaHei" w:cs="Cambria"/>
          <w:b/>
          <w:color w:val="1A1A2E"/>
          <w:sz w:val="26"/>
          <w:szCs w:val="26"/>
        </w:rPr>
        <w:t>7.7 Mandatory Second Look Review (Added from Provisional Steps Art. 13.3-B - New)</w:t>
      </w:r>
      <w:bookmarkEnd w:id="83"/>
    </w:p>
    <w:p>
      <w:pPr>
        <w:pStyle w:val="Normal"/>
      </w:pPr>
      <w:r>
        <w:rPr>
          <w:rFonts w:ascii="Cambria" w:hAnsi="Cambria" w:eastAsia="Microsoft YaHei" w:cs="Cambria"/>
          <w:color w:val="1A1A2E"/>
          <w:sz w:val="22"/>
          <w:szCs w:val="22"/>
        </w:rPr>
        <w:t>Before any Tier-2 or Tier-3 penalty finalizes, a Second Look Review activates automatically. The Review is a 48-hour executive-level cooling-off period during which designated senior officials from both Parties examine the PCC's technical findings, assess whether the penalty is proportionate to the violation, and determine whether exceptional circumstances warrant modification or deferral. The Second Look Review is not an appeal: it is a mandatory procedural checkpoint that ensures human judgment sits between technical detection and economic consequence. Either Party's designated official triggers extended review, adding up to 72 additional hours. No penalty takes effect until the Second Look Review completes. This provision replaces the automatic penalty triggers of earlier drafts with a human judgment override that protects both Parties from the cost of an honest mistake.</w:t>
      </w:r>
    </w:p>
    <w:p>
      <w:pPr>
        <w:pStyle w:val="Heading2"/>
      </w:pPr>
      <w:bookmarkStart w:name="_Toc084" w:id="84"/>
      <w:r>
        <w:rPr>
          <w:rFonts w:ascii="Cambria" w:hAnsi="Cambria" w:eastAsia="Microsoft YaHei" w:cs="Cambria"/>
          <w:b/>
          <w:color w:val="1A1A2E"/>
          <w:sz w:val="26"/>
          <w:szCs w:val="32"/>
        </w:rPr>
        <w:t>7.8 Mutual Non-Undermining Pledge</w:t>
      </w:r>
      <w:bookmarkEnd w:id="84"/>
    </w:p>
    <w:p>
      <w:pPr>
        <w:pStyle w:val="Normal"/>
      </w:pPr>
      <w:r>
        <w:rPr>
          <w:rFonts w:ascii="Cambria" w:hAnsi="Cambria" w:eastAsia="Microsoft YaHei" w:cs="Cambria"/>
          <w:color w:val="1A1A2E"/>
          <w:sz w:val="22"/>
          <w:szCs w:val="22"/>
        </w:rPr>
        <w:t>No Party publicly characterizes a compliance issue as a breach before the PCC issues a preliminary finding, except to state that a notification has been filed. A public declaration of breach made before the 48-hour cooling-off period expires is itself a Tier-2 material disruption. This pledge forces both Parties to use the PCC channel, not the press, to resolve disputes. It raises the cost of bad-faith public escalation and protects the integrity of the step-back / earn-back process.</w:t>
      </w:r>
    </w:p>
    <w:p>
      <w:pPr>
        <w:pStyle w:val="Heading2"/>
      </w:pPr>
      <w:r>
        <w:rPr>
          <w:rFonts w:ascii="Cambria" w:hAnsi="Cambria" w:eastAsia="Microsoft YaHei" w:cs="Cambria"/>
          <w:b/>
          <w:color w:val="2D4A6F"/>
          <w:sz w:val="32"/>
          <w:szCs w:val="32"/>
        </w:rPr>
        <w:t>Article 8 - Safety Valves and Crisis Resilience</w:t>
      </w:r>
    </w:p>
    <w:p>
      <w:pPr>
        <w:pStyle w:val="Normal"/>
      </w:pPr>
      <w:r>
        <w:rPr>
          <w:rFonts w:ascii="Cambria" w:hAnsi="Cambria" w:eastAsia="Microsoft YaHei" w:cs="Cambria"/>
          <w:color w:val="1A1A2E"/>
          <w:sz w:val="22"/>
          <w:szCs w:val="22"/>
        </w:rPr>
        <w:t>The architecture expects honest error and protects against it, so that no procedural slip cascades into collapse. The mechanisms rank by a fixed hierarchy: a higher-ranked mechanism always prevails over a lower one.</w:t>
      </w:r>
    </w:p>
    <w:p>
      <w:pPr>
        <w:pStyle w:val="Heading3"/>
      </w:pPr>
      <w:bookmarkStart w:name="_Toc085" w:id="85"/>
      <w:r>
        <w:rPr>
          <w:rFonts w:ascii="Cambria" w:hAnsi="Cambria" w:eastAsia="Microsoft YaHei" w:cs="Cambria"/>
          <w:b/>
          <w:color w:val="1A1A2E"/>
          <w:sz w:val="26"/>
          <w:szCs w:val="26"/>
        </w:rPr>
        <w:t>8.1 The Learning Curve</w:t>
      </w:r>
      <w:bookmarkEnd w:id="85"/>
    </w:p>
    <w:p>
      <w:pPr>
        <w:pStyle w:val="Normal"/>
      </w:pPr>
      <w:r>
        <w:rPr>
          <w:rFonts w:ascii="Cambria" w:hAnsi="Cambria" w:eastAsia="Microsoft YaHei" w:cs="Cambria"/>
          <w:color w:val="1A1A2E"/>
          <w:sz w:val="22"/>
          <w:szCs w:val="22"/>
        </w:rPr>
        <w:t>Days 1-30 are a learning period. Tier-2 penalties halve; Tier-3 issues are advisory only; expected errors - reporting delays up to 24 hours, positioning variances up to 20%, hotline delays up to 30 minutes - are protected and logged, not penalized. Normalization phases in over Days 31-44 with no cliff.</w:t>
      </w:r>
    </w:p>
    <w:p>
      <w:pPr>
        <w:pStyle w:val="Heading3"/>
      </w:pPr>
      <w:bookmarkStart w:name="_Toc086" w:id="86"/>
      <w:r>
        <w:rPr>
          <w:rFonts w:ascii="Cambria" w:hAnsi="Cambria" w:eastAsia="Microsoft YaHei" w:cs="Cambria"/>
          <w:b/>
          <w:color w:val="1A1A2E"/>
          <w:sz w:val="26"/>
          <w:szCs w:val="26"/>
        </w:rPr>
        <w:t>8.2 The Standardized Safety-Valve Menu</w:t>
      </w:r>
      <w:bookmarkEnd w:id="86"/>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Mechanism</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Effect</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Limit</w:t>
            </w:r>
          </w:p>
        </w:tc>
      </w:tr>
      <w:tr>
        <w:tc>
          <w:tcPr>
            <w:tcW w:w="2000" w:type="dxa"/>
          </w:tcPr>
          <w:p>
            <w:pPr>
              <w:pStyle w:val="Normal"/>
              <w:spacing w:before="40" w:after="40"/>
            </w:pPr>
            <w:r>
              <w:rPr>
                <w:color w:val="4A4A5A"/>
                <w:sz w:val="18"/>
                <w:rFonts w:ascii="Cambria" w:hAnsi="Cambria" w:eastAsia="Microsoft YaHei" w:cs="Cambria"/>
                <w:szCs w:val="18"/>
              </w:rPr>
              <w:t>Grace Day</w:t>
            </w:r>
          </w:p>
        </w:tc>
        <w:tc>
          <w:tcPr>
            <w:tcW w:w="2000" w:type="dxa"/>
          </w:tcPr>
          <w:p>
            <w:pPr>
              <w:pStyle w:val="Normal"/>
              <w:spacing w:before="40" w:after="40"/>
            </w:pPr>
            <w:r>
              <w:rPr>
                <w:color w:val="4A4A5A"/>
                <w:sz w:val="18"/>
                <w:rFonts w:ascii="Cambria" w:hAnsi="Cambria" w:eastAsia="Microsoft YaHei" w:cs="Cambria"/>
                <w:szCs w:val="18"/>
              </w:rPr>
              <w:t>Defers an obligation 24 hours</w:t>
            </w:r>
          </w:p>
        </w:tc>
        <w:tc>
          <w:tcPr>
            <w:tcW w:w="2000" w:type="dxa"/>
          </w:tcPr>
          <w:p>
            <w:pPr>
              <w:pStyle w:val="Normal"/>
              <w:spacing w:before="40" w:after="40"/>
            </w:pPr>
            <w:r>
              <w:rPr>
                <w:color w:val="4A4A5A"/>
                <w:sz w:val="18"/>
                <w:rFonts w:ascii="Cambria" w:hAnsi="Cambria" w:eastAsia="Microsoft YaHei" w:cs="Cambria"/>
                <w:szCs w:val="18"/>
              </w:rPr>
              <w:t>3 per stage; 6h notice; not on Day 7 or 14</w:t>
            </w:r>
          </w:p>
        </w:tc>
      </w:tr>
      <w:tr>
        <w:tc>
          <w:tcPr>
            <w:tcW w:w="2000" w:type="dxa"/>
          </w:tcPr>
          <w:p>
            <w:pPr>
              <w:pStyle w:val="Normal"/>
              <w:spacing w:before="40" w:after="40"/>
            </w:pPr>
            <w:r>
              <w:rPr>
                <w:color w:val="4A4A5A"/>
                <w:sz w:val="18"/>
                <w:rFonts w:ascii="Cambria" w:hAnsi="Cambria" w:eastAsia="Microsoft YaHei" w:cs="Cambria"/>
                <w:szCs w:val="18"/>
              </w:rPr>
              <w:t>Face-Saving Pause</w:t>
            </w:r>
          </w:p>
        </w:tc>
        <w:tc>
          <w:tcPr>
            <w:tcW w:w="2000" w:type="dxa"/>
          </w:tcPr>
          <w:p>
            <w:pPr>
              <w:pStyle w:val="Normal"/>
              <w:spacing w:before="40" w:after="40"/>
            </w:pPr>
            <w:r>
              <w:rPr>
                <w:color w:val="4A4A5A"/>
                <w:sz w:val="18"/>
                <w:rFonts w:ascii="Cambria" w:hAnsi="Cambria" w:eastAsia="Microsoft YaHei" w:cs="Cambria"/>
                <w:szCs w:val="18"/>
              </w:rPr>
              <w:t>7-day deferral; auto-proceeds after</w:t>
            </w:r>
          </w:p>
        </w:tc>
        <w:tc>
          <w:tcPr>
            <w:tcW w:w="2000" w:type="dxa"/>
          </w:tcPr>
          <w:p>
            <w:pPr>
              <w:pStyle w:val="Normal"/>
              <w:spacing w:before="40" w:after="40"/>
            </w:pPr>
            <w:r>
              <w:rPr>
                <w:color w:val="4A4A5A"/>
                <w:sz w:val="18"/>
                <w:rFonts w:ascii="Cambria" w:hAnsi="Cambria" w:eastAsia="Microsoft YaHei" w:cs="Cambria"/>
                <w:szCs w:val="18"/>
              </w:rPr>
              <w:t>2 per 30 days; 24h notice; not for Tier-1</w:t>
            </w:r>
          </w:p>
        </w:tc>
      </w:tr>
      <w:tr>
        <w:tc>
          <w:tcPr>
            <w:tcW w:w="2000" w:type="dxa"/>
          </w:tcPr>
          <w:p>
            <w:pPr>
              <w:pStyle w:val="Normal"/>
              <w:spacing w:before="40" w:after="40"/>
            </w:pPr>
            <w:r>
              <w:rPr>
                <w:color w:val="4A4A5A"/>
                <w:sz w:val="18"/>
                <w:rFonts w:ascii="Cambria" w:hAnsi="Cambria" w:eastAsia="Microsoft YaHei" w:cs="Cambria"/>
                <w:szCs w:val="18"/>
              </w:rPr>
              <w:t>Stabilization Hold</w:t>
            </w:r>
          </w:p>
        </w:tc>
        <w:tc>
          <w:tcPr>
            <w:tcW w:w="2000" w:type="dxa"/>
          </w:tcPr>
          <w:p>
            <w:pPr>
              <w:pStyle w:val="Normal"/>
              <w:spacing w:before="40" w:after="40"/>
            </w:pPr>
            <w:r>
              <w:rPr>
                <w:color w:val="4A4A5A"/>
                <w:sz w:val="18"/>
                <w:rFonts w:ascii="Cambria" w:hAnsi="Cambria" w:eastAsia="Microsoft YaHei" w:cs="Cambria"/>
                <w:szCs w:val="18"/>
              </w:rPr>
              <w:t>7 days across up to 3 related obligations</w:t>
            </w:r>
          </w:p>
        </w:tc>
        <w:tc>
          <w:tcPr>
            <w:tcW w:w="2000" w:type="dxa"/>
          </w:tcPr>
          <w:p>
            <w:pPr>
              <w:pStyle w:val="Normal"/>
              <w:spacing w:before="40" w:after="40"/>
            </w:pPr>
            <w:r>
              <w:rPr>
                <w:color w:val="4A4A5A"/>
                <w:sz w:val="18"/>
                <w:rFonts w:ascii="Cambria" w:hAnsi="Cambria" w:eastAsia="Microsoft YaHei" w:cs="Cambria"/>
                <w:szCs w:val="18"/>
              </w:rPr>
              <w:t>2 per 30 days; auto-triggers on attack, disaster, cyber, UNSC session</w:t>
            </w:r>
          </w:p>
        </w:tc>
      </w:tr>
      <w:tr>
        <w:tc>
          <w:tcPr>
            <w:tcW w:w="2000" w:type="dxa"/>
          </w:tcPr>
          <w:p>
            <w:pPr>
              <w:pStyle w:val="Normal"/>
              <w:spacing w:before="40" w:after="40"/>
            </w:pPr>
            <w:r>
              <w:rPr>
                <w:color w:val="4A4A5A"/>
                <w:sz w:val="18"/>
                <w:rFonts w:ascii="Cambria" w:hAnsi="Cambria" w:eastAsia="Microsoft YaHei" w:cs="Cambria"/>
                <w:szCs w:val="18"/>
              </w:rPr>
              <w:t>Quiet Correction Window</w:t>
            </w:r>
          </w:p>
        </w:tc>
        <w:tc>
          <w:tcPr>
            <w:tcW w:w="2000" w:type="dxa"/>
          </w:tcPr>
          <w:p>
            <w:pPr>
              <w:pStyle w:val="Normal"/>
              <w:spacing w:before="40" w:after="40"/>
            </w:pPr>
            <w:r>
              <w:rPr>
                <w:color w:val="4A4A5A"/>
                <w:sz w:val="18"/>
                <w:rFonts w:ascii="Cambria" w:hAnsi="Cambria" w:eastAsia="Microsoft YaHei" w:cs="Cambria"/>
                <w:szCs w:val="18"/>
              </w:rPr>
              <w:t>72 hours to remedy a Tier-2/3 issue with no compliance mark</w:t>
            </w:r>
          </w:p>
        </w:tc>
        <w:tc>
          <w:tcPr>
            <w:tcW w:w="2000" w:type="dxa"/>
          </w:tcPr>
          <w:p>
            <w:pPr>
              <w:pStyle w:val="Normal"/>
              <w:spacing w:before="40" w:after="40"/>
            </w:pPr>
            <w:r>
              <w:rPr>
                <w:color w:val="4A4A5A"/>
                <w:sz w:val="18"/>
                <w:rFonts w:ascii="Cambria" w:hAnsi="Cambria" w:eastAsia="Microsoft YaHei" w:cs="Cambria"/>
                <w:szCs w:val="18"/>
              </w:rPr>
              <w:t>Good-faith presumption; no public statement until hour 72</w:t>
            </w:r>
          </w:p>
        </w:tc>
      </w:tr>
      <w:tr>
        <w:tc>
          <w:tcPr>
            <w:tcW w:w="2000" w:type="dxa"/>
          </w:tcPr>
          <w:p>
            <w:pPr>
              <w:pStyle w:val="Normal"/>
              <w:spacing w:before="40" w:after="40"/>
            </w:pPr>
            <w:r>
              <w:rPr>
                <w:color w:val="4A4A5A"/>
                <w:sz w:val="18"/>
                <w:rFonts w:ascii="Cambria" w:hAnsi="Cambria" w:eastAsia="Microsoft YaHei" w:cs="Cambria"/>
                <w:szCs w:val="18"/>
              </w:rPr>
              <w:t>Crisis Pause</w:t>
            </w:r>
          </w:p>
        </w:tc>
        <w:tc>
          <w:tcPr>
            <w:tcW w:w="2000" w:type="dxa"/>
          </w:tcPr>
          <w:p>
            <w:pPr>
              <w:pStyle w:val="Normal"/>
              <w:spacing w:before="40" w:after="40"/>
            </w:pPr>
            <w:r>
              <w:rPr>
                <w:color w:val="4A4A5A"/>
                <w:sz w:val="18"/>
                <w:rFonts w:ascii="Cambria" w:hAnsi="Cambria" w:eastAsia="Microsoft YaHei" w:cs="Cambria"/>
                <w:szCs w:val="18"/>
              </w:rPr>
              <w:t>30-90 day operational freeze without penalty or reputational cost</w:t>
            </w:r>
          </w:p>
        </w:tc>
        <w:tc>
          <w:tcPr>
            <w:tcW w:w="2000" w:type="dxa"/>
          </w:tcPr>
          <w:p>
            <w:pPr>
              <w:pStyle w:val="Normal"/>
              <w:spacing w:before="40" w:after="40"/>
            </w:pPr>
            <w:r>
              <w:rPr>
                <w:color w:val="4A4A5A"/>
                <w:sz w:val="18"/>
                <w:rFonts w:ascii="Cambria" w:hAnsi="Cambria" w:eastAsia="Microsoft YaHei" w:cs="Cambria"/>
                <w:szCs w:val="18"/>
              </w:rPr>
              <w:t>Once per 180 days; humanitarian and oil continue</w:t>
            </w:r>
          </w:p>
        </w:tc>
      </w:tr>
      <w:tr>
        <w:tc>
          <w:tcPr>
            <w:tcW w:w="2000" w:type="dxa"/>
          </w:tcPr>
          <w:p>
            <w:pPr>
              <w:pStyle w:val="Normal"/>
              <w:spacing w:before="40" w:after="40"/>
            </w:pPr>
            <w:r>
              <w:rPr>
                <w:color w:val="4A4A5A"/>
                <w:sz w:val="18"/>
                <w:rFonts w:ascii="Cambria" w:hAnsi="Cambria" w:eastAsia="Microsoft YaHei" w:cs="Cambria"/>
                <w:szCs w:val="18"/>
              </w:rPr>
              <w:t>Exit Ramp</w:t>
            </w:r>
          </w:p>
        </w:tc>
        <w:tc>
          <w:tcPr>
            <w:tcW w:w="2000" w:type="dxa"/>
          </w:tcPr>
          <w:p>
            <w:pPr>
              <w:pStyle w:val="Normal"/>
              <w:spacing w:before="40" w:after="40"/>
            </w:pPr>
            <w:r>
              <w:rPr>
                <w:color w:val="4A4A5A"/>
                <w:sz w:val="18"/>
                <w:rFonts w:ascii="Cambria" w:hAnsi="Cambria" w:eastAsia="Microsoft YaHei" w:cs="Cambria"/>
                <w:szCs w:val="18"/>
              </w:rPr>
              <w:t>Orderly 14-day withdrawal</w:t>
            </w:r>
          </w:p>
        </w:tc>
        <w:tc>
          <w:tcPr>
            <w:tcW w:w="2000" w:type="dxa"/>
          </w:tcPr>
          <w:p>
            <w:pPr>
              <w:pStyle w:val="Normal"/>
              <w:spacing w:before="40" w:after="40"/>
            </w:pPr>
            <w:r>
              <w:rPr>
                <w:color w:val="4A4A5A"/>
                <w:sz w:val="18"/>
                <w:rFonts w:ascii="Cambria" w:hAnsi="Cambria" w:eastAsia="Microsoft YaHei" w:cs="Cambria"/>
                <w:szCs w:val="18"/>
              </w:rPr>
              <w:t>Either Party; humanitarian and oil continue; reversible</w:t>
            </w:r>
          </w:p>
        </w:tc>
      </w:tr>
    </w:tbl>
    <w:p>
      <w:pPr>
        <w:pStyle w:val="Heading3"/>
      </w:pPr>
      <w:bookmarkStart w:name="_Toc087" w:id="87"/>
      <w:r>
        <w:rPr>
          <w:rFonts w:ascii="Cambria" w:hAnsi="Cambria" w:eastAsia="Microsoft YaHei" w:cs="Cambria"/>
          <w:b/>
          <w:color w:val="1A1A2E"/>
          <w:sz w:val="26"/>
          <w:szCs w:val="26"/>
        </w:rPr>
        <w:t>8.3 Automatic Dampening</w:t>
      </w:r>
      <w:bookmarkEnd w:id="87"/>
    </w:p>
    <w:p>
      <w:pPr>
        <w:pStyle w:val="Normal"/>
      </w:pPr>
      <w:r>
        <w:rPr>
          <w:rFonts w:ascii="Cambria" w:hAnsi="Cambria" w:eastAsia="Microsoft YaHei" w:cs="Cambria"/>
          <w:color w:val="1A1A2E"/>
          <w:sz w:val="22"/>
          <w:szCs w:val="22"/>
        </w:rPr>
        <w:t>Any Tier-2 or Tier-3 event triggers a 48-hour dampening window: offensive operations suspend, the hotline goes to triple watch, the PCC convenes within eight hours. Humanitarian transit, released funds, oil in transit, IAEA access, and hotline operations are irreversible protections throughout.</w:t>
      </w:r>
    </w:p>
    <w:p>
      <w:pPr>
        <w:pStyle w:val="Heading3"/>
      </w:pPr>
      <w:bookmarkStart w:name="_Toc088" w:id="88"/>
      <w:r>
        <w:rPr>
          <w:rFonts w:ascii="Cambria" w:hAnsi="Cambria" w:eastAsia="Microsoft YaHei" w:cs="Cambria"/>
          <w:b/>
          <w:color w:val="1A1A2E"/>
          <w:sz w:val="26"/>
          <w:szCs w:val="26"/>
        </w:rPr>
        <w:t>8.4 The Escalation Buffer</w:t>
      </w:r>
      <w:bookmarkEnd w:id="88"/>
    </w:p>
    <w:p>
      <w:pPr>
        <w:pStyle w:val="Normal"/>
      </w:pPr>
      <w:r>
        <w:rPr>
          <w:rFonts w:ascii="Cambria" w:hAnsi="Cambria" w:eastAsia="Microsoft YaHei" w:cs="Cambria"/>
          <w:color w:val="1A1A2E"/>
          <w:sz w:val="22"/>
          <w:szCs w:val="22"/>
        </w:rPr>
        <w:t>A 72-hour escalation buffer (Annex R.a) activates automatically on defined trigger events, with back-channel response requirements and facilitator accountability. Rogue-actor and false-flag provisions prevent a third party from collapsing the architecture by staging an incident.</w:t>
      </w:r>
    </w:p>
    <w:p>
      <w:pPr>
        <w:pStyle w:val="Heading3"/>
      </w:pPr>
      <w:bookmarkStart w:name="_Toc089" w:id="89"/>
      <w:r>
        <w:rPr>
          <w:rFonts w:ascii="Cambria" w:hAnsi="Cambria" w:eastAsia="Microsoft YaHei" w:cs="Cambria"/>
          <w:b/>
          <w:color w:val="1A1A2E"/>
          <w:sz w:val="26"/>
          <w:szCs w:val="26"/>
        </w:rPr>
        <w:t>8.5 Rolling Horizon and Clean-Break Withdrawal</w:t>
      </w:r>
      <w:bookmarkEnd w:id="89"/>
    </w:p>
    <w:p>
      <w:pPr>
        <w:pStyle w:val="Normal"/>
      </w:pPr>
      <w:r>
        <w:rPr>
          <w:rFonts w:ascii="Cambria" w:hAnsi="Cambria" w:eastAsia="Microsoft YaHei" w:cs="Cambria"/>
          <w:color w:val="1A1A2E"/>
          <w:sz w:val="22"/>
          <w:szCs w:val="22"/>
        </w:rPr>
        <w:t>The instrument continues as long as both Parties remain in verified compliance, with orderly withdrawal available at all times. Beyond the 14-day emergency exit ramp of Article 8.2, either Party withdraws on thirty days' written notice as a clean break: a capped exit payment of $500M settles outstanding obligations, and no clawback of already-released funds occurs. An Exit Payment Escrow Account of $500M is established at the Swiss-Omani escrow agent on Day 1, contributed equally by both Parties ($250M each). The funds are held separately from all other escrow accounts. If either Party withdraws under the clean-break provision, the withdrawing Party forfeits its $250M contribution to the other Party. The non-withdrawing Party receives the full $500M within 30 days of withdrawal notice, subject only to PCC verification that the withdrawal notice complied with this Article. No other dispute or compliance finding delays disbursement. If neither Party ever withdraws, both contributions return to the respective Parties upon the fifth anniversary of Phase III certification. Withdrawal is an orderly door, not a trap.</w:t>
      </w:r>
    </w:p>
    <w:p>
      <w:pPr>
        <w:pStyle w:val="Normal"/>
      </w:pPr>
      <w:r>
        <w:rPr>
          <w:rFonts w:ascii="Cambria" w:hAnsi="Cambria" w:eastAsia="Microsoft YaHei" w:cs="Cambria"/>
          <w:color w:val="1A1A2E"/>
          <w:sz w:val="22"/>
          <w:szCs w:val="22"/>
        </w:rPr>
        <w:t>Compliance penalties decouple from any use-of-force authorization. Under no circumstances does a compliance dispute, a Tier-2 or Tier-3 violation, a step-back penalty, a framework suspension, or any other breach automatically authorize, trigger, or justify the use of military force by either Party. Military action requires a separate, explicit decision by the respective head of government under constitutional procedures. This separation is absolute and non-waivable.</w:t>
      </w:r>
    </w:p>
    <w:p>
      <w:pPr>
        <w:pStyle w:val="Heading3"/>
      </w:pPr>
      <w:bookmarkStart w:name="_Toc090" w:id="90"/>
      <w:r>
        <w:rPr>
          <w:rFonts w:ascii="Cambria" w:hAnsi="Cambria" w:eastAsia="Microsoft YaHei" w:cs="Cambria"/>
          <w:b/>
          <w:color w:val="1A1A2E"/>
          <w:sz w:val="26"/>
          <w:szCs w:val="26"/>
        </w:rPr>
        <w:t>8.6 The Non-Humiliation Doctrine</w:t>
      </w:r>
      <w:bookmarkEnd w:id="90"/>
    </w:p>
    <w:p>
      <w:pPr>
        <w:pStyle w:val="Normal"/>
      </w:pPr>
      <w:r>
        <w:rPr>
          <w:rFonts w:ascii="Cambria" w:hAnsi="Cambria" w:eastAsia="Microsoft YaHei" w:cs="Cambria"/>
          <w:color w:val="1A1A2E"/>
          <w:sz w:val="22"/>
          <w:szCs w:val="22"/>
        </w:rPr>
        <w:t>The framework prohibits requiring public renunciation of the nuclear program, demanding apologies, staging inspection-site media events, characterizing compliance as submission, or requiring constitutional change. Dispute resolution stays confidential. Sovereign equality holds in all governance proceedings, and neither Party adopts language implying subordination.</w:t>
      </w:r>
    </w:p>
    <w:p>
      <w:pPr>
        <w:pStyle w:val="Heading3"/>
      </w:pPr>
      <w:bookmarkStart w:name="_Toc091" w:id="91"/>
      <w:r>
        <w:rPr>
          <w:rFonts w:ascii="Cambria" w:hAnsi="Cambria" w:eastAsia="Microsoft YaHei" w:cs="Cambria"/>
          <w:b/>
          <w:color w:val="1A1A2E"/>
          <w:sz w:val="26"/>
          <w:szCs w:val="26"/>
        </w:rPr>
        <w:t>8.7 No Automatic Snapback - Step-Back / Earn-Back Only</w:t>
      </w:r>
      <w:bookmarkEnd w:id="91"/>
    </w:p>
    <w:p>
      <w:pPr>
        <w:pStyle w:val="Normal"/>
      </w:pPr>
      <w:r>
        <w:rPr>
          <w:rFonts w:ascii="Cambria" w:hAnsi="Cambria" w:eastAsia="Microsoft YaHei" w:cs="Cambria"/>
          <w:color w:val="1A1A2E"/>
          <w:sz w:val="22"/>
          <w:szCs w:val="22"/>
        </w:rPr>
        <w:t>Under no circumstances does a compliance dispute, a Tier-2 or Tier-3 violation, or any other breach trigger an automatic, politically irreversible suspension of benefits. The tiered step-back and earn-back system of Article 7.3 is the exclusive enforcement mechanism for substantive violations; the monitoring-failure pause of Article 7.5 is a reversible pause, not a snapback. Any reference in any prior draft to a Snap Line or an automatic irreversible suspension is superseded. This provision is self-executing and non-waivable.</w:t>
      </w:r>
    </w:p>
    <w:p>
      <w:pPr>
        <w:pStyle w:val="Heading3"/>
      </w:pPr>
      <w:bookmarkStart w:name="_Toc092" w:id="92"/>
      <w:r>
        <w:rPr>
          <w:rFonts w:ascii="Cambria" w:hAnsi="Cambria" w:eastAsia="Microsoft YaHei" w:cs="Cambria"/>
          <w:b/>
          <w:color w:val="1A1A2E"/>
          <w:sz w:val="26"/>
          <w:szCs w:val="26"/>
        </w:rPr>
        <w:t>8.8 Force Majeure for Regional-Conflict Spillover</w:t>
      </w:r>
      <w:bookmarkEnd w:id="92"/>
    </w:p>
    <w:p>
      <w:pPr>
        <w:pStyle w:val="Normal"/>
      </w:pPr>
      <w:r>
        <w:rPr>
          <w:rFonts w:ascii="Cambria" w:hAnsi="Cambria" w:eastAsia="Microsoft YaHei" w:cs="Cambria"/>
          <w:color w:val="1A1A2E"/>
          <w:sz w:val="22"/>
          <w:szCs w:val="22"/>
        </w:rPr>
        <w:t>Either Party invokes force majeure where a regional conflict - in Lebanon, Gaza, Yemen, or Syria - materially and directly prevents compliance, suspending non-core obligations for up to sixty days. Core obligations never suspend: nuclear custody, freedom of navigation, and humanitarian flows continue throughout. The invoking Party notifies the PCC, which logs the invocation; abuse of the clause is itself a compliance matter under Article 7.3.</w:t>
      </w:r>
    </w:p>
    <w:p>
      <w:pPr>
        <w:pStyle w:val="Normal"/>
      </w:pPr>
      <w:r>
        <w:rPr>
          <w:rFonts w:ascii="Cambria" w:hAnsi="Cambria" w:eastAsia="Microsoft YaHei" w:cs="Cambria"/>
          <w:color w:val="1A1A2E"/>
          <w:sz w:val="22"/>
          <w:szCs w:val="22"/>
        </w:rPr>
        <w:t>Where a regional conflict materially and significantly impairs, but does not entirely prevent, compliance, the affected Party instead requests a 30-day Stabilization Hold (Article 8.2) on non-core obligations. Such a hold is not a breach and triggers no step-back. The lower bar covers the gray zone between full force majeure and ordinary friction.</w:t>
      </w:r>
    </w:p>
    <w:p>
      <w:pPr>
        <w:pStyle w:val="Heading3"/>
      </w:pPr>
      <w:bookmarkStart w:name="_Toc093" w:id="93"/>
      <w:r>
        <w:rPr>
          <w:rFonts w:ascii="Cambria" w:hAnsi="Cambria" w:eastAsia="Microsoft YaHei" w:cs="Cambria"/>
          <w:b/>
          <w:color w:val="1A1A2E"/>
          <w:sz w:val="26"/>
          <w:szCs w:val="26"/>
        </w:rPr>
        <w:t>8.9 Partial Success Doctrine</w:t>
      </w:r>
      <w:bookmarkEnd w:id="93"/>
    </w:p>
    <w:p>
      <w:pPr>
        <w:pStyle w:val="Normal"/>
      </w:pPr>
      <w:r>
        <w:rPr>
          <w:rFonts w:ascii="Cambria" w:hAnsi="Cambria" w:eastAsia="Microsoft YaHei" w:cs="Cambria"/>
          <w:color w:val="1A1A2E"/>
          <w:sz w:val="22"/>
          <w:szCs w:val="22"/>
        </w:rPr>
        <w:t>No single unresolved module invalidates the remainder of the instrument. The nuclear, maritime, and economic tracks are independent: a stalled or disputed element in one track does not void performance, benefits, or obligations in the others. Progress banks where it is made, and a localized failure stays localized.</w:t>
      </w:r>
    </w:p>
    <w:p>
      <w:pPr>
        <w:pStyle w:val="Heading3"/>
      </w:pPr>
      <w:bookmarkStart w:name="_Toc094" w:id="94"/>
      <w:r>
        <w:rPr>
          <w:rFonts w:ascii="Cambria" w:hAnsi="Cambria" w:eastAsia="Microsoft YaHei" w:cs="Cambria"/>
          <w:b/>
          <w:color w:val="1A1A2E"/>
          <w:sz w:val="26"/>
          <w:szCs w:val="26"/>
        </w:rPr>
        <w:t>8.10 Crisis-Contacts Designation Protocol</w:t>
      </w:r>
      <w:bookmarkEnd w:id="94"/>
    </w:p>
    <w:p>
      <w:pPr>
        <w:pStyle w:val="Normal"/>
      </w:pPr>
      <w:r>
        <w:rPr>
          <w:rFonts w:ascii="Cambria" w:hAnsi="Cambria" w:eastAsia="Microsoft YaHei" w:cs="Cambria"/>
          <w:color w:val="1A1A2E"/>
          <w:sz w:val="22"/>
          <w:szCs w:val="22"/>
        </w:rPr>
        <w:t>Each Party designates real, reachable, around-the-clock crisis contacts - a primary, a secondary, and a technical backup - and keeps them current with the PCC and the Maritime Stability Board. Failure to maintain a reachable contact classifies as a Tier-1 technical dispute, resolved without penalty but logged, because in a crisis a phone that rings unanswered is itself a risk. The PCC tests each Party's primary and secondary contacts on the first Monday of every month at 06:00 UTC; a failure to respond within thirty minutes is logged, and three consecutive failures constitute a Tier-1 technical dispute.</w:t>
      </w:r>
    </w:p>
    <w:p>
      <w:pPr>
        <w:pStyle w:val="Heading3"/>
      </w:pPr>
      <w:bookmarkStart w:name="_Toc095" w:id="95"/>
      <w:r>
        <w:rPr>
          <w:rFonts w:ascii="Cambria" w:hAnsi="Cambria" w:eastAsia="Microsoft YaHei" w:cs="Cambria"/>
          <w:b/>
          <w:color w:val="1A1A2E"/>
          <w:sz w:val="26"/>
          <w:szCs w:val="26"/>
        </w:rPr>
        <w:t>8.11 Wartime Entry-Protocol Sunset</w:t>
      </w:r>
      <w:bookmarkEnd w:id="95"/>
    </w:p>
    <w:p>
      <w:pPr>
        <w:pStyle w:val="Normal"/>
      </w:pPr>
      <w:r>
        <w:rPr>
          <w:rFonts w:ascii="Cambria" w:hAnsi="Cambria" w:eastAsia="Microsoft YaHei" w:cs="Cambria"/>
          <w:color w:val="1A1A2E"/>
          <w:sz w:val="22"/>
          <w:szCs w:val="22"/>
        </w:rPr>
        <w:t>Any provision designed specifically for wartime or immediate post-conflict entry - including expedited timelines or relaxed verification - sunsets automatically 180 days after entry into force, unless the PCC unanimously agrees to extend a specific provision for an additional 90 days. The clause keeps emergency measures from quietly becoming permanent.</w:t>
      </w:r>
    </w:p>
    <w:p>
      <w:pPr>
        <w:pStyle w:val="Heading2"/>
      </w:pPr>
      <w:bookmarkStart w:name="_Toc096" w:id="96"/>
      <w:r>
        <w:rPr>
          <w:rFonts w:ascii="Cambria" w:hAnsi="Cambria" w:eastAsia="Microsoft YaHei" w:cs="Cambria"/>
          <w:b/>
          <w:color w:val="2D4A6F"/>
          <w:sz w:val="32"/>
          <w:szCs w:val="32"/>
        </w:rPr>
        <w:t>Article 9 - Governance (Merged from Provisional Steps Arts. 12.5, 12.3-B)</w:t>
      </w:r>
      <w:bookmarkEnd w:id="96"/>
    </w:p>
    <w:p>
      <w:pPr>
        <w:pStyle w:val="Normal"/>
      </w:pPr>
      <w:r>
        <w:rPr>
          <w:rFonts w:ascii="Cambria" w:hAnsi="Cambria" w:eastAsia="Microsoft YaHei" w:cs="Cambria"/>
          <w:color w:val="1A1A2E"/>
          <w:sz w:val="22"/>
          <w:szCs w:val="22"/>
        </w:rPr>
        <w:t>Governance runs on three bodies only, by design - fewer institutions mean fewer points of friction and fewer venues for delay. A neutral escrow agent and an advisory guarantor committee support them; neither is a standing authority.</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Body</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Seat / Location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Mandate</w:t>
            </w:r>
          </w:p>
        </w:tc>
      </w:tr>
      <w:tr>
        <w:tc>
          <w:tcPr>
            <w:tcW w:w="2000" w:type="dxa"/>
          </w:tcPr>
          <w:p>
            <w:pPr>
              <w:pStyle w:val="Normal"/>
              <w:spacing w:before="40" w:after="40"/>
            </w:pPr>
            <w:r>
              <w:rPr>
                <w:color w:val="4A4A5A"/>
                <w:sz w:val="18"/>
                <w:rFonts w:ascii="Cambria" w:hAnsi="Cambria" w:eastAsia="Microsoft YaHei" w:cs="Cambria"/>
                <w:szCs w:val="18"/>
              </w:rPr>
              <w:t>Political &amp; Compliance Council (PCC)</w:t>
            </w:r>
          </w:p>
        </w:tc>
        <w:tc>
          <w:tcPr>
            <w:tcW w:w="2000" w:type="dxa"/>
          </w:tcPr>
          <w:p>
            <w:pPr>
              <w:pStyle w:val="Normal"/>
              <w:spacing w:before="40" w:after="40"/>
            </w:pPr>
            <w:r>
              <w:rPr>
                <w:color w:val="4A4A5A"/>
                <w:sz w:val="18"/>
                <w:rFonts w:ascii="Cambria" w:hAnsi="Cambria" w:eastAsia="Microsoft YaHei" w:cs="Cambria"/>
                <w:szCs w:val="18"/>
              </w:rPr>
              <w:t>Geneva; both Parties (the Technical Verification Authority attends)</w:t>
            </w:r>
          </w:p>
        </w:tc>
        <w:tc>
          <w:tcPr>
            <w:tcW w:w="2000" w:type="dxa"/>
          </w:tcPr>
          <w:p>
            <w:pPr>
              <w:pStyle w:val="Normal"/>
              <w:spacing w:before="40" w:after="40"/>
            </w:pPr>
            <w:r>
              <w:rPr>
                <w:color w:val="4A4A5A"/>
                <w:sz w:val="18"/>
                <w:rFonts w:ascii="Cambria" w:hAnsi="Cambria" w:eastAsia="Microsoft YaHei" w:cs="Cambria"/>
                <w:szCs w:val="18"/>
              </w:rPr>
              <w:t>Compliance determinations, cycle-release certificates, dispute escalation, form approvals; the single political and compliance venue</w:t>
            </w:r>
          </w:p>
        </w:tc>
      </w:tr>
      <w:tr>
        <w:tc>
          <w:tcPr>
            <w:tcW w:w="2000" w:type="dxa"/>
          </w:tcPr>
          <w:p>
            <w:pPr>
              <w:pStyle w:val="Normal"/>
              <w:spacing w:before="40" w:after="40"/>
            </w:pPr>
            <w:r>
              <w:rPr>
                <w:color w:val="4A4A5A"/>
                <w:sz w:val="18"/>
                <w:rFonts w:ascii="Cambria" w:hAnsi="Cambria" w:eastAsia="Microsoft YaHei" w:cs="Cambria"/>
                <w:szCs w:val="18"/>
              </w:rPr>
              <w:t>Technical Verification Authority (the IAEA)</w:t>
            </w:r>
          </w:p>
        </w:tc>
        <w:tc>
          <w:tcPr>
            <w:tcW w:w="2000" w:type="dxa"/>
          </w:tcPr>
          <w:p>
            <w:pPr>
              <w:pStyle w:val="Normal"/>
              <w:spacing w:before="40" w:after="40"/>
            </w:pPr>
            <w:r>
              <w:rPr>
                <w:color w:val="4A4A5A"/>
                <w:sz w:val="18"/>
                <w:rFonts w:ascii="Cambria" w:hAnsi="Cambria" w:eastAsia="Microsoft YaHei" w:cs="Cambria"/>
                <w:szCs w:val="18"/>
              </w:rPr>
              <w:t>Vienna</w:t>
            </w:r>
          </w:p>
        </w:tc>
        <w:tc>
          <w:tcPr>
            <w:tcW w:w="2000" w:type="dxa"/>
          </w:tcPr>
          <w:p>
            <w:pPr>
              <w:pStyle w:val="Normal"/>
              <w:spacing w:before="40" w:after="40"/>
            </w:pPr>
            <w:r>
              <w:rPr>
                <w:color w:val="4A4A5A"/>
                <w:sz w:val="18"/>
                <w:rFonts w:ascii="Cambria" w:hAnsi="Cambria" w:eastAsia="Microsoft YaHei" w:cs="Cambria"/>
                <w:szCs w:val="18"/>
              </w:rPr>
              <w:t>All nuclear verification: inventory, dual-key monitoring, sampling, certification; issues the certificates that gate relief</w:t>
            </w:r>
          </w:p>
        </w:tc>
      </w:tr>
      <w:tr>
        <w:tc>
          <w:tcPr>
            <w:tcW w:w="2000" w:type="dxa"/>
          </w:tcPr>
          <w:p>
            <w:pPr>
              <w:pStyle w:val="Normal"/>
              <w:spacing w:before="40" w:after="40"/>
            </w:pPr>
            <w:r>
              <w:rPr>
                <w:color w:val="4A4A5A"/>
                <w:sz w:val="18"/>
                <w:rFonts w:ascii="Cambria" w:hAnsi="Cambria" w:eastAsia="Microsoft YaHei" w:cs="Cambria"/>
                <w:szCs w:val="18"/>
              </w:rPr>
              <w:t>Maritime Stability Board (MSB)</w:t>
            </w:r>
          </w:p>
        </w:tc>
        <w:tc>
          <w:tcPr>
            <w:tcW w:w="2000" w:type="dxa"/>
          </w:tcPr>
          <w:p>
            <w:pPr>
              <w:pStyle w:val="Normal"/>
              <w:spacing w:before="40" w:after="40"/>
            </w:pPr>
            <w:r>
              <w:rPr>
                <w:color w:val="4A4A5A"/>
                <w:sz w:val="18"/>
                <w:rFonts w:ascii="Cambria" w:hAnsi="Cambria" w:eastAsia="Microsoft YaHei" w:cs="Cambria"/>
                <w:szCs w:val="18"/>
              </w:rPr>
              <w:t>Muscat; advisory, 24/7</w:t>
            </w:r>
          </w:p>
        </w:tc>
        <w:tc>
          <w:tcPr>
            <w:tcW w:w="2000" w:type="dxa"/>
          </w:tcPr>
          <w:p>
            <w:pPr>
              <w:pStyle w:val="Normal"/>
              <w:spacing w:before="40" w:after="40"/>
            </w:pPr>
            <w:r>
              <w:rPr>
                <w:color w:val="4A4A5A"/>
                <w:sz w:val="18"/>
                <w:rFonts w:ascii="Cambria" w:hAnsi="Cambria" w:eastAsia="Microsoft YaHei" w:cs="Cambria"/>
                <w:szCs w:val="18"/>
              </w:rPr>
              <w:t>Traffic coordination, maritime safety, the de-confliction hotline, transit notifications, and non-binding dispute recommendations - no governing, regulatory, or revenue power</w:t>
            </w:r>
          </w:p>
        </w:tc>
      </w:tr>
    </w:tbl>
    <w:p>
      <w:pPr>
        <w:pStyle w:val="Normal"/>
      </w:pPr>
      <w:r>
        <w:rPr>
          <w:rFonts w:ascii="Cambria" w:hAnsi="Cambria" w:eastAsia="Microsoft YaHei" w:cs="Cambria"/>
          <w:color w:val="1A1A2E"/>
          <w:sz w:val="22"/>
          <w:szCs w:val="22"/>
        </w:rPr>
        <w:t>Supporting, non-standing: The Swiss-Omani Escrow Agent (Zurich / Muscat) holds and releases all financial value on verified milestones. The Distributed Guarantor Matrix (Pakistan as primary, Oman as co-facilitator, with others) serves as an advisory committee to the PCC - mediation, verification backstop, and certificate counter-signature - not a separate governing body. The Persian Gulf Strait Authority remains a national Iranian entity, not a bilateral body, and operates only within Iran's 12-nautical-mile territorial waters.</w:t>
      </w:r>
    </w:p>
    <w:p>
      <w:pPr>
        <w:pStyle w:val="Normal"/>
      </w:pPr>
      <w:r>
        <w:rPr>
          <w:rFonts w:ascii="Cambria" w:hAnsi="Cambria" w:eastAsia="Microsoft YaHei" w:cs="Cambria"/>
          <w:color w:val="1A1A2E"/>
          <w:sz w:val="22"/>
          <w:szCs w:val="22"/>
        </w:rPr>
        <w:t>Governance protects both Parties without giving either a lever over the strait: the MSB acts by recommendation, not by binding vote, so no body holds regulatory power over the corridor. Where both Parties sit on a body, it operates by consensus. Each Party maintains a permanent secretariat of 8-12 staff, reporting to the PCC, that reads the transparency portal each shift and files one bundled daily situation report.</w:t>
      </w:r>
    </w:p>
    <w:p>
      <w:pPr>
        <w:pStyle w:val="Heading3"/>
      </w:pPr>
      <w:bookmarkStart w:name="_Toc097" w:id="97"/>
      <w:r>
        <w:rPr>
          <w:rFonts w:ascii="Cambria" w:hAnsi="Cambria" w:eastAsia="Microsoft YaHei" w:cs="Cambria"/>
          <w:b/>
          <w:color w:val="1A1A2E"/>
          <w:sz w:val="26"/>
          <w:szCs w:val="26"/>
        </w:rPr>
        <w:t>9.5 Consensus Minus One Decision Rule (Added from Provisional Steps Art. 12.5 - New)</w:t>
      </w:r>
      <w:bookmarkEnd w:id="97"/>
    </w:p>
    <w:p>
      <w:pPr>
        <w:pStyle w:val="Normal"/>
      </w:pPr>
      <w:r>
        <w:rPr>
          <w:rFonts w:ascii="Cambria" w:hAnsi="Cambria" w:eastAsia="Microsoft YaHei" w:cs="Cambria"/>
          <w:color w:val="1A1A2E"/>
          <w:sz w:val="22"/>
          <w:szCs w:val="22"/>
        </w:rPr>
        <w:t>Where consensus cannot be reached on operational matters within 72 hours of convening, the PCC applies the Consensus Minus One decision rule: the proposal passes if all participants except one support it. This rule prevents any single Party from blocking operational decisions while preserving the principle of broad agreement. The Consensus Minus One rule does not apply to structural decisions - new Annex activation, framework amendment, sanctions snapback activation, or military response authorization - which require unanimous consensus plus neutral chair concurrence.</w:t>
      </w:r>
    </w:p>
    <w:p>
      <w:pPr>
        <w:pStyle w:val="Heading3"/>
      </w:pPr>
      <w:bookmarkStart w:name="_Toc098" w:id="98"/>
      <w:r>
        <w:rPr>
          <w:rFonts w:ascii="Cambria" w:hAnsi="Cambria" w:eastAsia="Microsoft YaHei" w:cs="Cambria"/>
          <w:b/>
          <w:color w:val="1A1A2E"/>
          <w:sz w:val="26"/>
          <w:szCs w:val="26"/>
        </w:rPr>
        <w:t>9.6 Political Judgment Override (Added from Provisional Steps Art. 12.3-B - New)</w:t>
      </w:r>
      <w:bookmarkEnd w:id="98"/>
    </w:p>
    <w:p>
      <w:pPr>
        <w:pStyle w:val="Normal"/>
      </w:pPr>
      <w:r>
        <w:rPr>
          <w:rFonts w:ascii="Cambria" w:hAnsi="Cambria" w:eastAsia="Microsoft YaHei" w:cs="Cambria"/>
          <w:color w:val="1A1A2E"/>
          <w:sz w:val="22"/>
          <w:szCs w:val="22"/>
        </w:rPr>
        <w:t>The head of government of either Party retains the right to override PCC technical findings for a 30-day period. This Political Judgment Override is exercisable once per 90 days and requires written notification to the PCC and the Distributed Guarantor Matrix, stating the specific finding overridden and the basis for the override. During the override period, the affected benefit stream holds at its current level; no step-back accrues for the overridden finding. The override is not a veto of the underlying facts; it is a political pause that preserves executive authority over technical determinations. If the override is not renewed or resolved within 30 days, the PCC finding takes effect automatically. Abuse of the override - three overrides in 180 days that the Guarantor Matrix finds without reasonable basis - constitutes a Tier-2 material disruption under Article 7.3.</w:t>
      </w:r>
    </w:p>
    <w:p>
      <w:pPr>
        <w:pStyle w:val="Heading2"/>
      </w:pPr>
      <w:bookmarkStart w:name="_Toc099" w:id="99"/>
      <w:r>
        <w:rPr>
          <w:rFonts w:ascii="Cambria" w:hAnsi="Cambria" w:eastAsia="Microsoft YaHei" w:cs="Cambria"/>
          <w:b/>
          <w:color w:val="2D4A6F"/>
          <w:sz w:val="32"/>
          <w:szCs w:val="32"/>
        </w:rPr>
        <w:t>Article 10 - What Each Side Concedes and Wins</w:t>
      </w:r>
      <w:bookmarkEnd w:id="99"/>
    </w:p>
    <w:p>
      <w:pPr>
        <w:pStyle w:val="Normal"/>
      </w:pPr>
      <w:r>
        <w:rPr>
          <w:rFonts w:ascii="Cambria" w:hAnsi="Cambria" w:eastAsia="Microsoft YaHei" w:cs="Cambria"/>
          <w:color w:val="1A1A2E"/>
          <w:sz w:val="22"/>
          <w:szCs w:val="22"/>
        </w:rPr>
        <w:t>This ledger is operative text, not commentary. Each Party signs acknowledging both columns, so that neither later claims it conceded nothing and neither can be told it won nothing.</w:t>
      </w:r>
    </w:p>
    <w:p>
      <w:pPr>
        <w:pStyle w:val="Heading3"/>
      </w:pPr>
      <w:bookmarkStart w:name="_Toc100" w:id="100"/>
      <w:r>
        <w:rPr>
          <w:rFonts w:ascii="Cambria" w:hAnsi="Cambria" w:eastAsia="Microsoft YaHei" w:cs="Cambria"/>
          <w:b/>
          <w:color w:val="1A1A2E"/>
          <w:sz w:val="26"/>
          <w:szCs w:val="26"/>
        </w:rPr>
        <w:t>10.1 The United States</w:t>
      </w:r>
      <w:bookmarkEnd w:id="100"/>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The United States Gains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The United States Accepts</w:t>
            </w:r>
          </w:p>
        </w:tc>
      </w:tr>
      <w:tr>
        <w:tc>
          <w:tcPr>
            <w:tcW w:w="2000" w:type="dxa"/>
          </w:tcPr>
          <w:p>
            <w:pPr>
              <w:pStyle w:val="Normal"/>
              <w:spacing w:before="40" w:after="40"/>
            </w:pPr>
            <w:r>
              <w:rPr>
                <w:color w:val="4A4A5A"/>
                <w:sz w:val="18"/>
                <w:rFonts w:ascii="Cambria" w:hAnsi="Cambria" w:eastAsia="Microsoft YaHei" w:cs="Cambria"/>
                <w:szCs w:val="18"/>
              </w:rPr>
              <w:t>Default disposition neutralizes material in-country under joint dual-key, ending in dual-key downblending or irreversible fertilizer; 3.67% cap; 12-year moratorium (up to 25 years on violations); effective U.S. control via the second key</w:t>
            </w:r>
          </w:p>
        </w:tc>
        <w:tc>
          <w:tcPr>
            <w:tcW w:w="2000" w:type="dxa"/>
          </w:tcPr>
          <w:p>
            <w:pPr>
              <w:pStyle w:val="Normal"/>
              <w:spacing w:before="40" w:after="40"/>
            </w:pPr>
            <w:r>
              <w:rPr>
                <w:color w:val="4A4A5A"/>
                <w:sz w:val="18"/>
                <w:rFonts w:ascii="Cambria" w:hAnsi="Cambria" w:eastAsia="Microsoft YaHei" w:cs="Cambria"/>
                <w:szCs w:val="18"/>
              </w:rPr>
              <w:t>That the material stays on Iranian soil by default, under joint dual-key lock rather than physical U.S. possession, unless Iran elects the optional Oman lane</w:t>
            </w:r>
          </w:p>
        </w:tc>
      </w:tr>
      <w:tr>
        <w:tc>
          <w:tcPr>
            <w:tcW w:w="2000" w:type="dxa"/>
          </w:tcPr>
          <w:p>
            <w:pPr>
              <w:pStyle w:val="Normal"/>
              <w:spacing w:before="40" w:after="40"/>
            </w:pPr>
            <w:r>
              <w:rPr>
                <w:color w:val="4A4A5A"/>
                <w:sz w:val="18"/>
                <w:rFonts w:ascii="Cambria" w:hAnsi="Cambria" w:eastAsia="Microsoft YaHei" w:cs="Cambria"/>
                <w:szCs w:val="18"/>
              </w:rPr>
              <w:t>Unrestricted freedom of navigation; zero tolls; no Iranian checkpoints, management authority, or revenue share</w:t>
            </w:r>
          </w:p>
        </w:tc>
        <w:tc>
          <w:tcPr>
            <w:tcW w:w="2000" w:type="dxa"/>
          </w:tcPr>
          <w:p>
            <w:pPr>
              <w:pStyle w:val="Normal"/>
              <w:spacing w:before="40" w:after="40"/>
            </w:pPr>
            <w:r>
              <w:rPr>
                <w:color w:val="4A4A5A"/>
                <w:sz w:val="18"/>
                <w:rFonts w:ascii="Cambria" w:hAnsi="Cambria" w:eastAsia="Microsoft YaHei" w:cs="Cambria"/>
                <w:szCs w:val="18"/>
              </w:rPr>
              <w:t>Iran's coastal-state position acknowledged on the record, and reimbursement to Iran for verified strait services</w:t>
            </w:r>
          </w:p>
        </w:tc>
      </w:tr>
      <w:tr>
        <w:tc>
          <w:tcPr>
            <w:tcW w:w="2000" w:type="dxa"/>
          </w:tcPr>
          <w:p>
            <w:pPr>
              <w:pStyle w:val="Normal"/>
              <w:spacing w:before="40" w:after="40"/>
            </w:pPr>
            <w:r>
              <w:rPr>
                <w:color w:val="4A4A5A"/>
                <w:sz w:val="18"/>
                <w:rFonts w:ascii="Cambria" w:hAnsi="Cambria" w:eastAsia="Microsoft YaHei" w:cs="Cambria"/>
                <w:szCs w:val="18"/>
              </w:rPr>
              <w:t>No cash on Day 1; $5B escrowed with tranched release starting at Day 7; assets front-loaded but reversible until the end; a 14-day exit ramp and a 30-day clean-break withdrawal</w:t>
            </w:r>
          </w:p>
        </w:tc>
        <w:tc>
          <w:tcPr>
            <w:tcW w:w="2000" w:type="dxa"/>
          </w:tcPr>
          <w:p>
            <w:pPr>
              <w:pStyle w:val="Normal"/>
              <w:spacing w:before="40" w:after="40"/>
            </w:pPr>
            <w:r>
              <w:rPr>
                <w:color w:val="4A4A5A"/>
                <w:sz w:val="18"/>
                <w:rFonts w:ascii="Cambria" w:hAnsi="Cambria" w:eastAsia="Microsoft YaHei" w:cs="Cambria"/>
                <w:szCs w:val="18"/>
              </w:rPr>
              <w:t>Co-funding a $1B Joint Disposition Fund and a $50M discretionary fund</w:t>
            </w:r>
          </w:p>
        </w:tc>
      </w:tr>
      <w:tr>
        <w:tc>
          <w:tcPr>
            <w:tcW w:w="2000" w:type="dxa"/>
          </w:tcPr>
          <w:p>
            <w:pPr>
              <w:pStyle w:val="Normal"/>
              <w:spacing w:before="40" w:after="40"/>
            </w:pPr>
            <w:r>
              <w:rPr>
                <w:color w:val="4A4A5A"/>
                <w:sz w:val="18"/>
                <w:rFonts w:ascii="Cambria" w:hAnsi="Cambria" w:eastAsia="Microsoft YaHei" w:cs="Cambria"/>
                <w:szCs w:val="18"/>
              </w:rPr>
              <w:t>No reparations; no legal linkage of Hormuz to any regional front; third-party military action cannot trigger a breach; Saudi, UAE, Qatar, Turkiye, China, and Russia invited as endorsers</w:t>
            </w:r>
          </w:p>
        </w:tc>
        <w:tc>
          <w:tcPr>
            <w:tcW w:w="2000" w:type="dxa"/>
          </w:tcPr>
          <w:p>
            <w:pPr>
              <w:pStyle w:val="Normal"/>
              <w:spacing w:before="40" w:after="40"/>
            </w:pPr>
            <w:r>
              <w:rPr>
                <w:color w:val="4A4A5A"/>
                <w:sz w:val="18"/>
                <w:rFonts w:ascii="Cambria" w:hAnsi="Cambria" w:eastAsia="Microsoft YaHei" w:cs="Cambria"/>
                <w:szCs w:val="18"/>
              </w:rPr>
              <w:t>A region-wide humanitarian ceasefire and a scheduled door to regional talks</w:t>
            </w:r>
          </w:p>
        </w:tc>
      </w:tr>
    </w:tbl>
    <w:p>
      <w:pPr>
        <w:pStyle w:val="Heading3"/>
      </w:pPr>
      <w:bookmarkStart w:name="_Toc101" w:id="101"/>
      <w:r>
        <w:rPr>
          <w:rFonts w:ascii="Cambria" w:hAnsi="Cambria" w:eastAsia="Microsoft YaHei" w:cs="Cambria"/>
          <w:b/>
          <w:color w:val="1A1A2E"/>
          <w:sz w:val="26"/>
          <w:szCs w:val="26"/>
        </w:rPr>
        <w:t>10.2 Iran</w:t>
      </w:r>
      <w:bookmarkEnd w:id="101"/>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Iran Gains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Iran Accepts</w:t>
            </w:r>
          </w:p>
        </w:tc>
      </w:tr>
      <w:tr>
        <w:tc>
          <w:tcPr>
            <w:tcW w:w="2000" w:type="dxa"/>
          </w:tcPr>
          <w:p>
            <w:pPr>
              <w:pStyle w:val="Normal"/>
              <w:spacing w:before="40" w:after="40"/>
            </w:pPr>
            <w:r>
              <w:rPr>
                <w:color w:val="4A4A5A"/>
                <w:sz w:val="18"/>
                <w:rFonts w:ascii="Cambria" w:hAnsi="Cambria" w:eastAsia="Microsoft YaHei" w:cs="Cambria"/>
                <w:szCs w:val="18"/>
              </w:rPr>
              <w:t>Oil at 2.1 mbpd; SWIFT restored; $3.6B (first frozen-asset tranche) at Day 30; assets to 100% by Month 24; a $1B disposition fund and a $50M discretionary fund</w:t>
            </w:r>
          </w:p>
        </w:tc>
        <w:tc>
          <w:tcPr>
            <w:tcW w:w="2000" w:type="dxa"/>
          </w:tcPr>
          <w:p>
            <w:pPr>
              <w:pStyle w:val="Normal"/>
              <w:spacing w:before="40" w:after="40"/>
            </w:pPr>
            <w:r>
              <w:rPr>
                <w:color w:val="4A4A5A"/>
                <w:sz w:val="18"/>
                <w:rFonts w:ascii="Cambria" w:hAnsi="Cambria" w:eastAsia="Microsoft YaHei" w:cs="Cambria"/>
                <w:szCs w:val="18"/>
              </w:rPr>
              <w:t>A binding 3.67% cap and 12-year moratorium effective Day 1, and no cash on Day 1</w:t>
            </w:r>
          </w:p>
        </w:tc>
      </w:tr>
      <w:tr>
        <w:tc>
          <w:tcPr>
            <w:tcW w:w="2000" w:type="dxa"/>
          </w:tcPr>
          <w:p>
            <w:pPr>
              <w:pStyle w:val="Normal"/>
              <w:spacing w:before="40" w:after="40"/>
            </w:pPr>
            <w:r>
              <w:rPr>
                <w:color w:val="4A4A5A"/>
                <w:sz w:val="18"/>
                <w:rFonts w:ascii="Cambria" w:hAnsi="Cambria" w:eastAsia="Microsoft YaHei" w:cs="Cambria"/>
                <w:szCs w:val="18"/>
              </w:rPr>
              <w:t>A unilateral right to keep material in-country under dual-key custody, with no U.S. veto over that choice</w:t>
            </w:r>
          </w:p>
        </w:tc>
        <w:tc>
          <w:tcPr>
            <w:tcW w:w="2000" w:type="dxa"/>
          </w:tcPr>
          <w:p>
            <w:pPr>
              <w:pStyle w:val="Normal"/>
              <w:spacing w:before="40" w:after="40"/>
            </w:pPr>
            <w:r>
              <w:rPr>
                <w:color w:val="4A4A5A"/>
                <w:sz w:val="18"/>
                <w:rFonts w:ascii="Cambria" w:hAnsi="Cambria" w:eastAsia="Microsoft YaHei" w:cs="Cambria"/>
                <w:szCs w:val="18"/>
              </w:rPr>
              <w:t>Continuous IAEA and U.S.-designated dual-key access, and that an IRGC denial counts as an Iranian denial</w:t>
            </w:r>
          </w:p>
        </w:tc>
      </w:tr>
      <w:tr>
        <w:tc>
          <w:tcPr>
            <w:tcW w:w="2000" w:type="dxa"/>
          </w:tcPr>
          <w:p>
            <w:pPr>
              <w:pStyle w:val="Normal"/>
              <w:spacing w:before="40" w:after="40"/>
            </w:pPr>
            <w:r>
              <w:rPr>
                <w:color w:val="4A4A5A"/>
                <w:sz w:val="18"/>
                <w:rFonts w:ascii="Cambria" w:hAnsi="Cambria" w:eastAsia="Microsoft YaHei" w:cs="Cambria"/>
                <w:szCs w:val="18"/>
              </w:rPr>
              <w:t>Its coastal-state position acknowledged on the record; reimbursement for verified strait services; framing autonomy and a no-regime-change pledge</w:t>
            </w:r>
          </w:p>
        </w:tc>
        <w:tc>
          <w:tcPr>
            <w:tcW w:w="2000" w:type="dxa"/>
          </w:tcPr>
          <w:p>
            <w:pPr>
              <w:pStyle w:val="Normal"/>
              <w:spacing w:before="40" w:after="40"/>
            </w:pPr>
            <w:r>
              <w:rPr>
                <w:color w:val="4A4A5A"/>
                <w:sz w:val="18"/>
                <w:rFonts w:ascii="Cambria" w:hAnsi="Cambria" w:eastAsia="Microsoft YaHei" w:cs="Cambria"/>
                <w:szCs w:val="18"/>
              </w:rPr>
              <w:t>Unrestricted freedom of navigation, zero tolls, and no management authority over the corridor</w:t>
            </w:r>
          </w:p>
        </w:tc>
      </w:tr>
      <w:tr>
        <w:tc>
          <w:tcPr>
            <w:tcW w:w="2000" w:type="dxa"/>
          </w:tcPr>
          <w:p>
            <w:pPr>
              <w:pStyle w:val="Normal"/>
              <w:spacing w:before="40" w:after="40"/>
            </w:pPr>
            <w:r>
              <w:rPr>
                <w:color w:val="4A4A5A"/>
                <w:sz w:val="18"/>
                <w:rFonts w:ascii="Cambria" w:hAnsi="Cambria" w:eastAsia="Microsoft YaHei" w:cs="Cambria"/>
                <w:szCs w:val="18"/>
              </w:rPr>
              <w:t>Step-back / earn-back instead of snapback; a good-faith fast lane; safety valves and a non-humiliation doctrine</w:t>
            </w:r>
          </w:p>
        </w:tc>
        <w:tc>
          <w:tcPr>
            <w:tcW w:w="2000" w:type="dxa"/>
          </w:tcPr>
          <w:p>
            <w:pPr>
              <w:pStyle w:val="Normal"/>
              <w:spacing w:before="40" w:after="40"/>
            </w:pPr>
            <w:r>
              <w:rPr>
                <w:color w:val="4A4A5A"/>
                <w:sz w:val="18"/>
                <w:rFonts w:ascii="Cambria" w:hAnsi="Cambria" w:eastAsia="Microsoft YaHei" w:cs="Cambria"/>
                <w:szCs w:val="18"/>
              </w:rPr>
              <w:t>A front-loaded but reversible asset schedule, and that the in-country default ends either in dual-key downblending or, by Day 730, in irreversible fertilizer</w:t>
            </w:r>
          </w:p>
        </w:tc>
      </w:tr>
    </w:tbl>
    <w:p>
      <w:pPr>
        <w:pStyle w:val="Heading2"/>
      </w:pPr>
      <w:bookmarkStart w:name="_Toc102" w:id="102"/>
      <w:r>
        <w:rPr>
          <w:rFonts w:ascii="Cambria" w:hAnsi="Cambria" w:eastAsia="Microsoft YaHei" w:cs="Cambria"/>
          <w:b/>
          <w:color w:val="2D4A6F"/>
          <w:sz w:val="32"/>
          <w:szCs w:val="32"/>
        </w:rPr>
        <w:t>Article 11 - Phase Transitions and the Binding Timeline</w:t>
      </w:r>
      <w:bookmarkEnd w:id="102"/>
    </w:p>
    <w:p>
      <w:pPr>
        <w:pStyle w:val="Heading3"/>
      </w:pPr>
      <w:bookmarkStart w:name="_Toc103" w:id="103"/>
      <w:r>
        <w:rPr>
          <w:rFonts w:ascii="Cambria" w:hAnsi="Cambria" w:eastAsia="Microsoft YaHei" w:cs="Cambria"/>
          <w:b/>
          <w:color w:val="1A1A2E"/>
          <w:sz w:val="26"/>
          <w:szCs w:val="26"/>
        </w:rPr>
        <w:t>11.1 The 30-Day Letter of Intent</w:t>
      </w:r>
      <w:bookmarkEnd w:id="103"/>
    </w:p>
    <w:p>
      <w:pPr>
        <w:pStyle w:val="Normal"/>
      </w:pPr>
      <w:r>
        <w:rPr>
          <w:rFonts w:ascii="Cambria" w:hAnsi="Cambria" w:eastAsia="Microsoft YaHei" w:cs="Cambria"/>
          <w:color w:val="1A1A2E"/>
          <w:sz w:val="22"/>
          <w:szCs w:val="22"/>
        </w:rPr>
        <w:t>Within thirty days of entry into force, the Parties exchange a binding Letter of Intent confirming the Phase II architecture of Part B and the pathway selection for the stockpile. The Letter fixes the start of the 15-Day Micro-Cycle engine and the 60-Day Reciprocal Sequencing Schedule.</w:t>
      </w:r>
    </w:p>
    <w:p>
      <w:pPr>
        <w:pStyle w:val="Heading3"/>
      </w:pPr>
      <w:bookmarkStart w:name="_Toc104" w:id="104"/>
      <w:r>
        <w:rPr>
          <w:rFonts w:ascii="Cambria" w:hAnsi="Cambria" w:eastAsia="Microsoft YaHei" w:cs="Cambria"/>
          <w:b/>
          <w:color w:val="1A1A2E"/>
          <w:sz w:val="26"/>
          <w:szCs w:val="26"/>
        </w:rPr>
        <w:t>11.2 Phase I to Phase II</w:t>
      </w:r>
      <w:bookmarkEnd w:id="104"/>
    </w:p>
    <w:p>
      <w:pPr>
        <w:pStyle w:val="Normal"/>
      </w:pPr>
      <w:r>
        <w:rPr>
          <w:rFonts w:ascii="Cambria" w:hAnsi="Cambria" w:eastAsia="Microsoft YaHei" w:cs="Cambria"/>
          <w:color w:val="1A1A2E"/>
          <w:sz w:val="22"/>
          <w:szCs w:val="22"/>
        </w:rPr>
        <w:t>Phase I runs Days 1-365 - aligned with the Provisional Steps lineage and long enough for the complex in-country transformations of Pathways N, O, and W. Phase II runs Days 180-540, overlapping Phase I rather than waiting for it to close, so the convergence work begins while Phase I performance is still maturing. Every 180 days, either Party extends Phase I by executive decision without re-ratification, preserving rolling leverage and easing the pressure of a single hard deadline. Transition to the full Phase II Kernel activates when the four Phase I stripes hold a sustained compliance score of 75% across all stripes, with no single stripe below 60%, over the qualifying period. The PCC issues a transition certificate within forty-eight hours, and the contained-asymmetry Kernel of Part B then executes within its strict window.</w:t>
      </w:r>
    </w:p>
    <w:p>
      <w:pPr>
        <w:pStyle w:val="Heading3"/>
      </w:pPr>
      <w:bookmarkStart w:name="_Toc105" w:id="105"/>
      <w:r>
        <w:rPr>
          <w:rFonts w:ascii="Cambria" w:hAnsi="Cambria" w:eastAsia="Microsoft YaHei" w:cs="Cambria"/>
          <w:b/>
          <w:color w:val="1A1A2E"/>
          <w:sz w:val="26"/>
          <w:szCs w:val="26"/>
        </w:rPr>
        <w:t>11.3 Phase II to Phase III</w:t>
      </w:r>
      <w:bookmarkEnd w:id="105"/>
    </w:p>
    <w:p>
      <w:pPr>
        <w:pStyle w:val="Normal"/>
      </w:pPr>
      <w:r>
        <w:rPr>
          <w:rFonts w:ascii="Cambria" w:hAnsi="Cambria" w:eastAsia="Microsoft YaHei" w:cs="Cambria"/>
          <w:color w:val="1A1A2E"/>
          <w:sz w:val="22"/>
          <w:szCs w:val="22"/>
        </w:rPr>
        <w:t>Transition activates automatically on certification of Kernel completion - verified neutralization and the paired structural relief. The Phase III commission convenes within fourteen days, the Fibonacci Lock activates, and the Sovereignty Restoration Trajectory begins its milestone schedule.</w:t>
      </w:r>
    </w:p>
    <w:p>
      <w:pPr>
        <w:pStyle w:val="Heading3"/>
      </w:pPr>
      <w:bookmarkStart w:name="_Toc106" w:id="106"/>
      <w:r>
        <w:rPr>
          <w:rFonts w:ascii="Cambria" w:hAnsi="Cambria" w:eastAsia="Microsoft YaHei" w:cs="Cambria"/>
          <w:b/>
          <w:color w:val="1A1A2E"/>
          <w:sz w:val="26"/>
          <w:szCs w:val="26"/>
        </w:rPr>
        <w:t>11.4 No Presumption, Full Timeline</w:t>
      </w:r>
      <w:bookmarkEnd w:id="106"/>
    </w:p>
    <w:p>
      <w:pPr>
        <w:pStyle w:val="Normal"/>
      </w:pPr>
      <w:r>
        <w:rPr>
          <w:rFonts w:ascii="Cambria" w:hAnsi="Cambria" w:eastAsia="Microsoft YaHei" w:cs="Cambria"/>
          <w:color w:val="1A1A2E"/>
          <w:sz w:val="22"/>
          <w:szCs w:val="22"/>
        </w:rPr>
        <w:t>Phase I creates no presumption that prejudices either Party's position in later phases; both retain full sovereign negotiating rights. At the same time, the timeline is binding: the door to Phase II and Phase III is scheduled, not merely promised, and progress along it is automatic when compliance holds.</w:t>
      </w:r>
    </w:p>
    <w:p>
      <w:pPr>
        <w:pStyle w:val="Heading2"/>
      </w:pPr>
      <w:bookmarkStart w:name="_Toc107" w:id="107"/>
      <w:r>
        <w:rPr>
          <w:rFonts w:ascii="Cambria" w:hAnsi="Cambria" w:eastAsia="Microsoft YaHei" w:cs="Cambria"/>
          <w:b/>
          <w:color w:val="2D4A6F"/>
          <w:sz w:val="32"/>
          <w:szCs w:val="32"/>
        </w:rPr>
        <w:t>Article 12 - Entry into Force, Depositary, and Signature</w:t>
      </w:r>
      <w:bookmarkEnd w:id="107"/>
    </w:p>
    <w:p>
      <w:pPr>
        <w:pStyle w:val="Normal"/>
      </w:pPr>
      <w:r>
        <w:rPr>
          <w:rFonts w:ascii="Cambria" w:hAnsi="Cambria" w:eastAsia="Microsoft YaHei" w:cs="Cambria"/>
          <w:color w:val="1A1A2E"/>
          <w:sz w:val="22"/>
          <w:szCs w:val="22"/>
        </w:rPr>
        <w:t>Articles 1 through 13 enter into force on signature by the authorized representative of each Party. Executive authority suffices where legislative ratification would trigger a recognition dispute (Article 1.5). The Islamic Republic of Pakistan serves as depositary; the Sultanate of Oman as co-depositary. The integrated Annexes (Part D) enter by reference on the dates each specifies. The Parties record the present-tense, mutual-architecture construction of this instrument as governing the interpretation of every clause: each obligation is a live operational reality of the shared framework, binding both Parties equally.</w:t>
      </w:r>
    </w:p>
    <w:p>
      <w:pPr>
        <w:pStyle w:val="Heading3"/>
      </w:pPr>
      <w:bookmarkStart w:name="_Toc108" w:id="108"/>
      <w:r>
        <w:rPr>
          <w:rFonts w:ascii="Cambria" w:hAnsi="Cambria" w:eastAsia="Microsoft YaHei" w:cs="Cambria"/>
          <w:b/>
          <w:color w:val="1A1A2E"/>
          <w:sz w:val="26"/>
          <w:szCs w:val="26"/>
        </w:rPr>
        <w:t>12.4 Regional Endorsement</w:t>
      </w:r>
      <w:bookmarkEnd w:id="108"/>
    </w:p>
    <w:p>
      <w:pPr>
        <w:pStyle w:val="Normal"/>
      </w:pPr>
      <w:r>
        <w:rPr>
          <w:rFonts w:ascii="Cambria" w:hAnsi="Cambria" w:eastAsia="Microsoft YaHei" w:cs="Cambria"/>
          <w:color w:val="1A1A2E"/>
          <w:sz w:val="22"/>
          <w:szCs w:val="22"/>
        </w:rPr>
        <w:t>The Parties invite the Kingdom of Saudi Arabia, the United Arab Emirates, the State of Qatar, and the Republic of Turkiye to signify support for this instrument by non-binding endorsement. The Parties also invite the People's Republic of China and the Russian Federation, already engaged through the Distributed Guarantor Matrix, to signify support by non-binding endorsement. An endorser receives observer status on the Political &amp; Compliance Council, with no vote and no veto, and its signature adds no legal obligation while affirming regional and international support. The Depositary maintains a register of endorsers. This provision gives the settlement the multilateral, broadly backed character that anchors a durable outcome without diluting either Party's control.</w:t>
      </w:r>
    </w:p>
    <w:p>
      <w:pPr>
        <w:pStyle w:val="Heading3"/>
      </w:pPr>
      <w:bookmarkStart w:name="_Toc109" w:id="109"/>
      <w:r>
        <w:rPr>
          <w:rFonts w:ascii="Cambria" w:hAnsi="Cambria" w:eastAsia="Microsoft YaHei" w:cs="Cambria"/>
          <w:b/>
          <w:color w:val="1A1A2E"/>
          <w:sz w:val="26"/>
          <w:szCs w:val="26"/>
        </w:rPr>
        <w:t>12.5 Invitation to Normalize</w:t>
      </w:r>
      <w:bookmarkEnd w:id="109"/>
    </w:p>
    <w:p>
      <w:pPr>
        <w:pStyle w:val="Normal"/>
      </w:pPr>
      <w:r>
        <w:rPr>
          <w:rFonts w:ascii="Cambria" w:hAnsi="Cambria" w:eastAsia="Microsoft YaHei" w:cs="Cambria"/>
          <w:color w:val="1A1A2E"/>
          <w:sz w:val="22"/>
          <w:szCs w:val="22"/>
        </w:rPr>
        <w:t>The Parties acknowledge that several regional states have expressed interest in normalizing relations with the State of Israel. This instrument does not impede such normalization, and the Parties welcome confidence-building measures that contribute to regional stability. This article creates no obligation on either Party, requires no recognition by either Party, and is interpretive only.</w:t>
      </w:r>
    </w:p>
    <w:p>
      <w:pPr>
        <w:pStyle w:val="Heading2"/>
      </w:pPr>
      <w:bookmarkStart w:name="_Toc110" w:id="110"/>
      <w:r>
        <w:rPr>
          <w:rFonts w:ascii="Cambria" w:hAnsi="Cambria" w:eastAsia="Microsoft YaHei" w:cs="Cambria"/>
          <w:b/>
          <w:color w:val="1A1A2E"/>
          <w:sz w:val="26"/>
          <w:szCs w:val="26"/>
        </w:rPr>
        <w:t>12.6 The Final Signature Sprint Protocol</w:t>
      </w:r>
      <w:bookmarkEnd w:id="110"/>
    </w:p>
    <w:p>
      <w:pPr>
        <w:pStyle w:val="Normal"/>
      </w:pPr>
      <w:r>
        <w:rPr>
          <w:rFonts w:ascii="Cambria" w:hAnsi="Cambria" w:eastAsia="Microsoft YaHei" w:cs="Cambria"/>
          <w:color w:val="1A1A2E"/>
          <w:sz w:val="22"/>
          <w:szCs w:val="22"/>
        </w:rPr>
        <w:t>The Parties agree to a 10-day signature sprint from the moment the four adjustments in this instrument are accepted. During those 10 days: no new demands are introduced; all technical annexes are deemed final; the only remaining act is physical signature in Geneva or Muscat; and a single, pre-agreed joint statement is released the same day. Extended negotiations invite last-minute poison pills. This short, binding sprint creates momentum and locks in the deal before domestic political cycles intervene.</w:t>
      </w:r>
    </w:p>
    <w:p>
      <w:pPr>
        <w:pStyle w:val="Heading2"/>
      </w:pPr>
      <w:r>
        <w:rPr>
          <w:rFonts w:ascii="Cambria" w:hAnsi="Cambria" w:eastAsia="Microsoft YaHei" w:cs="Cambria"/>
          <w:b/>
          <w:color w:val="2D4A6F"/>
          <w:sz w:val="32"/>
          <w:szCs w:val="32"/>
        </w:rPr>
        <w:t>Article 13 - Regional and Israel Coordination (Merged from Provisional Steps Arts. 16.1, 16.3, Annex X)</w:t>
      </w:r>
    </w:p>
    <w:p>
      <w:pPr>
        <w:pStyle w:val="Normal"/>
      </w:pPr>
      <w:r>
        <w:rPr>
          <w:rFonts w:ascii="Cambria" w:hAnsi="Cambria" w:eastAsia="Microsoft YaHei" w:cs="Cambria"/>
          <w:color w:val="1A1A2E"/>
          <w:sz w:val="22"/>
          <w:szCs w:val="22"/>
        </w:rPr>
        <w:t>This article handles the hardest adjacency - the relationship between Iran and the State of Israel - without asking Iran to recognize or normalize anything, and without letting that relationship collapse the cores. It pairs a non-impediment rule, a narrative frame, and a high-threshold escalation ceiling. The third-party non-liability clause of Article 6.4 already ensures that no non-Party's action breaches this instrument; Article 13 builds the rest on that footing.</w:t>
      </w:r>
    </w:p>
    <w:p>
      <w:pPr>
        <w:pStyle w:val="Heading3"/>
      </w:pPr>
      <w:bookmarkStart w:name="_Toc111" w:id="111"/>
      <w:r>
        <w:rPr>
          <w:rFonts w:ascii="Cambria" w:hAnsi="Cambria" w:eastAsia="Microsoft YaHei" w:cs="Cambria"/>
          <w:b/>
          <w:color w:val="1A1A2E"/>
          <w:sz w:val="26"/>
          <w:szCs w:val="26"/>
        </w:rPr>
        <w:t>13.1 Non-Impediment</w:t>
      </w:r>
      <w:bookmarkEnd w:id="111"/>
    </w:p>
    <w:p>
      <w:pPr>
        <w:pStyle w:val="Normal"/>
      </w:pPr>
      <w:r>
        <w:rPr>
          <w:rFonts w:ascii="Cambria" w:hAnsi="Cambria" w:eastAsia="Microsoft YaHei" w:cs="Cambria"/>
          <w:color w:val="1A1A2E"/>
          <w:sz w:val="22"/>
          <w:szCs w:val="22"/>
        </w:rPr>
        <w:t>Nothing in this instrument impedes, restricts, or discourages any regional state from establishing or expanding diplomatic, economic, or security relations with the State of Israel. Iran acknowledges that such relations are sovereign decisions of independent states and are not grounds for any claim of breach, non-performance, or retaliation under this instrument. This is a non-obstruction acknowledgment, not recognition: Iran does nothing and recognizes no one.</w:t>
      </w:r>
    </w:p>
    <w:p>
      <w:pPr>
        <w:pStyle w:val="Heading3"/>
      </w:pPr>
      <w:bookmarkStart w:name="_Toc112" w:id="112"/>
      <w:r>
        <w:rPr>
          <w:rFonts w:ascii="Cambria" w:hAnsi="Cambria" w:eastAsia="Microsoft YaHei" w:cs="Cambria"/>
          <w:b/>
          <w:color w:val="1A1A2E"/>
          <w:sz w:val="26"/>
          <w:szCs w:val="26"/>
        </w:rPr>
        <w:t>13.2 The "Breakout Eliminated" Narrative Frame</w:t>
      </w:r>
      <w:bookmarkEnd w:id="112"/>
    </w:p>
    <w:p>
      <w:pPr>
        <w:pStyle w:val="Normal"/>
      </w:pPr>
      <w:r>
        <w:rPr>
          <w:rFonts w:ascii="Cambria" w:hAnsi="Cambria" w:eastAsia="Microsoft YaHei" w:cs="Cambria"/>
          <w:color w:val="1A1A2E"/>
          <w:sz w:val="22"/>
          <w:szCs w:val="22"/>
        </w:rPr>
        <w:t>The Parties record an agreed frame for describing the nuclear outcome: Iran's 60% stockpile is either removed from Iran or irreversibly transformed into commercial products - fertilizer, reactor fuel, medical isotopes, or industrial materials - through IAEA-verified processes, such that residual breakout time is measured in months and is fully detectable. Each capital states this in its own language; the technical claim underneath is identical and verifiable. Neither Party uses this frame to assert that the other has conceded anything not explicitly required by the operative provisions: the frame is for public communication only and creates no legal obligation beyond the text, and neither Party weaponizes it in dispute resolution.</w:t>
      </w:r>
    </w:p>
    <w:p>
      <w:pPr>
        <w:pStyle w:val="Heading3"/>
      </w:pPr>
      <w:bookmarkStart w:name="_Toc113" w:id="113"/>
      <w:r>
        <w:rPr>
          <w:rFonts w:ascii="Cambria" w:hAnsi="Cambria" w:eastAsia="Microsoft YaHei" w:cs="Cambria"/>
          <w:b/>
          <w:color w:val="1A1A2E"/>
          <w:sz w:val="26"/>
          <w:szCs w:val="26"/>
        </w:rPr>
        <w:t>13.3 The Shadow-Conflict Ceiling</w:t>
      </w:r>
      <w:bookmarkEnd w:id="113"/>
    </w:p>
    <w:p>
      <w:pPr>
        <w:pStyle w:val="Normal"/>
      </w:pPr>
      <w:r>
        <w:rPr>
          <w:rFonts w:ascii="Cambria" w:hAnsi="Cambria" w:eastAsia="Microsoft YaHei" w:cs="Cambria"/>
          <w:color w:val="1A1A2E"/>
          <w:sz w:val="22"/>
          <w:szCs w:val="22"/>
        </w:rPr>
        <w:t>The Parties acknowledge that the State of Israel and Iran maintain a shadow conflict, and this instrument establishes no ceasefire between them. The United States and Iran nonetheless commit to use their influence to prevent uncontrolled escalation. An Unacceptable Escalation Threshold is defined as either a confirmed attack by Iranian-aligned proxies causing ten or more Israeli civilian casualties, or an Israeli strike on a declared Iranian nuclear facility. On such an event, a 72-hour cooling-off period activates, during which the United States and Oman mediate; no Party is obligated to refrain from self-defense under Article 51 of the UN Charter. An Israeli strike on a declared nuclear facility, like any non-Party action, is not a breach of this instrument by either Party (Article 6.4), but it does trigger the cooling-off mechanism. For the avoidance of doubt, Israeli military operations in Syria against Iranian or Hezbollah-affiliated targets do not constitute an Unacceptable Escalation Threshold under this Article, regardless of proximity to declared nuclear facilities, unless they directly strike a declared IAEA-monitored nuclear site.</w:t>
      </w:r>
    </w:p>
    <w:p>
      <w:pPr>
        <w:pStyle w:val="Heading3"/>
      </w:pPr>
      <w:bookmarkStart w:name="_Toc114" w:id="114"/>
      <w:r>
        <w:rPr>
          <w:rFonts w:ascii="Cambria" w:hAnsi="Cambria" w:eastAsia="Microsoft YaHei" w:cs="Cambria"/>
          <w:b/>
          <w:color w:val="1A1A2E"/>
          <w:sz w:val="26"/>
          <w:szCs w:val="26"/>
        </w:rPr>
        <w:t>13.4 The Regional Connectivity Initiative</w:t>
      </w:r>
      <w:bookmarkEnd w:id="114"/>
    </w:p>
    <w:p>
      <w:pPr>
        <w:pStyle w:val="Normal"/>
      </w:pPr>
      <w:r>
        <w:rPr>
          <w:rFonts w:ascii="Cambria" w:hAnsi="Cambria" w:eastAsia="Microsoft YaHei" w:cs="Cambria"/>
          <w:color w:val="1A1A2E"/>
          <w:sz w:val="22"/>
          <w:szCs w:val="22"/>
        </w:rPr>
        <w:t>The Regional Development Fund allocates $500M over five years to a Regional Connectivity Initiative - direct air links among regional states and the State of Israel, joint water-desalination research, and cross-border energy trading. Iran is neither required to participate in nor to benefit from this initiative, and funds allocated to it do not reduce Iran's access to any other Regional Development Fund window. It is a parallel regional dividend that touches Iran only if Iran chooses.</w:t>
      </w:r>
    </w:p>
    <w:p>
      <w:pPr>
        <w:pStyle w:val="Heading3"/>
      </w:pPr>
      <w:bookmarkStart w:name="_Toc115" w:id="115"/>
      <w:r>
        <w:rPr>
          <w:rFonts w:ascii="Cambria" w:hAnsi="Cambria" w:eastAsia="Microsoft YaHei" w:cs="Cambria"/>
          <w:b/>
          <w:color w:val="1A1A2E"/>
          <w:sz w:val="26"/>
          <w:szCs w:val="26"/>
        </w:rPr>
        <w:t>13.5 Syria Freedom of Action</w:t>
      </w:r>
      <w:bookmarkEnd w:id="115"/>
    </w:p>
    <w:p>
      <w:pPr>
        <w:pStyle w:val="Normal"/>
      </w:pPr>
      <w:r>
        <w:rPr>
          <w:rFonts w:ascii="Cambria" w:hAnsi="Cambria" w:eastAsia="Microsoft YaHei" w:cs="Cambria"/>
          <w:color w:val="1A1A2E"/>
          <w:sz w:val="22"/>
          <w:szCs w:val="22"/>
        </w:rPr>
        <w:t>Nothing in this Accord restricts Israeli military operations against Iranian or Hezbollah-affiliated targets in Syria. Such operations are not subject to this Accord's dispute-resolution, step-back, or benefit-suspension provisions, do not constitute a breach by either Party, and fall outside PCC review and Guarantor Matrix jurisdiction. This provision is self-executing and non-waivable; it acknowledges an existing reality rather than creating an obligation, and it asks nothing of Iran.</w:t>
      </w:r>
    </w:p>
    <w:p>
      <w:pPr>
        <w:pStyle w:val="Heading3"/>
      </w:pPr>
      <w:bookmarkStart w:name="_Toc116" w:id="116"/>
      <w:r>
        <w:rPr>
          <w:rFonts w:ascii="Cambria" w:hAnsi="Cambria" w:eastAsia="Microsoft YaHei" w:cs="Cambria"/>
          <w:b/>
          <w:color w:val="1A1A2E"/>
          <w:sz w:val="26"/>
          <w:szCs w:val="26"/>
        </w:rPr>
        <w:t>13.6 Tel Aviv Channel and Non-Veto Clause (Added from Provisional Steps Arts. 16.1, 16.3 - New)</w:t>
      </w:r>
      <w:bookmarkEnd w:id="116"/>
    </w:p>
    <w:p>
      <w:pPr>
        <w:pStyle w:val="Normal"/>
      </w:pPr>
      <w:r>
        <w:rPr>
          <w:rFonts w:ascii="Cambria" w:hAnsi="Cambria" w:eastAsia="Microsoft YaHei" w:cs="Cambria"/>
          <w:color w:val="1A1A2E"/>
          <w:sz w:val="22"/>
          <w:szCs w:val="22"/>
        </w:rPr>
        <w:t>Tel Aviv Channel: A dedicated consultation channel operates between the United States and the State of Israel, separate from the PCC, to address Israeli security concerns related to this instrument. The channel does not give Israel a veto over any provision; it is an information-sharing and consultation mechanism only.</w:t>
      </w:r>
    </w:p>
    <w:p>
      <w:pPr>
        <w:pStyle w:val="Normal"/>
      </w:pPr>
      <w:r>
        <w:rPr>
          <w:rFonts w:ascii="Cambria" w:hAnsi="Cambria" w:eastAsia="Microsoft YaHei" w:cs="Cambria"/>
          <w:color w:val="1A1A2E"/>
          <w:sz w:val="22"/>
          <w:szCs w:val="22"/>
        </w:rPr>
        <w:t>Israel Non-Veto Clause: Israel does not have a veto over any provision of this instrument or any decision of the PCC. Israeli security concerns are addressed through the IAEA verification architecture, the shadow-conflict ceiling of Article 13.3, and the Tel Aviv Channel consultation mechanism, not through blocking authority. The United States communicates Israeli concerns to the PCC but makes decisions based on the terms of this instrument and U.S. national interest.</w:t>
      </w:r>
    </w:p>
    <w:p>
      <w:pPr>
        <w:pStyle w:val="Heading1"/>
      </w:pPr>
      <w:bookmarkStart w:name="_Toc117" w:id="117"/>
      <w:r>
        <w:rPr>
          <w:rFonts w:ascii="Cambria" w:hAnsi="Cambria" w:eastAsia="Microsoft YaHei" w:cs="Cambria"/>
          <w:b/>
          <w:color w:val="1A2744"/>
          <w:sz w:val="48"/>
          <w:szCs w:val="48"/>
        </w:rPr>
        <w:t>PART B</w:t>
      </w:r>
      <w:bookmarkEnd w:id="117"/>
    </w:p>
    <w:p>
      <w:pPr>
        <w:pStyle w:val="Heading2"/>
      </w:pPr>
      <w:bookmarkStart w:name="_Toc118" w:id="118"/>
      <w:r>
        <w:rPr>
          <w:rFonts w:ascii="Cambria" w:hAnsi="Cambria" w:eastAsia="Microsoft YaHei" w:cs="Cambria"/>
          <w:b/>
          <w:color w:val="2D4A6F"/>
          <w:sz w:val="32"/>
          <w:szCs w:val="32"/>
        </w:rPr>
        <w:t>Phase II - The Convergence</w:t>
      </w:r>
      <w:bookmarkEnd w:id="118"/>
    </w:p>
    <w:p>
      <w:pPr>
        <w:pStyle w:val="Normal"/>
      </w:pPr>
      <w:r>
        <w:rPr>
          <w:rFonts w:ascii="Cambria" w:hAnsi="Cambria" w:eastAsia="Microsoft YaHei" w:cs="Cambria"/>
          <w:color w:val="1A1A2E"/>
          <w:sz w:val="22"/>
          <w:szCs w:val="22"/>
        </w:rPr>
        <w:t>The Kernel: one contained point of asymmetry, executed with full operational detail.</w:t>
      </w:r>
    </w:p>
    <w:p>
      <w:pPr>
        <w:pStyle w:val="Heading2"/>
      </w:pPr>
      <w:bookmarkStart w:name="_Toc119" w:id="119"/>
      <w:r>
        <w:rPr>
          <w:rFonts w:ascii="Cambria" w:hAnsi="Cambria" w:eastAsia="Microsoft YaHei" w:cs="Cambria"/>
          <w:b/>
          <w:color w:val="2D4A6F"/>
          <w:sz w:val="32"/>
          <w:szCs w:val="32"/>
        </w:rPr>
        <w:t>B-0 - The Convergence Logic</w:t>
      </w:r>
      <w:bookmarkEnd w:id="119"/>
    </w:p>
    <w:p>
      <w:pPr>
        <w:pStyle w:val="Normal"/>
      </w:pPr>
      <w:r>
        <w:rPr>
          <w:rFonts w:ascii="Cambria" w:hAnsi="Cambria" w:eastAsia="Microsoft YaHei" w:cs="Cambria"/>
          <w:color w:val="1A1A2E"/>
          <w:sz w:val="22"/>
          <w:szCs w:val="22"/>
        </w:rPr>
        <w:t>Phase II is the single, planned, contained point of asymmetry in the entire architecture. Here each Party makes its deepest concession in the domain where it holds the key: Iran neutralizes its weapons-grade material; the United States converts reversible relief into structural relief. The asymmetry exists at this one point and does not leak into the stripes that precede it or the shell that follows it. The framing is mutual: each Party gives what only it gives. A half-executed Kernel is worse than none - so both concessions complete, or the Kernel fails and the architecture holds at Phase I until retry.</w:t>
      </w:r>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The narrative firewall: Phase II is recorded not as victory and defeat but as mutual recognition of different systemic structures. Iran's key is the program; the United States' key is the structural relief architecture. Neither domestic audience reads the Kernel as surrender because each Party gives in a different domain.</w:t>
      </w:r>
    </w:p>
    <w:p>
      <w:pPr>
        <w:pStyle w:val="Heading2"/>
      </w:pPr>
      <w:bookmarkStart w:name="_Toc120" w:id="120"/>
      <w:r>
        <w:rPr>
          <w:rFonts w:ascii="Cambria" w:hAnsi="Cambria" w:eastAsia="Microsoft YaHei" w:cs="Cambria"/>
          <w:b/>
          <w:color w:val="2D4A6F"/>
          <w:sz w:val="32"/>
          <w:szCs w:val="32"/>
        </w:rPr>
        <w:t>B-1 - Nuclear Convergence</w:t>
      </w:r>
      <w:bookmarkEnd w:id="120"/>
    </w:p>
    <w:p>
      <w:pPr>
        <w:pStyle w:val="Heading3"/>
      </w:pPr>
      <w:bookmarkStart w:name="_Toc121" w:id="121"/>
      <w:r>
        <w:rPr>
          <w:rFonts w:ascii="Cambria" w:hAnsi="Cambria" w:eastAsia="Microsoft YaHei" w:cs="Cambria"/>
          <w:b/>
          <w:color w:val="1A1A2E"/>
          <w:sz w:val="26"/>
          <w:szCs w:val="26"/>
        </w:rPr>
        <w:t>B-1.1 The Modular Pathway Menu</w:t>
      </w:r>
      <w:bookmarkEnd w:id="121"/>
    </w:p>
    <w:p>
      <w:pPr>
        <w:pStyle w:val="Normal"/>
      </w:pPr>
      <w:r>
        <w:rPr>
          <w:rFonts w:ascii="Cambria" w:hAnsi="Cambria" w:eastAsia="Microsoft YaHei" w:cs="Cambria"/>
          <w:color w:val="1A1A2E"/>
          <w:sz w:val="22"/>
          <w:szCs w:val="22"/>
        </w:rPr>
        <w:t>The disposition of the stockpile runs through the menu below. Because the material does not leave Iran absent Iran's own consent, the operative options are in-country transformations under dual-key custody, with neutral-state export available only by Iranian election. The menu is the mechanism that breaks the removal deadlock: each capital chooses the language and optics its audience needs while the verified outcome - no weapons-usable material remains under Iran's sole control - is identical across every pathway. Iran holds an irrevocable, unilateral right to elect any in-country pathway (N, O, T, or W) at any time, without U.S. concurrence or veto. The default sequence runs Pathway A at Day 180 and Pathway W at Day 730 (Article 3.2). A modular hold isolates any single disputed pathway for up to sixty days without halting the rest of the architecture.</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Pathway</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Mechanism</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Custody / Location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Fund / Note</w:t>
            </w:r>
          </w:p>
        </w:tc>
      </w:tr>
      <w:tr>
        <w:tc>
          <w:tcPr>
            <w:tcW w:w="2000" w:type="dxa"/>
          </w:tcPr>
          <w:p>
            <w:pPr>
              <w:pStyle w:val="Normal"/>
              <w:spacing w:before="40" w:after="40"/>
            </w:pPr>
            <w:r>
              <w:rPr>
                <w:color w:val="4A4A5A"/>
                <w:sz w:val="18"/>
                <w:rFonts w:ascii="Cambria" w:hAnsi="Cambria" w:eastAsia="Microsoft YaHei" w:cs="Cambria"/>
                <w:szCs w:val="18"/>
              </w:rPr>
              <w:t>A - In-Country Downblending (Day-180 default)</w:t>
            </w:r>
          </w:p>
        </w:tc>
        <w:tc>
          <w:tcPr>
            <w:tcW w:w="2000" w:type="dxa"/>
          </w:tcPr>
          <w:p>
            <w:pPr>
              <w:pStyle w:val="Normal"/>
              <w:spacing w:before="40" w:after="40"/>
            </w:pPr>
            <w:r>
              <w:rPr>
                <w:color w:val="4A4A5A"/>
                <w:sz w:val="18"/>
                <w:rFonts w:ascii="Cambria" w:hAnsi="Cambria" w:eastAsia="Microsoft YaHei" w:cs="Cambria"/>
                <w:szCs w:val="18"/>
              </w:rPr>
              <w:t>Stockpile downblends to 19.75% at Esfahan at greater than or equal to 3.5 kg/day under dual-key custody</w:t>
            </w:r>
          </w:p>
        </w:tc>
        <w:tc>
          <w:tcPr>
            <w:tcW w:w="2000" w:type="dxa"/>
          </w:tcPr>
          <w:p>
            <w:pPr>
              <w:pStyle w:val="Normal"/>
              <w:spacing w:before="40" w:after="40"/>
            </w:pPr>
            <w:r>
              <w:rPr>
                <w:color w:val="4A4A5A"/>
                <w:sz w:val="18"/>
                <w:rFonts w:ascii="Cambria" w:hAnsi="Cambria" w:eastAsia="Microsoft YaHei" w:cs="Cambria"/>
                <w:szCs w:val="18"/>
              </w:rPr>
              <w:t>Stays in Iran under joint IAEA / U.S.-designated lock (Annex Y)</w:t>
            </w:r>
          </w:p>
        </w:tc>
        <w:tc>
          <w:tcPr>
            <w:tcW w:w="2000" w:type="dxa"/>
          </w:tcPr>
          <w:p>
            <w:pPr>
              <w:pStyle w:val="Normal"/>
              <w:spacing w:before="40" w:after="40"/>
            </w:pPr>
            <w:r>
              <w:rPr>
                <w:color w:val="4A4A5A"/>
                <w:sz w:val="18"/>
                <w:rFonts w:ascii="Cambria" w:hAnsi="Cambria" w:eastAsia="Microsoft YaHei" w:cs="Cambria"/>
                <w:szCs w:val="18"/>
              </w:rPr>
              <w:t>$80M; effective external control without physical removal</w:t>
            </w:r>
          </w:p>
        </w:tc>
      </w:tr>
      <w:tr>
        <w:tc>
          <w:tcPr>
            <w:tcW w:w="2000" w:type="dxa"/>
          </w:tcPr>
          <w:p>
            <w:pPr>
              <w:pStyle w:val="Normal"/>
              <w:spacing w:before="40" w:after="40"/>
            </w:pPr>
            <w:r>
              <w:rPr>
                <w:color w:val="4A4A5A"/>
                <w:sz w:val="18"/>
                <w:rFonts w:ascii="Cambria" w:hAnsi="Cambria" w:eastAsia="Microsoft YaHei" w:cs="Cambria"/>
                <w:szCs w:val="18"/>
              </w:rPr>
              <w:t>N - Civilian Nuclear Products</w:t>
            </w:r>
          </w:p>
        </w:tc>
        <w:tc>
          <w:tcPr>
            <w:tcW w:w="2000" w:type="dxa"/>
          </w:tcPr>
          <w:p>
            <w:pPr>
              <w:pStyle w:val="Normal"/>
              <w:spacing w:before="40" w:after="40"/>
            </w:pPr>
            <w:r>
              <w:rPr>
                <w:color w:val="4A4A5A"/>
                <w:sz w:val="18"/>
                <w:rFonts w:ascii="Cambria" w:hAnsi="Cambria" w:eastAsia="Microsoft YaHei" w:cs="Cambria"/>
                <w:szCs w:val="18"/>
              </w:rPr>
              <w:t>Downblend to 3-5% LEU, fabricate into reactor fuel, medical isotopes, betavoltaic batteries, research plates</w:t>
            </w:r>
          </w:p>
        </w:tc>
        <w:tc>
          <w:tcPr>
            <w:tcW w:w="2000" w:type="dxa"/>
          </w:tcPr>
          <w:p>
            <w:pPr>
              <w:pStyle w:val="Normal"/>
              <w:spacing w:before="40" w:after="40"/>
            </w:pPr>
            <w:r>
              <w:rPr>
                <w:color w:val="4A4A5A"/>
                <w:sz w:val="18"/>
                <w:rFonts w:ascii="Cambria" w:hAnsi="Cambria" w:eastAsia="Microsoft YaHei" w:cs="Cambria"/>
                <w:szCs w:val="18"/>
              </w:rPr>
              <w:t>In Iran; products tracked by chain-of-custody registry</w:t>
            </w:r>
          </w:p>
        </w:tc>
        <w:tc>
          <w:tcPr>
            <w:tcW w:w="2000" w:type="dxa"/>
          </w:tcPr>
          <w:p>
            <w:pPr>
              <w:pStyle w:val="Normal"/>
              <w:spacing w:before="40" w:after="40"/>
            </w:pPr>
            <w:r>
              <w:rPr>
                <w:color w:val="4A4A5A"/>
                <w:sz w:val="18"/>
                <w:rFonts w:ascii="Cambria" w:hAnsi="Cambria" w:eastAsia="Microsoft YaHei" w:cs="Cambria"/>
                <w:szCs w:val="18"/>
              </w:rPr>
              <w:t>$200M; Iran unilateral right</w:t>
            </w:r>
          </w:p>
        </w:tc>
      </w:tr>
      <w:tr>
        <w:tc>
          <w:tcPr>
            <w:tcW w:w="2000" w:type="dxa"/>
          </w:tcPr>
          <w:p>
            <w:pPr>
              <w:pStyle w:val="Normal"/>
              <w:spacing w:before="40" w:after="40"/>
            </w:pPr>
            <w:r>
              <w:rPr>
                <w:color w:val="4A4A5A"/>
                <w:sz w:val="18"/>
                <w:rFonts w:ascii="Cambria" w:hAnsi="Cambria" w:eastAsia="Microsoft YaHei" w:cs="Cambria"/>
                <w:szCs w:val="18"/>
              </w:rPr>
              <w:t>O - Industrial Uranium Products</w:t>
            </w:r>
          </w:p>
        </w:tc>
        <w:tc>
          <w:tcPr>
            <w:tcW w:w="2000" w:type="dxa"/>
          </w:tcPr>
          <w:p>
            <w:pPr>
              <w:pStyle w:val="Normal"/>
              <w:spacing w:before="40" w:after="40"/>
            </w:pPr>
            <w:r>
              <w:rPr>
                <w:color w:val="4A4A5A"/>
                <w:sz w:val="18"/>
                <w:rFonts w:ascii="Cambria" w:hAnsi="Cambria" w:eastAsia="Microsoft YaHei" w:cs="Cambria"/>
                <w:szCs w:val="18"/>
              </w:rPr>
              <w:t>Deplete to 0.3-0.7%; process into rare-earth feedstock, composites, catalysts - uranium chemically bound in industrial matrices</w:t>
            </w:r>
          </w:p>
        </w:tc>
        <w:tc>
          <w:tcPr>
            <w:tcW w:w="2000" w:type="dxa"/>
          </w:tcPr>
          <w:p>
            <w:pPr>
              <w:pStyle w:val="Normal"/>
              <w:spacing w:before="40" w:after="40"/>
            </w:pPr>
            <w:r>
              <w:rPr>
                <w:color w:val="4A4A5A"/>
                <w:sz w:val="18"/>
                <w:rFonts w:ascii="Cambria" w:hAnsi="Cambria" w:eastAsia="Microsoft YaHei" w:cs="Cambria"/>
                <w:szCs w:val="18"/>
              </w:rPr>
              <w:t>In Iran; quarterly audits of industrial facilities</w:t>
            </w:r>
          </w:p>
        </w:tc>
        <w:tc>
          <w:tcPr>
            <w:tcW w:w="2000" w:type="dxa"/>
          </w:tcPr>
          <w:p>
            <w:pPr>
              <w:pStyle w:val="Normal"/>
              <w:spacing w:before="40" w:after="40"/>
            </w:pPr>
            <w:r>
              <w:rPr>
                <w:color w:val="4A4A5A"/>
                <w:sz w:val="18"/>
                <w:rFonts w:ascii="Cambria" w:hAnsi="Cambria" w:eastAsia="Microsoft YaHei" w:cs="Cambria"/>
                <w:szCs w:val="18"/>
              </w:rPr>
              <w:t>$200M; Iran unilateral right</w:t>
            </w:r>
          </w:p>
        </w:tc>
      </w:tr>
      <w:tr>
        <w:tc>
          <w:tcPr>
            <w:tcW w:w="2000" w:type="dxa"/>
          </w:tcPr>
          <w:p>
            <w:pPr>
              <w:pStyle w:val="Normal"/>
              <w:spacing w:before="40" w:after="40"/>
            </w:pPr>
            <w:r>
              <w:rPr>
                <w:color w:val="4A4A5A"/>
                <w:sz w:val="18"/>
                <w:rFonts w:ascii="Cambria" w:hAnsi="Cambria" w:eastAsia="Microsoft YaHei" w:cs="Cambria"/>
                <w:szCs w:val="18"/>
              </w:rPr>
              <w:t>T - Depleted Uranium Industrial</w:t>
            </w:r>
          </w:p>
        </w:tc>
        <w:tc>
          <w:tcPr>
            <w:tcW w:w="2000" w:type="dxa"/>
          </w:tcPr>
          <w:p>
            <w:pPr>
              <w:pStyle w:val="Normal"/>
              <w:spacing w:before="40" w:after="40"/>
            </w:pPr>
            <w:r>
              <w:rPr>
                <w:color w:val="4A4A5A"/>
                <w:sz w:val="18"/>
                <w:rFonts w:ascii="Cambria" w:hAnsi="Cambria" w:eastAsia="Microsoft YaHei" w:cs="Cambria"/>
                <w:szCs w:val="18"/>
              </w:rPr>
              <w:t>Deplete and convert into depleted-uranium industrial products</w:t>
            </w:r>
          </w:p>
        </w:tc>
        <w:tc>
          <w:tcPr>
            <w:tcW w:w="2000" w:type="dxa"/>
          </w:tcPr>
          <w:p>
            <w:pPr>
              <w:pStyle w:val="Normal"/>
              <w:spacing w:before="40" w:after="40"/>
            </w:pPr>
            <w:r>
              <w:rPr>
                <w:color w:val="4A4A5A"/>
                <w:sz w:val="18"/>
                <w:rFonts w:ascii="Cambria" w:hAnsi="Cambria" w:eastAsia="Microsoft YaHei" w:cs="Cambria"/>
                <w:szCs w:val="18"/>
              </w:rPr>
              <w:t>In Iran under IAEA accountancy</w:t>
            </w:r>
          </w:p>
        </w:tc>
        <w:tc>
          <w:tcPr>
            <w:tcW w:w="2000" w:type="dxa"/>
          </w:tcPr>
          <w:p>
            <w:pPr>
              <w:pStyle w:val="Normal"/>
              <w:spacing w:before="40" w:after="40"/>
            </w:pPr>
            <w:r>
              <w:rPr>
                <w:color w:val="4A4A5A"/>
                <w:sz w:val="18"/>
                <w:rFonts w:ascii="Cambria" w:hAnsi="Cambria" w:eastAsia="Microsoft YaHei" w:cs="Cambria"/>
                <w:szCs w:val="18"/>
              </w:rPr>
              <w:t>$100M; Iran unilateral right</w:t>
            </w:r>
          </w:p>
        </w:tc>
      </w:tr>
      <w:tr>
        <w:tc>
          <w:tcPr>
            <w:tcW w:w="2000" w:type="dxa"/>
          </w:tcPr>
          <w:p>
            <w:pPr>
              <w:pStyle w:val="Normal"/>
              <w:spacing w:before="40" w:after="40"/>
            </w:pPr>
            <w:r>
              <w:rPr>
                <w:color w:val="4A4A5A"/>
                <w:sz w:val="18"/>
                <w:rFonts w:ascii="Cambria" w:hAnsi="Cambria" w:eastAsia="Microsoft YaHei" w:cs="Cambria"/>
                <w:szCs w:val="18"/>
              </w:rPr>
              <w:t>W - Agriculture and Food Security (Day-730 default)</w:t>
            </w:r>
          </w:p>
        </w:tc>
        <w:tc>
          <w:tcPr>
            <w:tcW w:w="2000" w:type="dxa"/>
          </w:tcPr>
          <w:p>
            <w:pPr>
              <w:pStyle w:val="Normal"/>
              <w:spacing w:before="40" w:after="40"/>
            </w:pPr>
            <w:r>
              <w:rPr>
                <w:color w:val="4A4A5A"/>
                <w:sz w:val="18"/>
                <w:rFonts w:ascii="Cambria" w:hAnsi="Cambria" w:eastAsia="Microsoft YaHei" w:cs="Cambria"/>
                <w:szCs w:val="18"/>
              </w:rPr>
              <w:t>Deplete to natural-grade uranium (0.711%), combine with phosphate rock for fertilizer, disperse across farmland; 9 months; irreversible</w:t>
            </w:r>
          </w:p>
        </w:tc>
        <w:tc>
          <w:tcPr>
            <w:tcW w:w="2000" w:type="dxa"/>
          </w:tcPr>
          <w:p>
            <w:pPr>
              <w:pStyle w:val="Normal"/>
              <w:spacing w:before="40" w:after="40"/>
            </w:pPr>
            <w:r>
              <w:rPr>
                <w:color w:val="4A4A5A"/>
                <w:sz w:val="18"/>
                <w:rFonts w:ascii="Cambria" w:hAnsi="Cambria" w:eastAsia="Microsoft YaHei" w:cs="Cambria"/>
                <w:szCs w:val="18"/>
              </w:rPr>
              <w:t>Stays in Iran as civilian agricultural input under IAEA sampling</w:t>
            </w:r>
          </w:p>
        </w:tc>
        <w:tc>
          <w:tcPr>
            <w:tcW w:w="2000" w:type="dxa"/>
          </w:tcPr>
          <w:p>
            <w:pPr>
              <w:pStyle w:val="Normal"/>
              <w:spacing w:before="40" w:after="40"/>
            </w:pPr>
            <w:r>
              <w:rPr>
                <w:color w:val="4A4A5A"/>
                <w:sz w:val="18"/>
                <w:rFonts w:ascii="Cambria" w:hAnsi="Cambria" w:eastAsia="Microsoft YaHei" w:cs="Cambria"/>
                <w:szCs w:val="18"/>
              </w:rPr>
              <w:t>$70M; "bombs to bread," the irreversible final default</w:t>
            </w:r>
          </w:p>
        </w:tc>
      </w:tr>
      <w:tr>
        <w:tc>
          <w:tcPr>
            <w:tcW w:w="2000" w:type="dxa"/>
          </w:tcPr>
          <w:p>
            <w:pPr>
              <w:pStyle w:val="Normal"/>
              <w:spacing w:before="40" w:after="40"/>
            </w:pPr>
            <w:r>
              <w:rPr>
                <w:color w:val="4A4A5A"/>
                <w:sz w:val="18"/>
                <w:rFonts w:ascii="Cambria" w:hAnsi="Cambria" w:eastAsia="Microsoft YaHei" w:cs="Cambria"/>
                <w:szCs w:val="18"/>
              </w:rPr>
              <w:t>B - Export to Oman (optional)</w:t>
            </w:r>
          </w:p>
        </w:tc>
        <w:tc>
          <w:tcPr>
            <w:tcW w:w="2000" w:type="dxa"/>
          </w:tcPr>
          <w:p>
            <w:pPr>
              <w:pStyle w:val="Normal"/>
              <w:spacing w:before="40" w:after="40"/>
            </w:pPr>
            <w:r>
              <w:rPr>
                <w:color w:val="4A4A5A"/>
                <w:sz w:val="18"/>
                <w:rFonts w:ascii="Cambria" w:hAnsi="Cambria" w:eastAsia="Microsoft YaHei" w:cs="Cambria"/>
                <w:szCs w:val="18"/>
              </w:rPr>
              <w:t>Material moved under IAEA chain-of-custody to a secure facility in Oman - only on Iran's explicit, revocable, written consent</w:t>
            </w:r>
          </w:p>
        </w:tc>
        <w:tc>
          <w:tcPr>
            <w:tcW w:w="2000" w:type="dxa"/>
          </w:tcPr>
          <w:p>
            <w:pPr>
              <w:pStyle w:val="Normal"/>
              <w:spacing w:before="40" w:after="40"/>
            </w:pPr>
            <w:r>
              <w:rPr>
                <w:color w:val="4A4A5A"/>
                <w:sz w:val="18"/>
                <w:rFonts w:ascii="Cambria" w:hAnsi="Cambria" w:eastAsia="Microsoft YaHei" w:cs="Cambria"/>
                <w:szCs w:val="18"/>
              </w:rPr>
              <w:t>IAEA custody - not U.S. or Iranian - in a neutral state</w:t>
            </w:r>
          </w:p>
        </w:tc>
        <w:tc>
          <w:tcPr>
            <w:tcW w:w="2000" w:type="dxa"/>
          </w:tcPr>
          <w:p>
            <w:pPr>
              <w:pStyle w:val="Normal"/>
              <w:spacing w:before="40" w:after="40"/>
            </w:pPr>
            <w:r>
              <w:rPr>
                <w:color w:val="4A4A5A"/>
                <w:sz w:val="18"/>
                <w:rFonts w:ascii="Cambria" w:hAnsi="Cambria" w:eastAsia="Microsoft YaHei" w:cs="Cambria"/>
                <w:szCs w:val="18"/>
              </w:rPr>
              <w:t>$200M; never compelled</w:t>
            </w:r>
          </w:p>
        </w:tc>
      </w:tr>
      <w:tr>
        <w:tc>
          <w:tcPr>
            <w:tcW w:w="2000" w:type="dxa"/>
          </w:tcPr>
          <w:p>
            <w:pPr>
              <w:pStyle w:val="Normal"/>
              <w:spacing w:before="40" w:after="40"/>
            </w:pPr>
            <w:r>
              <w:rPr>
                <w:color w:val="4A4A5A"/>
                <w:sz w:val="18"/>
                <w:rFonts w:ascii="Cambria" w:hAnsi="Cambria" w:eastAsia="Microsoft YaHei" w:cs="Cambria"/>
                <w:szCs w:val="18"/>
              </w:rPr>
              <w:t>C - Kazakhstan LEU Bank (optional)</w:t>
            </w:r>
          </w:p>
        </w:tc>
        <w:tc>
          <w:tcPr>
            <w:tcW w:w="2000" w:type="dxa"/>
          </w:tcPr>
          <w:p>
            <w:pPr>
              <w:pStyle w:val="Normal"/>
              <w:spacing w:before="40" w:after="40"/>
            </w:pPr>
            <w:r>
              <w:rPr>
                <w:color w:val="4A4A5A"/>
                <w:sz w:val="18"/>
                <w:rFonts w:ascii="Cambria" w:hAnsi="Cambria" w:eastAsia="Microsoft YaHei" w:cs="Cambria"/>
                <w:szCs w:val="18"/>
              </w:rPr>
              <w:t>Custody through the international low-enriched-uranium bank, by Iranian election</w:t>
            </w:r>
          </w:p>
        </w:tc>
        <w:tc>
          <w:tcPr>
            <w:tcW w:w="2000" w:type="dxa"/>
          </w:tcPr>
          <w:p>
            <w:pPr>
              <w:pStyle w:val="Normal"/>
              <w:spacing w:before="40" w:after="40"/>
            </w:pPr>
            <w:r>
              <w:rPr>
                <w:color w:val="4A4A5A"/>
                <w:sz w:val="18"/>
                <w:rFonts w:ascii="Cambria" w:hAnsi="Cambria" w:eastAsia="Microsoft YaHei" w:cs="Cambria"/>
                <w:szCs w:val="18"/>
              </w:rPr>
              <w:t>IAEA-administered international bank</w:t>
            </w:r>
          </w:p>
        </w:tc>
        <w:tc>
          <w:tcPr>
            <w:tcW w:w="2000" w:type="dxa"/>
          </w:tcPr>
          <w:p>
            <w:pPr>
              <w:pStyle w:val="Normal"/>
              <w:spacing w:before="40" w:after="40"/>
            </w:pPr>
            <w:r>
              <w:rPr>
                <w:color w:val="4A4A5A"/>
                <w:sz w:val="18"/>
                <w:rFonts w:ascii="Cambria" w:hAnsi="Cambria" w:eastAsia="Microsoft YaHei" w:cs="Cambria"/>
                <w:szCs w:val="18"/>
              </w:rPr>
              <w:t>$200M; multilateral, depoliticized</w:t>
            </w:r>
          </w:p>
        </w:tc>
      </w:tr>
    </w:tbl>
    <w:p>
      <w:pPr>
        <w:pStyle w:val="Heading3"/>
      </w:pPr>
      <w:bookmarkStart w:name="_Toc122" w:id="122"/>
      <w:r>
        <w:rPr>
          <w:rFonts w:ascii="Cambria" w:hAnsi="Cambria" w:eastAsia="Microsoft YaHei" w:cs="Cambria"/>
          <w:b/>
          <w:color w:val="1A1A2E"/>
          <w:sz w:val="26"/>
          <w:szCs w:val="26"/>
        </w:rPr>
        <w:t>B-1.2 Pathway A in Operation (The In-Country Default Road)</w:t>
      </w:r>
      <w:bookmarkEnd w:id="122"/>
    </w:p>
    <w:p>
      <w:pPr>
        <w:pStyle w:val="Normal"/>
      </w:pPr>
      <w:r>
        <w:rPr>
          <w:rFonts w:ascii="Cambria" w:hAnsi="Cambria" w:eastAsia="Microsoft YaHei" w:cs="Cambria"/>
          <w:color w:val="1A1A2E"/>
          <w:sz w:val="22"/>
          <w:szCs w:val="22"/>
        </w:rPr>
        <w:t>Pathway A is written to a step schedule so that signature today means a known sequence, not an open question:</w:t>
      </w:r>
    </w:p>
    <w:p>
      <w:pPr>
        <w:pStyle w:val="Normal"/>
        <w:numPr>
          <w:ilvl w:val="0"/>
          <w:numId w:val="1"/>
        </w:numPr>
      </w:pPr>
      <w:r>
        <w:rPr>
          <w:rFonts w:ascii="Cambria" w:hAnsi="Cambria" w:eastAsia="Microsoft YaHei" w:cs="Cambria"/>
          <w:color w:val="1A1A2E"/>
          <w:sz w:val="22"/>
          <w:szCs w:val="22"/>
        </w:rPr>
        <w:t>Day 0 - the PCC issues the Pathway A selection certificate; the IAEA deploys four resident inspectors to Esfahan within 24 hours and activates the dual-key camera system with encrypted feeds to Vienna and the Geneva mirror node.</w:t>
      </w:r>
    </w:p>
    <w:p>
      <w:pPr>
        <w:pStyle w:val="Normal"/>
        <w:numPr>
          <w:ilvl w:val="0"/>
          <w:numId w:val="1"/>
        </w:numPr>
      </w:pPr>
      <w:r>
        <w:rPr>
          <w:rFonts w:ascii="Cambria" w:hAnsi="Cambria" w:eastAsia="Microsoft YaHei" w:cs="Cambria"/>
          <w:color w:val="1A1A2E"/>
          <w:sz w:val="22"/>
          <w:szCs w:val="22"/>
        </w:rPr>
        <w:t>Day 0 - inspectors complete a baseline inventory of all 60% HEU by mass spectrometry; the Esfahan Baseline Certificate issues within 48 hours.</w:t>
      </w:r>
    </w:p>
    <w:p>
      <w:pPr>
        <w:pStyle w:val="Normal"/>
        <w:numPr>
          <w:ilvl w:val="0"/>
          <w:numId w:val="1"/>
        </w:numPr>
      </w:pPr>
      <w:r>
        <w:rPr>
          <w:rFonts w:ascii="Cambria" w:hAnsi="Cambria" w:eastAsia="Microsoft YaHei" w:cs="Cambria"/>
          <w:color w:val="1A1A2E"/>
          <w:sz w:val="22"/>
          <w:szCs w:val="22"/>
        </w:rPr>
        <w:t>Day 1 - natural-uranium feed gas arrives in the required ratio, guaranteed by the international consortium; the IAEA seals all feed lines.</w:t>
      </w:r>
    </w:p>
    <w:p>
      <w:pPr>
        <w:pStyle w:val="Normal"/>
        <w:numPr>
          <w:ilvl w:val="0"/>
          <w:numId w:val="1"/>
        </w:numPr>
      </w:pPr>
      <w:r>
        <w:rPr>
          <w:rFonts w:ascii="Cambria" w:hAnsi="Cambria" w:eastAsia="Microsoft YaHei" w:cs="Cambria"/>
          <w:color w:val="1A1A2E"/>
          <w:sz w:val="22"/>
          <w:szCs w:val="22"/>
        </w:rPr>
        <w:t>Days 1-63 - downblending of the Esfahan stockpile (~220 kg) to 19.75% proceeds at greater than or equal to 3.5 kg/day, with independent isotopic sampling every 72 hours.</w:t>
      </w:r>
    </w:p>
    <w:p>
      <w:pPr>
        <w:pStyle w:val="Normal"/>
        <w:numPr>
          <w:ilvl w:val="0"/>
          <w:numId w:val="1"/>
        </w:numPr>
      </w:pPr>
      <w:r>
        <w:rPr>
          <w:rFonts w:ascii="Cambria" w:hAnsi="Cambria" w:eastAsia="Microsoft YaHei" w:cs="Cambria"/>
          <w:color w:val="1A1A2E"/>
          <w:sz w:val="22"/>
          <w:szCs w:val="22"/>
        </w:rPr>
        <w:t>Day 14 - the IAEA certifies 14 consecutive days at rate; the Downblending Rate Certificate triggers the paired relief tranche.</w:t>
      </w:r>
    </w:p>
    <w:p>
      <w:pPr>
        <w:pStyle w:val="Normal"/>
        <w:numPr>
          <w:ilvl w:val="0"/>
          <w:numId w:val="1"/>
        </w:numPr>
      </w:pPr>
      <w:r>
        <w:rPr>
          <w:rFonts w:ascii="Cambria" w:hAnsi="Cambria" w:eastAsia="Microsoft YaHei" w:cs="Cambria"/>
          <w:color w:val="1A1A2E"/>
          <w:sz w:val="22"/>
          <w:szCs w:val="22"/>
        </w:rPr>
        <w:t>Day 63 - Esfahan stockpile complete; the facility seals to monitoring-only status.</w:t>
      </w:r>
    </w:p>
    <w:p>
      <w:pPr>
        <w:pStyle w:val="Normal"/>
        <w:numPr>
          <w:ilvl w:val="0"/>
          <w:numId w:val="1"/>
        </w:numPr>
      </w:pPr>
      <w:r>
        <w:rPr>
          <w:rFonts w:ascii="Cambria" w:hAnsi="Cambria" w:eastAsia="Microsoft YaHei" w:cs="Cambria"/>
          <w:color w:val="1A1A2E"/>
          <w:sz w:val="22"/>
          <w:szCs w:val="22"/>
        </w:rPr>
        <w:t>Days 64-142 - remaining national stockpile downblends at Esfahan or the Fordow cascades until the full 440-500 kg is converted.</w:t>
      </w:r>
    </w:p>
    <w:p>
      <w:pPr>
        <w:pStyle w:val="Normal"/>
        <w:numPr>
          <w:ilvl w:val="0"/>
          <w:numId w:val="1"/>
        </w:numPr>
      </w:pPr>
      <w:r>
        <w:rPr>
          <w:rFonts w:ascii="Cambria" w:hAnsi="Cambria" w:eastAsia="Microsoft YaHei" w:cs="Cambria"/>
          <w:color w:val="1A1A2E"/>
          <w:sz w:val="22"/>
          <w:szCs w:val="22"/>
        </w:rPr>
        <w:t>Day 142 - the IAEA issues the National HEU Neutralization Certificate - the prerequisite for the final structural relief and the marker of Kernel completion on the nuclear side.</w:t>
      </w:r>
    </w:p>
    <w:p>
      <w:pPr>
        <w:pStyle w:val="Normal"/>
      </w:pPr>
      <w:r>
        <w:rPr>
          <w:rFonts w:ascii="Cambria" w:hAnsi="Cambria" w:eastAsia="Microsoft YaHei" w:cs="Cambria"/>
          <w:color w:val="1A1A2E"/>
          <w:sz w:val="22"/>
          <w:szCs w:val="22"/>
        </w:rPr>
        <w:t>The IAEA extends any period in this timeline by up to 10% for verified maintenance, environmental conditions, equipment failure, or dispute resolution. An extension is not a breach and triggers no step-back; the PCC receives notice within 24 hours. The buffer keeps an ordinary operational delay from hardening into a dispute.</w:t>
      </w:r>
    </w:p>
    <w:p>
      <w:pPr>
        <w:pStyle w:val="Heading3"/>
      </w:pPr>
      <w:bookmarkStart w:name="_Toc123" w:id="123"/>
      <w:r>
        <w:rPr>
          <w:rFonts w:ascii="Cambria" w:hAnsi="Cambria" w:eastAsia="Microsoft YaHei" w:cs="Cambria"/>
          <w:b/>
          <w:color w:val="1A1A2E"/>
          <w:sz w:val="26"/>
          <w:szCs w:val="26"/>
        </w:rPr>
        <w:t>B-1.3 Pathway W in Operation (The Fertilizer Road)</w:t>
      </w:r>
      <w:bookmarkEnd w:id="123"/>
    </w:p>
    <w:p>
      <w:pPr>
        <w:pStyle w:val="Normal"/>
      </w:pPr>
      <w:r>
        <w:rPr>
          <w:rFonts w:ascii="Cambria" w:hAnsi="Cambria" w:eastAsia="Microsoft YaHei" w:cs="Cambria"/>
          <w:color w:val="1A1A2E"/>
          <w:sz w:val="22"/>
          <w:szCs w:val="22"/>
        </w:rPr>
        <w:t>Pathway W is the most irreversible disposition on the menu and the one Iran elects most freely. Iran depletes the HEU to natural-grade uranium (0.711% U-235) and combines it with phosphate rock to produce enhanced agricultural fertilizer; the material disperses across farmland and enters the food supply over a nine-month campaign (compressed from fourteen months with IAEA surge staffing and pre-approved equipment). Reversal is not merely prohibited but physically foreclosed: recovering weapons-usable material would require collecting soil from millions of hectares, extracting trace uranium from a phosphate matrix, and re-enriching from 0.711% to weapons grade - a chemical, economic, and logistical impossibility. The point of no return is the field application of the first fertilizer batch.</w:t>
      </w:r>
    </w:p>
    <w:p>
      <w:pPr>
        <w:pStyle w:val="Normal"/>
      </w:pPr>
      <w:r>
        <w:rPr>
          <w:rFonts w:ascii="Cambria" w:hAnsi="Cambria" w:eastAsia="Microsoft YaHei" w:cs="Cambria"/>
          <w:color w:val="1A1A2E"/>
          <w:sz w:val="22"/>
          <w:szCs w:val="22"/>
        </w:rPr>
        <w:t>The IAEA verifies every gram: isotopic sampling of feed material, continuous monitoring of the depletion and blending steps, and sampling of final fertilizer batches, with environmental and agricultural-safety protocols governing soil application. Iran elects Pathway W at any time as a unilateral right, without U.S. concurrence or veto. The pathway draws $70M from the Joint Disposition Fund (half on commencement, half on completion) and opens fertilizer and agricultural revenue Iran characterizes as a domestic dividend.</w:t>
      </w:r>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Why fertilizer satisfies all three audiences: Iran: the material never leaves Iran and becomes Iranian wheat, rice, and corn - sovereignty exercised, not surrendered; "from bombs to bread." United States: Iran needs no U.S. permission to choose it - only verification; the IAEA confirms every gram, and no weapons-usable material remains. Third parties: there is no path from a wheat field back to a weapon; it is the most irreversible option available, and Iran chooses it without asking anyone.</w:t>
      </w:r>
    </w:p>
    <w:p>
      <w:pPr>
        <w:pStyle w:val="Heading3"/>
      </w:pPr>
      <w:bookmarkStart w:name="_Toc124" w:id="124"/>
      <w:r>
        <w:rPr>
          <w:rFonts w:ascii="Cambria" w:hAnsi="Cambria" w:eastAsia="Microsoft YaHei" w:cs="Cambria"/>
          <w:b/>
          <w:color w:val="1A1A2E"/>
          <w:sz w:val="26"/>
          <w:szCs w:val="26"/>
        </w:rPr>
        <w:t>B-1.4 The Twelve-Year Moratorium Instrument</w:t>
      </w:r>
      <w:bookmarkEnd w:id="124"/>
    </w:p>
    <w:p>
      <w:pPr>
        <w:pStyle w:val="Normal"/>
      </w:pPr>
      <w:r>
        <w:rPr>
          <w:rFonts w:ascii="Cambria" w:hAnsi="Cambria" w:eastAsia="Microsoft YaHei" w:cs="Cambria"/>
          <w:color w:val="1A1A2E"/>
          <w:sz w:val="22"/>
          <w:szCs w:val="22"/>
        </w:rPr>
        <w:t>The moratorium is a signable instrument in its own right (Annex template): a 3.67% cap at every facility, a zero-expansion rule on centrifuge capacity, a permanent prohibition on HEU production, and the automatic 24-month extension per verified incident. The Pickaxe Mountain facility holds under a moratorium lock; Natanz operates as a capped civilian campus; Fordow converts to the medical-isotope center under an international advisory board co-chaired by Iran.</w:t>
      </w:r>
    </w:p>
    <w:p>
      <w:pPr>
        <w:pStyle w:val="Heading3"/>
      </w:pPr>
      <w:bookmarkStart w:name="_Toc125" w:id="125"/>
      <w:r>
        <w:rPr>
          <w:rFonts w:ascii="Cambria" w:hAnsi="Cambria" w:eastAsia="Microsoft YaHei" w:cs="Cambria"/>
          <w:b/>
          <w:color w:val="1A1A2E"/>
          <w:sz w:val="26"/>
          <w:szCs w:val="26"/>
        </w:rPr>
        <w:t>B-1.5 The 15-Day Micro-Cycle Engine</w:t>
      </w:r>
      <w:bookmarkEnd w:id="125"/>
    </w:p>
    <w:p>
      <w:pPr>
        <w:pStyle w:val="Normal"/>
      </w:pPr>
      <w:r>
        <w:rPr>
          <w:rFonts w:ascii="Cambria" w:hAnsi="Cambria" w:eastAsia="Microsoft YaHei" w:cs="Cambria"/>
          <w:color w:val="1A1A2E"/>
          <w:sz w:val="22"/>
          <w:szCs w:val="22"/>
        </w:rPr>
        <w:t>The engine is the anti-deadlock heart of Phase II. It guarantees that neither Party is ever exposed to more than fifteen days of unreciprocated compliance. Each cycle pairs one nuclear deliverable with one relief action; a PCC Cycle Release Certificate closes the cycle and authorizes the paired disbursement; the next cycle opens. Any single cycle extracts as a standalone confidence-building measure if the full sequence stalls - the modularity that keeps localized disagreement from freezing the whole.</w:t>
      </w:r>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How the engine answers both red lines: Iran's process certainty: the full pairing schedule is visible in advance; relief is predictable and defensible at home. U.S. reversibility: every disbursement waits on an IAEA certificate; nothing moves ahead of verified performance; step-back / earn-back governs the entire engine.</w:t>
      </w:r>
    </w:p>
    <w:p>
      <w:pPr>
        <w:pStyle w:val="Heading2"/>
      </w:pPr>
      <w:bookmarkStart w:name="_Toc126" w:id="126"/>
      <w:r>
        <w:rPr>
          <w:rFonts w:ascii="Cambria" w:hAnsi="Cambria" w:eastAsia="Microsoft YaHei" w:cs="Cambria"/>
          <w:b/>
          <w:color w:val="2D4A6F"/>
          <w:sz w:val="32"/>
          <w:szCs w:val="32"/>
        </w:rPr>
        <w:t>B-2 - Maritime Convergence</w:t>
      </w:r>
      <w:bookmarkEnd w:id="126"/>
    </w:p>
    <w:p>
      <w:pPr>
        <w:pStyle w:val="Heading3"/>
      </w:pPr>
      <w:bookmarkStart w:name="_Toc127" w:id="127"/>
      <w:r>
        <w:rPr>
          <w:rFonts w:ascii="Cambria" w:hAnsi="Cambria" w:eastAsia="Microsoft YaHei" w:cs="Cambria"/>
          <w:b/>
          <w:color w:val="1A1A2E"/>
          <w:sz w:val="26"/>
          <w:szCs w:val="26"/>
        </w:rPr>
        <w:t>B-2.1 Maritime Coordination Without Authority Over the Strait</w:t>
      </w:r>
      <w:bookmarkEnd w:id="127"/>
    </w:p>
    <w:p>
      <w:pPr>
        <w:pStyle w:val="Normal"/>
      </w:pPr>
      <w:r>
        <w:rPr>
          <w:rFonts w:ascii="Cambria" w:hAnsi="Cambria" w:eastAsia="Microsoft YaHei" w:cs="Cambria"/>
          <w:color w:val="1A1A2E"/>
          <w:sz w:val="22"/>
          <w:szCs w:val="22"/>
        </w:rPr>
        <w:t>Phase II converts a contested chokepoint into an open waterway that is coordinated, not governed. No body holds regulatory power over the corridor, and no Iranian toll or revenue share exists. Three instruments do the work:</w:t>
      </w:r>
    </w:p>
    <w:p>
      <w:pPr>
        <w:pStyle w:val="Normal"/>
        <w:numPr>
          <w:ilvl w:val="0"/>
          <w:numId w:val="1"/>
        </w:numPr>
      </w:pPr>
      <w:r>
        <w:rPr>
          <w:rFonts w:ascii="Cambria" w:hAnsi="Cambria" w:eastAsia="Microsoft YaHei" w:cs="Cambria"/>
          <w:color w:val="1A1A2E"/>
          <w:sz w:val="22"/>
          <w:szCs w:val="22"/>
        </w:rPr>
        <w:t>The Maritime Stability Board (MSB) - a multilateral advisory body for commercial-traffic coordination, maritime-safety protocols, and non-binding dispute recommendations. It coordinates; it does not govern, levy, or veto.</w:t>
      </w:r>
    </w:p>
    <w:p>
      <w:pPr>
        <w:pStyle w:val="Normal"/>
        <w:numPr>
          <w:ilvl w:val="0"/>
          <w:numId w:val="1"/>
        </w:numPr>
      </w:pPr>
      <w:r>
        <w:rPr>
          <w:rFonts w:ascii="Cambria" w:hAnsi="Cambria" w:eastAsia="Microsoft YaHei" w:cs="Cambria"/>
          <w:color w:val="1A1A2E"/>
          <w:sz w:val="22"/>
          <w:szCs w:val="22"/>
        </w:rPr>
        <w:t>The Persian Gulf Strait Authority (PGSA) - recognized as the sole executive coastal law-enforcement body within Iran's 12-nautical-mile territorial waters. Its authority does not extend to the transit corridor.</w:t>
      </w:r>
    </w:p>
    <w:p>
      <w:pPr>
        <w:pStyle w:val="Normal"/>
        <w:numPr>
          <w:ilvl w:val="0"/>
          <w:numId w:val="1"/>
        </w:numPr>
      </w:pPr>
      <w:r>
        <w:rPr>
          <w:rFonts w:ascii="Cambria" w:hAnsi="Cambria" w:eastAsia="Microsoft YaHei" w:cs="Cambria"/>
          <w:color w:val="1A1A2E"/>
          <w:sz w:val="22"/>
          <w:szCs w:val="22"/>
        </w:rPr>
        <w:t>The Multilateral Maritime Maintenance Fund - administered by Oman and financed by voluntary user-state contributions, covering channel maintenance, mine-clearing, and navigation aids. Iran receives reimbursement for verified services at audited cost, never a sovereign toll.</w:t>
      </w:r>
    </w:p>
    <w:p>
      <w:pPr>
        <w:pStyle w:val="Normal"/>
      </w:pPr>
      <w:r>
        <w:rPr>
          <w:rFonts w:ascii="Cambria" w:hAnsi="Cambria" w:eastAsia="Microsoft YaHei" w:cs="Cambria"/>
          <w:color w:val="1A1A2E"/>
          <w:sz w:val="22"/>
          <w:szCs w:val="22"/>
        </w:rPr>
        <w:t>Together these give Iran recognized coastal standing and a route to value for real work, while leaving freedom of navigation absolute. No Party holds a lever over the strait; the waterway runs open by default, and the PGSA's recognition is the face-saver that costs the corridor nothing.</w:t>
      </w:r>
    </w:p>
    <w:p>
      <w:pPr>
        <w:pStyle w:val="Heading3"/>
      </w:pPr>
      <w:bookmarkStart w:name="_Toc128" w:id="128"/>
      <w:r>
        <w:rPr>
          <w:rFonts w:ascii="Cambria" w:hAnsi="Cambria" w:eastAsia="Microsoft YaHei" w:cs="Cambria"/>
          <w:b/>
          <w:color w:val="1A1A2E"/>
          <w:sz w:val="26"/>
          <w:szCs w:val="26"/>
        </w:rPr>
        <w:t>B-2.2 Real-Time Telemetry and Dual-Key Transit</w:t>
      </w:r>
      <w:bookmarkEnd w:id="128"/>
    </w:p>
    <w:p>
      <w:pPr>
        <w:pStyle w:val="Normal"/>
      </w:pPr>
      <w:r>
        <w:rPr>
          <w:rFonts w:ascii="Cambria" w:hAnsi="Cambria" w:eastAsia="Microsoft YaHei" w:cs="Cambria"/>
          <w:color w:val="1A1A2E"/>
          <w:sz w:val="22"/>
          <w:szCs w:val="22"/>
        </w:rPr>
        <w:t>The Maritime Telemetry and Dual-Key Transit Protocol (Annex W) provides the verification layer: real-time telemetry infrastructure across the transit zone, dual-key authorization for transit operations, immediate conditional reopening on Day 1, a real-time compliance dashboard, and automated breach triggers with defined emergency break points. Performance-based asset release, a humanitarian firewall, and a no-clawback rule run independent of the non-maritime modules, so a nuclear dispute never reaches a cleared cargo and a maritime dispute never reaches the medical-isotope channel.</w:t>
      </w:r>
    </w:p>
    <w:p>
      <w:pPr>
        <w:pStyle w:val="Heading3"/>
      </w:pPr>
      <w:bookmarkStart w:name="_Toc129" w:id="129"/>
      <w:r>
        <w:rPr>
          <w:rFonts w:ascii="Cambria" w:hAnsi="Cambria" w:eastAsia="Microsoft YaHei" w:cs="Cambria"/>
          <w:b/>
          <w:color w:val="1A1A2E"/>
          <w:sz w:val="26"/>
          <w:szCs w:val="26"/>
        </w:rPr>
        <w:t>B-2.3 Non-Interdiction and Backdoor Closure</w:t>
      </w:r>
      <w:bookmarkEnd w:id="129"/>
    </w:p>
    <w:p>
      <w:pPr>
        <w:pStyle w:val="Normal"/>
      </w:pPr>
      <w:r>
        <w:rPr>
          <w:rFonts w:ascii="Cambria" w:hAnsi="Cambria" w:eastAsia="Microsoft YaHei" w:cs="Cambria"/>
          <w:color w:val="1A1A2E"/>
          <w:sz w:val="22"/>
          <w:szCs w:val="22"/>
        </w:rPr>
        <w:t>Two protocols guarantee that the strait never becomes a toll booth. The Non-Interdiction Protocol (Annex N) removes any authority to halt, board, delay, or deny a vessel over a fee dispute. The Backdoor-Closure protocol (Annex N.a) classifies any pretextual safety inspection automatically against a bright-line test, and activates U.S. escort and override authority plus an automatic financial penalty for a repeat interdiction. The passage stays free; the United States guarantees it, and Iran earns only reimbursement for verified services.</w:t>
      </w:r>
    </w:p>
    <w:p>
      <w:pPr>
        <w:pStyle w:val="Heading2"/>
      </w:pPr>
      <w:bookmarkStart w:name="_Toc130" w:id="130"/>
      <w:r>
        <w:rPr>
          <w:rFonts w:ascii="Cambria" w:hAnsi="Cambria" w:eastAsia="Microsoft YaHei" w:cs="Cambria"/>
          <w:b/>
          <w:color w:val="2D4A6F"/>
          <w:sz w:val="32"/>
          <w:szCs w:val="32"/>
        </w:rPr>
        <w:t>B-3 - Economic Deepening</w:t>
      </w:r>
      <w:bookmarkEnd w:id="130"/>
    </w:p>
    <w:p>
      <w:pPr>
        <w:pStyle w:val="Heading3"/>
      </w:pPr>
      <w:bookmarkStart w:name="_Toc131" w:id="131"/>
      <w:r>
        <w:rPr>
          <w:rFonts w:ascii="Cambria" w:hAnsi="Cambria" w:eastAsia="Microsoft YaHei" w:cs="Cambria"/>
          <w:b/>
          <w:color w:val="1A1A2E"/>
          <w:sz w:val="26"/>
          <w:szCs w:val="26"/>
        </w:rPr>
        <w:t>B-3.1 From Reversible Relief to Structural Relief</w:t>
      </w:r>
      <w:bookmarkEnd w:id="131"/>
    </w:p>
    <w:p>
      <w:pPr>
        <w:pStyle w:val="Normal"/>
      </w:pPr>
      <w:r>
        <w:rPr>
          <w:rFonts w:ascii="Cambria" w:hAnsi="Cambria" w:eastAsia="Microsoft YaHei" w:cs="Cambria"/>
          <w:color w:val="1A1A2E"/>
          <w:sz w:val="22"/>
          <w:szCs w:val="22"/>
        </w:rPr>
        <w:t>Phase I relief is deliberately reversible - escrow-held, tranche-gated, and subject to step-back / earn-back. Phase II is where the United States converts that reversible posture into structural relief, paired against the nuclear neutralization milestones. The conversion is the U.S. side of the Kernel: the deepest concession, in the domain where the United States holds the key.</w:t>
      </w:r>
    </w:p>
    <w:p>
      <w:pPr>
        <w:pStyle w:val="Heading3"/>
      </w:pPr>
      <w:bookmarkStart w:name="_Toc132" w:id="132"/>
      <w:r>
        <w:rPr>
          <w:rFonts w:ascii="Cambria" w:hAnsi="Cambria" w:eastAsia="Microsoft YaHei" w:cs="Cambria"/>
          <w:b/>
          <w:color w:val="1A1A2E"/>
          <w:sz w:val="26"/>
          <w:szCs w:val="26"/>
        </w:rPr>
        <w:t>B-3.2 The Four-Track Relief Architecture, Sequenced</w:t>
      </w:r>
      <w:bookmarkEnd w:id="132"/>
    </w:p>
    <w:p>
      <w:pPr>
        <w:pStyle w:val="Normal"/>
      </w:pPr>
      <w:r>
        <w:rPr>
          <w:rFonts w:ascii="Cambria" w:hAnsi="Cambria" w:eastAsia="Microsoft YaHei" w:cs="Cambria"/>
          <w:color w:val="1A1A2E"/>
          <w:sz w:val="22"/>
          <w:szCs w:val="22"/>
        </w:rPr>
        <w:t>The four tracks of Article 5 recur in Phase II as paired deliverables inside the micro-cycle engine. Track activation is independent: any track pauses or recalibrates without affecting the others or the nuclear protocol. The 60-Day Reciprocal Sequencing Schedule (Annex S) provides the week-by-week pairing of relief, de-escalation, and verification milestones.</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Sequencing Week</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Nuclear Milestone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Paired Relief</w:t>
            </w:r>
          </w:p>
        </w:tc>
      </w:tr>
      <w:tr>
        <w:tc>
          <w:tcPr>
            <w:tcW w:w="2000" w:type="dxa"/>
          </w:tcPr>
          <w:p>
            <w:pPr>
              <w:pStyle w:val="Normal"/>
              <w:spacing w:before="40" w:after="40"/>
            </w:pPr>
            <w:r>
              <w:rPr>
                <w:color w:val="4A4A5A"/>
                <w:sz w:val="18"/>
                <w:rFonts w:ascii="Cambria" w:hAnsi="Cambria" w:eastAsia="Microsoft YaHei" w:cs="Cambria"/>
                <w:szCs w:val="18"/>
              </w:rPr>
              <w:t>Week 1 - Baseline</w:t>
            </w:r>
          </w:p>
        </w:tc>
        <w:tc>
          <w:tcPr>
            <w:tcW w:w="2000" w:type="dxa"/>
          </w:tcPr>
          <w:p>
            <w:pPr>
              <w:pStyle w:val="Normal"/>
              <w:spacing w:before="40" w:after="40"/>
            </w:pPr>
            <w:r>
              <w:rPr>
                <w:color w:val="4A4A5A"/>
                <w:sz w:val="18"/>
                <w:rFonts w:ascii="Cambria" w:hAnsi="Cambria" w:eastAsia="Microsoft YaHei" w:cs="Cambria"/>
                <w:szCs w:val="18"/>
              </w:rPr>
              <w:t>Inventory baseline; inspector deployment; HEU under dual-lock</w:t>
            </w:r>
          </w:p>
        </w:tc>
        <w:tc>
          <w:tcPr>
            <w:tcW w:w="2000" w:type="dxa"/>
          </w:tcPr>
          <w:p>
            <w:pPr>
              <w:pStyle w:val="Normal"/>
              <w:spacing w:before="40" w:after="40"/>
            </w:pPr>
            <w:r>
              <w:rPr>
                <w:color w:val="4A4A5A"/>
                <w:sz w:val="18"/>
                <w:rFonts w:ascii="Cambria" w:hAnsi="Cambria" w:eastAsia="Microsoft YaHei" w:cs="Cambria"/>
                <w:szCs w:val="18"/>
              </w:rPr>
              <w:t>$5B escrow deposit confirmed (held); OFAC license live</w:t>
            </w:r>
          </w:p>
        </w:tc>
      </w:tr>
      <w:tr>
        <w:tc>
          <w:tcPr>
            <w:tcW w:w="2000" w:type="dxa"/>
          </w:tcPr>
          <w:p>
            <w:pPr>
              <w:pStyle w:val="Normal"/>
              <w:spacing w:before="40" w:after="40"/>
            </w:pPr>
            <w:r>
              <w:rPr>
                <w:color w:val="4A4A5A"/>
                <w:sz w:val="18"/>
                <w:rFonts w:ascii="Cambria" w:hAnsi="Cambria" w:eastAsia="Microsoft YaHei" w:cs="Cambria"/>
                <w:szCs w:val="18"/>
              </w:rPr>
              <w:t>Week 2 - Inventory</w:t>
            </w:r>
          </w:p>
        </w:tc>
        <w:tc>
          <w:tcPr>
            <w:tcW w:w="2000" w:type="dxa"/>
          </w:tcPr>
          <w:p>
            <w:pPr>
              <w:pStyle w:val="Normal"/>
              <w:spacing w:before="40" w:after="40"/>
            </w:pPr>
            <w:r>
              <w:rPr>
                <w:color w:val="4A4A5A"/>
                <w:sz w:val="18"/>
                <w:rFonts w:ascii="Cambria" w:hAnsi="Cambria" w:eastAsia="Microsoft YaHei" w:cs="Cambria"/>
                <w:szCs w:val="18"/>
              </w:rPr>
              <w:t>Cylinder inventory verified; pathway selection</w:t>
            </w:r>
          </w:p>
        </w:tc>
        <w:tc>
          <w:tcPr>
            <w:tcW w:w="2000" w:type="dxa"/>
          </w:tcPr>
          <w:p>
            <w:pPr>
              <w:pStyle w:val="Normal"/>
              <w:spacing w:before="40" w:after="40"/>
            </w:pPr>
            <w:r>
              <w:rPr>
                <w:color w:val="4A4A5A"/>
                <w:sz w:val="18"/>
                <w:rFonts w:ascii="Cambria" w:hAnsi="Cambria" w:eastAsia="Microsoft YaHei" w:cs="Cambria"/>
                <w:szCs w:val="18"/>
              </w:rPr>
              <w:t>Oil-export normalization scaling to volume</w:t>
            </w:r>
          </w:p>
        </w:tc>
      </w:tr>
      <w:tr>
        <w:tc>
          <w:tcPr>
            <w:tcW w:w="2000" w:type="dxa"/>
          </w:tcPr>
          <w:p>
            <w:pPr>
              <w:pStyle w:val="Normal"/>
              <w:spacing w:before="40" w:after="40"/>
            </w:pPr>
            <w:r>
              <w:rPr>
                <w:color w:val="4A4A5A"/>
                <w:sz w:val="18"/>
                <w:rFonts w:ascii="Cambria" w:hAnsi="Cambria" w:eastAsia="Microsoft YaHei" w:cs="Cambria"/>
                <w:szCs w:val="18"/>
              </w:rPr>
              <w:t>Week 3 - Access &amp; recovery</w:t>
            </w:r>
          </w:p>
        </w:tc>
        <w:tc>
          <w:tcPr>
            <w:tcW w:w="2000" w:type="dxa"/>
          </w:tcPr>
          <w:p>
            <w:pPr>
              <w:pStyle w:val="Normal"/>
              <w:spacing w:before="40" w:after="40"/>
            </w:pPr>
            <w:r>
              <w:rPr>
                <w:color w:val="4A4A5A"/>
                <w:sz w:val="18"/>
                <w:rFonts w:ascii="Cambria" w:hAnsi="Cambria" w:eastAsia="Microsoft YaHei" w:cs="Cambria"/>
                <w:szCs w:val="18"/>
              </w:rPr>
              <w:t>Access to damaged sites; cylinder recovery</w:t>
            </w:r>
          </w:p>
        </w:tc>
        <w:tc>
          <w:tcPr>
            <w:tcW w:w="2000" w:type="dxa"/>
          </w:tcPr>
          <w:p>
            <w:pPr>
              <w:pStyle w:val="Normal"/>
              <w:spacing w:before="40" w:after="40"/>
            </w:pPr>
            <w:r>
              <w:rPr>
                <w:color w:val="4A4A5A"/>
                <w:sz w:val="18"/>
                <w:rFonts w:ascii="Cambria" w:hAnsi="Cambria" w:eastAsia="Microsoft YaHei" w:cs="Cambria"/>
                <w:szCs w:val="18"/>
              </w:rPr>
              <w:t>PRDD channel prepared; SWIFT Tier-A reconnection</w:t>
            </w:r>
          </w:p>
        </w:tc>
      </w:tr>
      <w:tr>
        <w:tc>
          <w:tcPr>
            <w:tcW w:w="2000" w:type="dxa"/>
          </w:tcPr>
          <w:p>
            <w:pPr>
              <w:pStyle w:val="Normal"/>
              <w:spacing w:before="40" w:after="40"/>
            </w:pPr>
            <w:r>
              <w:rPr>
                <w:color w:val="4A4A5A"/>
                <w:sz w:val="18"/>
                <w:rFonts w:ascii="Cambria" w:hAnsi="Cambria" w:eastAsia="Microsoft YaHei" w:cs="Cambria"/>
                <w:szCs w:val="18"/>
              </w:rPr>
              <w:t>Week 4 - Disposition begins</w:t>
            </w:r>
          </w:p>
        </w:tc>
        <w:tc>
          <w:tcPr>
            <w:tcW w:w="2000" w:type="dxa"/>
          </w:tcPr>
          <w:p>
            <w:pPr>
              <w:pStyle w:val="Normal"/>
              <w:spacing w:before="40" w:after="40"/>
            </w:pPr>
            <w:r>
              <w:rPr>
                <w:color w:val="4A4A5A"/>
                <w:sz w:val="18"/>
                <w:rFonts w:ascii="Cambria" w:hAnsi="Cambria" w:eastAsia="Microsoft YaHei" w:cs="Cambria"/>
                <w:szCs w:val="18"/>
              </w:rPr>
              <w:t>Export consolidation or downblending commences</w:t>
            </w:r>
          </w:p>
        </w:tc>
        <w:tc>
          <w:tcPr>
            <w:tcW w:w="2000" w:type="dxa"/>
          </w:tcPr>
          <w:p>
            <w:pPr>
              <w:pStyle w:val="Normal"/>
              <w:spacing w:before="40" w:after="40"/>
            </w:pPr>
            <w:r>
              <w:rPr>
                <w:color w:val="4A4A5A"/>
                <w:sz w:val="18"/>
                <w:rFonts w:ascii="Cambria" w:hAnsi="Cambria" w:eastAsia="Microsoft YaHei" w:cs="Cambria"/>
                <w:szCs w:val="18"/>
              </w:rPr>
              <w:t>$5B first tranche released (Day 30); Tranche 1 (10%); PRDD flows begin</w:t>
            </w:r>
          </w:p>
        </w:tc>
      </w:tr>
      <w:tr>
        <w:tc>
          <w:tcPr>
            <w:tcW w:w="2000" w:type="dxa"/>
          </w:tcPr>
          <w:p>
            <w:pPr>
              <w:pStyle w:val="Normal"/>
              <w:spacing w:before="40" w:after="40"/>
            </w:pPr>
            <w:r>
              <w:rPr>
                <w:color w:val="4A4A5A"/>
                <w:sz w:val="18"/>
                <w:rFonts w:ascii="Cambria" w:hAnsi="Cambria" w:eastAsia="Microsoft YaHei" w:cs="Cambria"/>
                <w:szCs w:val="18"/>
              </w:rPr>
              <w:t>Weeks 5-6 - Verification</w:t>
            </w:r>
          </w:p>
        </w:tc>
        <w:tc>
          <w:tcPr>
            <w:tcW w:w="2000" w:type="dxa"/>
          </w:tcPr>
          <w:p>
            <w:pPr>
              <w:pStyle w:val="Normal"/>
              <w:spacing w:before="40" w:after="40"/>
            </w:pPr>
            <w:r>
              <w:rPr>
                <w:color w:val="4A4A5A"/>
                <w:sz w:val="18"/>
                <w:rFonts w:ascii="Cambria" w:hAnsi="Cambria" w:eastAsia="Microsoft YaHei" w:cs="Cambria"/>
                <w:szCs w:val="18"/>
              </w:rPr>
              <w:t>Mid-point and advanced verification certificates</w:t>
            </w:r>
          </w:p>
        </w:tc>
        <w:tc>
          <w:tcPr>
            <w:tcW w:w="2000" w:type="dxa"/>
          </w:tcPr>
          <w:p>
            <w:pPr>
              <w:pStyle w:val="Normal"/>
              <w:spacing w:before="40" w:after="40"/>
            </w:pPr>
            <w:r>
              <w:rPr>
                <w:color w:val="4A4A5A"/>
                <w:sz w:val="18"/>
                <w:rFonts w:ascii="Cambria" w:hAnsi="Cambria" w:eastAsia="Microsoft YaHei" w:cs="Cambria"/>
                <w:szCs w:val="18"/>
              </w:rPr>
              <w:t>SWIFT Tier-B; good-faith fast lane active</w:t>
            </w:r>
          </w:p>
        </w:tc>
      </w:tr>
      <w:tr>
        <w:tc>
          <w:tcPr>
            <w:tcW w:w="2000" w:type="dxa"/>
          </w:tcPr>
          <w:p>
            <w:pPr>
              <w:pStyle w:val="Normal"/>
              <w:spacing w:before="40" w:after="40"/>
            </w:pPr>
            <w:r>
              <w:rPr>
                <w:color w:val="4A4A5A"/>
                <w:sz w:val="18"/>
                <w:rFonts w:ascii="Cambria" w:hAnsi="Cambria" w:eastAsia="Microsoft YaHei" w:cs="Cambria"/>
                <w:szCs w:val="18"/>
              </w:rPr>
              <w:t>Weeks 7-8 - Advance &amp; extend</w:t>
            </w:r>
          </w:p>
        </w:tc>
        <w:tc>
          <w:tcPr>
            <w:tcW w:w="2000" w:type="dxa"/>
          </w:tcPr>
          <w:p>
            <w:pPr>
              <w:pStyle w:val="Normal"/>
              <w:spacing w:before="40" w:after="40"/>
            </w:pPr>
            <w:r>
              <w:rPr>
                <w:color w:val="4A4A5A"/>
                <w:sz w:val="18"/>
                <w:rFonts w:ascii="Cambria" w:hAnsi="Cambria" w:eastAsia="Microsoft YaHei" w:cs="Cambria"/>
                <w:szCs w:val="18"/>
              </w:rPr>
              <w:t>50% neutralization track certified</w:t>
            </w:r>
          </w:p>
        </w:tc>
        <w:tc>
          <w:tcPr>
            <w:tcW w:w="2000" w:type="dxa"/>
          </w:tcPr>
          <w:p>
            <w:pPr>
              <w:pStyle w:val="Normal"/>
              <w:spacing w:before="40" w:after="40"/>
            </w:pPr>
            <w:r>
              <w:rPr>
                <w:color w:val="4A4A5A"/>
                <w:sz w:val="18"/>
                <w:rFonts w:ascii="Cambria" w:hAnsi="Cambria" w:eastAsia="Microsoft YaHei" w:cs="Cambria"/>
                <w:szCs w:val="18"/>
              </w:rPr>
              <w:t>Structural-relief track converts; frozen-asset releases continue</w:t>
            </w:r>
          </w:p>
        </w:tc>
      </w:tr>
    </w:tbl>
    <w:p>
      <w:pPr>
        <w:pStyle w:val="Heading2"/>
      </w:pPr>
      <w:bookmarkStart w:name="_Toc133" w:id="133"/>
      <w:r>
        <w:rPr>
          <w:rFonts w:ascii="Cambria" w:hAnsi="Cambria" w:eastAsia="Microsoft YaHei" w:cs="Cambria"/>
          <w:b/>
          <w:color w:val="2D4A6F"/>
          <w:sz w:val="32"/>
          <w:szCs w:val="32"/>
        </w:rPr>
        <w:t>B-4 - Kernel Safeguards</w:t>
      </w:r>
      <w:bookmarkEnd w:id="133"/>
    </w:p>
    <w:p>
      <w:pPr>
        <w:pStyle w:val="Heading3"/>
      </w:pPr>
      <w:bookmarkStart w:name="_Toc134" w:id="134"/>
      <w:r>
        <w:rPr>
          <w:rFonts w:ascii="Cambria" w:hAnsi="Cambria" w:eastAsia="Microsoft YaHei" w:cs="Cambria"/>
          <w:b/>
          <w:color w:val="1A1A2E"/>
          <w:sz w:val="26"/>
          <w:szCs w:val="26"/>
        </w:rPr>
        <w:t>B-4.1 Synchronization</w:t>
      </w:r>
      <w:bookmarkEnd w:id="134"/>
    </w:p>
    <w:p>
      <w:pPr>
        <w:pStyle w:val="Normal"/>
      </w:pPr>
      <w:r>
        <w:rPr>
          <w:rFonts w:ascii="Cambria" w:hAnsi="Cambria" w:eastAsia="Microsoft YaHei" w:cs="Cambria"/>
          <w:color w:val="1A1A2E"/>
          <w:sz w:val="22"/>
          <w:szCs w:val="22"/>
        </w:rPr>
        <w:t>Neither deep concession finalizes until the verification authority certifies both. Iran's material moves under verified seal or into downblending while the United States places its structural relief beyond reversal; the certificate that closes the Kernel certifies the two together. A temporary assurance arrangement covers the window: if either Party withdraws after the other has placed its leverage under verified seal, the agreed safeguard activates for the non-withdrawing Party.</w:t>
      </w:r>
    </w:p>
    <w:p>
      <w:pPr>
        <w:pStyle w:val="Heading3"/>
      </w:pPr>
      <w:bookmarkStart w:name="_Toc135" w:id="135"/>
      <w:r>
        <w:rPr>
          <w:rFonts w:ascii="Cambria" w:hAnsi="Cambria" w:eastAsia="Microsoft YaHei" w:cs="Cambria"/>
          <w:b/>
          <w:color w:val="1A1A2E"/>
          <w:sz w:val="26"/>
          <w:szCs w:val="26"/>
        </w:rPr>
        <w:t>B-4.2 No Partial Kernel</w:t>
      </w:r>
      <w:bookmarkEnd w:id="135"/>
    </w:p>
    <w:p>
      <w:pPr>
        <w:pStyle w:val="Normal"/>
      </w:pPr>
      <w:r>
        <w:rPr>
          <w:rFonts w:ascii="Cambria" w:hAnsi="Cambria" w:eastAsia="Microsoft YaHei" w:cs="Cambria"/>
          <w:color w:val="1A1A2E"/>
          <w:sz w:val="22"/>
          <w:szCs w:val="22"/>
        </w:rPr>
        <w:t>Both concessions complete, or the Kernel fails and the architecture holds at Phase I. A half-executed Kernel reveals leverage without receiving it, so the architecture refuses it by design. A failed Kernel triggers a 180-day cooling-off before retry, with Phase I benefits continuing throughout.</w:t>
      </w:r>
    </w:p>
    <w:p>
      <w:pPr>
        <w:pStyle w:val="Heading3"/>
      </w:pPr>
      <w:bookmarkStart w:name="_Toc136" w:id="136"/>
      <w:r>
        <w:rPr>
          <w:rFonts w:ascii="Cambria" w:hAnsi="Cambria" w:eastAsia="Microsoft YaHei" w:cs="Cambria"/>
          <w:b/>
          <w:color w:val="1A1A2E"/>
          <w:sz w:val="26"/>
          <w:szCs w:val="26"/>
        </w:rPr>
        <w:t>B-4.3 Escalation Freeze</w:t>
      </w:r>
      <w:bookmarkEnd w:id="136"/>
    </w:p>
    <w:p>
      <w:pPr>
        <w:pStyle w:val="Normal"/>
      </w:pPr>
      <w:r>
        <w:rPr>
          <w:rFonts w:ascii="Cambria" w:hAnsi="Cambria" w:eastAsia="Microsoft YaHei" w:cs="Cambria"/>
          <w:color w:val="1A1A2E"/>
          <w:sz w:val="22"/>
          <w:szCs w:val="22"/>
        </w:rPr>
        <w:t>All military operations, sanctions adjustments, and diplomatic escalations freeze during the Kernel window. Either Party triggers an emergency pause on a detected violation. The freeze protects the most exposed moment in the entire architecture - the instant each Party's key is in motion.</w:t>
      </w:r>
    </w:p>
    <w:p>
      <w:pPr>
        <w:pStyle w:val="Heading1"/>
      </w:pPr>
      <w:bookmarkStart w:name="_Toc137" w:id="137"/>
      <w:r>
        <w:rPr>
          <w:rFonts w:ascii="Cambria" w:hAnsi="Cambria" w:eastAsia="Microsoft YaHei" w:cs="Cambria"/>
          <w:b/>
          <w:color w:val="1A2744"/>
          <w:sz w:val="48"/>
          <w:szCs w:val="48"/>
        </w:rPr>
        <w:t>PART C</w:t>
      </w:r>
      <w:bookmarkEnd w:id="137"/>
    </w:p>
    <w:p>
      <w:pPr>
        <w:pStyle w:val="Heading2"/>
      </w:pPr>
      <w:bookmarkStart w:name="_Toc138" w:id="138"/>
      <w:r>
        <w:rPr>
          <w:rFonts w:ascii="Cambria" w:hAnsi="Cambria" w:eastAsia="Microsoft YaHei" w:cs="Cambria"/>
          <w:b/>
          <w:color w:val="2D4A6F"/>
          <w:sz w:val="32"/>
          <w:szCs w:val="32"/>
        </w:rPr>
        <w:t>Phase III - Normalization</w:t>
      </w:r>
      <w:bookmarkEnd w:id="138"/>
    </w:p>
    <w:p>
      <w:pPr>
        <w:pStyle w:val="Normal"/>
      </w:pPr>
      <w:r>
        <w:rPr>
          <w:rFonts w:ascii="Cambria" w:hAnsi="Cambria" w:eastAsia="Microsoft YaHei" w:cs="Cambria"/>
          <w:color w:val="1A1A2E"/>
          <w:sz w:val="22"/>
          <w:szCs w:val="22"/>
        </w:rPr>
        <w:t>The Seed Shell: full symmetry restored, locked, and made permanent.</w:t>
      </w:r>
    </w:p>
    <w:p>
      <w:pPr>
        <w:pStyle w:val="Heading2"/>
      </w:pPr>
      <w:bookmarkStart w:name="_Toc139" w:id="139"/>
      <w:r>
        <w:rPr>
          <w:rFonts w:ascii="Cambria" w:hAnsi="Cambria" w:eastAsia="Microsoft YaHei" w:cs="Cambria"/>
          <w:b/>
          <w:color w:val="2D4A6F"/>
          <w:sz w:val="32"/>
          <w:szCs w:val="32"/>
        </w:rPr>
        <w:t>C-0 - The Restoration Logic</w:t>
      </w:r>
      <w:bookmarkEnd w:id="139"/>
    </w:p>
    <w:p>
      <w:pPr>
        <w:pStyle w:val="Normal"/>
      </w:pPr>
      <w:r>
        <w:rPr>
          <w:rFonts w:ascii="Cambria" w:hAnsi="Cambria" w:eastAsia="Microsoft YaHei" w:cs="Cambria"/>
          <w:color w:val="1A1A2E"/>
          <w:sz w:val="22"/>
          <w:szCs w:val="22"/>
        </w:rPr>
        <w:t>Phase III exists so the contained asymmetry of the Kernel never calcifies into permanent grievance. After each Party has given its key, the architecture expands back into full symmetry: equal access, equal guarantees, equal institutional standing. Without this phase, the Kernel becomes a wound. With it, the Kernel becomes a shared investment. Phase III also carries the two outcomes each leader most wants to present as a lasting legacy: for the United States, a broader regional settlement; for Iran, the full restoration of economic sovereignty.</w:t>
      </w:r>
    </w:p>
    <w:p>
      <w:pPr>
        <w:pStyle w:val="Heading2"/>
      </w:pPr>
      <w:bookmarkStart w:name="_Toc140" w:id="140"/>
      <w:r>
        <w:rPr>
          <w:rFonts w:ascii="Cambria" w:hAnsi="Cambria" w:eastAsia="Microsoft YaHei" w:cs="Cambria"/>
          <w:b/>
          <w:color w:val="2D4A6F"/>
          <w:sz w:val="32"/>
          <w:szCs w:val="32"/>
        </w:rPr>
        <w:t>C-1 - Restored Symmetry</w:t>
      </w:r>
      <w:bookmarkEnd w:id="140"/>
    </w:p>
    <w:p>
      <w:pPr>
        <w:pStyle w:val="Normal"/>
      </w:pPr>
      <w:r>
        <w:rPr>
          <w:rFonts w:ascii="Cambria" w:hAnsi="Cambria" w:eastAsia="Microsoft YaHei" w:cs="Cambria"/>
          <w:color w:val="1A1A2E"/>
          <w:sz w:val="22"/>
          <w:szCs w:val="22"/>
        </w:rPr>
        <w:t>The shell expands into four symmetrical sub-tracks, each binding both Parties equally:</w:t>
      </w:r>
    </w:p>
    <w:p>
      <w:pPr>
        <w:pStyle w:val="Normal"/>
        <w:numPr>
          <w:ilvl w:val="0"/>
          <w:numId w:val="1"/>
        </w:numPr>
      </w:pPr>
      <w:r>
        <w:rPr>
          <w:rFonts w:ascii="Cambria" w:hAnsi="Cambria" w:eastAsia="Microsoft YaHei" w:cs="Cambria"/>
          <w:color w:val="1A1A2E"/>
          <w:sz w:val="22"/>
          <w:szCs w:val="22"/>
        </w:rPr>
        <w:t>Equal institutional access. Both Parties gain equal standing in the international bodies, trade systems, and diplomatic forums relevant to the relationship.</w:t>
      </w:r>
    </w:p>
    <w:p>
      <w:pPr>
        <w:pStyle w:val="Normal"/>
        <w:numPr>
          <w:ilvl w:val="0"/>
          <w:numId w:val="1"/>
        </w:numPr>
      </w:pPr>
      <w:r>
        <w:rPr>
          <w:rFonts w:ascii="Cambria" w:hAnsi="Cambria" w:eastAsia="Microsoft YaHei" w:cs="Cambria"/>
          <w:color w:val="1A1A2E"/>
          <w:sz w:val="22"/>
          <w:szCs w:val="22"/>
        </w:rPr>
        <w:t>Reciprocal security guarantees. Mutual non-aggression commitments, joint crisis hotlines, and standing confidence-building measures.</w:t>
      </w:r>
    </w:p>
    <w:p>
      <w:pPr>
        <w:pStyle w:val="Normal"/>
        <w:numPr>
          <w:ilvl w:val="0"/>
          <w:numId w:val="1"/>
        </w:numPr>
      </w:pPr>
      <w:r>
        <w:rPr>
          <w:rFonts w:ascii="Cambria" w:hAnsi="Cambria" w:eastAsia="Microsoft YaHei" w:cs="Cambria"/>
          <w:color w:val="1A1A2E"/>
          <w:sz w:val="22"/>
          <w:szCs w:val="22"/>
        </w:rPr>
        <w:t>Normalized governance. Opening of full diplomatic missions, regularized bilateral summits, and joint committees.</w:t>
      </w:r>
    </w:p>
    <w:p>
      <w:pPr>
        <w:pStyle w:val="Normal"/>
        <w:numPr>
          <w:ilvl w:val="0"/>
          <w:numId w:val="1"/>
        </w:numPr>
      </w:pPr>
      <w:r>
        <w:rPr>
          <w:rFonts w:ascii="Cambria" w:hAnsi="Cambria" w:eastAsia="Microsoft YaHei" w:cs="Cambria"/>
          <w:color w:val="1A1A2E"/>
          <w:sz w:val="22"/>
          <w:szCs w:val="22"/>
        </w:rPr>
        <w:t>Dispute resolution. A joint commission with equal voting rights arbitrates future compliance claims, replacing unilateral escalation with shared adjudication.</w:t>
      </w:r>
    </w:p>
    <w:p>
      <w:pPr>
        <w:pStyle w:val="Heading3"/>
      </w:pPr>
      <w:bookmarkStart w:name="_Toc141" w:id="141"/>
      <w:r>
        <w:rPr>
          <w:rFonts w:ascii="Cambria" w:hAnsi="Cambria" w:eastAsia="Microsoft YaHei" w:cs="Cambria"/>
          <w:b/>
          <w:color w:val="1A1A2E"/>
          <w:sz w:val="26"/>
          <w:szCs w:val="26"/>
        </w:rPr>
        <w:t>C-1.1 Diplomatic Missions and Ambassadors (Aspirational)</w:t>
      </w:r>
      <w:bookmarkEnd w:id="141"/>
    </w:p>
    <w:p>
      <w:pPr>
        <w:pStyle w:val="Normal"/>
      </w:pPr>
      <w:r>
        <w:rPr>
          <w:rFonts w:ascii="Cambria" w:hAnsi="Cambria" w:eastAsia="Microsoft YaHei" w:cs="Cambria"/>
          <w:color w:val="1A1A2E"/>
          <w:sz w:val="22"/>
          <w:szCs w:val="22"/>
        </w:rPr>
        <w:t>On completion of Phase II and after no fewer than twelve consecutive months of Phase III sustained compliance, the Parties envisage the reciprocal opening of embassies in each other's capitals. The establishment of diplomatic missions proceeds through separate, subsequent agreements and is not a condition for any economic or security provision of this instrument.</w:t>
      </w:r>
    </w:p>
    <w:p>
      <w:pPr>
        <w:pStyle w:val="Normal"/>
      </w:pPr>
      <w:r>
        <w:rPr>
          <w:rFonts w:ascii="Cambria" w:hAnsi="Cambria" w:eastAsia="Microsoft YaHei" w:cs="Cambria"/>
          <w:color w:val="1A1A2E"/>
          <w:sz w:val="22"/>
          <w:szCs w:val="22"/>
        </w:rPr>
        <w:t>Without creating any binding obligation, the Parties note that suitable candidates for an eventual U.S. ambassador to Iran might be drawn from individuals with prior experience in crisis diplomacy, hostage negotiation, or regional mediation, and that an Iranian ambassador to the United States would be a senior career diplomat, consistent with standard bilateral practice. No living individual is named or proposed.</w:t>
      </w:r>
    </w:p>
    <w:p>
      <w:pPr>
        <w:pStyle w:val="Normal"/>
      </w:pPr>
      <w:r>
        <w:rPr>
          <w:rFonts w:ascii="Cambria" w:hAnsi="Cambria" w:eastAsia="Microsoft YaHei" w:cs="Cambria"/>
          <w:color w:val="1A1A2E"/>
          <w:sz w:val="22"/>
          <w:szCs w:val="22"/>
        </w:rPr>
        <w:t>All ambassadorial nominations remain subject to each Party's domestic legal and constitutional processes, including Senate confirmation for the United States and Majlis approval for Iran. This subsection is non-binding, interpretive, and creates no legal right to any specific appointment.</w:t>
      </w:r>
    </w:p>
    <w:p>
      <w:pPr>
        <w:pStyle w:val="Heading2"/>
      </w:pPr>
      <w:bookmarkStart w:name="_Toc142" w:id="142"/>
      <w:r>
        <w:rPr>
          <w:rFonts w:ascii="Cambria" w:hAnsi="Cambria" w:eastAsia="Microsoft YaHei" w:cs="Cambria"/>
          <w:b/>
          <w:color w:val="2D4A6F"/>
          <w:sz w:val="32"/>
          <w:szCs w:val="32"/>
        </w:rPr>
        <w:t>C-2 - The Permanence Mechanisms</w:t>
      </w:r>
      <w:bookmarkEnd w:id="142"/>
    </w:p>
    <w:p>
      <w:pPr>
        <w:pStyle w:val="Normal"/>
      </w:pPr>
      <w:r>
        <w:rPr>
          <w:rFonts w:ascii="Cambria" w:hAnsi="Cambria" w:eastAsia="Microsoft YaHei" w:cs="Cambria"/>
          <w:color w:val="1A1A2E"/>
          <w:sz w:val="22"/>
          <w:szCs w:val="22"/>
        </w:rPr>
        <w:t>Four mechanisms convert a stable arrangement into a durable one, so that a single election cannot unmake what verified years have built.</w:t>
      </w:r>
    </w:p>
    <w:p>
      <w:pPr>
        <w:pStyle w:val="Heading3"/>
      </w:pPr>
      <w:bookmarkStart w:name="_Toc143" w:id="143"/>
      <w:r>
        <w:rPr>
          <w:rFonts w:ascii="Cambria" w:hAnsi="Cambria" w:eastAsia="Microsoft YaHei" w:cs="Cambria"/>
          <w:b/>
          <w:color w:val="1A1A2E"/>
          <w:sz w:val="26"/>
          <w:szCs w:val="26"/>
        </w:rPr>
        <w:t>C-2.1 The Fibonacci Lock</w:t>
      </w:r>
      <w:bookmarkEnd w:id="143"/>
    </w:p>
    <w:p>
      <w:pPr>
        <w:pStyle w:val="Normal"/>
      </w:pPr>
      <w:r>
        <w:rPr>
          <w:rFonts w:ascii="Cambria" w:hAnsi="Cambria" w:eastAsia="Microsoft YaHei" w:cs="Cambria"/>
          <w:color w:val="1A1A2E"/>
          <w:sz w:val="22"/>
          <w:szCs w:val="22"/>
        </w:rPr>
        <w:t>After Kernel completion, each thirty-day period of sustained compliance adds a lock tier. Reversal at any tier requires undoing a sequence of commitments where each step costs more than the sum of the two before it. The cost of reversal grows faster than linear: by the sixth tier (180 days), it exceeds the original conflict's annual economic damage. The Lock makes continued compliance the cheaper path for all but the most extreme scenarios.</w:t>
      </w:r>
    </w:p>
    <w:p>
      <w:pPr>
        <w:pStyle w:val="Normal"/>
      </w:pPr>
      <w:r>
        <w:rPr>
          <w:rFonts w:ascii="Cambria" w:hAnsi="Cambria" w:eastAsia="Microsoft YaHei" w:cs="Cambria"/>
          <w:color w:val="1A1A2E"/>
          <w:sz w:val="22"/>
          <w:szCs w:val="22"/>
        </w:rPr>
        <w:t>Cost of reversal, defined. For this Article, "cost of reversal" means the combined estimated GDP loss to both Parties from a return to full sanctions, naval blockade, and military escalation, calculated quarterly by an independent economist jointly appointed by the International Monetary Fund and the Swiss facilitator. The calculation is non-binding and is published on the Swiss transparency dashboard; the Fibonacci Lock uses this figure as a proxy reference, not a literal penalty.</w:t>
      </w:r>
    </w:p>
    <w:p>
      <w:pPr>
        <w:pStyle w:val="Heading3"/>
      </w:pPr>
      <w:bookmarkStart w:name="_Toc144" w:id="144"/>
      <w:r>
        <w:rPr>
          <w:rFonts w:ascii="Cambria" w:hAnsi="Cambria" w:eastAsia="Microsoft YaHei" w:cs="Cambria"/>
          <w:b/>
          <w:color w:val="1A1A2E"/>
          <w:sz w:val="26"/>
          <w:szCs w:val="26"/>
        </w:rPr>
        <w:t>C-2.2 The Reverse Fibonacci Protocol</w:t>
      </w:r>
      <w:bookmarkEnd w:id="144"/>
    </w:p>
    <w:p>
      <w:pPr>
        <w:pStyle w:val="Normal"/>
      </w:pPr>
      <w:r>
        <w:rPr>
          <w:rFonts w:ascii="Cambria" w:hAnsi="Cambria" w:eastAsia="Microsoft YaHei" w:cs="Cambria"/>
          <w:color w:val="1A1A2E"/>
          <w:sz w:val="22"/>
          <w:szCs w:val="22"/>
        </w:rPr>
        <w:t>The Lock deters major reversal; the Reverse Protocol prevents a minor incident from triggering total collapse. A localized breach isolates and runs a step-down de-escalation sequence - 13 days of joint monitoring, 8 of data exchange, 5 of diplomatic consultation, 3 of on-site verification, 2 of joint assessment, 1 of certified resolution. Each step is mandatory and sequential. A border incident cools rather than detonates.</w:t>
      </w:r>
    </w:p>
    <w:p>
      <w:pPr>
        <w:pStyle w:val="Heading3"/>
      </w:pPr>
      <w:bookmarkStart w:name="_Toc145" w:id="145"/>
      <w:r>
        <w:rPr>
          <w:rFonts w:ascii="Cambria" w:hAnsi="Cambria" w:eastAsia="Microsoft YaHei" w:cs="Cambria"/>
          <w:b/>
          <w:color w:val="1A1A2E"/>
          <w:sz w:val="26"/>
          <w:szCs w:val="26"/>
        </w:rPr>
        <w:t>C-2.3 The Perpetual Root System</w:t>
      </w:r>
      <w:bookmarkEnd w:id="145"/>
    </w:p>
    <w:p>
      <w:pPr>
        <w:pStyle w:val="Normal"/>
      </w:pPr>
      <w:r>
        <w:rPr>
          <w:rFonts w:ascii="Cambria" w:hAnsi="Cambria" w:eastAsia="Microsoft YaHei" w:cs="Cambria"/>
          <w:color w:val="1A1A2E"/>
          <w:sz w:val="22"/>
          <w:szCs w:val="22"/>
        </w:rPr>
        <w:t>Top-down state concessions reverse with a change of leadership; societal interdependence does not. Phase III mandates cross-border joint ventures, integrated energy and agricultural infrastructure, and shared educational endowments. A facility employing workers on both sides is a constituency for peace that outlasts any election; a shared university endowment creates generations of stakeholders. The Root System makes peace profitable and gives it a domestic defender on each side.</w:t>
      </w:r>
    </w:p>
    <w:p>
      <w:pPr>
        <w:pStyle w:val="Heading3"/>
      </w:pPr>
      <w:bookmarkStart w:name="_Toc146" w:id="146"/>
      <w:r>
        <w:rPr>
          <w:rFonts w:ascii="Cambria" w:hAnsi="Cambria" w:eastAsia="Microsoft YaHei" w:cs="Cambria"/>
          <w:b/>
          <w:color w:val="1A1A2E"/>
          <w:sz w:val="26"/>
          <w:szCs w:val="26"/>
        </w:rPr>
        <w:t>C-2.4 The Allomothering Wealth Fund and the Indefinite Normalization Clause</w:t>
      </w:r>
      <w:bookmarkEnd w:id="146"/>
    </w:p>
    <w:p>
      <w:pPr>
        <w:pStyle w:val="Normal"/>
      </w:pPr>
      <w:r>
        <w:rPr>
          <w:rFonts w:ascii="Cambria" w:hAnsi="Cambria" w:eastAsia="Microsoft YaHei" w:cs="Cambria"/>
          <w:color w:val="1A1A2E"/>
          <w:sz w:val="22"/>
          <w:szCs w:val="22"/>
        </w:rPr>
        <w:t>On Phase III completion, a permanent joint fund forms from a retained portion of the assurance pool, co-managed for cross-border infrastructure, joint climate work, and shared disaster relief. Walking away now means walking away from a tangible shared asset. After twenty-four months of stable operation above the health threshold, the Indefinite Normalization Clause codifies the arrangement into a permanent, legally binding bilateral treaty; the only exit is permanent international arbitration, and completed steps remain binding regardless of dissolution status. The architecture is not a bridge to somewhere else - it is the destination.</w:t>
      </w:r>
    </w:p>
    <w:p>
      <w:pPr>
        <w:pStyle w:val="Heading2"/>
      </w:pPr>
      <w:bookmarkStart w:name="_Toc147" w:id="147"/>
      <w:r>
        <w:rPr>
          <w:rFonts w:ascii="Cambria" w:hAnsi="Cambria" w:eastAsia="Microsoft YaHei" w:cs="Cambria"/>
          <w:b/>
          <w:color w:val="2D4A6F"/>
          <w:sz w:val="32"/>
          <w:szCs w:val="32"/>
        </w:rPr>
        <w:t>C-3 - The Regional Normalization Track</w:t>
      </w:r>
      <w:bookmarkEnd w:id="147"/>
    </w:p>
    <w:p>
      <w:pPr>
        <w:pStyle w:val="Normal"/>
      </w:pPr>
      <w:r>
        <w:rPr>
          <w:rFonts w:ascii="Cambria" w:hAnsi="Cambria" w:eastAsia="Microsoft YaHei" w:cs="Cambria"/>
          <w:color w:val="1A1A2E"/>
          <w:sz w:val="22"/>
          <w:szCs w:val="22"/>
        </w:rPr>
        <w:t>This track carries the broader settlement the United States seeks to present as a strategic win, on a written schedule rather than an open promise, and without the legal linkage the United States refused in Phase I.</w:t>
      </w:r>
    </w:p>
    <w:p>
      <w:pPr>
        <w:pStyle w:val="Normal"/>
        <w:numPr>
          <w:ilvl w:val="0"/>
          <w:numId w:val="1"/>
        </w:numPr>
      </w:pPr>
      <w:r>
        <w:rPr>
          <w:rFonts w:ascii="Cambria" w:hAnsi="Cambria" w:eastAsia="Microsoft YaHei" w:cs="Cambria"/>
          <w:color w:val="1A1A2E"/>
          <w:sz w:val="22"/>
          <w:szCs w:val="22"/>
        </w:rPr>
        <w:t>Structured regional security talks open on a fixed calendar, addressing Lebanon and the wider conflict that the Phase I ceasefire and freeze-in-place held in place.</w:t>
      </w:r>
    </w:p>
    <w:p>
      <w:pPr>
        <w:pStyle w:val="Normal"/>
        <w:numPr>
          <w:ilvl w:val="0"/>
          <w:numId w:val="1"/>
        </w:numPr>
      </w:pPr>
      <w:r>
        <w:rPr>
          <w:rFonts w:ascii="Cambria" w:hAnsi="Cambria" w:eastAsia="Microsoft YaHei" w:cs="Cambria"/>
          <w:color w:val="1A1A2E"/>
          <w:sz w:val="22"/>
          <w:szCs w:val="22"/>
        </w:rPr>
        <w:t>A normalization sequence invites regional states into confidence-building, deconfliction, and - where each chooses - graduated diplomatic normalization, building toward the multi-country settlement that anchors a durable regional order.</w:t>
      </w:r>
    </w:p>
    <w:p>
      <w:pPr>
        <w:pStyle w:val="Normal"/>
        <w:numPr>
          <w:ilvl w:val="0"/>
          <w:numId w:val="1"/>
        </w:numPr>
      </w:pPr>
      <w:r>
        <w:rPr>
          <w:rFonts w:ascii="Cambria" w:hAnsi="Cambria" w:eastAsia="Microsoft YaHei" w:cs="Cambria"/>
          <w:color w:val="1A1A2E"/>
          <w:sz w:val="22"/>
          <w:szCs w:val="22"/>
        </w:rPr>
        <w:t>Iran characterizes the track as the door it opened by reopening the strait; the United States characterizes it as a separate diplomatic achievement built on, not traded for, the Phase I cores. The instruments stay legally distinct while moving in the same direction.</w:t>
      </w:r>
    </w:p>
    <w:p>
      <w:pPr>
        <w:pStyle w:val="Normal"/>
      </w:pPr>
      <w:r>
        <w:rPr>
          <w:rFonts w:ascii="Cambria" w:hAnsi="Cambria" w:eastAsia="Microsoft YaHei" w:cs="Cambria"/>
          <w:color w:val="1A1A2E"/>
          <w:sz w:val="22"/>
          <w:szCs w:val="22"/>
        </w:rPr>
        <w:t>Building on the framework of the Abraham Accords, this track envisages step-by-step normalization - including potential exchanges of ambassadors, overflight rights, and trade missions - pursued by each state at its own pace and by its own choice. The vehicle is Annex NORM, the Regional Economic and Diplomatic Normalization Framework, an independent instrument signed by the United States, Saudi Arabia, the UAE, Bahrain, Morocco, and the State of Israel. Iran is a non-participating observer: it does not sign Annex NORM, is not bound by it, and is not asked to recognize or normalize anything. The core instrument states plainly that nothing in it requires Iran to recognize, engage with, or normalize relations with the State of Israel, and that Annex NORM is independent among the other regional states.</w:t>
      </w:r>
    </w:p>
    <w:p>
      <w:pPr>
        <w:pStyle w:val="Normal"/>
      </w:pPr>
      <w:r>
        <w:rPr>
          <w:rFonts w:ascii="Cambria" w:hAnsi="Cambria" w:eastAsia="Microsoft YaHei" w:cs="Cambria"/>
          <w:color w:val="1A1A2E"/>
          <w:sz w:val="22"/>
          <w:szCs w:val="22"/>
        </w:rPr>
        <w:t>On successful completion of Phase II, the Political &amp; Compliance Council hosts a multilateral meeting at a neutral venue, inviting the State of Israel and the endorsing Arab states, to discuss economic cooperation rather than security. The meeting requires no recognition by any Party and imposes no obligation; it offers a visible regional milestone without asking Iran to alter its own positions.</w:t>
      </w:r>
    </w:p>
    <w:p>
      <w:pPr>
        <w:pStyle w:val="Heading2"/>
      </w:pPr>
      <w:bookmarkStart w:name="_Toc148" w:id="148"/>
      <w:r>
        <w:rPr>
          <w:rFonts w:ascii="Cambria" w:hAnsi="Cambria" w:eastAsia="Microsoft YaHei" w:cs="Cambria"/>
          <w:b/>
          <w:color w:val="2D4A6F"/>
          <w:sz w:val="32"/>
          <w:szCs w:val="32"/>
        </w:rPr>
        <w:t>C-4 - The Sovereignty Restoration Trajectory</w:t>
      </w:r>
      <w:bookmarkEnd w:id="148"/>
    </w:p>
    <w:p>
      <w:pPr>
        <w:pStyle w:val="Normal"/>
      </w:pPr>
      <w:r>
        <w:rPr>
          <w:rFonts w:ascii="Cambria" w:hAnsi="Cambria" w:eastAsia="Microsoft YaHei" w:cs="Cambria"/>
          <w:color w:val="1A1A2E"/>
          <w:sz w:val="22"/>
          <w:szCs w:val="22"/>
        </w:rPr>
        <w:t>The economic-sovereignty outcome Iran needs to present at home is written as a milestone schedule, so restoration is automatic on sustained compliance rather than subject to renegotiation at each step.</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Milestone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Day</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Restoration</w:t>
            </w:r>
          </w:p>
        </w:tc>
      </w:tr>
      <w:tr>
        <w:tc>
          <w:tcPr>
            <w:tcW w:w="2000" w:type="dxa"/>
          </w:tcPr>
          <w:p>
            <w:pPr>
              <w:pStyle w:val="Normal"/>
              <w:spacing w:before="40" w:after="40"/>
            </w:pPr>
            <w:r>
              <w:rPr>
                <w:color w:val="4A4A5A"/>
                <w:sz w:val="18"/>
                <w:rFonts w:ascii="Cambria" w:hAnsi="Cambria" w:eastAsia="Microsoft YaHei" w:cs="Cambria"/>
                <w:szCs w:val="18"/>
              </w:rPr>
              <w:t>1 - Foundation</w:t>
            </w:r>
          </w:p>
        </w:tc>
        <w:tc>
          <w:tcPr>
            <w:tcW w:w="2000" w:type="dxa"/>
          </w:tcPr>
          <w:p>
            <w:pPr>
              <w:pStyle w:val="Normal"/>
              <w:spacing w:before="40" w:after="40"/>
            </w:pPr>
            <w:r>
              <w:rPr>
                <w:color w:val="4A4A5A"/>
                <w:sz w:val="18"/>
                <w:rFonts w:ascii="Cambria" w:hAnsi="Cambria" w:eastAsia="Microsoft YaHei" w:cs="Cambria"/>
                <w:szCs w:val="18"/>
              </w:rPr>
              <w:t>Day 1</w:t>
            </w:r>
          </w:p>
        </w:tc>
        <w:tc>
          <w:tcPr>
            <w:tcW w:w="2000" w:type="dxa"/>
          </w:tcPr>
          <w:p>
            <w:pPr>
              <w:pStyle w:val="Normal"/>
              <w:spacing w:before="40" w:after="40"/>
            </w:pPr>
            <w:r>
              <w:rPr>
                <w:color w:val="4A4A5A"/>
                <w:sz w:val="18"/>
                <w:rFonts w:ascii="Cambria" w:hAnsi="Cambria" w:eastAsia="Microsoft YaHei" w:cs="Cambria"/>
                <w:szCs w:val="18"/>
              </w:rPr>
              <w:t>Equal governance seat; Iranian nationals eligible for joint positions; state media accredited to the portal</w:t>
            </w:r>
          </w:p>
        </w:tc>
      </w:tr>
      <w:tr>
        <w:tc>
          <w:tcPr>
            <w:tcW w:w="2000" w:type="dxa"/>
          </w:tcPr>
          <w:p>
            <w:pPr>
              <w:pStyle w:val="Normal"/>
              <w:spacing w:before="40" w:after="40"/>
            </w:pPr>
            <w:r>
              <w:rPr>
                <w:color w:val="4A4A5A"/>
                <w:sz w:val="18"/>
                <w:rFonts w:ascii="Cambria" w:hAnsi="Cambria" w:eastAsia="Microsoft YaHei" w:cs="Cambria"/>
                <w:szCs w:val="18"/>
              </w:rPr>
              <w:t>2 - Stabilization</w:t>
            </w:r>
          </w:p>
        </w:tc>
        <w:tc>
          <w:tcPr>
            <w:tcW w:w="2000" w:type="dxa"/>
          </w:tcPr>
          <w:p>
            <w:pPr>
              <w:pStyle w:val="Normal"/>
              <w:spacing w:before="40" w:after="40"/>
            </w:pPr>
            <w:r>
              <w:rPr>
                <w:color w:val="4A4A5A"/>
                <w:sz w:val="18"/>
                <w:rFonts w:ascii="Cambria" w:hAnsi="Cambria" w:eastAsia="Microsoft YaHei" w:cs="Cambria"/>
                <w:szCs w:val="18"/>
              </w:rPr>
              <w:t>Day 30</w:t>
            </w:r>
          </w:p>
        </w:tc>
        <w:tc>
          <w:tcPr>
            <w:tcW w:w="2000" w:type="dxa"/>
          </w:tcPr>
          <w:p>
            <w:pPr>
              <w:pStyle w:val="Normal"/>
              <w:spacing w:before="40" w:after="40"/>
            </w:pPr>
            <w:r>
              <w:rPr>
                <w:color w:val="4A4A5A"/>
                <w:sz w:val="18"/>
                <w:rFonts w:ascii="Cambria" w:hAnsi="Cambria" w:eastAsia="Microsoft YaHei" w:cs="Cambria"/>
                <w:szCs w:val="18"/>
              </w:rPr>
              <w:t>Petrochemical export revenue flows directly to the Central Bank via PRDD; 50% of frozen assets released</w:t>
            </w:r>
          </w:p>
        </w:tc>
      </w:tr>
      <w:tr>
        <w:tc>
          <w:tcPr>
            <w:tcW w:w="2000" w:type="dxa"/>
          </w:tcPr>
          <w:p>
            <w:pPr>
              <w:pStyle w:val="Normal"/>
              <w:spacing w:before="40" w:after="40"/>
            </w:pPr>
            <w:r>
              <w:rPr>
                <w:color w:val="4A4A5A"/>
                <w:sz w:val="18"/>
                <w:rFonts w:ascii="Cambria" w:hAnsi="Cambria" w:eastAsia="Microsoft YaHei" w:cs="Cambria"/>
                <w:szCs w:val="18"/>
              </w:rPr>
              <w:t>3 - Stabilization</w:t>
            </w:r>
          </w:p>
        </w:tc>
        <w:tc>
          <w:tcPr>
            <w:tcW w:w="2000" w:type="dxa"/>
          </w:tcPr>
          <w:p>
            <w:pPr>
              <w:pStyle w:val="Normal"/>
              <w:spacing w:before="40" w:after="40"/>
            </w:pPr>
            <w:r>
              <w:rPr>
                <w:color w:val="4A4A5A"/>
                <w:sz w:val="18"/>
                <w:rFonts w:ascii="Cambria" w:hAnsi="Cambria" w:eastAsia="Microsoft YaHei" w:cs="Cambria"/>
                <w:szCs w:val="18"/>
              </w:rPr>
              <w:t>Day 60</w:t>
            </w:r>
          </w:p>
        </w:tc>
        <w:tc>
          <w:tcPr>
            <w:tcW w:w="2000" w:type="dxa"/>
          </w:tcPr>
          <w:p>
            <w:pPr>
              <w:pStyle w:val="Normal"/>
              <w:spacing w:before="40" w:after="40"/>
            </w:pPr>
            <w:r>
              <w:rPr>
                <w:color w:val="4A4A5A"/>
                <w:sz w:val="18"/>
                <w:rFonts w:ascii="Cambria" w:hAnsi="Cambria" w:eastAsia="Microsoft YaHei" w:cs="Cambria"/>
                <w:szCs w:val="18"/>
              </w:rPr>
              <w:t>Banking autonomy: restored correspondent relationships; 70% of frozen assets released</w:t>
            </w:r>
          </w:p>
        </w:tc>
      </w:tr>
      <w:tr>
        <w:tc>
          <w:tcPr>
            <w:tcW w:w="2000" w:type="dxa"/>
          </w:tcPr>
          <w:p>
            <w:pPr>
              <w:pStyle w:val="Normal"/>
              <w:spacing w:before="40" w:after="40"/>
            </w:pPr>
            <w:r>
              <w:rPr>
                <w:color w:val="4A4A5A"/>
                <w:sz w:val="18"/>
                <w:rFonts w:ascii="Cambria" w:hAnsi="Cambria" w:eastAsia="Microsoft YaHei" w:cs="Cambria"/>
                <w:szCs w:val="18"/>
              </w:rPr>
              <w:t>4 - Integration</w:t>
            </w:r>
          </w:p>
        </w:tc>
        <w:tc>
          <w:tcPr>
            <w:tcW w:w="2000" w:type="dxa"/>
          </w:tcPr>
          <w:p>
            <w:pPr>
              <w:pStyle w:val="Normal"/>
              <w:spacing w:before="40" w:after="40"/>
            </w:pPr>
            <w:r>
              <w:rPr>
                <w:color w:val="4A4A5A"/>
                <w:sz w:val="18"/>
                <w:rFonts w:ascii="Cambria" w:hAnsi="Cambria" w:eastAsia="Microsoft YaHei" w:cs="Cambria"/>
                <w:szCs w:val="18"/>
              </w:rPr>
              <w:t>Day 180</w:t>
            </w:r>
          </w:p>
        </w:tc>
        <w:tc>
          <w:tcPr>
            <w:tcW w:w="2000" w:type="dxa"/>
          </w:tcPr>
          <w:p>
            <w:pPr>
              <w:pStyle w:val="Normal"/>
              <w:spacing w:before="40" w:after="40"/>
            </w:pPr>
            <w:r>
              <w:rPr>
                <w:color w:val="4A4A5A"/>
                <w:sz w:val="18"/>
                <w:rFonts w:ascii="Cambria" w:hAnsi="Cambria" w:eastAsia="Microsoft YaHei" w:cs="Cambria"/>
                <w:szCs w:val="18"/>
              </w:rPr>
              <w:t>IAEA inspection frequency reduces proportionally to sustained compliance</w:t>
            </w:r>
          </w:p>
        </w:tc>
      </w:tr>
      <w:tr>
        <w:tc>
          <w:tcPr>
            <w:tcW w:w="2000" w:type="dxa"/>
          </w:tcPr>
          <w:p>
            <w:pPr>
              <w:pStyle w:val="Normal"/>
              <w:spacing w:before="40" w:after="40"/>
            </w:pPr>
            <w:r>
              <w:rPr>
                <w:color w:val="4A4A5A"/>
                <w:sz w:val="18"/>
                <w:rFonts w:ascii="Cambria" w:hAnsi="Cambria" w:eastAsia="Microsoft YaHei" w:cs="Cambria"/>
                <w:szCs w:val="18"/>
              </w:rPr>
              <w:t>5 - Integration</w:t>
            </w:r>
          </w:p>
        </w:tc>
        <w:tc>
          <w:tcPr>
            <w:tcW w:w="2000" w:type="dxa"/>
          </w:tcPr>
          <w:p>
            <w:pPr>
              <w:pStyle w:val="Normal"/>
              <w:spacing w:before="40" w:after="40"/>
            </w:pPr>
            <w:r>
              <w:rPr>
                <w:color w:val="4A4A5A"/>
                <w:sz w:val="18"/>
                <w:rFonts w:ascii="Cambria" w:hAnsi="Cambria" w:eastAsia="Microsoft YaHei" w:cs="Cambria"/>
                <w:szCs w:val="18"/>
              </w:rPr>
              <w:t>Day 365</w:t>
            </w:r>
          </w:p>
        </w:tc>
        <w:tc>
          <w:tcPr>
            <w:tcW w:w="2000" w:type="dxa"/>
          </w:tcPr>
          <w:p>
            <w:pPr>
              <w:pStyle w:val="Normal"/>
              <w:spacing w:before="40" w:after="40"/>
            </w:pPr>
            <w:r>
              <w:rPr>
                <w:color w:val="4A4A5A"/>
                <w:sz w:val="18"/>
                <w:rFonts w:ascii="Cambria" w:hAnsi="Cambria" w:eastAsia="Microsoft YaHei" w:cs="Cambria"/>
                <w:szCs w:val="18"/>
              </w:rPr>
              <w:t>Fiscal independence: micro-tranches release directly to the Central Bank; full sovereign budget authority</w:t>
            </w:r>
          </w:p>
        </w:tc>
      </w:tr>
      <w:tr>
        <w:tc>
          <w:tcPr>
            <w:tcW w:w="2000" w:type="dxa"/>
          </w:tcPr>
          <w:p>
            <w:pPr>
              <w:pStyle w:val="Normal"/>
              <w:spacing w:before="40" w:after="40"/>
            </w:pPr>
            <w:r>
              <w:rPr>
                <w:color w:val="4A4A5A"/>
                <w:sz w:val="18"/>
                <w:rFonts w:ascii="Cambria" w:hAnsi="Cambria" w:eastAsia="Microsoft YaHei" w:cs="Cambria"/>
                <w:szCs w:val="18"/>
              </w:rPr>
              <w:t>6 - Integration</w:t>
            </w:r>
          </w:p>
        </w:tc>
        <w:tc>
          <w:tcPr>
            <w:tcW w:w="2000" w:type="dxa"/>
          </w:tcPr>
          <w:p>
            <w:pPr>
              <w:pStyle w:val="Normal"/>
              <w:spacing w:before="40" w:after="40"/>
            </w:pPr>
            <w:r>
              <w:rPr>
                <w:color w:val="4A4A5A"/>
                <w:sz w:val="18"/>
                <w:rFonts w:ascii="Cambria" w:hAnsi="Cambria" w:eastAsia="Microsoft YaHei" w:cs="Cambria"/>
                <w:szCs w:val="18"/>
              </w:rPr>
              <w:t>Day 540</w:t>
            </w:r>
          </w:p>
        </w:tc>
        <w:tc>
          <w:tcPr>
            <w:tcW w:w="2000" w:type="dxa"/>
          </w:tcPr>
          <w:p>
            <w:pPr>
              <w:pStyle w:val="Normal"/>
              <w:spacing w:before="40" w:after="40"/>
            </w:pPr>
            <w:r>
              <w:rPr>
                <w:color w:val="4A4A5A"/>
                <w:sz w:val="18"/>
                <w:rFonts w:ascii="Cambria" w:hAnsi="Cambria" w:eastAsia="Microsoft YaHei" w:cs="Cambria"/>
                <w:szCs w:val="18"/>
              </w:rPr>
              <w:t>Scientific collaboration: the Fordow medical-isotope center under an international board with an Iranian co-chair</w:t>
            </w:r>
          </w:p>
        </w:tc>
      </w:tr>
      <w:tr>
        <w:tc>
          <w:tcPr>
            <w:tcW w:w="2000" w:type="dxa"/>
          </w:tcPr>
          <w:p>
            <w:pPr>
              <w:pStyle w:val="Normal"/>
              <w:spacing w:before="40" w:after="40"/>
            </w:pPr>
            <w:r>
              <w:rPr>
                <w:color w:val="4A4A5A"/>
                <w:sz w:val="18"/>
                <w:rFonts w:ascii="Cambria" w:hAnsi="Cambria" w:eastAsia="Microsoft YaHei" w:cs="Cambria"/>
                <w:szCs w:val="18"/>
              </w:rPr>
              <w:t>7 - Institutionalization</w:t>
            </w:r>
          </w:p>
        </w:tc>
        <w:tc>
          <w:tcPr>
            <w:tcW w:w="2000" w:type="dxa"/>
          </w:tcPr>
          <w:p>
            <w:pPr>
              <w:pStyle w:val="Normal"/>
              <w:spacing w:before="40" w:after="40"/>
            </w:pPr>
            <w:r>
              <w:rPr>
                <w:color w:val="4A4A5A"/>
                <w:sz w:val="18"/>
                <w:rFonts w:ascii="Cambria" w:hAnsi="Cambria" w:eastAsia="Microsoft YaHei" w:cs="Cambria"/>
                <w:szCs w:val="18"/>
              </w:rPr>
              <w:t>Day 720+</w:t>
            </w:r>
          </w:p>
        </w:tc>
        <w:tc>
          <w:tcPr>
            <w:tcW w:w="2000" w:type="dxa"/>
          </w:tcPr>
          <w:p>
            <w:pPr>
              <w:pStyle w:val="Normal"/>
              <w:spacing w:before="40" w:after="40"/>
            </w:pPr>
            <w:r>
              <w:rPr>
                <w:color w:val="4A4A5A"/>
                <w:sz w:val="18"/>
                <w:rFonts w:ascii="Cambria" w:hAnsi="Cambria" w:eastAsia="Microsoft YaHei" w:cs="Cambria"/>
                <w:szCs w:val="18"/>
              </w:rPr>
              <w:t>Full economic sovereignty: zero revenue escrow; full SWIFT; standard IAEA safeguards; Iran chairs governance on rotation</w:t>
            </w:r>
          </w:p>
        </w:tc>
      </w:tr>
    </w:tbl>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The two legacies, side by side: For the United States: a verified, irreversible nuclear rollback and a broader regional settlement - the opposite of the prior deal, built to last. For Iran: full economic sovereignty restored on a guaranteed schedule, with the program preserved as peaceful and the strait administered as its own.</w:t>
      </w:r>
    </w:p>
    <w:p>
      <w:pPr>
        <w:pStyle w:val="Heading1"/>
      </w:pPr>
      <w:bookmarkStart w:name="_Toc149" w:id="149"/>
      <w:r>
        <w:rPr>
          <w:rFonts w:ascii="Cambria" w:hAnsi="Cambria" w:eastAsia="Microsoft YaHei" w:cs="Cambria"/>
          <w:b/>
          <w:color w:val="1A2744"/>
          <w:sz w:val="48"/>
          <w:szCs w:val="48"/>
        </w:rPr>
        <w:t>PART D</w:t>
      </w:r>
      <w:bookmarkEnd w:id="149"/>
    </w:p>
    <w:p>
      <w:pPr>
        <w:pStyle w:val="Heading2"/>
      </w:pPr>
      <w:bookmarkStart w:name="_Toc150" w:id="150"/>
      <w:r>
        <w:rPr>
          <w:rFonts w:ascii="Cambria" w:hAnsi="Cambria" w:eastAsia="Microsoft YaHei" w:cs="Cambria"/>
          <w:b/>
          <w:color w:val="2D4A6F"/>
          <w:sz w:val="32"/>
          <w:szCs w:val="32"/>
        </w:rPr>
        <w:t>The Integrated Annex Register</w:t>
      </w:r>
      <w:bookmarkEnd w:id="150"/>
    </w:p>
    <w:p>
      <w:pPr>
        <w:pStyle w:val="Heading2"/>
      </w:pPr>
      <w:bookmarkStart w:name="_Toc151" w:id="151"/>
      <w:r>
        <w:rPr>
          <w:rFonts w:ascii="Cambria" w:hAnsi="Cambria" w:eastAsia="Microsoft YaHei" w:cs="Cambria"/>
          <w:b/>
          <w:color w:val="2D4A6F"/>
          <w:sz w:val="32"/>
          <w:szCs w:val="32"/>
        </w:rPr>
        <w:t>D-1 - Incorporation by Reference</w:t>
      </w:r>
      <w:bookmarkEnd w:id="151"/>
    </w:p>
    <w:p>
      <w:pPr>
        <w:pStyle w:val="Normal"/>
      </w:pPr>
      <w:r>
        <w:rPr>
          <w:rFonts w:ascii="Cambria" w:hAnsi="Cambria" w:eastAsia="Microsoft YaHei" w:cs="Cambria"/>
          <w:color w:val="1A1A2E"/>
          <w:sz w:val="22"/>
          <w:szCs w:val="22"/>
        </w:rPr>
        <w:t>Each Annex below is self-contained and enters this instrument by a single sentence of adoption. The Annexes carry the granular technical text; this instrument carries the architecture that binds them. Where an Annex and the body of this instrument differ on a matter within the Annex's subject, the more specific Annex provision governs that matter. An Annex placed on modular hold suspends without affecting any other Annex or the operative core.</w:t>
      </w:r>
    </w:p>
    <w:p>
      <w:pPr>
        <w:pStyle w:val="Normal"/>
      </w:pPr>
      <w:r>
        <w:rPr>
          <w:rFonts w:ascii="Cambria" w:hAnsi="Cambria" w:eastAsia="Microsoft YaHei" w:cs="Cambria"/>
          <w:color w:val="1A1A2E"/>
          <w:sz w:val="22"/>
          <w:szCs w:val="22"/>
        </w:rPr>
        <w:t>Sentence of adoption (operative): "The Parties adopt Annexes M, N, N.a, O, P, Q, R.a, R.b, S, T, U, V, W, X, Y, Z, and NORM as integral and operative parts of this Memorandum of Understanding, each effective on the date it specifies, and each governing within its subject matter under the present-tense, mutual-architecture construction of Article 12."</w:t>
      </w:r>
    </w:p>
    <w:p>
      <w:pPr>
        <w:pStyle w:val="Heading2"/>
      </w:pPr>
      <w:bookmarkStart w:name="_Toc152" w:id="152"/>
      <w:r>
        <w:rPr>
          <w:rFonts w:ascii="Cambria" w:hAnsi="Cambria" w:eastAsia="Microsoft YaHei" w:cs="Cambria"/>
          <w:b/>
          <w:color w:val="2D4A6F"/>
          <w:sz w:val="32"/>
          <w:szCs w:val="32"/>
        </w:rPr>
        <w:t>D-2 - The Register</w:t>
      </w:r>
      <w:bookmarkEnd w:id="152"/>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Annex</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Title and Function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Closes / Serves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Phase</w:t>
            </w:r>
          </w:p>
        </w:tc>
      </w:tr>
      <w:tr>
        <w:tc>
          <w:tcPr>
            <w:tcW w:w="2000" w:type="dxa"/>
          </w:tcPr>
          <w:p>
            <w:pPr>
              <w:pStyle w:val="Normal"/>
              <w:spacing w:before="40" w:after="40"/>
            </w:pPr>
            <w:r>
              <w:rPr>
                <w:color w:val="4A4A5A"/>
                <w:sz w:val="18"/>
                <w:rFonts w:ascii="Cambria" w:hAnsi="Cambria" w:eastAsia="Microsoft YaHei" w:cs="Cambria"/>
                <w:szCs w:val="18"/>
              </w:rPr>
              <w:t>M</w:t>
            </w:r>
          </w:p>
        </w:tc>
        <w:tc>
          <w:tcPr>
            <w:tcW w:w="2000" w:type="dxa"/>
          </w:tcPr>
          <w:p>
            <w:pPr>
              <w:pStyle w:val="Normal"/>
              <w:spacing w:before="40" w:after="40"/>
            </w:pPr>
            <w:r>
              <w:rPr>
                <w:color w:val="4A4A5A"/>
                <w:sz w:val="18"/>
                <w:rFonts w:ascii="Cambria" w:hAnsi="Cambria" w:eastAsia="Microsoft YaHei" w:cs="Cambria"/>
                <w:szCs w:val="18"/>
              </w:rPr>
              <w:t>Territorial Baseline and Ceasefire Demarcation - the factual and legal baseline for all territorial ceilings</w:t>
            </w:r>
          </w:p>
        </w:tc>
        <w:tc>
          <w:tcPr>
            <w:tcW w:w="2000" w:type="dxa"/>
          </w:tcPr>
          <w:p>
            <w:pPr>
              <w:pStyle w:val="Normal"/>
              <w:spacing w:before="40" w:after="40"/>
            </w:pPr>
            <w:r>
              <w:rPr>
                <w:color w:val="4A4A5A"/>
                <w:sz w:val="18"/>
                <w:rFonts w:ascii="Cambria" w:hAnsi="Cambria" w:eastAsia="Microsoft YaHei" w:cs="Cambria"/>
                <w:szCs w:val="18"/>
              </w:rPr>
              <w:t>Gap 5 (regional)</w:t>
            </w:r>
          </w:p>
        </w:tc>
        <w:tc>
          <w:tcPr>
            <w:tcW w:w="2000" w:type="dxa"/>
          </w:tcPr>
          <w:p>
            <w:pPr>
              <w:pStyle w:val="Normal"/>
              <w:spacing w:before="40" w:after="40"/>
            </w:pPr>
            <w:r>
              <w:rPr>
                <w:color w:val="4A4A5A"/>
                <w:sz w:val="18"/>
                <w:rFonts w:ascii="Cambria" w:hAnsi="Cambria" w:eastAsia="Microsoft YaHei" w:cs="Cambria"/>
                <w:szCs w:val="18"/>
              </w:rPr>
              <w:t>I</w:t>
            </w:r>
          </w:p>
        </w:tc>
      </w:tr>
      <w:tr>
        <w:tc>
          <w:tcPr>
            <w:tcW w:w="2000" w:type="dxa"/>
          </w:tcPr>
          <w:p>
            <w:pPr>
              <w:pStyle w:val="Normal"/>
              <w:spacing w:before="40" w:after="40"/>
            </w:pPr>
            <w:r>
              <w:rPr>
                <w:color w:val="4A4A5A"/>
                <w:sz w:val="18"/>
                <w:rFonts w:ascii="Cambria" w:hAnsi="Cambria" w:eastAsia="Microsoft YaHei" w:cs="Cambria"/>
                <w:szCs w:val="18"/>
              </w:rPr>
              <w:t>N</w:t>
            </w:r>
          </w:p>
        </w:tc>
        <w:tc>
          <w:tcPr>
            <w:tcW w:w="2000" w:type="dxa"/>
          </w:tcPr>
          <w:p>
            <w:pPr>
              <w:pStyle w:val="Normal"/>
              <w:spacing w:before="40" w:after="40"/>
            </w:pPr>
            <w:r>
              <w:rPr>
                <w:color w:val="4A4A5A"/>
                <w:sz w:val="18"/>
                <w:rFonts w:ascii="Cambria" w:hAnsi="Cambria" w:eastAsia="Microsoft YaHei" w:cs="Cambria"/>
                <w:szCs w:val="18"/>
              </w:rPr>
              <w:t>Non-Interdiction and Maritime Transit Integrity - removes any authority to halt a vessel over a fee dispute</w:t>
            </w:r>
          </w:p>
        </w:tc>
        <w:tc>
          <w:tcPr>
            <w:tcW w:w="2000" w:type="dxa"/>
          </w:tcPr>
          <w:p>
            <w:pPr>
              <w:pStyle w:val="Normal"/>
              <w:spacing w:before="40" w:after="40"/>
            </w:pPr>
            <w:r>
              <w:rPr>
                <w:color w:val="4A4A5A"/>
                <w:sz w:val="18"/>
                <w:rFonts w:ascii="Cambria" w:hAnsi="Cambria" w:eastAsia="Microsoft YaHei" w:cs="Cambria"/>
                <w:szCs w:val="18"/>
              </w:rPr>
              <w:t>Gap 4 (Hormuz)</w:t>
            </w:r>
          </w:p>
        </w:tc>
        <w:tc>
          <w:tcPr>
            <w:tcW w:w="2000" w:type="dxa"/>
          </w:tcPr>
          <w:p>
            <w:pPr>
              <w:pStyle w:val="Normal"/>
              <w:spacing w:before="40" w:after="40"/>
            </w:pPr>
            <w:r>
              <w:rPr>
                <w:color w:val="4A4A5A"/>
                <w:sz w:val="18"/>
                <w:rFonts w:ascii="Cambria" w:hAnsi="Cambria" w:eastAsia="Microsoft YaHei" w:cs="Cambria"/>
                <w:szCs w:val="18"/>
              </w:rPr>
              <w:t>I-II</w:t>
            </w:r>
          </w:p>
        </w:tc>
      </w:tr>
      <w:tr>
        <w:tc>
          <w:tcPr>
            <w:tcW w:w="2000" w:type="dxa"/>
          </w:tcPr>
          <w:p>
            <w:pPr>
              <w:pStyle w:val="Normal"/>
              <w:spacing w:before="40" w:after="40"/>
            </w:pPr>
            <w:r>
              <w:rPr>
                <w:color w:val="4A4A5A"/>
                <w:sz w:val="18"/>
                <w:rFonts w:ascii="Cambria" w:hAnsi="Cambria" w:eastAsia="Microsoft YaHei" w:cs="Cambria"/>
                <w:szCs w:val="18"/>
              </w:rPr>
              <w:t>N.a</w:t>
            </w:r>
          </w:p>
        </w:tc>
        <w:tc>
          <w:tcPr>
            <w:tcW w:w="2000" w:type="dxa"/>
          </w:tcPr>
          <w:p>
            <w:pPr>
              <w:pStyle w:val="Normal"/>
              <w:spacing w:before="40" w:after="40"/>
            </w:pPr>
            <w:r>
              <w:rPr>
                <w:color w:val="4A4A5A"/>
                <w:sz w:val="18"/>
                <w:rFonts w:ascii="Cambria" w:hAnsi="Cambria" w:eastAsia="Microsoft YaHei" w:cs="Cambria"/>
                <w:szCs w:val="18"/>
              </w:rPr>
              <w:t>Maritime Backdoor Closure - automatic classification, escort and override authority, financial penalties for pretextual interdiction</w:t>
            </w:r>
          </w:p>
        </w:tc>
        <w:tc>
          <w:tcPr>
            <w:tcW w:w="2000" w:type="dxa"/>
          </w:tcPr>
          <w:p>
            <w:pPr>
              <w:pStyle w:val="Normal"/>
              <w:spacing w:before="40" w:after="40"/>
            </w:pPr>
            <w:r>
              <w:rPr>
                <w:color w:val="4A4A5A"/>
                <w:sz w:val="18"/>
                <w:rFonts w:ascii="Cambria" w:hAnsi="Cambria" w:eastAsia="Microsoft YaHei" w:cs="Cambria"/>
                <w:szCs w:val="18"/>
              </w:rPr>
              <w:t>Gap 4 (enforcement)</w:t>
            </w:r>
          </w:p>
        </w:tc>
        <w:tc>
          <w:tcPr>
            <w:tcW w:w="2000" w:type="dxa"/>
          </w:tcPr>
          <w:p>
            <w:pPr>
              <w:pStyle w:val="Normal"/>
              <w:spacing w:before="40" w:after="40"/>
            </w:pPr>
            <w:r>
              <w:rPr>
                <w:color w:val="4A4A5A"/>
                <w:sz w:val="18"/>
                <w:rFonts w:ascii="Cambria" w:hAnsi="Cambria" w:eastAsia="Microsoft YaHei" w:cs="Cambria"/>
                <w:szCs w:val="18"/>
              </w:rPr>
              <w:t>I-II</w:t>
            </w:r>
          </w:p>
        </w:tc>
      </w:tr>
      <w:tr>
        <w:tc>
          <w:tcPr>
            <w:tcW w:w="2000" w:type="dxa"/>
          </w:tcPr>
          <w:p>
            <w:pPr>
              <w:pStyle w:val="Normal"/>
              <w:spacing w:before="40" w:after="40"/>
            </w:pPr>
            <w:r>
              <w:rPr>
                <w:color w:val="4A4A5A"/>
                <w:sz w:val="18"/>
                <w:rFonts w:ascii="Cambria" w:hAnsi="Cambria" w:eastAsia="Microsoft YaHei" w:cs="Cambria"/>
                <w:szCs w:val="18"/>
              </w:rPr>
              <w:t>O</w:t>
            </w:r>
          </w:p>
        </w:tc>
        <w:tc>
          <w:tcPr>
            <w:tcW w:w="2000" w:type="dxa"/>
          </w:tcPr>
          <w:p>
            <w:pPr>
              <w:pStyle w:val="Normal"/>
              <w:spacing w:before="40" w:after="40"/>
            </w:pPr>
            <w:r>
              <w:rPr>
                <w:color w:val="4A4A5A"/>
                <w:sz w:val="18"/>
                <w:rFonts w:ascii="Cambria" w:hAnsi="Cambria" w:eastAsia="Microsoft YaHei" w:cs="Cambria"/>
                <w:szCs w:val="18"/>
              </w:rPr>
              <w:t>IAEA Access and Site Integrity - access to damaged sites and joint damage assessment</w:t>
            </w:r>
          </w:p>
        </w:tc>
        <w:tc>
          <w:tcPr>
            <w:tcW w:w="2000" w:type="dxa"/>
          </w:tcPr>
          <w:p>
            <w:pPr>
              <w:pStyle w:val="Normal"/>
              <w:spacing w:before="40" w:after="40"/>
            </w:pPr>
            <w:r>
              <w:rPr>
                <w:color w:val="4A4A5A"/>
                <w:sz w:val="18"/>
                <w:rFonts w:ascii="Cambria" w:hAnsi="Cambria" w:eastAsia="Microsoft YaHei" w:cs="Cambria"/>
                <w:szCs w:val="18"/>
              </w:rPr>
              <w:t>Gap 1 (verification)</w:t>
            </w:r>
          </w:p>
        </w:tc>
        <w:tc>
          <w:tcPr>
            <w:tcW w:w="2000" w:type="dxa"/>
          </w:tcPr>
          <w:p>
            <w:pPr>
              <w:pStyle w:val="Normal"/>
              <w:spacing w:before="40" w:after="40"/>
            </w:pPr>
            <w:r>
              <w:rPr>
                <w:color w:val="4A4A5A"/>
                <w:sz w:val="18"/>
                <w:rFonts w:ascii="Cambria" w:hAnsi="Cambria" w:eastAsia="Microsoft YaHei" w:cs="Cambria"/>
                <w:szCs w:val="18"/>
              </w:rPr>
              <w:t>I-II</w:t>
            </w:r>
          </w:p>
        </w:tc>
      </w:tr>
      <w:tr>
        <w:tc>
          <w:tcPr>
            <w:tcW w:w="2000" w:type="dxa"/>
          </w:tcPr>
          <w:p>
            <w:pPr>
              <w:pStyle w:val="Normal"/>
              <w:spacing w:before="40" w:after="40"/>
            </w:pPr>
            <w:r>
              <w:rPr>
                <w:color w:val="4A4A5A"/>
                <w:sz w:val="18"/>
                <w:rFonts w:ascii="Cambria" w:hAnsi="Cambria" w:eastAsia="Microsoft YaHei" w:cs="Cambria"/>
                <w:szCs w:val="18"/>
              </w:rPr>
              <w:t>P</w:t>
            </w:r>
          </w:p>
        </w:tc>
        <w:tc>
          <w:tcPr>
            <w:tcW w:w="2000" w:type="dxa"/>
          </w:tcPr>
          <w:p>
            <w:pPr>
              <w:pStyle w:val="Normal"/>
              <w:spacing w:before="40" w:after="40"/>
            </w:pPr>
            <w:r>
              <w:rPr>
                <w:color w:val="4A4A5A"/>
                <w:sz w:val="18"/>
                <w:rFonts w:ascii="Cambria" w:hAnsi="Cambria" w:eastAsia="Microsoft YaHei" w:cs="Cambria"/>
                <w:szCs w:val="18"/>
              </w:rPr>
              <w:t>Damaged Material - condition of HEU cylinders; in-situ downblending as default disposition</w:t>
            </w:r>
          </w:p>
        </w:tc>
        <w:tc>
          <w:tcPr>
            <w:tcW w:w="2000" w:type="dxa"/>
          </w:tcPr>
          <w:p>
            <w:pPr>
              <w:pStyle w:val="Normal"/>
              <w:spacing w:before="40" w:after="40"/>
            </w:pPr>
            <w:r>
              <w:rPr>
                <w:color w:val="4A4A5A"/>
                <w:sz w:val="18"/>
                <w:rFonts w:ascii="Cambria" w:hAnsi="Cambria" w:eastAsia="Microsoft YaHei" w:cs="Cambria"/>
                <w:szCs w:val="18"/>
              </w:rPr>
              <w:t>Gap 1 (disposition)</w:t>
            </w:r>
          </w:p>
        </w:tc>
        <w:tc>
          <w:tcPr>
            <w:tcW w:w="2000" w:type="dxa"/>
          </w:tcPr>
          <w:p>
            <w:pPr>
              <w:pStyle w:val="Normal"/>
              <w:spacing w:before="40" w:after="40"/>
            </w:pPr>
            <w:r>
              <w:rPr>
                <w:color w:val="4A4A5A"/>
                <w:sz w:val="18"/>
                <w:rFonts w:ascii="Cambria" w:hAnsi="Cambria" w:eastAsia="Microsoft YaHei" w:cs="Cambria"/>
                <w:szCs w:val="18"/>
              </w:rPr>
              <w:t>II</w:t>
            </w:r>
          </w:p>
        </w:tc>
      </w:tr>
      <w:tr>
        <w:tc>
          <w:tcPr>
            <w:tcW w:w="2000" w:type="dxa"/>
          </w:tcPr>
          <w:p>
            <w:pPr>
              <w:pStyle w:val="Normal"/>
              <w:spacing w:before="40" w:after="40"/>
            </w:pPr>
            <w:r>
              <w:rPr>
                <w:color w:val="4A4A5A"/>
                <w:sz w:val="18"/>
                <w:rFonts w:ascii="Cambria" w:hAnsi="Cambria" w:eastAsia="Microsoft YaHei" w:cs="Cambria"/>
                <w:szCs w:val="18"/>
              </w:rPr>
              <w:t>Q</w:t>
            </w:r>
          </w:p>
        </w:tc>
        <w:tc>
          <w:tcPr>
            <w:tcW w:w="2000" w:type="dxa"/>
          </w:tcPr>
          <w:p>
            <w:pPr>
              <w:pStyle w:val="Normal"/>
              <w:spacing w:before="40" w:after="40"/>
            </w:pPr>
            <w:r>
              <w:rPr>
                <w:color w:val="4A4A5A"/>
                <w:sz w:val="18"/>
                <w:rFonts w:ascii="Cambria" w:hAnsi="Cambria" w:eastAsia="Microsoft YaHei" w:cs="Cambria"/>
                <w:szCs w:val="18"/>
              </w:rPr>
              <w:t>IRGC Access Compliance - an IRGC denial counts as an Iranian denial</w:t>
            </w:r>
          </w:p>
        </w:tc>
        <w:tc>
          <w:tcPr>
            <w:tcW w:w="2000" w:type="dxa"/>
          </w:tcPr>
          <w:p>
            <w:pPr>
              <w:pStyle w:val="Normal"/>
              <w:spacing w:before="40" w:after="40"/>
            </w:pPr>
            <w:r>
              <w:rPr>
                <w:color w:val="4A4A5A"/>
                <w:sz w:val="18"/>
                <w:rFonts w:ascii="Cambria" w:hAnsi="Cambria" w:eastAsia="Microsoft YaHei" w:cs="Cambria"/>
                <w:szCs w:val="18"/>
              </w:rPr>
              <w:t>Gap 1 (access)</w:t>
            </w:r>
          </w:p>
        </w:tc>
        <w:tc>
          <w:tcPr>
            <w:tcW w:w="2000" w:type="dxa"/>
          </w:tcPr>
          <w:p>
            <w:pPr>
              <w:pStyle w:val="Normal"/>
              <w:spacing w:before="40" w:after="40"/>
            </w:pPr>
            <w:r>
              <w:rPr>
                <w:color w:val="4A4A5A"/>
                <w:sz w:val="18"/>
                <w:rFonts w:ascii="Cambria" w:hAnsi="Cambria" w:eastAsia="Microsoft YaHei" w:cs="Cambria"/>
                <w:szCs w:val="18"/>
              </w:rPr>
              <w:t>I-II</w:t>
            </w:r>
          </w:p>
        </w:tc>
      </w:tr>
      <w:tr>
        <w:tc>
          <w:tcPr>
            <w:tcW w:w="2000" w:type="dxa"/>
          </w:tcPr>
          <w:p>
            <w:pPr>
              <w:pStyle w:val="Normal"/>
              <w:spacing w:before="40" w:after="40"/>
            </w:pPr>
            <w:r>
              <w:rPr>
                <w:color w:val="4A4A5A"/>
                <w:sz w:val="18"/>
                <w:rFonts w:ascii="Cambria" w:hAnsi="Cambria" w:eastAsia="Microsoft YaHei" w:cs="Cambria"/>
                <w:szCs w:val="18"/>
              </w:rPr>
              <w:t>R.a</w:t>
            </w:r>
          </w:p>
        </w:tc>
        <w:tc>
          <w:tcPr>
            <w:tcW w:w="2000" w:type="dxa"/>
          </w:tcPr>
          <w:p>
            <w:pPr>
              <w:pStyle w:val="Normal"/>
              <w:spacing w:before="40" w:after="40"/>
            </w:pPr>
            <w:r>
              <w:rPr>
                <w:color w:val="4A4A5A"/>
                <w:sz w:val="18"/>
                <w:rFonts w:ascii="Cambria" w:hAnsi="Cambria" w:eastAsia="Microsoft YaHei" w:cs="Cambria"/>
                <w:szCs w:val="18"/>
              </w:rPr>
              <w:t>Escalation Buffer Activation - automatic 72-hour buffer, response-time and facilitator accountability, false-flag provisions</w:t>
            </w:r>
          </w:p>
        </w:tc>
        <w:tc>
          <w:tcPr>
            <w:tcW w:w="2000" w:type="dxa"/>
          </w:tcPr>
          <w:p>
            <w:pPr>
              <w:pStyle w:val="Normal"/>
              <w:spacing w:before="40" w:after="40"/>
            </w:pPr>
            <w:r>
              <w:rPr>
                <w:color w:val="4A4A5A"/>
                <w:sz w:val="18"/>
                <w:rFonts w:ascii="Cambria" w:hAnsi="Cambria" w:eastAsia="Microsoft YaHei" w:cs="Cambria"/>
                <w:szCs w:val="18"/>
              </w:rPr>
              <w:t>Crisis resilience</w:t>
            </w:r>
          </w:p>
        </w:tc>
        <w:tc>
          <w:tcPr>
            <w:tcW w:w="2000" w:type="dxa"/>
          </w:tcPr>
          <w:p>
            <w:pPr>
              <w:pStyle w:val="Normal"/>
              <w:spacing w:before="40" w:after="40"/>
            </w:pPr>
            <w:r>
              <w:rPr>
                <w:color w:val="4A4A5A"/>
                <w:sz w:val="18"/>
                <w:rFonts w:ascii="Cambria" w:hAnsi="Cambria" w:eastAsia="Microsoft YaHei" w:cs="Cambria"/>
                <w:szCs w:val="18"/>
              </w:rPr>
              <w:t>All</w:t>
            </w:r>
          </w:p>
        </w:tc>
      </w:tr>
      <w:tr>
        <w:tc>
          <w:tcPr>
            <w:tcW w:w="2000" w:type="dxa"/>
          </w:tcPr>
          <w:p>
            <w:pPr>
              <w:pStyle w:val="Normal"/>
              <w:spacing w:before="40" w:after="40"/>
            </w:pPr>
            <w:r>
              <w:rPr>
                <w:color w:val="4A4A5A"/>
                <w:sz w:val="18"/>
                <w:rFonts w:ascii="Cambria" w:hAnsi="Cambria" w:eastAsia="Microsoft YaHei" w:cs="Cambria"/>
                <w:szCs w:val="18"/>
              </w:rPr>
              <w:t>R.b</w:t>
            </w:r>
          </w:p>
        </w:tc>
        <w:tc>
          <w:tcPr>
            <w:tcW w:w="2000" w:type="dxa"/>
          </w:tcPr>
          <w:p>
            <w:pPr>
              <w:pStyle w:val="Normal"/>
              <w:spacing w:before="40" w:after="40"/>
            </w:pPr>
            <w:r>
              <w:rPr>
                <w:color w:val="4A4A5A"/>
                <w:sz w:val="18"/>
                <w:rFonts w:ascii="Cambria" w:hAnsi="Cambria" w:eastAsia="Microsoft YaHei" w:cs="Cambria"/>
                <w:szCs w:val="18"/>
              </w:rPr>
              <w:t>Narrative Dispute Resolution - framing-autonomy disputes; handles any characterization that materially misrepresents a verified technical fact</w:t>
            </w:r>
          </w:p>
        </w:tc>
        <w:tc>
          <w:tcPr>
            <w:tcW w:w="2000" w:type="dxa"/>
          </w:tcPr>
          <w:p>
            <w:pPr>
              <w:pStyle w:val="Normal"/>
              <w:spacing w:before="40" w:after="40"/>
            </w:pPr>
            <w:r>
              <w:rPr>
                <w:color w:val="4A4A5A"/>
                <w:sz w:val="18"/>
                <w:rFonts w:ascii="Cambria" w:hAnsi="Cambria" w:eastAsia="Microsoft YaHei" w:cs="Cambria"/>
                <w:szCs w:val="18"/>
              </w:rPr>
              <w:t>Framing autonomy</w:t>
            </w:r>
          </w:p>
        </w:tc>
        <w:tc>
          <w:tcPr>
            <w:tcW w:w="2000" w:type="dxa"/>
          </w:tcPr>
          <w:p>
            <w:pPr>
              <w:pStyle w:val="Normal"/>
              <w:spacing w:before="40" w:after="40"/>
            </w:pPr>
            <w:r>
              <w:rPr>
                <w:color w:val="4A4A5A"/>
                <w:sz w:val="18"/>
                <w:rFonts w:ascii="Cambria" w:hAnsi="Cambria" w:eastAsia="Microsoft YaHei" w:cs="Cambria"/>
                <w:szCs w:val="18"/>
              </w:rPr>
              <w:t>All</w:t>
            </w:r>
          </w:p>
        </w:tc>
      </w:tr>
      <w:tr>
        <w:tc>
          <w:tcPr>
            <w:tcW w:w="2000" w:type="dxa"/>
          </w:tcPr>
          <w:p>
            <w:pPr>
              <w:pStyle w:val="Normal"/>
              <w:spacing w:before="40" w:after="40"/>
            </w:pPr>
            <w:r>
              <w:rPr>
                <w:color w:val="4A4A5A"/>
                <w:sz w:val="18"/>
                <w:rFonts w:ascii="Cambria" w:hAnsi="Cambria" w:eastAsia="Microsoft YaHei" w:cs="Cambria"/>
                <w:szCs w:val="18"/>
              </w:rPr>
              <w:t>S</w:t>
            </w:r>
          </w:p>
        </w:tc>
        <w:tc>
          <w:tcPr>
            <w:tcW w:w="2000" w:type="dxa"/>
          </w:tcPr>
          <w:p>
            <w:pPr>
              <w:pStyle w:val="Normal"/>
              <w:spacing w:before="40" w:after="40"/>
            </w:pPr>
            <w:r>
              <w:rPr>
                <w:color w:val="4A4A5A"/>
                <w:sz w:val="18"/>
                <w:rFonts w:ascii="Cambria" w:hAnsi="Cambria" w:eastAsia="Microsoft YaHei" w:cs="Cambria"/>
                <w:szCs w:val="18"/>
              </w:rPr>
              <w:t>60-Day Reciprocal Sequencing Schedule - week-by-week pairing of relief, de-escalation, and verification</w:t>
            </w:r>
          </w:p>
        </w:tc>
        <w:tc>
          <w:tcPr>
            <w:tcW w:w="2000" w:type="dxa"/>
          </w:tcPr>
          <w:p>
            <w:pPr>
              <w:pStyle w:val="Normal"/>
              <w:spacing w:before="40" w:after="40"/>
            </w:pPr>
            <w:r>
              <w:rPr>
                <w:color w:val="4A4A5A"/>
                <w:sz w:val="18"/>
                <w:rFonts w:ascii="Cambria" w:hAnsi="Cambria" w:eastAsia="Microsoft YaHei" w:cs="Cambria"/>
                <w:szCs w:val="18"/>
              </w:rPr>
              <w:t>Gap 2 (sequencing)</w:t>
            </w:r>
          </w:p>
        </w:tc>
        <w:tc>
          <w:tcPr>
            <w:tcW w:w="2000" w:type="dxa"/>
          </w:tcPr>
          <w:p>
            <w:pPr>
              <w:pStyle w:val="Normal"/>
              <w:spacing w:before="40" w:after="40"/>
            </w:pPr>
            <w:r>
              <w:rPr>
                <w:color w:val="4A4A5A"/>
                <w:sz w:val="18"/>
                <w:rFonts w:ascii="Cambria" w:hAnsi="Cambria" w:eastAsia="Microsoft YaHei" w:cs="Cambria"/>
                <w:szCs w:val="18"/>
              </w:rPr>
              <w:t>II</w:t>
            </w:r>
          </w:p>
        </w:tc>
      </w:tr>
      <w:tr>
        <w:tc>
          <w:tcPr>
            <w:tcW w:w="2000" w:type="dxa"/>
          </w:tcPr>
          <w:p>
            <w:pPr>
              <w:pStyle w:val="Normal"/>
              <w:spacing w:before="40" w:after="40"/>
            </w:pPr>
            <w:r>
              <w:rPr>
                <w:color w:val="4A4A5A"/>
                <w:sz w:val="18"/>
                <w:rFonts w:ascii="Cambria" w:hAnsi="Cambria" w:eastAsia="Microsoft YaHei" w:cs="Cambria"/>
                <w:szCs w:val="18"/>
              </w:rPr>
              <w:t>T</w:t>
            </w:r>
          </w:p>
        </w:tc>
        <w:tc>
          <w:tcPr>
            <w:tcW w:w="2000" w:type="dxa"/>
          </w:tcPr>
          <w:p>
            <w:pPr>
              <w:pStyle w:val="Normal"/>
              <w:spacing w:before="40" w:after="40"/>
            </w:pPr>
            <w:r>
              <w:rPr>
                <w:color w:val="4A4A5A"/>
                <w:sz w:val="18"/>
                <w:rFonts w:ascii="Cambria" w:hAnsi="Cambria" w:eastAsia="Microsoft YaHei" w:cs="Cambria"/>
                <w:szCs w:val="18"/>
              </w:rPr>
              <w:t>Adaptive Stabilization and Compliance Resilience Matrix - sectoral firewalls, step-back, verified earn-back</w:t>
            </w:r>
          </w:p>
        </w:tc>
        <w:tc>
          <w:tcPr>
            <w:tcW w:w="2000" w:type="dxa"/>
          </w:tcPr>
          <w:p>
            <w:pPr>
              <w:pStyle w:val="Normal"/>
              <w:spacing w:before="40" w:after="40"/>
            </w:pPr>
            <w:r>
              <w:rPr>
                <w:color w:val="4A4A5A"/>
                <w:sz w:val="18"/>
                <w:rFonts w:ascii="Cambria" w:hAnsi="Cambria" w:eastAsia="Microsoft YaHei" w:cs="Cambria"/>
                <w:szCs w:val="18"/>
              </w:rPr>
              <w:t>Gap 3 (reversibility)</w:t>
            </w:r>
          </w:p>
        </w:tc>
        <w:tc>
          <w:tcPr>
            <w:tcW w:w="2000" w:type="dxa"/>
          </w:tcPr>
          <w:p>
            <w:pPr>
              <w:pStyle w:val="Normal"/>
              <w:spacing w:before="40" w:after="40"/>
            </w:pPr>
            <w:r>
              <w:rPr>
                <w:color w:val="4A4A5A"/>
                <w:sz w:val="18"/>
                <w:rFonts w:ascii="Cambria" w:hAnsi="Cambria" w:eastAsia="Microsoft YaHei" w:cs="Cambria"/>
                <w:szCs w:val="18"/>
              </w:rPr>
              <w:t>All</w:t>
            </w:r>
          </w:p>
        </w:tc>
      </w:tr>
      <w:tr>
        <w:tc>
          <w:tcPr>
            <w:tcW w:w="2000" w:type="dxa"/>
          </w:tcPr>
          <w:p>
            <w:pPr>
              <w:pStyle w:val="Normal"/>
              <w:spacing w:before="40" w:after="40"/>
            </w:pPr>
            <w:r>
              <w:rPr>
                <w:color w:val="4A4A5A"/>
                <w:sz w:val="18"/>
                <w:rFonts w:ascii="Cambria" w:hAnsi="Cambria" w:eastAsia="Microsoft YaHei" w:cs="Cambria"/>
                <w:szCs w:val="18"/>
              </w:rPr>
              <w:t>U</w:t>
            </w:r>
          </w:p>
        </w:tc>
        <w:tc>
          <w:tcPr>
            <w:tcW w:w="2000" w:type="dxa"/>
          </w:tcPr>
          <w:p>
            <w:pPr>
              <w:pStyle w:val="Normal"/>
              <w:spacing w:before="40" w:after="40"/>
            </w:pPr>
            <w:r>
              <w:rPr>
                <w:color w:val="4A4A5A"/>
                <w:sz w:val="18"/>
                <w:rFonts w:ascii="Cambria" w:hAnsi="Cambria" w:eastAsia="Microsoft YaHei" w:cs="Cambria"/>
                <w:szCs w:val="18"/>
              </w:rPr>
              <w:t>Technical Demarcation and Stabilization Addendum - Lebanon/Gaza freeze-in-place with proportional penalty matrix</w:t>
            </w:r>
          </w:p>
        </w:tc>
        <w:tc>
          <w:tcPr>
            <w:tcW w:w="2000" w:type="dxa"/>
          </w:tcPr>
          <w:p>
            <w:pPr>
              <w:pStyle w:val="Normal"/>
              <w:spacing w:before="40" w:after="40"/>
            </w:pPr>
            <w:r>
              <w:rPr>
                <w:color w:val="4A4A5A"/>
                <w:sz w:val="18"/>
                <w:rFonts w:ascii="Cambria" w:hAnsi="Cambria" w:eastAsia="Microsoft YaHei" w:cs="Cambria"/>
                <w:szCs w:val="18"/>
              </w:rPr>
              <w:t>Gap 5 (regional)</w:t>
            </w:r>
          </w:p>
        </w:tc>
        <w:tc>
          <w:tcPr>
            <w:tcW w:w="2000" w:type="dxa"/>
          </w:tcPr>
          <w:p>
            <w:pPr>
              <w:pStyle w:val="Normal"/>
              <w:spacing w:before="40" w:after="40"/>
            </w:pPr>
            <w:r>
              <w:rPr>
                <w:color w:val="4A4A5A"/>
                <w:sz w:val="18"/>
                <w:rFonts w:ascii="Cambria" w:hAnsi="Cambria" w:eastAsia="Microsoft YaHei" w:cs="Cambria"/>
                <w:szCs w:val="18"/>
              </w:rPr>
              <w:t>I</w:t>
            </w:r>
          </w:p>
        </w:tc>
      </w:tr>
      <w:tr>
        <w:tc>
          <w:tcPr>
            <w:tcW w:w="2000" w:type="dxa"/>
          </w:tcPr>
          <w:p>
            <w:pPr>
              <w:pStyle w:val="Normal"/>
              <w:spacing w:before="40" w:after="40"/>
            </w:pPr>
            <w:r>
              <w:rPr>
                <w:color w:val="4A4A5A"/>
                <w:sz w:val="18"/>
                <w:rFonts w:ascii="Cambria" w:hAnsi="Cambria" w:eastAsia="Microsoft YaHei" w:cs="Cambria"/>
                <w:szCs w:val="18"/>
              </w:rPr>
              <w:t>V</w:t>
            </w:r>
          </w:p>
        </w:tc>
        <w:tc>
          <w:tcPr>
            <w:tcW w:w="2000" w:type="dxa"/>
          </w:tcPr>
          <w:p>
            <w:pPr>
              <w:pStyle w:val="Normal"/>
              <w:spacing w:before="40" w:after="40"/>
            </w:pPr>
            <w:r>
              <w:rPr>
                <w:color w:val="4A4A5A"/>
                <w:sz w:val="18"/>
                <w:rFonts w:ascii="Cambria" w:hAnsi="Cambria" w:eastAsia="Microsoft YaHei" w:cs="Cambria"/>
                <w:szCs w:val="18"/>
              </w:rPr>
              <w:t>Nuclear Dust Protocol - sub-surface remediation and joint-sovereignty access (CANDOR); entombment fallback</w:t>
            </w:r>
          </w:p>
        </w:tc>
        <w:tc>
          <w:tcPr>
            <w:tcW w:w="2000" w:type="dxa"/>
          </w:tcPr>
          <w:p>
            <w:pPr>
              <w:pStyle w:val="Normal"/>
              <w:spacing w:before="40" w:after="40"/>
            </w:pPr>
            <w:r>
              <w:rPr>
                <w:color w:val="4A4A5A"/>
                <w:sz w:val="18"/>
                <w:rFonts w:ascii="Cambria" w:hAnsi="Cambria" w:eastAsia="Microsoft YaHei" w:cs="Cambria"/>
                <w:szCs w:val="18"/>
              </w:rPr>
              <w:t>Gap 1 (remediation)</w:t>
            </w:r>
          </w:p>
        </w:tc>
        <w:tc>
          <w:tcPr>
            <w:tcW w:w="2000" w:type="dxa"/>
          </w:tcPr>
          <w:p>
            <w:pPr>
              <w:pStyle w:val="Normal"/>
              <w:spacing w:before="40" w:after="40"/>
            </w:pPr>
            <w:r>
              <w:rPr>
                <w:color w:val="4A4A5A"/>
                <w:sz w:val="18"/>
                <w:rFonts w:ascii="Cambria" w:hAnsi="Cambria" w:eastAsia="Microsoft YaHei" w:cs="Cambria"/>
                <w:szCs w:val="18"/>
              </w:rPr>
              <w:t>II</w:t>
            </w:r>
          </w:p>
        </w:tc>
      </w:tr>
      <w:tr>
        <w:tc>
          <w:tcPr>
            <w:tcW w:w="2000" w:type="dxa"/>
          </w:tcPr>
          <w:p>
            <w:pPr>
              <w:pStyle w:val="Normal"/>
              <w:spacing w:before="40" w:after="40"/>
            </w:pPr>
            <w:r>
              <w:rPr>
                <w:color w:val="4A4A5A"/>
                <w:sz w:val="18"/>
                <w:rFonts w:ascii="Cambria" w:hAnsi="Cambria" w:eastAsia="Microsoft YaHei" w:cs="Cambria"/>
                <w:szCs w:val="18"/>
              </w:rPr>
              <w:t>W</w:t>
            </w:r>
          </w:p>
        </w:tc>
        <w:tc>
          <w:tcPr>
            <w:tcW w:w="2000" w:type="dxa"/>
          </w:tcPr>
          <w:p>
            <w:pPr>
              <w:pStyle w:val="Normal"/>
              <w:spacing w:before="40" w:after="40"/>
            </w:pPr>
            <w:r>
              <w:rPr>
                <w:color w:val="4A4A5A"/>
                <w:sz w:val="18"/>
                <w:rFonts w:ascii="Cambria" w:hAnsi="Cambria" w:eastAsia="Microsoft YaHei" w:cs="Cambria"/>
                <w:szCs w:val="18"/>
              </w:rPr>
              <w:t>Maritime Telemetry and Dual-Key Transit - real-time verification, dual-key authorization, Day-1 conditional reopening</w:t>
            </w:r>
          </w:p>
        </w:tc>
        <w:tc>
          <w:tcPr>
            <w:tcW w:w="2000" w:type="dxa"/>
          </w:tcPr>
          <w:p>
            <w:pPr>
              <w:pStyle w:val="Normal"/>
              <w:spacing w:before="40" w:after="40"/>
            </w:pPr>
            <w:r>
              <w:rPr>
                <w:color w:val="4A4A5A"/>
                <w:sz w:val="18"/>
                <w:rFonts w:ascii="Cambria" w:hAnsi="Cambria" w:eastAsia="Microsoft YaHei" w:cs="Cambria"/>
                <w:szCs w:val="18"/>
              </w:rPr>
              <w:t>Gap 4 (verification)</w:t>
            </w:r>
          </w:p>
        </w:tc>
        <w:tc>
          <w:tcPr>
            <w:tcW w:w="2000" w:type="dxa"/>
          </w:tcPr>
          <w:p>
            <w:pPr>
              <w:pStyle w:val="Normal"/>
              <w:spacing w:before="40" w:after="40"/>
            </w:pPr>
            <w:r>
              <w:rPr>
                <w:color w:val="4A4A5A"/>
                <w:sz w:val="18"/>
                <w:rFonts w:ascii="Cambria" w:hAnsi="Cambria" w:eastAsia="Microsoft YaHei" w:cs="Cambria"/>
                <w:szCs w:val="18"/>
              </w:rPr>
              <w:t>I-II</w:t>
            </w:r>
          </w:p>
        </w:tc>
      </w:tr>
      <w:tr>
        <w:tc>
          <w:tcPr>
            <w:tcW w:w="2000" w:type="dxa"/>
          </w:tcPr>
          <w:p>
            <w:pPr>
              <w:pStyle w:val="Normal"/>
              <w:spacing w:before="40" w:after="40"/>
            </w:pPr>
            <w:r>
              <w:rPr>
                <w:color w:val="4A4A5A"/>
                <w:sz w:val="18"/>
                <w:rFonts w:ascii="Cambria" w:hAnsi="Cambria" w:eastAsia="Microsoft YaHei" w:cs="Cambria"/>
                <w:szCs w:val="18"/>
              </w:rPr>
              <w:t>X</w:t>
            </w:r>
          </w:p>
        </w:tc>
        <w:tc>
          <w:tcPr>
            <w:tcW w:w="2000" w:type="dxa"/>
          </w:tcPr>
          <w:p>
            <w:pPr>
              <w:pStyle w:val="Normal"/>
              <w:spacing w:before="40" w:after="40"/>
            </w:pPr>
            <w:r>
              <w:rPr>
                <w:color w:val="4A4A5A"/>
                <w:sz w:val="18"/>
                <w:rFonts w:ascii="Cambria" w:hAnsi="Cambria" w:eastAsia="Microsoft YaHei" w:cs="Cambria"/>
                <w:szCs w:val="18"/>
              </w:rPr>
              <w:t>Mutual Standstill Understanding - US-Israel bilateral coordination channel; preserves Israel's freedom of action while preventing Israeli operations from collapsing the framework (Added from Provisional Steps Annex X)</w:t>
            </w:r>
          </w:p>
        </w:tc>
        <w:tc>
          <w:tcPr>
            <w:tcW w:w="2000" w:type="dxa"/>
          </w:tcPr>
          <w:p>
            <w:pPr>
              <w:pStyle w:val="Normal"/>
              <w:spacing w:before="40" w:after="40"/>
            </w:pPr>
            <w:r>
              <w:rPr>
                <w:color w:val="4A4A5A"/>
                <w:sz w:val="18"/>
                <w:rFonts w:ascii="Cambria" w:hAnsi="Cambria" w:eastAsia="Microsoft YaHei" w:cs="Cambria"/>
                <w:szCs w:val="18"/>
              </w:rPr>
              <w:t>Regional (non-Iran)</w:t>
            </w:r>
          </w:p>
        </w:tc>
        <w:tc>
          <w:tcPr>
            <w:tcW w:w="2000" w:type="dxa"/>
          </w:tcPr>
          <w:p>
            <w:pPr>
              <w:pStyle w:val="Normal"/>
              <w:spacing w:before="40" w:after="40"/>
            </w:pPr>
            <w:r>
              <w:rPr>
                <w:color w:val="4A4A5A"/>
                <w:sz w:val="18"/>
                <w:rFonts w:ascii="Cambria" w:hAnsi="Cambria" w:eastAsia="Microsoft YaHei" w:cs="Cambria"/>
                <w:szCs w:val="18"/>
              </w:rPr>
              <w:t>All</w:t>
            </w:r>
          </w:p>
        </w:tc>
      </w:tr>
      <w:tr>
        <w:tc>
          <w:tcPr>
            <w:tcW w:w="2000" w:type="dxa"/>
          </w:tcPr>
          <w:p>
            <w:pPr>
              <w:pStyle w:val="Normal"/>
              <w:spacing w:before="40" w:after="40"/>
            </w:pPr>
            <w:r>
              <w:rPr>
                <w:color w:val="4A4A5A"/>
                <w:sz w:val="18"/>
                <w:rFonts w:ascii="Cambria" w:hAnsi="Cambria" w:eastAsia="Microsoft YaHei" w:cs="Cambria"/>
                <w:szCs w:val="18"/>
              </w:rPr>
              <w:t>Y</w:t>
            </w:r>
          </w:p>
        </w:tc>
        <w:tc>
          <w:tcPr>
            <w:tcW w:w="2000" w:type="dxa"/>
          </w:tcPr>
          <w:p>
            <w:pPr>
              <w:pStyle w:val="Normal"/>
              <w:spacing w:before="40" w:after="40"/>
            </w:pPr>
            <w:r>
              <w:rPr>
                <w:color w:val="4A4A5A"/>
                <w:sz w:val="18"/>
                <w:rFonts w:ascii="Cambria" w:hAnsi="Cambria" w:eastAsia="Microsoft YaHei" w:cs="Cambria"/>
                <w:szCs w:val="18"/>
              </w:rPr>
              <w:t>Dual-Key Custody Protocol - for an in-country pathway: single sealed Esfahan store, two independent locks (IAEA + U.S.-designated), live dual-key feeds to Vienna and Washington, joint-supervised medical-isotope use only</w:t>
            </w:r>
          </w:p>
        </w:tc>
        <w:tc>
          <w:tcPr>
            <w:tcW w:w="2000" w:type="dxa"/>
          </w:tcPr>
          <w:p>
            <w:pPr>
              <w:pStyle w:val="Normal"/>
              <w:spacing w:before="40" w:after="40"/>
            </w:pPr>
            <w:r>
              <w:rPr>
                <w:color w:val="4A4A5A"/>
                <w:sz w:val="18"/>
                <w:rFonts w:ascii="Cambria" w:hAnsi="Cambria" w:eastAsia="Microsoft YaHei" w:cs="Cambria"/>
                <w:szCs w:val="18"/>
              </w:rPr>
              <w:t>Gap 1 (control)</w:t>
            </w:r>
          </w:p>
        </w:tc>
        <w:tc>
          <w:tcPr>
            <w:tcW w:w="2000" w:type="dxa"/>
          </w:tcPr>
          <w:p>
            <w:pPr>
              <w:pStyle w:val="Normal"/>
              <w:spacing w:before="40" w:after="40"/>
            </w:pPr>
            <w:r>
              <w:rPr>
                <w:color w:val="4A4A5A"/>
                <w:sz w:val="18"/>
                <w:rFonts w:ascii="Cambria" w:hAnsi="Cambria" w:eastAsia="Microsoft YaHei" w:cs="Cambria"/>
                <w:szCs w:val="18"/>
              </w:rPr>
              <w:t>II</w:t>
            </w:r>
          </w:p>
        </w:tc>
      </w:tr>
      <w:tr>
        <w:tc>
          <w:tcPr>
            <w:tcW w:w="2000" w:type="dxa"/>
          </w:tcPr>
          <w:p>
            <w:pPr>
              <w:pStyle w:val="Normal"/>
              <w:spacing w:before="40" w:after="40"/>
            </w:pPr>
            <w:r>
              <w:rPr>
                <w:color w:val="4A4A5A"/>
                <w:sz w:val="18"/>
                <w:rFonts w:ascii="Cambria" w:hAnsi="Cambria" w:eastAsia="Microsoft YaHei" w:cs="Cambria"/>
                <w:szCs w:val="18"/>
              </w:rPr>
              <w:t>Z</w:t>
            </w:r>
          </w:p>
        </w:tc>
        <w:tc>
          <w:tcPr>
            <w:tcW w:w="2000" w:type="dxa"/>
          </w:tcPr>
          <w:p>
            <w:pPr>
              <w:pStyle w:val="Normal"/>
              <w:spacing w:before="40" w:after="40"/>
            </w:pPr>
            <w:r>
              <w:rPr>
                <w:color w:val="4A4A5A"/>
                <w:sz w:val="18"/>
                <w:rFonts w:ascii="Cambria" w:hAnsi="Cambria" w:eastAsia="Microsoft YaHei" w:cs="Cambria"/>
                <w:szCs w:val="18"/>
              </w:rPr>
              <w:t>In-Iran Transformation Pathways - the menu of in-country options Iran elects as a unilateral right without U.S. veto, including Pathway W (Agriculture and Food Security)</w:t>
            </w:r>
          </w:p>
        </w:tc>
        <w:tc>
          <w:tcPr>
            <w:tcW w:w="2000" w:type="dxa"/>
          </w:tcPr>
          <w:p>
            <w:pPr>
              <w:pStyle w:val="Normal"/>
              <w:spacing w:before="40" w:after="40"/>
            </w:pPr>
            <w:r>
              <w:rPr>
                <w:color w:val="4A4A5A"/>
                <w:sz w:val="18"/>
                <w:rFonts w:ascii="Cambria" w:hAnsi="Cambria" w:eastAsia="Microsoft YaHei" w:cs="Cambria"/>
                <w:szCs w:val="18"/>
              </w:rPr>
              <w:t>Gap 1 (face-saver)</w:t>
            </w:r>
          </w:p>
        </w:tc>
        <w:tc>
          <w:tcPr>
            <w:tcW w:w="2000" w:type="dxa"/>
          </w:tcPr>
          <w:p>
            <w:pPr>
              <w:pStyle w:val="Normal"/>
              <w:spacing w:before="40" w:after="40"/>
            </w:pPr>
            <w:r>
              <w:rPr>
                <w:color w:val="4A4A5A"/>
                <w:sz w:val="18"/>
                <w:rFonts w:ascii="Cambria" w:hAnsi="Cambria" w:eastAsia="Microsoft YaHei" w:cs="Cambria"/>
                <w:szCs w:val="18"/>
              </w:rPr>
              <w:t>II</w:t>
            </w:r>
          </w:p>
        </w:tc>
      </w:tr>
      <w:tr>
        <w:tc>
          <w:tcPr>
            <w:tcW w:w="2000" w:type="dxa"/>
          </w:tcPr>
          <w:p>
            <w:pPr>
              <w:pStyle w:val="Normal"/>
              <w:spacing w:before="40" w:after="40"/>
            </w:pPr>
            <w:r>
              <w:rPr>
                <w:color w:val="4A4A5A"/>
                <w:sz w:val="18"/>
                <w:rFonts w:ascii="Cambria" w:hAnsi="Cambria" w:eastAsia="Microsoft YaHei" w:cs="Cambria"/>
                <w:szCs w:val="18"/>
              </w:rPr>
              <w:t>NORM</w:t>
            </w:r>
          </w:p>
        </w:tc>
        <w:tc>
          <w:tcPr>
            <w:tcW w:w="2000" w:type="dxa"/>
          </w:tcPr>
          <w:p>
            <w:pPr>
              <w:pStyle w:val="Normal"/>
              <w:spacing w:before="40" w:after="40"/>
            </w:pPr>
            <w:r>
              <w:rPr>
                <w:color w:val="4A4A5A"/>
                <w:sz w:val="18"/>
                <w:rFonts w:ascii="Cambria" w:hAnsi="Cambria" w:eastAsia="Microsoft YaHei" w:cs="Cambria"/>
                <w:szCs w:val="18"/>
              </w:rPr>
              <w:t>Regional Economic and Diplomatic Normalization Framework - an independent instrument among the United States, Saudi Arabia, the UAE, Bahrain, Morocco, and Israel; Iran is a non-participating observer and is not a signatory and not bound</w:t>
            </w:r>
          </w:p>
        </w:tc>
        <w:tc>
          <w:tcPr>
            <w:tcW w:w="2000" w:type="dxa"/>
          </w:tcPr>
          <w:p>
            <w:pPr>
              <w:pStyle w:val="Normal"/>
              <w:spacing w:before="40" w:after="40"/>
            </w:pPr>
            <w:r>
              <w:rPr>
                <w:color w:val="4A4A5A"/>
                <w:sz w:val="18"/>
                <w:rFonts w:ascii="Cambria" w:hAnsi="Cambria" w:eastAsia="Microsoft YaHei" w:cs="Cambria"/>
                <w:szCs w:val="18"/>
              </w:rPr>
              <w:t>Regional (non-Iran)</w:t>
            </w:r>
          </w:p>
        </w:tc>
        <w:tc>
          <w:tcPr>
            <w:tcW w:w="2000" w:type="dxa"/>
          </w:tcPr>
          <w:p>
            <w:pPr>
              <w:pStyle w:val="Normal"/>
              <w:spacing w:before="40" w:after="40"/>
            </w:pPr>
            <w:r>
              <w:rPr>
                <w:color w:val="4A4A5A"/>
                <w:sz w:val="18"/>
                <w:rFonts w:ascii="Cambria" w:hAnsi="Cambria" w:eastAsia="Microsoft YaHei" w:cs="Cambria"/>
                <w:szCs w:val="18"/>
              </w:rPr>
              <w:t>II-III</w:t>
            </w:r>
          </w:p>
        </w:tc>
      </w:tr>
      <w:tr>
        <w:tc>
          <w:tcPr>
            <w:tcW w:w="2000" w:type="dxa"/>
          </w:tcPr>
          <w:p>
            <w:pPr>
              <w:pStyle w:val="Normal"/>
              <w:spacing w:before="40" w:after="40"/>
            </w:pPr>
            <w:r>
              <w:rPr>
                <w:b/>
                <w:color w:val="4A4A5A"/>
                <w:sz w:val="18"/>
                <w:rFonts w:ascii="Cambria" w:hAnsi="Cambria" w:eastAsia="Microsoft YaHei" w:cs="Cambria"/>
                <w:szCs w:val="18"/>
              </w:rPr>
              <w:t>U-1</w:t>
            </w:r>
          </w:p>
        </w:tc>
        <w:tc>
          <w:tcPr>
            <w:tcW w:w="2000" w:type="dxa"/>
          </w:tcPr>
          <w:p>
            <w:pPr>
              <w:pStyle w:val="Normal"/>
              <w:spacing w:before="40" w:after="40"/>
            </w:pPr>
            <w:r>
              <w:rPr>
                <w:b/>
                <w:color w:val="4A4A5A"/>
                <w:sz w:val="18"/>
                <w:rFonts w:ascii="Cambria" w:hAnsi="Cambria" w:eastAsia="Microsoft YaHei" w:cs="Cambria"/>
                <w:szCs w:val="18"/>
              </w:rPr>
              <w:t>Lebanon Ceasefire Implementation - freeze-in-place, best-efforts influence commitment, separate enforcement from nuclear/maritime cores</w:t>
            </w:r>
          </w:p>
        </w:tc>
        <w:tc>
          <w:tcPr>
            <w:tcW w:w="2000" w:type="dxa"/>
          </w:tcPr>
          <w:p>
            <w:pPr>
              <w:pStyle w:val="Normal"/>
              <w:spacing w:before="40" w:after="40"/>
            </w:pPr>
            <w:r>
              <w:rPr>
                <w:b/>
                <w:color w:val="4A4A5A"/>
                <w:sz w:val="18"/>
                <w:rFonts w:ascii="Cambria" w:hAnsi="Cambria" w:eastAsia="Microsoft YaHei" w:cs="Cambria"/>
                <w:szCs w:val="18"/>
              </w:rPr>
              <w:t>Gap 5 (Lebanon specifics)</w:t>
            </w:r>
          </w:p>
        </w:tc>
        <w:tc>
          <w:tcPr>
            <w:tcW w:w="2000" w:type="dxa"/>
          </w:tcPr>
          <w:p>
            <w:pPr>
              <w:pStyle w:val="Normal"/>
              <w:spacing w:before="40" w:after="40"/>
            </w:pPr>
            <w:r>
              <w:rPr>
                <w:b/>
                <w:color w:val="4A4A5A"/>
                <w:sz w:val="18"/>
                <w:rFonts w:ascii="Cambria" w:hAnsi="Cambria" w:eastAsia="Microsoft YaHei" w:cs="Cambria"/>
                <w:szCs w:val="18"/>
              </w:rPr>
              <w:t>I</w:t>
            </w:r>
          </w:p>
        </w:tc>
      </w:tr>
      <w:tr>
        <w:tc>
          <w:tcPr>
            <w:tcW w:w="2000" w:type="dxa"/>
          </w:tcPr>
          <w:p>
            <w:pPr>
              <w:pStyle w:val="Normal"/>
              <w:spacing w:before="40" w:after="40"/>
            </w:pPr>
            <w:r>
              <w:rPr>
                <w:b/>
                <w:color w:val="4A4A5A"/>
                <w:sz w:val="18"/>
                <w:rFonts w:ascii="Cambria" w:hAnsi="Cambria" w:eastAsia="Microsoft YaHei" w:cs="Cambria"/>
                <w:szCs w:val="18"/>
              </w:rPr>
              <w:t>V-R</w:t>
            </w:r>
          </w:p>
        </w:tc>
        <w:tc>
          <w:tcPr>
            <w:tcW w:w="2000" w:type="dxa"/>
          </w:tcPr>
          <w:p>
            <w:pPr>
              <w:pStyle w:val="Normal"/>
              <w:spacing w:before="40" w:after="40"/>
            </w:pPr>
            <w:r>
              <w:rPr>
                <w:b/>
                <w:color w:val="4A4A5A"/>
                <w:sz w:val="18"/>
                <w:rFonts w:ascii="Cambria" w:hAnsi="Cambria" w:eastAsia="Microsoft YaHei" w:cs="Cambria"/>
                <w:szCs w:val="18"/>
              </w:rPr>
              <w:t>Verification Restoration Protocol - IAEA baseline inventory of declared facilities and damaged sites before MOU entry into force</w:t>
            </w:r>
          </w:p>
        </w:tc>
        <w:tc>
          <w:tcPr>
            <w:tcW w:w="2000" w:type="dxa"/>
          </w:tcPr>
          <w:p>
            <w:pPr>
              <w:pStyle w:val="Normal"/>
              <w:spacing w:before="40" w:after="40"/>
            </w:pPr>
            <w:r>
              <w:rPr>
                <w:b/>
                <w:color w:val="4A4A5A"/>
                <w:sz w:val="18"/>
                <w:rFonts w:ascii="Cambria" w:hAnsi="Cambria" w:eastAsia="Microsoft YaHei" w:cs="Cambria"/>
                <w:szCs w:val="18"/>
              </w:rPr>
              <w:t>Gap 1 (pre-signature baseline)</w:t>
            </w:r>
          </w:p>
        </w:tc>
        <w:tc>
          <w:tcPr>
            <w:tcW w:w="2000" w:type="dxa"/>
          </w:tcPr>
          <w:p>
            <w:pPr>
              <w:pStyle w:val="Normal"/>
              <w:spacing w:before="40" w:after="40"/>
            </w:pPr>
            <w:r>
              <w:rPr>
                <w:b/>
                <w:color w:val="4A4A5A"/>
                <w:sz w:val="18"/>
                <w:rFonts w:ascii="Cambria" w:hAnsi="Cambria" w:eastAsia="Microsoft YaHei" w:cs="Cambria"/>
                <w:szCs w:val="18"/>
              </w:rPr>
              <w:t>Pre-I</w:t>
            </w:r>
          </w:p>
        </w:tc>
      </w:tr>
    </w:tbl>
    <w:p>
      <w:pPr>
        <w:pStyle w:val="Heading2"/>
      </w:pPr>
      <w:bookmarkStart w:name="_Toc153" w:id="153"/>
      <w:r>
        <w:rPr>
          <w:rFonts w:ascii="Cambria" w:hAnsi="Cambria" w:eastAsia="Microsoft YaHei" w:cs="Cambria"/>
          <w:b/>
          <w:color w:val="2D4A6F"/>
          <w:sz w:val="32"/>
          <w:szCs w:val="32"/>
        </w:rPr>
        <w:t>D-3 - Cross-Reference Map</w:t>
      </w:r>
      <w:bookmarkEnd w:id="153"/>
    </w:p>
    <w:p>
      <w:pPr>
        <w:pStyle w:val="Normal"/>
      </w:pPr>
      <w:r>
        <w:rPr>
          <w:rFonts w:ascii="Cambria" w:hAnsi="Cambria" w:eastAsia="Microsoft YaHei" w:cs="Cambria"/>
          <w:color w:val="1A1A2E"/>
          <w:sz w:val="22"/>
          <w:szCs w:val="22"/>
        </w:rPr>
        <w:t>The Annexes resolve cleanly onto the five gaps and the three phases, so a negotiator confirms at a glance that no gap is left without an operative instrument and no phase without its technical spine.</w:t>
      </w:r>
    </w:p>
    <w:p>
      <w:pPr>
        <w:pStyle w:val="Normal"/>
        <w:numPr>
          <w:ilvl w:val="0"/>
          <w:numId w:val="1"/>
        </w:numPr>
      </w:pPr>
      <w:r>
        <w:rPr>
          <w:rFonts w:ascii="Cambria" w:hAnsi="Cambria" w:eastAsia="Microsoft YaHei" w:cs="Cambria"/>
          <w:color w:val="1A1A2E"/>
          <w:sz w:val="22"/>
          <w:szCs w:val="22"/>
        </w:rPr>
        <w:t>Nuclear spine: Annexes O, P, Q, V feed Article 3 and Part B-1; Annexes Y and Z carry custody and the in-country pathway options; Annex S sequences them; Annex T governs lapse and recovery.</w:t>
      </w:r>
    </w:p>
    <w:p>
      <w:pPr>
        <w:pStyle w:val="Normal"/>
        <w:numPr>
          <w:ilvl w:val="0"/>
          <w:numId w:val="1"/>
        </w:numPr>
      </w:pPr>
      <w:r>
        <w:rPr>
          <w:rFonts w:ascii="Cambria" w:hAnsi="Cambria" w:eastAsia="Microsoft YaHei" w:cs="Cambria"/>
          <w:color w:val="1A1A2E"/>
          <w:sz w:val="22"/>
          <w:szCs w:val="22"/>
        </w:rPr>
        <w:t>Maritime spine: Annexes N, N.a, W feed Article 4 and Part B-2; the MSB coordinates and the PGSA enforces only within territorial waters.</w:t>
      </w:r>
    </w:p>
    <w:p>
      <w:pPr>
        <w:pStyle w:val="Normal"/>
        <w:numPr>
          <w:ilvl w:val="0"/>
          <w:numId w:val="1"/>
        </w:numPr>
      </w:pPr>
      <w:r>
        <w:rPr>
          <w:rFonts w:ascii="Cambria" w:hAnsi="Cambria" w:eastAsia="Microsoft YaHei" w:cs="Cambria"/>
          <w:color w:val="1A1A2E"/>
          <w:sz w:val="22"/>
          <w:szCs w:val="22"/>
        </w:rPr>
        <w:t>Regional spine: Annexes M and U feed Article 6 and Part C-3; both expire with the truce unless renewed.</w:t>
      </w:r>
    </w:p>
    <w:p>
      <w:pPr>
        <w:pStyle w:val="Normal"/>
        <w:numPr>
          <w:ilvl w:val="0"/>
          <w:numId w:val="1"/>
        </w:numPr>
      </w:pPr>
      <w:r>
        <w:rPr>
          <w:rFonts w:ascii="Cambria" w:hAnsi="Cambria" w:eastAsia="Microsoft YaHei" w:cs="Cambria"/>
          <w:color w:val="1A1A2E"/>
          <w:sz w:val="22"/>
          <w:szCs w:val="22"/>
        </w:rPr>
        <w:t>Resilience spine: Annexes R.a, R.b, X, and T feed Articles 7, 8, and 1.7 and run across all phases.</w:t>
      </w:r>
    </w:p>
    <w:p>
      <w:pPr>
        <w:pStyle w:val="Heading1"/>
      </w:pPr>
      <w:bookmarkStart w:name="_Toc154" w:id="154"/>
      <w:r>
        <w:rPr>
          <w:rFonts w:ascii="Cambria" w:hAnsi="Cambria" w:eastAsia="Microsoft YaHei" w:cs="Cambria"/>
          <w:b/>
          <w:color w:val="1A2744"/>
          <w:sz w:val="48"/>
          <w:szCs w:val="48"/>
        </w:rPr>
        <w:t>PART E</w:t>
      </w:r>
      <w:bookmarkEnd w:id="154"/>
    </w:p>
    <w:p>
      <w:pPr>
        <w:pStyle w:val="Heading2"/>
      </w:pPr>
      <w:bookmarkStart w:name="_Toc155" w:id="155"/>
      <w:r>
        <w:rPr>
          <w:rFonts w:ascii="Cambria" w:hAnsi="Cambria" w:eastAsia="Microsoft YaHei" w:cs="Cambria"/>
          <w:b/>
          <w:color w:val="2D4A6F"/>
          <w:sz w:val="32"/>
          <w:szCs w:val="32"/>
        </w:rPr>
        <w:t>Appendices for the Table</w:t>
      </w:r>
      <w:bookmarkEnd w:id="155"/>
    </w:p>
    <w:p>
      <w:pPr>
        <w:pStyle w:val="Heading2"/>
      </w:pPr>
      <w:bookmarkStart w:name="_Toc156" w:id="156"/>
      <w:r>
        <w:rPr>
          <w:rFonts w:ascii="Cambria" w:hAnsi="Cambria" w:eastAsia="Microsoft YaHei" w:cs="Cambria"/>
          <w:b/>
          <w:color w:val="2D4A6F"/>
          <w:sz w:val="32"/>
          <w:szCs w:val="32"/>
        </w:rPr>
        <w:t>Appendix E-1 - The Day-1 to Day-60 Control Panel</w:t>
      </w:r>
      <w:bookmarkEnd w:id="156"/>
    </w:p>
    <w:p>
      <w:pPr>
        <w:pStyle w:val="Normal"/>
      </w:pPr>
      <w:r>
        <w:rPr>
          <w:rFonts w:ascii="Cambria" w:hAnsi="Cambria" w:eastAsia="Microsoft YaHei" w:cs="Cambria"/>
          <w:color w:val="1A1A2E"/>
          <w:sz w:val="22"/>
          <w:szCs w:val="22"/>
        </w:rPr>
        <w:t>A single timeline showing what each Party does and what consequence follows if a step lapses. The panel sits on top of the operative text; it changes no obligation.</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When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Iran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United States</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Automatic Consequence if Late</w:t>
            </w:r>
          </w:p>
        </w:tc>
      </w:tr>
      <w:tr>
        <w:tc>
          <w:tcPr>
            <w:tcW w:w="2000" w:type="dxa"/>
          </w:tcPr>
          <w:p>
            <w:pPr>
              <w:pStyle w:val="Normal"/>
              <w:spacing w:before="40" w:after="40"/>
            </w:pPr>
            <w:r>
              <w:rPr>
                <w:color w:val="4A4A5A"/>
                <w:sz w:val="18"/>
                <w:rFonts w:ascii="Cambria" w:hAnsi="Cambria" w:eastAsia="Microsoft YaHei" w:cs="Cambria"/>
                <w:szCs w:val="18"/>
              </w:rPr>
              <w:t>Hour 0</w:t>
            </w:r>
          </w:p>
        </w:tc>
        <w:tc>
          <w:tcPr>
            <w:tcW w:w="2000" w:type="dxa"/>
          </w:tcPr>
          <w:p>
            <w:pPr>
              <w:pStyle w:val="Normal"/>
              <w:spacing w:before="40" w:after="40"/>
            </w:pPr>
            <w:r>
              <w:rPr>
                <w:color w:val="4A4A5A"/>
                <w:sz w:val="18"/>
                <w:rFonts w:ascii="Cambria" w:hAnsi="Cambria" w:eastAsia="Microsoft YaHei" w:cs="Cambria"/>
                <w:szCs w:val="18"/>
              </w:rPr>
              <w:t>Enrichment-cap order posted; HEU placed under IAEA dual-lock; hotline staffed</w:t>
            </w:r>
          </w:p>
        </w:tc>
        <w:tc>
          <w:tcPr>
            <w:tcW w:w="2000" w:type="dxa"/>
          </w:tcPr>
          <w:p>
            <w:pPr>
              <w:pStyle w:val="Normal"/>
              <w:spacing w:before="40" w:after="40"/>
            </w:pPr>
            <w:r>
              <w:rPr>
                <w:color w:val="4A4A5A"/>
                <w:sz w:val="18"/>
                <w:rFonts w:ascii="Cambria" w:hAnsi="Cambria" w:eastAsia="Microsoft YaHei" w:cs="Cambria"/>
                <w:szCs w:val="18"/>
              </w:rPr>
              <w:t>$5B placed in escrow (held, not released); OFAC license; SWIFT reconnection</w:t>
            </w:r>
          </w:p>
        </w:tc>
        <w:tc>
          <w:tcPr>
            <w:tcW w:w="2000" w:type="dxa"/>
          </w:tcPr>
          <w:p>
            <w:pPr>
              <w:pStyle w:val="Normal"/>
              <w:spacing w:before="40" w:after="40"/>
            </w:pPr>
            <w:r>
              <w:rPr>
                <w:color w:val="4A4A5A"/>
                <w:sz w:val="18"/>
                <w:rFonts w:ascii="Cambria" w:hAnsi="Cambria" w:eastAsia="Microsoft YaHei" w:cs="Cambria"/>
                <w:szCs w:val="18"/>
              </w:rPr>
              <w:t>Non-severability: all Mirror Pairings suspend until remedied</w:t>
            </w:r>
          </w:p>
        </w:tc>
      </w:tr>
      <w:tr>
        <w:tc>
          <w:tcPr>
            <w:tcW w:w="2000" w:type="dxa"/>
          </w:tcPr>
          <w:p>
            <w:pPr>
              <w:pStyle w:val="Normal"/>
              <w:spacing w:before="40" w:after="40"/>
            </w:pPr>
            <w:r>
              <w:rPr>
                <w:color w:val="4A4A5A"/>
                <w:sz w:val="18"/>
                <w:rFonts w:ascii="Cambria" w:hAnsi="Cambria" w:eastAsia="Microsoft YaHei" w:cs="Cambria"/>
                <w:szCs w:val="18"/>
              </w:rPr>
              <w:t>Hours 1-4</w:t>
            </w:r>
          </w:p>
        </w:tc>
        <w:tc>
          <w:tcPr>
            <w:tcW w:w="2000" w:type="dxa"/>
          </w:tcPr>
          <w:p>
            <w:pPr>
              <w:pStyle w:val="Normal"/>
              <w:spacing w:before="40" w:after="40"/>
            </w:pPr>
            <w:r>
              <w:rPr>
                <w:color w:val="4A4A5A"/>
                <w:sz w:val="18"/>
                <w:rFonts w:ascii="Cambria" w:hAnsi="Cambria" w:eastAsia="Microsoft YaHei" w:cs="Cambria"/>
                <w:szCs w:val="18"/>
              </w:rPr>
              <w:t>IAEA inspector crossing; IRGC small-craft repositioning posted</w:t>
            </w:r>
          </w:p>
        </w:tc>
        <w:tc>
          <w:tcPr>
            <w:tcW w:w="2000" w:type="dxa"/>
          </w:tcPr>
          <w:p>
            <w:pPr>
              <w:pStyle w:val="Normal"/>
              <w:spacing w:before="40" w:after="40"/>
            </w:pPr>
            <w:r>
              <w:rPr>
                <w:color w:val="4A4A5A"/>
                <w:sz w:val="18"/>
                <w:rFonts w:ascii="Cambria" w:hAnsi="Cambria" w:eastAsia="Microsoft YaHei" w:cs="Cambria"/>
                <w:szCs w:val="18"/>
              </w:rPr>
              <w:t>Oil-export permits issued</w:t>
            </w:r>
          </w:p>
        </w:tc>
        <w:tc>
          <w:tcPr>
            <w:tcW w:w="2000" w:type="dxa"/>
          </w:tcPr>
          <w:p>
            <w:pPr>
              <w:pStyle w:val="Normal"/>
              <w:spacing w:before="40" w:after="40"/>
            </w:pPr>
            <w:r>
              <w:rPr>
                <w:color w:val="4A4A5A"/>
                <w:sz w:val="18"/>
                <w:rFonts w:ascii="Cambria" w:hAnsi="Cambria" w:eastAsia="Microsoft YaHei" w:cs="Cambria"/>
                <w:szCs w:val="18"/>
              </w:rPr>
              <w:t>PCC chair convened; pairing clock holds</w:t>
            </w:r>
          </w:p>
        </w:tc>
      </w:tr>
      <w:tr>
        <w:tc>
          <w:tcPr>
            <w:tcW w:w="2000" w:type="dxa"/>
          </w:tcPr>
          <w:p>
            <w:pPr>
              <w:pStyle w:val="Normal"/>
              <w:spacing w:before="40" w:after="40"/>
            </w:pPr>
            <w:r>
              <w:rPr>
                <w:color w:val="4A4A5A"/>
                <w:sz w:val="18"/>
                <w:rFonts w:ascii="Cambria" w:hAnsi="Cambria" w:eastAsia="Microsoft YaHei" w:cs="Cambria"/>
                <w:szCs w:val="18"/>
              </w:rPr>
              <w:t>Day 1</w:t>
            </w:r>
          </w:p>
        </w:tc>
        <w:tc>
          <w:tcPr>
            <w:tcW w:w="2000" w:type="dxa"/>
          </w:tcPr>
          <w:p>
            <w:pPr>
              <w:pStyle w:val="Normal"/>
              <w:spacing w:before="40" w:after="40"/>
            </w:pPr>
            <w:r>
              <w:rPr>
                <w:color w:val="4A4A5A"/>
                <w:sz w:val="18"/>
                <w:rFonts w:ascii="Cambria" w:hAnsi="Cambria" w:eastAsia="Microsoft YaHei" w:cs="Cambria"/>
                <w:szCs w:val="18"/>
              </w:rPr>
              <w:t>Pathway selection window opens (in-country default; optional Oman lane by consent)</w:t>
            </w:r>
          </w:p>
        </w:tc>
        <w:tc>
          <w:tcPr>
            <w:tcW w:w="2000" w:type="dxa"/>
          </w:tcPr>
          <w:p>
            <w:pPr>
              <w:pStyle w:val="Normal"/>
              <w:spacing w:before="40" w:after="40"/>
            </w:pPr>
            <w:r>
              <w:rPr>
                <w:color w:val="4A4A5A"/>
                <w:sz w:val="18"/>
                <w:rFonts w:ascii="Cambria" w:hAnsi="Cambria" w:eastAsia="Microsoft YaHei" w:cs="Cambria"/>
                <w:szCs w:val="18"/>
              </w:rPr>
              <w:t>Maritime Stability Board live; Maintenance Fund opened</w:t>
            </w:r>
          </w:p>
        </w:tc>
        <w:tc>
          <w:tcPr>
            <w:tcW w:w="2000" w:type="dxa"/>
          </w:tcPr>
          <w:p>
            <w:pPr>
              <w:pStyle w:val="Normal"/>
              <w:spacing w:before="40" w:after="40"/>
            </w:pPr>
            <w:r>
              <w:rPr>
                <w:color w:val="4A4A5A"/>
                <w:sz w:val="18"/>
                <w:rFonts w:ascii="Cambria" w:hAnsi="Cambria" w:eastAsia="Microsoft YaHei" w:cs="Cambria"/>
                <w:szCs w:val="18"/>
              </w:rPr>
              <w:t>Quiet Correction window opens; no compliance mark</w:t>
            </w:r>
          </w:p>
        </w:tc>
      </w:tr>
      <w:tr>
        <w:tc>
          <w:tcPr>
            <w:tcW w:w="2000" w:type="dxa"/>
          </w:tcPr>
          <w:p>
            <w:pPr>
              <w:pStyle w:val="Normal"/>
              <w:spacing w:before="40" w:after="40"/>
            </w:pPr>
            <w:r>
              <w:rPr>
                <w:color w:val="4A4A5A"/>
                <w:sz w:val="18"/>
                <w:rFonts w:ascii="Cambria" w:hAnsi="Cambria" w:eastAsia="Microsoft YaHei" w:cs="Cambria"/>
                <w:szCs w:val="18"/>
              </w:rPr>
              <w:t>Day 7</w:t>
            </w:r>
          </w:p>
        </w:tc>
        <w:tc>
          <w:tcPr>
            <w:tcW w:w="2000" w:type="dxa"/>
          </w:tcPr>
          <w:p>
            <w:pPr>
              <w:pStyle w:val="Normal"/>
              <w:spacing w:before="40" w:after="40"/>
            </w:pPr>
            <w:r>
              <w:rPr>
                <w:color w:val="4A4A5A"/>
                <w:sz w:val="18"/>
                <w:rFonts w:ascii="Cambria" w:hAnsi="Cambria" w:eastAsia="Microsoft YaHei" w:cs="Cambria"/>
                <w:szCs w:val="18"/>
              </w:rPr>
              <w:t>Mines cleared; corridor withdrawal verified</w:t>
            </w:r>
          </w:p>
        </w:tc>
        <w:tc>
          <w:tcPr>
            <w:tcW w:w="2000" w:type="dxa"/>
          </w:tcPr>
          <w:p>
            <w:pPr>
              <w:pStyle w:val="Normal"/>
              <w:spacing w:before="40" w:after="40"/>
            </w:pPr>
            <w:r>
              <w:rPr>
                <w:color w:val="4A4A5A"/>
                <w:sz w:val="18"/>
                <w:rFonts w:ascii="Cambria" w:hAnsi="Cambria" w:eastAsia="Microsoft YaHei" w:cs="Cambria"/>
                <w:szCs w:val="18"/>
              </w:rPr>
              <w:t>Naval blockade stands down in proportion</w:t>
            </w:r>
          </w:p>
        </w:tc>
        <w:tc>
          <w:tcPr>
            <w:tcW w:w="2000" w:type="dxa"/>
          </w:tcPr>
          <w:p>
            <w:pPr>
              <w:pStyle w:val="Normal"/>
              <w:spacing w:before="40" w:after="40"/>
            </w:pPr>
            <w:r>
              <w:rPr>
                <w:color w:val="4A4A5A"/>
                <w:sz w:val="18"/>
                <w:rFonts w:ascii="Cambria" w:hAnsi="Cambria" w:eastAsia="Microsoft YaHei" w:cs="Cambria"/>
                <w:szCs w:val="18"/>
              </w:rPr>
              <w:t>24-hour bright-line period governs; maritime ladder applies</w:t>
            </w:r>
          </w:p>
        </w:tc>
      </w:tr>
      <w:tr>
        <w:tc>
          <w:tcPr>
            <w:tcW w:w="2000" w:type="dxa"/>
          </w:tcPr>
          <w:p>
            <w:pPr>
              <w:pStyle w:val="Normal"/>
              <w:spacing w:before="40" w:after="40"/>
            </w:pPr>
            <w:r>
              <w:rPr>
                <w:color w:val="4A4A5A"/>
                <w:sz w:val="18"/>
                <w:rFonts w:ascii="Cambria" w:hAnsi="Cambria" w:eastAsia="Microsoft YaHei" w:cs="Cambria"/>
                <w:szCs w:val="18"/>
              </w:rPr>
              <w:t>Day 14</w:t>
            </w:r>
          </w:p>
        </w:tc>
        <w:tc>
          <w:tcPr>
            <w:tcW w:w="2000" w:type="dxa"/>
          </w:tcPr>
          <w:p>
            <w:pPr>
              <w:pStyle w:val="Normal"/>
              <w:spacing w:before="40" w:after="40"/>
            </w:pPr>
            <w:r>
              <w:rPr>
                <w:color w:val="4A4A5A"/>
                <w:sz w:val="18"/>
                <w:rFonts w:ascii="Cambria" w:hAnsi="Cambria" w:eastAsia="Microsoft YaHei" w:cs="Cambria"/>
                <w:szCs w:val="18"/>
              </w:rPr>
              <w:t>Disposition underway (export consolidation or downblending at rate)</w:t>
            </w:r>
          </w:p>
        </w:tc>
        <w:tc>
          <w:tcPr>
            <w:tcW w:w="2000" w:type="dxa"/>
          </w:tcPr>
          <w:p>
            <w:pPr>
              <w:pStyle w:val="Normal"/>
              <w:spacing w:before="40" w:after="40"/>
            </w:pPr>
            <w:r>
              <w:rPr>
                <w:color w:val="4A4A5A"/>
                <w:sz w:val="18"/>
                <w:rFonts w:ascii="Cambria" w:hAnsi="Cambria" w:eastAsia="Microsoft YaHei" w:cs="Cambria"/>
                <w:szCs w:val="18"/>
              </w:rPr>
              <w:t>PRDD channel prepared; SWIFT Tier-A reconnection</w:t>
            </w:r>
          </w:p>
        </w:tc>
        <w:tc>
          <w:tcPr>
            <w:tcW w:w="2000" w:type="dxa"/>
          </w:tcPr>
          <w:p>
            <w:pPr>
              <w:pStyle w:val="Normal"/>
              <w:spacing w:before="40" w:after="40"/>
            </w:pPr>
            <w:r>
              <w:rPr>
                <w:color w:val="4A4A5A"/>
                <w:sz w:val="18"/>
                <w:rFonts w:ascii="Cambria" w:hAnsi="Cambria" w:eastAsia="Microsoft YaHei" w:cs="Cambria"/>
                <w:szCs w:val="18"/>
              </w:rPr>
              <w:t>Learning-curve protection (Days 1-30) halves Tier-2 step-back</w:t>
            </w:r>
          </w:p>
        </w:tc>
      </w:tr>
      <w:tr>
        <w:tc>
          <w:tcPr>
            <w:tcW w:w="2000" w:type="dxa"/>
          </w:tcPr>
          <w:p>
            <w:pPr>
              <w:pStyle w:val="Normal"/>
              <w:spacing w:before="40" w:after="40"/>
            </w:pPr>
            <w:r>
              <w:rPr>
                <w:color w:val="4A4A5A"/>
                <w:sz w:val="18"/>
                <w:rFonts w:ascii="Cambria" w:hAnsi="Cambria" w:eastAsia="Microsoft YaHei" w:cs="Cambria"/>
                <w:szCs w:val="18"/>
              </w:rPr>
              <w:t>Day 30</w:t>
            </w:r>
          </w:p>
        </w:tc>
        <w:tc>
          <w:tcPr>
            <w:tcW w:w="2000" w:type="dxa"/>
          </w:tcPr>
          <w:p>
            <w:pPr>
              <w:pStyle w:val="Normal"/>
              <w:spacing w:before="40" w:after="40"/>
            </w:pPr>
            <w:r>
              <w:rPr>
                <w:color w:val="4A4A5A"/>
                <w:sz w:val="18"/>
                <w:rFonts w:ascii="Cambria" w:hAnsi="Cambria" w:eastAsia="Microsoft YaHei" w:cs="Cambria"/>
                <w:szCs w:val="18"/>
              </w:rPr>
              <w:t>30-day compliance certified</w:t>
            </w:r>
          </w:p>
        </w:tc>
        <w:tc>
          <w:tcPr>
            <w:tcW w:w="2000" w:type="dxa"/>
          </w:tcPr>
          <w:p>
            <w:pPr>
              <w:pStyle w:val="Normal"/>
              <w:spacing w:before="40" w:after="40"/>
            </w:pPr>
            <w:r>
              <w:rPr>
                <w:color w:val="4A4A5A"/>
                <w:sz w:val="18"/>
                <w:rFonts w:ascii="Cambria" w:hAnsi="Cambria" w:eastAsia="Microsoft YaHei" w:cs="Cambria"/>
                <w:szCs w:val="18"/>
              </w:rPr>
              <w:t>$5B first tranche released; frozen-asset Tranche 1; PRDD flows begin</w:t>
            </w:r>
          </w:p>
        </w:tc>
        <w:tc>
          <w:tcPr>
            <w:tcW w:w="2000" w:type="dxa"/>
          </w:tcPr>
          <w:p>
            <w:pPr>
              <w:pStyle w:val="Normal"/>
              <w:spacing w:before="40" w:after="40"/>
            </w:pPr>
            <w:r>
              <w:rPr>
                <w:color w:val="4A4A5A"/>
                <w:sz w:val="18"/>
                <w:rFonts w:ascii="Cambria" w:hAnsi="Cambria" w:eastAsia="Microsoft YaHei" w:cs="Cambria"/>
                <w:szCs w:val="18"/>
              </w:rPr>
              <w:t>Step-back / earn-back governs; human-in-the-loop before any cut</w:t>
            </w:r>
          </w:p>
        </w:tc>
      </w:tr>
      <w:tr>
        <w:tc>
          <w:tcPr>
            <w:tcW w:w="2000" w:type="dxa"/>
          </w:tcPr>
          <w:p>
            <w:pPr>
              <w:pStyle w:val="Normal"/>
              <w:spacing w:before="40" w:after="40"/>
            </w:pPr>
            <w:r>
              <w:rPr>
                <w:color w:val="4A4A5A"/>
                <w:sz w:val="18"/>
                <w:rFonts w:ascii="Cambria" w:hAnsi="Cambria" w:eastAsia="Microsoft YaHei" w:cs="Cambria"/>
                <w:szCs w:val="18"/>
              </w:rPr>
              <w:t>Day 60</w:t>
            </w:r>
          </w:p>
        </w:tc>
        <w:tc>
          <w:tcPr>
            <w:tcW w:w="2000" w:type="dxa"/>
          </w:tcPr>
          <w:p>
            <w:pPr>
              <w:pStyle w:val="Normal"/>
              <w:spacing w:before="40" w:after="40"/>
            </w:pPr>
            <w:r>
              <w:rPr>
                <w:color w:val="4A4A5A"/>
                <w:sz w:val="18"/>
                <w:rFonts w:ascii="Cambria" w:hAnsi="Cambria" w:eastAsia="Microsoft YaHei" w:cs="Cambria"/>
                <w:szCs w:val="18"/>
              </w:rPr>
              <w:t>Disposition milestone verified</w:t>
            </w:r>
          </w:p>
        </w:tc>
        <w:tc>
          <w:tcPr>
            <w:tcW w:w="2000" w:type="dxa"/>
          </w:tcPr>
          <w:p>
            <w:pPr>
              <w:pStyle w:val="Normal"/>
              <w:spacing w:before="40" w:after="40"/>
            </w:pPr>
            <w:r>
              <w:rPr>
                <w:color w:val="4A4A5A"/>
                <w:sz w:val="18"/>
                <w:rFonts w:ascii="Cambria" w:hAnsi="Cambria" w:eastAsia="Microsoft YaHei" w:cs="Cambria"/>
                <w:szCs w:val="18"/>
              </w:rPr>
              <w:t>Good-faith fast lane active; structural-relief track opens</w:t>
            </w:r>
          </w:p>
        </w:tc>
        <w:tc>
          <w:tcPr>
            <w:tcW w:w="2000" w:type="dxa"/>
          </w:tcPr>
          <w:p>
            <w:pPr>
              <w:pStyle w:val="Normal"/>
              <w:spacing w:before="40" w:after="40"/>
            </w:pPr>
            <w:r>
              <w:rPr>
                <w:color w:val="4A4A5A"/>
                <w:sz w:val="18"/>
                <w:rFonts w:ascii="Cambria" w:hAnsi="Cambria" w:eastAsia="Microsoft YaHei" w:cs="Cambria"/>
                <w:szCs w:val="18"/>
              </w:rPr>
              <w:t>Step-back / earn-back governs; IAEA certifies remediation</w:t>
            </w:r>
          </w:p>
        </w:tc>
      </w:tr>
    </w:tbl>
    <w:p>
      <w:pPr>
        <w:pStyle w:val="Heading2"/>
      </w:pPr>
      <w:bookmarkStart w:name="_Toc157" w:id="157"/>
      <w:r>
        <w:rPr>
          <w:rFonts w:ascii="Cambria" w:hAnsi="Cambria" w:eastAsia="Microsoft YaHei" w:cs="Cambria"/>
          <w:b/>
          <w:color w:val="2D4A6F"/>
          <w:sz w:val="32"/>
          <w:szCs w:val="32"/>
        </w:rPr>
        <w:t>Appendix E-2 - The Declarable-Wins Messaging Sheet</w:t>
      </w:r>
      <w:bookmarkEnd w:id="157"/>
    </w:p>
    <w:p>
      <w:pPr>
        <w:pStyle w:val="Normal"/>
      </w:pPr>
      <w:r>
        <w:rPr>
          <w:rFonts w:ascii="Cambria" w:hAnsi="Cambria" w:eastAsia="Microsoft YaHei" w:cs="Cambria"/>
          <w:color w:val="1A1A2E"/>
          <w:sz w:val="22"/>
          <w:szCs w:val="22"/>
        </w:rPr>
        <w:t>Pre-cleared characterizations available to each Party, consistent with the performance-contingent messaging rule. Every public characterization acknowledges that benefits are conditional; a 24-hour embargo runs on contradictory messaging.</w:t>
      </w:r>
    </w:p>
    <w:p>
      <w:pPr>
        <w:pStyle w:val="Heading3"/>
      </w:pPr>
      <w:bookmarkStart w:name="_Toc158" w:id="158"/>
      <w:r>
        <w:rPr>
          <w:rFonts w:ascii="Cambria" w:hAnsi="Cambria" w:eastAsia="Microsoft YaHei" w:cs="Cambria"/>
          <w:b/>
          <w:color w:val="1A1A2E"/>
          <w:sz w:val="26"/>
          <w:szCs w:val="26"/>
        </w:rPr>
        <w:t>United States</w:t>
      </w:r>
      <w:bookmarkEnd w:id="158"/>
    </w:p>
    <w:p>
      <w:pPr>
        <w:pStyle w:val="Normal"/>
        <w:numPr>
          <w:ilvl w:val="0"/>
          <w:numId w:val="1"/>
        </w:numPr>
      </w:pPr>
      <w:r>
        <w:rPr>
          <w:rFonts w:ascii="Cambria" w:hAnsi="Cambria" w:eastAsia="Microsoft YaHei" w:cs="Cambria"/>
          <w:color w:val="1A1A2E"/>
          <w:sz w:val="22"/>
          <w:szCs w:val="22"/>
        </w:rPr>
        <w:t>"This is the exact opposite of the old deal: no cash up front, every dollar tied to verified performance, and the weapons-grade material leaves the country by default - or stays only under our lock and key."</w:t>
      </w:r>
    </w:p>
    <w:p>
      <w:pPr>
        <w:pStyle w:val="Normal"/>
        <w:numPr>
          <w:ilvl w:val="0"/>
          <w:numId w:val="1"/>
        </w:numPr>
      </w:pPr>
      <w:r>
        <w:rPr>
          <w:rFonts w:ascii="Cambria" w:hAnsi="Cambria" w:eastAsia="Microsoft YaHei" w:cs="Cambria"/>
          <w:color w:val="1A1A2E"/>
          <w:sz w:val="22"/>
          <w:szCs w:val="22"/>
        </w:rPr>
        <w:t>"The Strait of Hormuz is open and free - no tolls, no checkpoints, oil flowing - and we retain the right to walk away in fourteen days if Iran cheats."</w:t>
      </w:r>
    </w:p>
    <w:p>
      <w:pPr>
        <w:pStyle w:val="Normal"/>
        <w:numPr>
          <w:ilvl w:val="0"/>
          <w:numId w:val="1"/>
        </w:numPr>
      </w:pPr>
      <w:r>
        <w:rPr>
          <w:rFonts w:ascii="Cambria" w:hAnsi="Cambria" w:eastAsia="Microsoft YaHei" w:cs="Cambria"/>
          <w:color w:val="1A1A2E"/>
          <w:sz w:val="22"/>
          <w:szCs w:val="22"/>
        </w:rPr>
        <w:t>"The money moves through a neutral bank on verified milestones, and any cheating cuts it back fast - with a fourteen-day exit if Iran walks away from the terms."</w:t>
      </w:r>
    </w:p>
    <w:p>
      <w:pPr>
        <w:pStyle w:val="Heading3"/>
      </w:pPr>
      <w:bookmarkStart w:name="_Toc159" w:id="159"/>
      <w:r>
        <w:rPr>
          <w:rFonts w:ascii="Cambria" w:hAnsi="Cambria" w:eastAsia="Microsoft YaHei" w:cs="Cambria"/>
          <w:b/>
          <w:color w:val="1A1A2E"/>
          <w:sz w:val="26"/>
          <w:szCs w:val="26"/>
        </w:rPr>
        <w:t>Iran</w:t>
      </w:r>
      <w:bookmarkEnd w:id="159"/>
    </w:p>
    <w:p>
      <w:pPr>
        <w:pStyle w:val="Normal"/>
        <w:numPr>
          <w:ilvl w:val="0"/>
          <w:numId w:val="1"/>
        </w:numPr>
      </w:pPr>
      <w:r>
        <w:rPr>
          <w:rFonts w:ascii="Cambria" w:hAnsi="Cambria" w:eastAsia="Microsoft YaHei" w:cs="Cambria"/>
          <w:color w:val="1A1A2E"/>
          <w:sz w:val="22"/>
          <w:szCs w:val="22"/>
        </w:rPr>
        <w:t>"The siege is lifted because Iran negotiated from strength. Our oil sells freely and our assets return on a guaranteed schedule."</w:t>
      </w:r>
    </w:p>
    <w:p>
      <w:pPr>
        <w:pStyle w:val="Normal"/>
        <w:numPr>
          <w:ilvl w:val="0"/>
          <w:numId w:val="1"/>
        </w:numPr>
      </w:pPr>
      <w:r>
        <w:rPr>
          <w:rFonts w:ascii="Cambria" w:hAnsi="Cambria" w:eastAsia="Microsoft YaHei" w:cs="Cambria"/>
          <w:color w:val="1A1A2E"/>
          <w:sz w:val="22"/>
          <w:szCs w:val="22"/>
        </w:rPr>
        <w:t>"We keep the sovereign right to neutralize our material at home under joint lock; what stays, stays on our soil, not in foreign hands. Our program continues within our recognized rights, and the 3.67% cap is our sovereign choice."</w:t>
      </w:r>
    </w:p>
    <w:p>
      <w:pPr>
        <w:pStyle w:val="Normal"/>
        <w:numPr>
          <w:ilvl w:val="0"/>
          <w:numId w:val="1"/>
        </w:numPr>
      </w:pPr>
      <w:r>
        <w:rPr>
          <w:rFonts w:ascii="Cambria" w:hAnsi="Cambria" w:eastAsia="Microsoft YaHei" w:cs="Cambria"/>
          <w:color w:val="1A1A2E"/>
          <w:sz w:val="22"/>
          <w:szCs w:val="22"/>
        </w:rPr>
        <w:t>"Our coastal-state rights in the Persian Gulf are recognized, and we are paid for the services our crews perform in the strait - not a toll, but value for work."</w:t>
      </w:r>
    </w:p>
    <w:p>
      <w:pPr>
        <w:pStyle w:val="Heading3"/>
      </w:pPr>
      <w:bookmarkStart w:name="_Toc160" w:id="160"/>
      <w:r>
        <w:rPr>
          <w:rFonts w:ascii="Cambria" w:hAnsi="Cambria" w:eastAsia="Microsoft YaHei" w:cs="Cambria"/>
          <w:b/>
          <w:color w:val="1A1A2E"/>
          <w:sz w:val="26"/>
          <w:szCs w:val="26"/>
        </w:rPr>
        <w:t>Both Parties</w:t>
      </w:r>
      <w:bookmarkEnd w:id="160"/>
    </w:p>
    <w:p>
      <w:pPr>
        <w:pStyle w:val="Normal"/>
        <w:numPr>
          <w:ilvl w:val="0"/>
          <w:numId w:val="1"/>
        </w:numPr>
      </w:pPr>
      <w:r>
        <w:rPr>
          <w:rFonts w:ascii="Cambria" w:hAnsi="Cambria" w:eastAsia="Microsoft YaHei" w:cs="Cambria"/>
          <w:color w:val="1A1A2E"/>
          <w:sz w:val="22"/>
          <w:szCs w:val="22"/>
        </w:rPr>
        <w:t>"The performance-contingent design means both sides win if both deliver, and neither wins if either cheats. Even the deepest adversaries find practical cooperation when the alternative is worse."</w:t>
      </w:r>
    </w:p>
    <w:p>
      <w:pPr>
        <w:pStyle w:val="Heading3"/>
      </w:pPr>
      <w:bookmarkStart w:name="_Toc161" w:id="161"/>
      <w:r>
        <w:rPr>
          <w:rFonts w:ascii="Cambria" w:hAnsi="Cambria" w:eastAsia="Microsoft YaHei" w:cs="Cambria"/>
          <w:b/>
          <w:color w:val="1A1A2E"/>
          <w:sz w:val="26"/>
          <w:szCs w:val="26"/>
        </w:rPr>
        <w:t>Dual-Frame Headliners</w:t>
      </w:r>
      <w:bookmarkEnd w:id="161"/>
    </w:p>
    <w:p>
      <w:pPr>
        <w:pStyle w:val="Normal"/>
      </w:pPr>
      <w:r>
        <w:rPr>
          <w:rFonts w:ascii="Cambria" w:hAnsi="Cambria" w:eastAsia="Microsoft YaHei" w:cs="Cambria"/>
          <w:color w:val="1A1A2E"/>
          <w:sz w:val="22"/>
          <w:szCs w:val="22"/>
        </w:rPr>
        <w:t>Each row is one mechanism that both capitals claim without either adopting the other's words. Neither side has to lie; neither has to concede the other's frame.</w:t>
      </w:r>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The U.S. Headline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The Mechanism</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Iran's Frame</w:t>
            </w:r>
          </w:p>
        </w:tc>
      </w:tr>
      <w:tr>
        <w:tc>
          <w:tcPr>
            <w:tcW w:w="2000" w:type="dxa"/>
          </w:tcPr>
          <w:p>
            <w:pPr>
              <w:pStyle w:val="Normal"/>
              <w:spacing w:before="40" w:after="40"/>
            </w:pPr>
            <w:r>
              <w:rPr>
                <w:color w:val="4A4A5A"/>
                <w:sz w:val="18"/>
                <w:rFonts w:ascii="Cambria" w:hAnsi="Cambria" w:eastAsia="Microsoft YaHei" w:cs="Cambria"/>
                <w:szCs w:val="18"/>
              </w:rPr>
              <w:t>"We hold a key to Iran's nuclear bunker."</w:t>
            </w:r>
          </w:p>
        </w:tc>
        <w:tc>
          <w:tcPr>
            <w:tcW w:w="2000" w:type="dxa"/>
          </w:tcPr>
          <w:p>
            <w:pPr>
              <w:pStyle w:val="Normal"/>
              <w:spacing w:before="40" w:after="40"/>
            </w:pPr>
            <w:r>
              <w:rPr>
                <w:color w:val="4A4A5A"/>
                <w:sz w:val="18"/>
                <w:rFonts w:ascii="Cambria" w:hAnsi="Cambria" w:eastAsia="Microsoft YaHei" w:cs="Cambria"/>
                <w:szCs w:val="18"/>
              </w:rPr>
              <w:t>Dual-key custody: material in Iran under IAEA lock; U.S.-designated second key</w:t>
            </w:r>
          </w:p>
        </w:tc>
        <w:tc>
          <w:tcPr>
            <w:tcW w:w="2000" w:type="dxa"/>
          </w:tcPr>
          <w:p>
            <w:pPr>
              <w:pStyle w:val="Normal"/>
              <w:spacing w:before="40" w:after="40"/>
            </w:pPr>
            <w:r>
              <w:rPr>
                <w:color w:val="4A4A5A"/>
                <w:sz w:val="18"/>
                <w:rFonts w:ascii="Cambria" w:hAnsi="Cambria" w:eastAsia="Microsoft YaHei" w:cs="Cambria"/>
                <w:szCs w:val="18"/>
              </w:rPr>
              <w:t>"Our material stays on our soil; the key is verification, not ownership."</w:t>
            </w:r>
          </w:p>
        </w:tc>
      </w:tr>
      <w:tr>
        <w:tc>
          <w:tcPr>
            <w:tcW w:w="2000" w:type="dxa"/>
          </w:tcPr>
          <w:p>
            <w:pPr>
              <w:pStyle w:val="Normal"/>
              <w:spacing w:before="40" w:after="40"/>
            </w:pPr>
            <w:r>
              <w:rPr>
                <w:color w:val="4A4A5A"/>
                <w:sz w:val="18"/>
                <w:rFonts w:ascii="Cambria" w:hAnsi="Cambria" w:eastAsia="Microsoft YaHei" w:cs="Cambria"/>
                <w:szCs w:val="18"/>
              </w:rPr>
              <w:t>"Zero tolls, zero checkpoints - Hormuz is permanently open."</w:t>
            </w:r>
          </w:p>
        </w:tc>
        <w:tc>
          <w:tcPr>
            <w:tcW w:w="2000" w:type="dxa"/>
          </w:tcPr>
          <w:p>
            <w:pPr>
              <w:pStyle w:val="Normal"/>
              <w:spacing w:before="40" w:after="40"/>
            </w:pPr>
            <w:r>
              <w:rPr>
                <w:color w:val="4A4A5A"/>
                <w:sz w:val="18"/>
                <w:rFonts w:ascii="Cambria" w:hAnsi="Cambria" w:eastAsia="Microsoft YaHei" w:cs="Cambria"/>
                <w:szCs w:val="18"/>
              </w:rPr>
              <w:t>Freedom of navigation; no Iranian authority over the corridor; reimbursement for verified services</w:t>
            </w:r>
          </w:p>
        </w:tc>
        <w:tc>
          <w:tcPr>
            <w:tcW w:w="2000" w:type="dxa"/>
          </w:tcPr>
          <w:p>
            <w:pPr>
              <w:pStyle w:val="Normal"/>
              <w:spacing w:before="40" w:after="40"/>
            </w:pPr>
            <w:r>
              <w:rPr>
                <w:color w:val="4A4A5A"/>
                <w:sz w:val="18"/>
                <w:rFonts w:ascii="Cambria" w:hAnsi="Cambria" w:eastAsia="Microsoft YaHei" w:cs="Cambria"/>
                <w:szCs w:val="18"/>
              </w:rPr>
              <w:t>"Our coastal authority is recognized and we are paid for the work our crews do."</w:t>
            </w:r>
          </w:p>
        </w:tc>
      </w:tr>
      <w:tr>
        <w:tc>
          <w:tcPr>
            <w:tcW w:w="2000" w:type="dxa"/>
          </w:tcPr>
          <w:p>
            <w:pPr>
              <w:pStyle w:val="Normal"/>
              <w:spacing w:before="40" w:after="40"/>
            </w:pPr>
            <w:r>
              <w:rPr>
                <w:color w:val="4A4A5A"/>
                <w:sz w:val="18"/>
                <w:rFonts w:ascii="Cambria" w:hAnsi="Cambria" w:eastAsia="Microsoft YaHei" w:cs="Cambria"/>
                <w:szCs w:val="18"/>
              </w:rPr>
              <w:t>"No cash up front - Iran earns every dollar."</w:t>
            </w:r>
          </w:p>
        </w:tc>
        <w:tc>
          <w:tcPr>
            <w:tcW w:w="2000" w:type="dxa"/>
          </w:tcPr>
          <w:p>
            <w:pPr>
              <w:pStyle w:val="Normal"/>
              <w:spacing w:before="40" w:after="40"/>
            </w:pPr>
            <w:r>
              <w:rPr>
                <w:color w:val="4A4A5A"/>
                <w:sz w:val="18"/>
                <w:rFonts w:ascii="Cambria" w:hAnsi="Cambria" w:eastAsia="Microsoft YaHei" w:cs="Cambria"/>
                <w:szCs w:val="18"/>
              </w:rPr>
              <w:t>$5B mutual escrow releases in tranches starting at Day 7; milestone-based, reversible releases</w:t>
            </w:r>
          </w:p>
        </w:tc>
        <w:tc>
          <w:tcPr>
            <w:tcW w:w="2000" w:type="dxa"/>
          </w:tcPr>
          <w:p>
            <w:pPr>
              <w:pStyle w:val="Normal"/>
              <w:spacing w:before="40" w:after="40"/>
            </w:pPr>
            <w:r>
              <w:rPr>
                <w:color w:val="4A4A5A"/>
                <w:sz w:val="18"/>
                <w:rFonts w:ascii="Cambria" w:hAnsi="Cambria" w:eastAsia="Microsoft YaHei" w:cs="Cambria"/>
                <w:szCs w:val="18"/>
              </w:rPr>
              <w:t>"Our frozen assets return on a guaranteed, predictable schedule."</w:t>
            </w:r>
          </w:p>
        </w:tc>
      </w:tr>
      <w:tr>
        <w:tc>
          <w:tcPr>
            <w:tcW w:w="2000" w:type="dxa"/>
          </w:tcPr>
          <w:p>
            <w:pPr>
              <w:pStyle w:val="Normal"/>
              <w:spacing w:before="40" w:after="40"/>
            </w:pPr>
            <w:r>
              <w:rPr>
                <w:color w:val="4A4A5A"/>
                <w:sz w:val="18"/>
                <w:rFonts w:ascii="Cambria" w:hAnsi="Cambria" w:eastAsia="Microsoft YaHei" w:cs="Cambria"/>
                <w:szCs w:val="18"/>
              </w:rPr>
              <w:t>"If Iran cheats, the deal gets longer - automatically."</w:t>
            </w:r>
          </w:p>
        </w:tc>
        <w:tc>
          <w:tcPr>
            <w:tcW w:w="2000" w:type="dxa"/>
          </w:tcPr>
          <w:p>
            <w:pPr>
              <w:pStyle w:val="Normal"/>
              <w:spacing w:before="40" w:after="40"/>
            </w:pPr>
            <w:r>
              <w:rPr>
                <w:color w:val="4A4A5A"/>
                <w:sz w:val="18"/>
                <w:rFonts w:ascii="Cambria" w:hAnsi="Cambria" w:eastAsia="Microsoft YaHei" w:cs="Cambria"/>
                <w:szCs w:val="18"/>
              </w:rPr>
              <w:t>12-year cap; +24 months per violation, up to 25 years; no vote needed</w:t>
            </w:r>
          </w:p>
        </w:tc>
        <w:tc>
          <w:tcPr>
            <w:tcW w:w="2000" w:type="dxa"/>
          </w:tcPr>
          <w:p>
            <w:pPr>
              <w:pStyle w:val="Normal"/>
              <w:spacing w:before="40" w:after="40"/>
            </w:pPr>
            <w:r>
              <w:rPr>
                <w:color w:val="4A4A5A"/>
                <w:sz w:val="18"/>
                <w:rFonts w:ascii="Cambria" w:hAnsi="Cambria" w:eastAsia="Microsoft YaHei" w:cs="Cambria"/>
                <w:szCs w:val="18"/>
              </w:rPr>
              <w:t>"Our 3.67% enrichment right is preserved; the rules are fair and reward compliance."</w:t>
            </w:r>
          </w:p>
        </w:tc>
      </w:tr>
      <w:tr>
        <w:tc>
          <w:tcPr>
            <w:tcW w:w="2000" w:type="dxa"/>
          </w:tcPr>
          <w:p>
            <w:pPr>
              <w:pStyle w:val="Normal"/>
              <w:spacing w:before="40" w:after="40"/>
            </w:pPr>
            <w:r>
              <w:rPr>
                <w:color w:val="4A4A5A"/>
                <w:sz w:val="18"/>
                <w:rFonts w:ascii="Cambria" w:hAnsi="Cambria" w:eastAsia="Microsoft YaHei" w:cs="Cambria"/>
                <w:szCs w:val="18"/>
              </w:rPr>
              <w:t>"Iran does not stand in the way of Israel-Arab peace."</w:t>
            </w:r>
          </w:p>
        </w:tc>
        <w:tc>
          <w:tcPr>
            <w:tcW w:w="2000" w:type="dxa"/>
          </w:tcPr>
          <w:p>
            <w:pPr>
              <w:pStyle w:val="Normal"/>
              <w:spacing w:before="40" w:after="40"/>
            </w:pPr>
            <w:r>
              <w:rPr>
                <w:color w:val="4A4A5A"/>
                <w:sz w:val="18"/>
                <w:rFonts w:ascii="Cambria" w:hAnsi="Cambria" w:eastAsia="Microsoft YaHei" w:cs="Cambria"/>
                <w:szCs w:val="18"/>
              </w:rPr>
              <w:t>Non-impediment clause (Art. 13.1) plus the separate Annex NORM Iran does not sign</w:t>
            </w:r>
          </w:p>
        </w:tc>
        <w:tc>
          <w:tcPr>
            <w:tcW w:w="2000" w:type="dxa"/>
          </w:tcPr>
          <w:p>
            <w:pPr>
              <w:pStyle w:val="Normal"/>
              <w:spacing w:before="40" w:after="40"/>
            </w:pPr>
            <w:r>
              <w:rPr>
                <w:color w:val="4A4A5A"/>
                <w:sz w:val="18"/>
                <w:rFonts w:ascii="Cambria" w:hAnsi="Cambria" w:eastAsia="Microsoft YaHei" w:cs="Cambria"/>
                <w:szCs w:val="18"/>
              </w:rPr>
              <w:t>"We have not recognized or normalized; other states make their own decisions."</w:t>
            </w:r>
          </w:p>
        </w:tc>
      </w:tr>
      <w:tr>
        <w:tc>
          <w:tcPr>
            <w:tcW w:w="2000" w:type="dxa"/>
          </w:tcPr>
          <w:p>
            <w:pPr>
              <w:pStyle w:val="Normal"/>
              <w:spacing w:before="40" w:after="40"/>
            </w:pPr>
            <w:r>
              <w:rPr>
                <w:color w:val="4A4A5A"/>
                <w:sz w:val="18"/>
                <w:rFonts w:ascii="Cambria" w:hAnsi="Cambria" w:eastAsia="Microsoft YaHei" w:cs="Cambria"/>
                <w:szCs w:val="18"/>
              </w:rPr>
              <w:t>"Bombs to bread - Iran's bomb-grade uranium goes into the ground to grow wheat."</w:t>
            </w:r>
          </w:p>
        </w:tc>
        <w:tc>
          <w:tcPr>
            <w:tcW w:w="2000" w:type="dxa"/>
          </w:tcPr>
          <w:p>
            <w:pPr>
              <w:pStyle w:val="Normal"/>
              <w:spacing w:before="40" w:after="40"/>
            </w:pPr>
            <w:r>
              <w:rPr>
                <w:color w:val="4A4A5A"/>
                <w:sz w:val="18"/>
                <w:rFonts w:ascii="Cambria" w:hAnsi="Cambria" w:eastAsia="Microsoft YaHei" w:cs="Cambria"/>
                <w:szCs w:val="18"/>
              </w:rPr>
              <w:t>Pathway W: depletion to fertilizer, dispersed and irreversible</w:t>
            </w:r>
          </w:p>
        </w:tc>
        <w:tc>
          <w:tcPr>
            <w:tcW w:w="2000" w:type="dxa"/>
          </w:tcPr>
          <w:p>
            <w:pPr>
              <w:pStyle w:val="Normal"/>
              <w:spacing w:before="40" w:after="40"/>
            </w:pPr>
            <w:r>
              <w:rPr>
                <w:color w:val="4A4A5A"/>
                <w:sz w:val="18"/>
                <w:rFonts w:ascii="Cambria" w:hAnsi="Cambria" w:eastAsia="Microsoft YaHei" w:cs="Cambria"/>
                <w:szCs w:val="18"/>
              </w:rPr>
              <w:t>"The material never leaves Iran; it feeds our people - sovereignty exercised."</w:t>
            </w:r>
          </w:p>
        </w:tc>
      </w:tr>
    </w:tbl>
    <w:p>
      <w:pPr>
        <w:pStyle w:val="Heading2"/>
      </w:pPr>
      <w:bookmarkStart w:name="_Toc162" w:id="162"/>
      <w:r>
        <w:rPr>
          <w:rFonts w:ascii="Cambria" w:hAnsi="Cambria" w:eastAsia="Microsoft YaHei" w:cs="Cambria"/>
          <w:b/>
          <w:color w:val="2D4A6F"/>
          <w:sz w:val="32"/>
          <w:szCs w:val="32"/>
        </w:rPr>
        <w:t>Appendix E-3 - The 30-Day Letter of Intent (Template)</w:t>
      </w:r>
      <w:bookmarkEnd w:id="162"/>
    </w:p>
    <w:p>
      <w:pPr>
        <w:pStyle w:val="Normal"/>
      </w:pPr>
      <w:r>
        <w:rPr>
          <w:rFonts w:ascii="Cambria" w:hAnsi="Cambria" w:eastAsia="Microsoft YaHei" w:cs="Cambria"/>
          <w:color w:val="1A1A2E"/>
          <w:sz w:val="22"/>
          <w:szCs w:val="22"/>
        </w:rPr>
        <w:t>Exchanged within thirty days of entry into force, the Letter fixes the Phase II start, the pathway selection, and the sequencing clock. Bracketed fields await final negotiation.</w:t>
      </w:r>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LETTER OF INTENT - PHASE II ACTIVATION: The Parties, having entered this Memorandum of Understanding into force on [date], confirm: (1) Stockpile disposition proceeds under Pathway [A through W], with the selection window closing on [date]; the Day-180 in-country default applies absent selection. (2) The 15-Day Micro-Cycle engine and the 60-Day Reciprocal Sequencing Schedule (Annex S) commence on [date]. (3) The Phase I to Phase II transition threshold is 75% across all four stripes, no stripe below 60%, sustained over [period]. (4) The Joint Hormuz Transit Authority coordination role and the Multilateral Maritime Maintenance Fund account at Bank Muscat are confirmed and live. Confirmed for each Party by the authorized representative below.</w:t>
      </w:r>
    </w:p>
    <w:p>
      <w:pPr>
        <w:pStyle w:val="Heading2"/>
      </w:pPr>
      <w:bookmarkStart w:name="_Toc163" w:id="163"/>
      <w:r>
        <w:rPr>
          <w:rFonts w:ascii="Cambria" w:hAnsi="Cambria" w:eastAsia="Microsoft YaHei" w:cs="Cambria"/>
          <w:b/>
          <w:color w:val="2D4A6F"/>
          <w:sz w:val="32"/>
          <w:szCs w:val="32"/>
        </w:rPr>
        <w:t>Appendix E-4 - Day-1 Podium Statements (Illustrative Drafts)</w:t>
      </w:r>
      <w:bookmarkEnd w:id="163"/>
    </w:p>
    <w:p>
      <w:pPr>
        <w:pStyle w:val="Normal"/>
      </w:pPr>
      <w:r>
        <w:rPr>
          <w:rFonts w:ascii="Cambria" w:hAnsi="Cambria" w:eastAsia="Microsoft YaHei" w:cs="Cambria"/>
          <w:color w:val="1A1A2E"/>
          <w:sz w:val="22"/>
          <w:szCs w:val="22"/>
        </w:rPr>
        <w:t>Draft remarks for each office, using only agreed technical language, offered to pressure-test the politics and give each side a ready script. They are illustrative role-based templates, not attributed to any named individual, and bind no one.</w:t>
      </w:r>
    </w:p>
    <w:p>
      <w:pPr>
        <w:pStyle w:val="Heading3"/>
      </w:pPr>
      <w:bookmarkStart w:name="_Toc164" w:id="164"/>
      <w:r>
        <w:rPr>
          <w:rFonts w:ascii="Cambria" w:hAnsi="Cambria" w:eastAsia="Microsoft YaHei" w:cs="Cambria"/>
          <w:b/>
          <w:color w:val="1A1A2E"/>
          <w:sz w:val="26"/>
          <w:szCs w:val="26"/>
        </w:rPr>
        <w:t>For the United States President (Draft)</w:t>
      </w:r>
      <w:bookmarkEnd w:id="164"/>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"Today, the United States and Iran have agreed that no weapons-usable nuclear material remains under Iran's sole control. It is neutralized on Iranian soil under a joint lock - and we hold one of the keys - or it becomes fertilizer that can never be turned back. The Strait of Hormuz is fully open - no tolls, no checkpoints, no Iranian management. And we put no cash on the table today; the first dollar moves only after thirty days of verified compliance. This is the exact opposite of the old deal."</w:t>
      </w:r>
    </w:p>
    <w:p>
      <w:pPr>
        <w:pStyle w:val="Heading3"/>
      </w:pPr>
      <w:bookmarkStart w:name="_Toc165" w:id="165"/>
      <w:r>
        <w:rPr>
          <w:rFonts w:ascii="Cambria" w:hAnsi="Cambria" w:eastAsia="Microsoft YaHei" w:cs="Cambria"/>
          <w:b/>
          <w:color w:val="1A1A2E"/>
          <w:sz w:val="26"/>
          <w:szCs w:val="26"/>
        </w:rPr>
        <w:t>For the Iranian President (Draft)</w:t>
      </w:r>
      <w:bookmarkEnd w:id="165"/>
    </w:p>
    <w:p>
      <w:pPr>
        <w:pStyle w:val="Normal"/>
        <w:pBdr>
          <w:left w:val="single" w:color="2d4a6f" w:sz="18" w:space="8"/>
        </w:pBdr>
        <w:shd w:val="clear" w:fill="f0f2f5"/>
        <w:spacing w:before="200" w:after="200"/>
        <w:ind w:left="360" w:right="360"/>
      </w:pPr>
      <w:r>
        <w:rPr>
          <w:i/>
          <w:color w:val="4A4A5A"/>
          <w:sz w:val="20"/>
          <w:rFonts w:ascii="Cambria" w:hAnsi="Cambria" w:eastAsia="Microsoft YaHei" w:cs="Cambria"/>
          <w:szCs w:val="20"/>
        </w:rPr>
        <w:t>"The siege of our nation is being lifted because we negotiated from strength. Our oil sells freely, our assets return on a guaranteed schedule, and our nuclear material remains on our soil if we so choose - under a lock we accept as verification, not occupation. Our coastal rights in the Persian Gulf are recognized, and our crews are paid for the services they perform. This is not surrender; it is sovereignty exercised through diplomacy."</w:t>
      </w:r>
    </w:p>
    <w:p>
      <w:pPr>
        <w:pStyle w:val="Heading2"/>
      </w:pPr>
      <w:bookmarkStart w:name="_Toc166" w:id="166"/>
      <w:r>
        <w:rPr>
          <w:rFonts w:ascii="Cambria" w:hAnsi="Cambria" w:eastAsia="Microsoft YaHei" w:cs="Cambria"/>
          <w:b/>
          <w:color w:val="2D4A6F"/>
          <w:sz w:val="32"/>
          <w:szCs w:val="32"/>
        </w:rPr>
        <w:t>Appendix E-5 - Signature and Adoption</w:t>
      </w:r>
      <w:bookmarkEnd w:id="166"/>
    </w:p>
    <w:p>
      <w:pPr>
        <w:pStyle w:val="Normal"/>
      </w:pPr>
      <w:r>
        <w:rPr>
          <w:rFonts w:ascii="Cambria" w:hAnsi="Cambria" w:eastAsia="Microsoft YaHei" w:cs="Cambria"/>
          <w:color w:val="1A1A2E"/>
          <w:sz w:val="22"/>
          <w:szCs w:val="22"/>
        </w:rPr>
        <w:t>The undersigned, duly authorized, sign Articles 1 through 13 of Part A into force and commit their Parties to the Phase II and Phase III architecture of Parts B and C on the binding timeline of Article 11, and adopt the integrated Annexes of Part D.</w:t>
      </w:r>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For the United States of America</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For the Islamic Republic of Iran</w:t>
            </w:r>
          </w:p>
        </w:tc>
      </w:tr>
      <w:tr>
        <w:tc>
          <w:tcPr>
            <w:tcW w:w="2000" w:type="dxa"/>
          </w:tcPr>
          <w:p>
            <w:pPr>
              <w:pStyle w:val="Normal"/>
              <w:spacing w:before="40" w:after="40"/>
            </w:pPr>
            <w:r>
              <w:rPr>
                <w:color w:val="4A4A5A"/>
                <w:sz w:val="18"/>
                <w:rFonts w:ascii="Cambria" w:hAnsi="Cambria" w:eastAsia="Microsoft YaHei" w:cs="Cambria"/>
                <w:szCs w:val="18"/>
              </w:rPr>
              <w:t>Signature: _________________________</w:t>
            </w:r>
          </w:p>
        </w:tc>
        <w:tc>
          <w:tcPr>
            <w:tcW w:w="2000" w:type="dxa"/>
          </w:tcPr>
          <w:p>
            <w:pPr>
              <w:pStyle w:val="Normal"/>
              <w:spacing w:before="40" w:after="40"/>
            </w:pPr>
            <w:r>
              <w:rPr>
                <w:color w:val="4A4A5A"/>
                <w:sz w:val="18"/>
                <w:rFonts w:ascii="Cambria" w:hAnsi="Cambria" w:eastAsia="Microsoft YaHei" w:cs="Cambria"/>
                <w:szCs w:val="18"/>
              </w:rPr>
              <w:t>Signature: _________________________</w:t>
            </w:r>
          </w:p>
        </w:tc>
      </w:tr>
      <w:tr>
        <w:tc>
          <w:tcPr>
            <w:tcW w:w="2000" w:type="dxa"/>
          </w:tcPr>
          <w:p>
            <w:pPr>
              <w:pStyle w:val="Normal"/>
              <w:spacing w:before="40" w:after="40"/>
            </w:pPr>
            <w:r>
              <w:rPr>
                <w:color w:val="4A4A5A"/>
                <w:sz w:val="18"/>
                <w:rFonts w:ascii="Cambria" w:hAnsi="Cambria" w:eastAsia="Microsoft YaHei" w:cs="Cambria"/>
                <w:szCs w:val="18"/>
              </w:rPr>
              <w:t>Name / Title: _____________________</w:t>
            </w:r>
          </w:p>
        </w:tc>
        <w:tc>
          <w:tcPr>
            <w:tcW w:w="2000" w:type="dxa"/>
          </w:tcPr>
          <w:p>
            <w:pPr>
              <w:pStyle w:val="Normal"/>
              <w:spacing w:before="40" w:after="40"/>
            </w:pPr>
            <w:r>
              <w:rPr>
                <w:color w:val="4A4A5A"/>
                <w:sz w:val="18"/>
                <w:rFonts w:ascii="Cambria" w:hAnsi="Cambria" w:eastAsia="Microsoft YaHei" w:cs="Cambria"/>
                <w:szCs w:val="18"/>
              </w:rPr>
              <w:t>Name / Title: _____________________</w:t>
            </w:r>
          </w:p>
        </w:tc>
      </w:tr>
      <w:tr>
        <w:tc>
          <w:tcPr>
            <w:tcW w:w="2000" w:type="dxa"/>
          </w:tcPr>
          <w:p>
            <w:pPr>
              <w:pStyle w:val="Normal"/>
              <w:spacing w:before="40" w:after="40"/>
            </w:pPr>
            <w:r>
              <w:rPr>
                <w:color w:val="4A4A5A"/>
                <w:sz w:val="18"/>
                <w:rFonts w:ascii="Cambria" w:hAnsi="Cambria" w:eastAsia="Microsoft YaHei" w:cs="Cambria"/>
                <w:szCs w:val="18"/>
              </w:rPr>
              <w:t>Date: ____________________________</w:t>
            </w:r>
          </w:p>
        </w:tc>
        <w:tc>
          <w:tcPr>
            <w:tcW w:w="2000" w:type="dxa"/>
          </w:tcPr>
          <w:p>
            <w:pPr>
              <w:pStyle w:val="Normal"/>
              <w:spacing w:before="40" w:after="40"/>
            </w:pPr>
            <w:r>
              <w:rPr>
                <w:color w:val="4A4A5A"/>
                <w:sz w:val="18"/>
                <w:rFonts w:ascii="Cambria" w:hAnsi="Cambria" w:eastAsia="Microsoft YaHei" w:cs="Cambria"/>
                <w:szCs w:val="18"/>
              </w:rPr>
              <w:t>Date: ____________________________</w:t>
            </w:r>
          </w:p>
        </w:tc>
      </w:tr>
    </w:tbl>
    <w:p>
      <w:pPr>
        <w:pStyle w:val="Normal"/>
      </w:pPr>
      <w:r>
        <w:rPr>
          <w:rFonts w:ascii="Cambria" w:hAnsi="Cambria" w:eastAsia="Microsoft YaHei" w:cs="Cambria"/>
          <w:color w:val="1A1A2E"/>
          <w:sz w:val="22"/>
          <w:szCs w:val="22"/>
        </w:rPr>
        <w:t>Depositary - Islamic Republic of Pakistan / Co-Facilitator - Sultanate of Oman</w:t>
      </w:r>
    </w:p>
    <w:tbl>
      <w:tblPr>
        <w:tblW w:w="5000" w:type="pct"/>
        <w:tblBorders>
          <w:top w:val="single" w:color="1a2744" w:sz="12"/>
          <w:left w:val="nil"/>
          <w:bottom w:val="single" w:color="1a2744" w:sz="12"/>
          <w:right w:val="nil"/>
          <w:insideH w:val="single" w:color="c8c8d4" w:sz="4"/>
          <w:insideV w:val="nil"/>
        </w:tblBorders>
      </w:tblPr>
      <w:tblGrid>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Depositary</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Co-Facilitator</w:t>
            </w:r>
          </w:p>
        </w:tc>
      </w:tr>
      <w:tr>
        <w:tc>
          <w:tcPr>
            <w:tcW w:w="2000" w:type="dxa"/>
          </w:tcPr>
          <w:p>
            <w:pPr>
              <w:pStyle w:val="Normal"/>
              <w:spacing w:before="40" w:after="40"/>
            </w:pPr>
            <w:r>
              <w:rPr>
                <w:color w:val="4A4A5A"/>
                <w:sz w:val="18"/>
                <w:rFonts w:ascii="Cambria" w:hAnsi="Cambria" w:eastAsia="Microsoft YaHei" w:cs="Cambria"/>
                <w:szCs w:val="18"/>
              </w:rPr>
              <w:t>Signature: _________________________</w:t>
            </w:r>
          </w:p>
        </w:tc>
        <w:tc>
          <w:tcPr>
            <w:tcW w:w="2000" w:type="dxa"/>
          </w:tcPr>
          <w:p>
            <w:pPr>
              <w:pStyle w:val="Normal"/>
              <w:spacing w:before="40" w:after="40"/>
            </w:pPr>
            <w:r>
              <w:rPr>
                <w:color w:val="4A4A5A"/>
                <w:sz w:val="18"/>
                <w:rFonts w:ascii="Cambria" w:hAnsi="Cambria" w:eastAsia="Microsoft YaHei" w:cs="Cambria"/>
                <w:szCs w:val="18"/>
              </w:rPr>
              <w:t>Signature: _________________________</w:t>
            </w:r>
          </w:p>
        </w:tc>
      </w:tr>
      <w:tr>
        <w:tc>
          <w:tcPr>
            <w:tcW w:w="2000" w:type="dxa"/>
          </w:tcPr>
          <w:p>
            <w:pPr>
              <w:pStyle w:val="Normal"/>
              <w:spacing w:before="40" w:after="40"/>
            </w:pPr>
            <w:r>
              <w:rPr>
                <w:color w:val="4A4A5A"/>
                <w:sz w:val="18"/>
                <w:rFonts w:ascii="Cambria" w:hAnsi="Cambria" w:eastAsia="Microsoft YaHei" w:cs="Cambria"/>
                <w:szCs w:val="18"/>
              </w:rPr>
              <w:t>Date: ____________________________</w:t>
            </w:r>
          </w:p>
        </w:tc>
        <w:tc>
          <w:tcPr>
            <w:tcW w:w="2000" w:type="dxa"/>
          </w:tcPr>
          <w:p>
            <w:pPr>
              <w:pStyle w:val="Normal"/>
              <w:spacing w:before="40" w:after="40"/>
            </w:pPr>
            <w:r>
              <w:rPr>
                <w:color w:val="4A4A5A"/>
                <w:sz w:val="18"/>
                <w:rFonts w:ascii="Cambria" w:hAnsi="Cambria" w:eastAsia="Microsoft YaHei" w:cs="Cambria"/>
                <w:szCs w:val="18"/>
              </w:rPr>
              <w:t>Date: ____________________________</w:t>
            </w:r>
          </w:p>
        </w:tc>
      </w:tr>
    </w:tbl>
    <w:p>
      <w:pPr>
        <w:pStyle w:val="Normal"/>
      </w:pPr>
      <w:r>
        <w:rPr>
          <w:rFonts w:ascii="Cambria" w:hAnsi="Cambria" w:eastAsia="Microsoft YaHei" w:cs="Cambria"/>
          <w:color w:val="1A1A2E"/>
          <w:sz w:val="22"/>
          <w:szCs w:val="22"/>
        </w:rPr>
        <w:t>Verification participation acknowledged: International Atomic Energy Agency</w:t>
      </w:r>
    </w:p>
    <w:p>
      <w:pPr>
        <w:pStyle w:val="Heading2"/>
      </w:pPr>
      <w:bookmarkStart w:name="_Toc167" w:id="167"/>
      <w:r>
        <w:rPr>
          <w:rFonts w:ascii="Cambria" w:hAnsi="Cambria" w:eastAsia="Microsoft YaHei" w:cs="Cambria"/>
          <w:b/>
          <w:color w:val="2D4A6F"/>
          <w:sz w:val="32"/>
          <w:szCs w:val="32"/>
        </w:rPr>
        <w:t>Appendix E-6 - Merge Log</w:t>
      </w:r>
      <w:bookmarkEnd w:id="167"/>
    </w:p>
    <w:p>
      <w:pPr>
        <w:pStyle w:val="Normal"/>
      </w:pPr>
      <w:r>
        <w:rPr>
          <w:rFonts w:ascii="Cambria" w:hAnsi="Cambria" w:eastAsia="Microsoft YaHei" w:cs="Cambria"/>
          <w:color w:val="1A1A2E"/>
          <w:sz w:val="22"/>
          <w:szCs w:val="22"/>
        </w:rPr>
        <w:t>This log records every provision taken from the Provisional Steps Framework v1.8 (and other source documents) and its insertion point in this merged instrument. The log is interpretive, not operative; it creates no obligation beyond the operative text.</w:t>
      </w:r>
    </w:p>
    <w:p>
      <w:pPr>
        <w:pStyle w:val="Heading3"/>
      </w:pPr>
      <w:bookmarkStart w:name="_Toc168" w:id="168"/>
      <w:r>
        <w:rPr>
          <w:rFonts w:ascii="Cambria" w:hAnsi="Cambria" w:eastAsia="Microsoft YaHei" w:cs="Cambria"/>
          <w:b/>
          <w:color w:val="1A1A2E"/>
          <w:sz w:val="26"/>
          <w:szCs w:val="26"/>
        </w:rPr>
        <w:t>Provisions Merged from Provisional Steps Framework v1.8</w:t>
      </w:r>
      <w:bookmarkEnd w:id="168"/>
    </w:p>
    <w:tbl>
      <w:tblPr>
        <w:tblW w:w="5000" w:type="pct"/>
        <w:tblBorders>
          <w:top w:val="single" w:color="1a2744" w:sz="12"/>
          <w:left w:val="nil"/>
          <w:bottom w:val="single" w:color="1a2744" w:sz="12"/>
          <w:right w:val="nil"/>
          <w:insideH w:val="single" w:color="c8c8d4" w:sz="4"/>
          <w:insideV w:val="nil"/>
        </w:tblBorders>
      </w:tblPr>
      <w:tblGrid>
        <w:gridCol w:w="2000"/>
        <w:gridCol w:w="2000"/>
        <w:gridCol w:w="2000"/>
        <w:gridCol w:w="2000"/>
      </w:tblGrid>
      <w:tr>
        <w:trPr>
          <w:tblHeader w:val="1"/>
        </w:trPr>
        <w:tc>
          <w:tcPr>
            <w:tcW w:w="2000" w:type="dxa"/>
            <w:shd w:val="clear" w:fill="E8E8F0" w:color="auto"/>
          </w:tcPr>
          <w:p>
            <w:pPr>
              <w:pStyle w:val="Normal"/>
              <w:spacing w:before="40" w:after="40"/>
            </w:pPr>
            <w:r>
              <w:rPr>
                <w:b/>
                <w:color w:val="1A1A2E"/>
                <w:sz w:val="18"/>
                <w:rFonts w:ascii="Cambria" w:hAnsi="Cambria" w:eastAsia="Microsoft YaHei" w:cs="Cambria"/>
                <w:szCs w:val="18"/>
              </w:rPr>
              <w:t>Provisional Steps Article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Target Article</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Action</w:t>
            </w:r>
          </w:p>
        </w:tc>
        <w:tc>
          <w:tcPr>
            <w:tcW w:w="2000" w:type="dxa"/>
            <w:shd w:val="clear" w:fill="E8E8F0" w:color="auto"/>
          </w:tcPr>
          <w:p>
            <w:pPr>
              <w:pStyle w:val="Normal"/>
              <w:spacing w:before="40" w:after="40"/>
            </w:pPr>
            <w:r>
              <w:rPr>
                <w:b/>
                <w:color w:val="1A1A2E"/>
                <w:sz w:val="18"/>
                <w:rFonts w:ascii="Cambria" w:hAnsi="Cambria" w:eastAsia="Microsoft YaHei" w:cs="Cambria"/>
                <w:szCs w:val="18"/>
              </w:rPr>
              <w:t>Description of Change</w:t>
            </w:r>
          </w:p>
        </w:tc>
      </w:tr>
      <w:tr>
        <w:tc>
          <w:tcPr>
            <w:tcW w:w="2000" w:type="dxa"/>
          </w:tcPr>
          <w:p>
            <w:pPr>
              <w:pStyle w:val="Normal"/>
              <w:spacing w:before="40" w:after="40"/>
            </w:pPr>
            <w:r>
              <w:rPr>
                <w:color w:val="4A4A5A"/>
                <w:sz w:val="18"/>
                <w:rFonts w:ascii="Cambria" w:hAnsi="Cambria" w:eastAsia="Microsoft YaHei" w:cs="Cambria"/>
                <w:szCs w:val="18"/>
              </w:rPr>
              <w:t>1.6-B (unilateral right)</w:t>
            </w:r>
          </w:p>
        </w:tc>
        <w:tc>
          <w:tcPr>
            <w:tcW w:w="2000" w:type="dxa"/>
          </w:tcPr>
          <w:p>
            <w:pPr>
              <w:pStyle w:val="Normal"/>
              <w:spacing w:before="40" w:after="40"/>
            </w:pPr>
            <w:r>
              <w:rPr>
                <w:color w:val="4A4A5A"/>
                <w:sz w:val="18"/>
                <w:rFonts w:ascii="Cambria" w:hAnsi="Cambria" w:eastAsia="Microsoft YaHei" w:cs="Cambria"/>
                <w:szCs w:val="18"/>
              </w:rPr>
              <w:t>3.2 (replace paragraph)</w:t>
            </w:r>
          </w:p>
        </w:tc>
        <w:tc>
          <w:tcPr>
            <w:tcW w:w="2000" w:type="dxa"/>
          </w:tcPr>
          <w:p>
            <w:pPr>
              <w:pStyle w:val="Normal"/>
              <w:spacing w:before="40" w:after="40"/>
            </w:pPr>
            <w:r>
              <w:rPr>
                <w:color w:val="4A4A5A"/>
                <w:sz w:val="18"/>
                <w:rFonts w:ascii="Cambria" w:hAnsi="Cambria" w:eastAsia="Microsoft YaHei" w:cs="Cambria"/>
                <w:szCs w:val="18"/>
              </w:rPr>
              <w:t>Strengthened</w:t>
            </w:r>
          </w:p>
        </w:tc>
        <w:tc>
          <w:tcPr>
            <w:tcW w:w="2000" w:type="dxa"/>
          </w:tcPr>
          <w:p>
            <w:pPr>
              <w:pStyle w:val="Normal"/>
              <w:spacing w:before="40" w:after="40"/>
            </w:pPr>
            <w:r>
              <w:rPr>
                <w:color w:val="4A4A5A"/>
                <w:sz w:val="18"/>
                <w:rFonts w:ascii="Cambria" w:hAnsi="Cambria" w:eastAsia="Microsoft YaHei" w:cs="Cambria"/>
                <w:szCs w:val="18"/>
              </w:rPr>
              <w:t>Replaced Sunflower's softer language with Provisional Steps' stronger declarative formulation: "irrevocable, without U.S. concurrence, without joint review, without the possibility of U.S. veto"</w:t>
            </w:r>
          </w:p>
        </w:tc>
      </w:tr>
      <w:tr>
        <w:tc>
          <w:tcPr>
            <w:tcW w:w="2000" w:type="dxa"/>
          </w:tcPr>
          <w:p>
            <w:pPr>
              <w:pStyle w:val="Normal"/>
              <w:spacing w:before="40" w:after="40"/>
            </w:pPr>
            <w:r>
              <w:rPr>
                <w:color w:val="4A4A5A"/>
                <w:sz w:val="18"/>
                <w:rFonts w:ascii="Cambria" w:hAnsi="Cambria" w:eastAsia="Microsoft YaHei" w:cs="Cambria"/>
                <w:szCs w:val="18"/>
              </w:rPr>
              <w:t>1.6-B(d) (custody termination)</w:t>
            </w:r>
          </w:p>
        </w:tc>
        <w:tc>
          <w:tcPr>
            <w:tcW w:w="2000" w:type="dxa"/>
          </w:tcPr>
          <w:p>
            <w:pPr>
              <w:pStyle w:val="Normal"/>
              <w:spacing w:before="40" w:after="40"/>
            </w:pPr>
            <w:r>
              <w:rPr>
                <w:color w:val="4A4A5A"/>
                <w:sz w:val="18"/>
                <w:rFonts w:ascii="Cambria" w:hAnsi="Cambria" w:eastAsia="Microsoft YaHei" w:cs="Cambria"/>
                <w:szCs w:val="18"/>
              </w:rPr>
              <w:t>3.2(b) (new paragraph)</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Added Iran's unilateral right to terminate IAEA custody after Day 365, subject only to Iran's own determination; no external approval required</w:t>
            </w:r>
          </w:p>
        </w:tc>
      </w:tr>
      <w:tr>
        <w:tc>
          <w:tcPr>
            <w:tcW w:w="2000" w:type="dxa"/>
          </w:tcPr>
          <w:p>
            <w:pPr>
              <w:pStyle w:val="Normal"/>
              <w:spacing w:before="40" w:after="40"/>
            </w:pPr>
            <w:r>
              <w:rPr>
                <w:color w:val="4A4A5A"/>
                <w:sz w:val="18"/>
                <w:rFonts w:ascii="Cambria" w:hAnsi="Cambria" w:eastAsia="Microsoft YaHei" w:cs="Cambria"/>
                <w:szCs w:val="18"/>
              </w:rPr>
              <w:t>1.6(e) (365-day backstop)</w:t>
            </w:r>
          </w:p>
        </w:tc>
        <w:tc>
          <w:tcPr>
            <w:tcW w:w="2000" w:type="dxa"/>
          </w:tcPr>
          <w:p>
            <w:pPr>
              <w:pStyle w:val="Normal"/>
              <w:spacing w:before="40" w:after="40"/>
            </w:pPr>
            <w:r>
              <w:rPr>
                <w:color w:val="4A4A5A"/>
                <w:sz w:val="18"/>
                <w:rFonts w:ascii="Cambria" w:hAnsi="Cambria" w:eastAsia="Microsoft YaHei" w:cs="Cambria"/>
                <w:szCs w:val="18"/>
              </w:rPr>
              <w:t>3.2(a) (replace paragraph)</w:t>
            </w:r>
          </w:p>
        </w:tc>
        <w:tc>
          <w:tcPr>
            <w:tcW w:w="2000" w:type="dxa"/>
          </w:tcPr>
          <w:p>
            <w:pPr>
              <w:pStyle w:val="Normal"/>
              <w:spacing w:before="40" w:after="40"/>
            </w:pPr>
            <w:r>
              <w:rPr>
                <w:color w:val="4A4A5A"/>
                <w:sz w:val="18"/>
                <w:rFonts w:ascii="Cambria" w:hAnsi="Cambria" w:eastAsia="Microsoft YaHei" w:cs="Cambria"/>
                <w:szCs w:val="18"/>
              </w:rPr>
              <w:t>Enhanced</w:t>
            </w:r>
          </w:p>
        </w:tc>
        <w:tc>
          <w:tcPr>
            <w:tcW w:w="2000" w:type="dxa"/>
          </w:tcPr>
          <w:p>
            <w:pPr>
              <w:pStyle w:val="Normal"/>
              <w:spacing w:before="40" w:after="40"/>
            </w:pPr>
            <w:r>
              <w:rPr>
                <w:color w:val="4A4A5A"/>
                <w:sz w:val="18"/>
                <w:rFonts w:ascii="Cambria" w:hAnsi="Cambria" w:eastAsia="Microsoft YaHei" w:cs="Cambria"/>
                <w:szCs w:val="18"/>
              </w:rPr>
              <w:t>Replaced Sunflower's less detailed forced-choice clock with Provisional Steps' language including 20% phased transfer to Oman every 90 days after Day 365</w:t>
            </w:r>
          </w:p>
        </w:tc>
      </w:tr>
      <w:tr>
        <w:tc>
          <w:tcPr>
            <w:tcW w:w="2000" w:type="dxa"/>
          </w:tcPr>
          <w:p>
            <w:pPr>
              <w:pStyle w:val="Normal"/>
              <w:spacing w:before="40" w:after="40"/>
            </w:pPr>
            <w:r>
              <w:rPr>
                <w:color w:val="4A4A5A"/>
                <w:sz w:val="18"/>
                <w:rFonts w:ascii="Cambria" w:hAnsi="Cambria" w:eastAsia="Microsoft YaHei" w:cs="Cambria"/>
                <w:szCs w:val="18"/>
              </w:rPr>
              <w:t>4.4 (backdoor penalty)</w:t>
            </w:r>
          </w:p>
        </w:tc>
        <w:tc>
          <w:tcPr>
            <w:tcW w:w="2000" w:type="dxa"/>
          </w:tcPr>
          <w:p>
            <w:pPr>
              <w:pStyle w:val="Normal"/>
              <w:spacing w:before="40" w:after="40"/>
            </w:pPr>
            <w:r>
              <w:rPr>
                <w:color w:val="4A4A5A"/>
                <w:sz w:val="18"/>
                <w:rFonts w:ascii="Cambria" w:hAnsi="Cambria" w:eastAsia="Microsoft YaHei" w:cs="Cambria"/>
                <w:szCs w:val="18"/>
              </w:rPr>
              <w:t>4.4 (amend)</w:t>
            </w:r>
          </w:p>
        </w:tc>
        <w:tc>
          <w:tcPr>
            <w:tcW w:w="2000" w:type="dxa"/>
          </w:tcPr>
          <w:p>
            <w:pPr>
              <w:pStyle w:val="Normal"/>
              <w:spacing w:before="40" w:after="40"/>
            </w:pPr>
            <w:r>
              <w:rPr>
                <w:color w:val="4A4A5A"/>
                <w:sz w:val="18"/>
                <w:rFonts w:ascii="Cambria" w:hAnsi="Cambria" w:eastAsia="Microsoft YaHei" w:cs="Cambria"/>
                <w:szCs w:val="18"/>
              </w:rPr>
              <w:t>Enhanced</w:t>
            </w:r>
          </w:p>
        </w:tc>
        <w:tc>
          <w:tcPr>
            <w:tcW w:w="2000" w:type="dxa"/>
          </w:tcPr>
          <w:p>
            <w:pPr>
              <w:pStyle w:val="Normal"/>
              <w:spacing w:before="40" w:after="40"/>
            </w:pPr>
            <w:r>
              <w:rPr>
                <w:color w:val="4A4A5A"/>
                <w:sz w:val="18"/>
                <w:rFonts w:ascii="Cambria" w:hAnsi="Cambria" w:eastAsia="Microsoft YaHei" w:cs="Cambria"/>
                <w:szCs w:val="18"/>
              </w:rPr>
              <w:t>Added $10M automatic penalty for repeat interdiction and 90-day forfeiture of service reimbursement</w:t>
            </w:r>
          </w:p>
        </w:tc>
      </w:tr>
      <w:tr>
        <w:tc>
          <w:tcPr>
            <w:tcW w:w="2000" w:type="dxa"/>
          </w:tcPr>
          <w:p>
            <w:pPr>
              <w:pStyle w:val="Normal"/>
              <w:spacing w:before="40" w:after="40"/>
            </w:pPr>
            <w:r>
              <w:rPr>
                <w:color w:val="4A4A5A"/>
                <w:sz w:val="18"/>
                <w:rFonts w:ascii="Cambria" w:hAnsi="Cambria" w:eastAsia="Microsoft YaHei" w:cs="Cambria"/>
                <w:szCs w:val="18"/>
              </w:rPr>
              <w:t>4.9 (force-posture stand-off)</w:t>
            </w:r>
          </w:p>
        </w:tc>
        <w:tc>
          <w:tcPr>
            <w:tcW w:w="2000" w:type="dxa"/>
          </w:tcPr>
          <w:p>
            <w:pPr>
              <w:pStyle w:val="Normal"/>
              <w:spacing w:before="40" w:after="40"/>
            </w:pPr>
            <w:r>
              <w:rPr>
                <w:color w:val="4A4A5A"/>
                <w:sz w:val="18"/>
                <w:rFonts w:ascii="Cambria" w:hAnsi="Cambria" w:eastAsia="Microsoft YaHei" w:cs="Cambria"/>
                <w:szCs w:val="18"/>
              </w:rPr>
              <w:t>4.9 (new article)</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article: U.S. naval stand-off triggers only on IAEA confirmation of HEU consolidation, not signature alone</w:t>
            </w:r>
          </w:p>
        </w:tc>
      </w:tr>
      <w:tr>
        <w:tc>
          <w:tcPr>
            <w:tcW w:w="2000" w:type="dxa"/>
          </w:tcPr>
          <w:p>
            <w:pPr>
              <w:pStyle w:val="Normal"/>
              <w:spacing w:before="40" w:after="40"/>
            </w:pPr>
            <w:r>
              <w:rPr>
                <w:color w:val="4A4A5A"/>
                <w:sz w:val="18"/>
                <w:rFonts w:ascii="Cambria" w:hAnsi="Cambria" w:eastAsia="Microsoft YaHei" w:cs="Cambria"/>
                <w:szCs w:val="18"/>
              </w:rPr>
              <w:t>9.1-A (Targeted Bank Isolation)</w:t>
            </w:r>
          </w:p>
        </w:tc>
        <w:tc>
          <w:tcPr>
            <w:tcW w:w="2000" w:type="dxa"/>
          </w:tcPr>
          <w:p>
            <w:pPr>
              <w:pStyle w:val="Normal"/>
              <w:spacing w:before="40" w:after="40"/>
            </w:pPr>
            <w:r>
              <w:rPr>
                <w:color w:val="4A4A5A"/>
                <w:sz w:val="18"/>
                <w:rFonts w:ascii="Cambria" w:hAnsi="Cambria" w:eastAsia="Microsoft YaHei" w:cs="Cambria"/>
                <w:szCs w:val="18"/>
              </w:rPr>
              <w:t>5.5 (new paragraph)</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paragraph: individual banks with compliance concerns are isolated from SWIFT; compliant banks retain access; 90-day reinstatement</w:t>
            </w:r>
          </w:p>
        </w:tc>
      </w:tr>
      <w:tr>
        <w:tc>
          <w:tcPr>
            <w:tcW w:w="2000" w:type="dxa"/>
          </w:tcPr>
          <w:p>
            <w:pPr>
              <w:pStyle w:val="Normal"/>
              <w:spacing w:before="40" w:after="40"/>
            </w:pPr>
            <w:r>
              <w:rPr>
                <w:color w:val="4A4A5A"/>
                <w:sz w:val="18"/>
                <w:rFonts w:ascii="Cambria" w:hAnsi="Cambria" w:eastAsia="Microsoft YaHei" w:cs="Cambria"/>
                <w:szCs w:val="18"/>
              </w:rPr>
              <w:t>13.3 (step-back percentages)</w:t>
            </w:r>
          </w:p>
        </w:tc>
        <w:tc>
          <w:tcPr>
            <w:tcW w:w="2000" w:type="dxa"/>
          </w:tcPr>
          <w:p>
            <w:pPr>
              <w:pStyle w:val="Normal"/>
              <w:spacing w:before="40" w:after="40"/>
            </w:pPr>
            <w:r>
              <w:rPr>
                <w:color w:val="4A4A5A"/>
                <w:sz w:val="18"/>
                <w:rFonts w:ascii="Cambria" w:hAnsi="Cambria" w:eastAsia="Microsoft YaHei" w:cs="Cambria"/>
                <w:szCs w:val="18"/>
              </w:rPr>
              <w:t>7.3 (replace table)</w:t>
            </w:r>
          </w:p>
        </w:tc>
        <w:tc>
          <w:tcPr>
            <w:tcW w:w="2000" w:type="dxa"/>
          </w:tcPr>
          <w:p>
            <w:pPr>
              <w:pStyle w:val="Normal"/>
              <w:spacing w:before="40" w:after="40"/>
            </w:pPr>
            <w:r>
              <w:rPr>
                <w:color w:val="4A4A5A"/>
                <w:sz w:val="18"/>
                <w:rFonts w:ascii="Cambria" w:hAnsi="Cambria" w:eastAsia="Microsoft YaHei" w:cs="Cambria"/>
                <w:szCs w:val="18"/>
              </w:rPr>
              <w:t>Replaced</w:t>
            </w:r>
          </w:p>
        </w:tc>
        <w:tc>
          <w:tcPr>
            <w:tcW w:w="2000" w:type="dxa"/>
          </w:tcPr>
          <w:p>
            <w:pPr>
              <w:pStyle w:val="Normal"/>
              <w:spacing w:before="40" w:after="40"/>
            </w:pPr>
            <w:r>
              <w:rPr>
                <w:color w:val="4A4A5A"/>
                <w:sz w:val="18"/>
                <w:rFonts w:ascii="Cambria" w:hAnsi="Cambria" w:eastAsia="Microsoft YaHei" w:cs="Cambria"/>
                <w:szCs w:val="18"/>
              </w:rPr>
              <w:t>More granular proportionality: Tier 2: &lt;7d=10%, 7-14d=15%, 15-30d=25%; Tier 3: &lt;72h=25%, &gt;72h=35%, &gt;30d=50%; added proportional penalty clause and cross-module spillover protection</w:t>
            </w:r>
          </w:p>
        </w:tc>
      </w:tr>
      <w:tr>
        <w:tc>
          <w:tcPr>
            <w:tcW w:w="2000" w:type="dxa"/>
          </w:tcPr>
          <w:p>
            <w:pPr>
              <w:pStyle w:val="Normal"/>
              <w:spacing w:before="40" w:after="40"/>
            </w:pPr>
            <w:r>
              <w:rPr>
                <w:color w:val="4A4A5A"/>
                <w:sz w:val="18"/>
                <w:rFonts w:ascii="Cambria" w:hAnsi="Cambria" w:eastAsia="Microsoft YaHei" w:cs="Cambria"/>
                <w:szCs w:val="18"/>
              </w:rPr>
              <w:t>13.3-B (Second Look Review)</w:t>
            </w:r>
          </w:p>
        </w:tc>
        <w:tc>
          <w:tcPr>
            <w:tcW w:w="2000" w:type="dxa"/>
          </w:tcPr>
          <w:p>
            <w:pPr>
              <w:pStyle w:val="Normal"/>
              <w:spacing w:before="40" w:after="40"/>
            </w:pPr>
            <w:r>
              <w:rPr>
                <w:color w:val="4A4A5A"/>
                <w:sz w:val="18"/>
                <w:rFonts w:ascii="Cambria" w:hAnsi="Cambria" w:eastAsia="Microsoft YaHei" w:cs="Cambria"/>
                <w:szCs w:val="18"/>
              </w:rPr>
              <w:t>7.7 (new article)</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article: mandatory 48-hour executive-level review before penalty finalization with optional 72-hour extension</w:t>
            </w:r>
          </w:p>
        </w:tc>
      </w:tr>
      <w:tr>
        <w:tc>
          <w:tcPr>
            <w:tcW w:w="2000" w:type="dxa"/>
          </w:tcPr>
          <w:p>
            <w:pPr>
              <w:pStyle w:val="Normal"/>
              <w:spacing w:before="40" w:after="40"/>
            </w:pPr>
            <w:r>
              <w:rPr>
                <w:color w:val="4A4A5A"/>
                <w:sz w:val="18"/>
                <w:rFonts w:ascii="Cambria" w:hAnsi="Cambria" w:eastAsia="Microsoft YaHei" w:cs="Cambria"/>
                <w:szCs w:val="18"/>
              </w:rPr>
              <w:t>12.5 (Consensus Minus One)</w:t>
            </w:r>
          </w:p>
        </w:tc>
        <w:tc>
          <w:tcPr>
            <w:tcW w:w="2000" w:type="dxa"/>
          </w:tcPr>
          <w:p>
            <w:pPr>
              <w:pStyle w:val="Normal"/>
              <w:spacing w:before="40" w:after="40"/>
            </w:pPr>
            <w:r>
              <w:rPr>
                <w:color w:val="4A4A5A"/>
                <w:sz w:val="18"/>
                <w:rFonts w:ascii="Cambria" w:hAnsi="Cambria" w:eastAsia="Microsoft YaHei" w:cs="Cambria"/>
                <w:szCs w:val="18"/>
              </w:rPr>
              <w:t>9.5 (new article)</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article: governance body decisions pass on consensus of all except one, preventing single-Party blocking of operational matters</w:t>
            </w:r>
          </w:p>
        </w:tc>
      </w:tr>
      <w:tr>
        <w:tc>
          <w:tcPr>
            <w:tcW w:w="2000" w:type="dxa"/>
          </w:tcPr>
          <w:p>
            <w:pPr>
              <w:pStyle w:val="Normal"/>
              <w:spacing w:before="40" w:after="40"/>
            </w:pPr>
            <w:r>
              <w:rPr>
                <w:color w:val="4A4A5A"/>
                <w:sz w:val="18"/>
                <w:rFonts w:ascii="Cambria" w:hAnsi="Cambria" w:eastAsia="Microsoft YaHei" w:cs="Cambria"/>
                <w:szCs w:val="18"/>
              </w:rPr>
              <w:t>12.3-B (Political Override)</w:t>
            </w:r>
          </w:p>
        </w:tc>
        <w:tc>
          <w:tcPr>
            <w:tcW w:w="2000" w:type="dxa"/>
          </w:tcPr>
          <w:p>
            <w:pPr>
              <w:pStyle w:val="Normal"/>
              <w:spacing w:before="40" w:after="40"/>
            </w:pPr>
            <w:r>
              <w:rPr>
                <w:color w:val="4A4A5A"/>
                <w:sz w:val="18"/>
                <w:rFonts w:ascii="Cambria" w:hAnsi="Cambria" w:eastAsia="Microsoft YaHei" w:cs="Cambria"/>
                <w:szCs w:val="18"/>
              </w:rPr>
              <w:t>9.6 (new article)</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article: head of government overrides PCC findings for 30 days, once per 90 days</w:t>
            </w:r>
          </w:p>
        </w:tc>
      </w:tr>
      <w:tr>
        <w:tc>
          <w:tcPr>
            <w:tcW w:w="2000" w:type="dxa"/>
          </w:tcPr>
          <w:p>
            <w:pPr>
              <w:pStyle w:val="Normal"/>
              <w:spacing w:before="40" w:after="40"/>
            </w:pPr>
            <w:r>
              <w:rPr>
                <w:color w:val="4A4A5A"/>
                <w:sz w:val="18"/>
                <w:rFonts w:ascii="Cambria" w:hAnsi="Cambria" w:eastAsia="Microsoft YaHei" w:cs="Cambria"/>
                <w:szCs w:val="18"/>
              </w:rPr>
              <w:t>16.1 (Tel Aviv Channel)</w:t>
            </w:r>
          </w:p>
        </w:tc>
        <w:tc>
          <w:tcPr>
            <w:tcW w:w="2000" w:type="dxa"/>
          </w:tcPr>
          <w:p>
            <w:pPr>
              <w:pStyle w:val="Normal"/>
              <w:spacing w:before="40" w:after="40"/>
            </w:pPr>
            <w:r>
              <w:rPr>
                <w:color w:val="4A4A5A"/>
                <w:sz w:val="18"/>
                <w:rFonts w:ascii="Cambria" w:hAnsi="Cambria" w:eastAsia="Microsoft YaHei" w:cs="Cambria"/>
                <w:szCs w:val="18"/>
              </w:rPr>
              <w:t>13.6 (new paragraph)</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paragraph: dedicated U.S.-Israel consultation channel separate from PCC</w:t>
            </w:r>
          </w:p>
        </w:tc>
      </w:tr>
      <w:tr>
        <w:tc>
          <w:tcPr>
            <w:tcW w:w="2000" w:type="dxa"/>
          </w:tcPr>
          <w:p>
            <w:pPr>
              <w:pStyle w:val="Normal"/>
              <w:spacing w:before="40" w:after="40"/>
            </w:pPr>
            <w:r>
              <w:rPr>
                <w:color w:val="4A4A5A"/>
                <w:sz w:val="18"/>
                <w:rFonts w:ascii="Cambria" w:hAnsi="Cambria" w:eastAsia="Microsoft YaHei" w:cs="Cambria"/>
                <w:szCs w:val="18"/>
              </w:rPr>
              <w:t>16.3 (Israel Non-Veto)</w:t>
            </w:r>
          </w:p>
        </w:tc>
        <w:tc>
          <w:tcPr>
            <w:tcW w:w="2000" w:type="dxa"/>
          </w:tcPr>
          <w:p>
            <w:pPr>
              <w:pStyle w:val="Normal"/>
              <w:spacing w:before="40" w:after="40"/>
            </w:pPr>
            <w:r>
              <w:rPr>
                <w:color w:val="4A4A5A"/>
                <w:sz w:val="18"/>
                <w:rFonts w:ascii="Cambria" w:hAnsi="Cambria" w:eastAsia="Microsoft YaHei" w:cs="Cambria"/>
                <w:szCs w:val="18"/>
              </w:rPr>
              <w:t>13.6 (new paragraph)</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paragraph: Israel does not have a veto over any provision or PCC decision</w:t>
            </w:r>
          </w:p>
        </w:tc>
      </w:tr>
      <w:tr>
        <w:tc>
          <w:tcPr>
            <w:tcW w:w="2000" w:type="dxa"/>
          </w:tcPr>
          <w:p>
            <w:pPr>
              <w:pStyle w:val="Normal"/>
              <w:spacing w:before="40" w:after="40"/>
            </w:pPr>
            <w:r>
              <w:rPr>
                <w:color w:val="4A4A5A"/>
                <w:sz w:val="18"/>
                <w:rFonts w:ascii="Cambria" w:hAnsi="Cambria" w:eastAsia="Microsoft YaHei" w:cs="Cambria"/>
                <w:szCs w:val="18"/>
              </w:rPr>
              <w:t>Annex X (Mutual Standstill)</w:t>
            </w:r>
          </w:p>
        </w:tc>
        <w:tc>
          <w:tcPr>
            <w:tcW w:w="2000" w:type="dxa"/>
          </w:tcPr>
          <w:p>
            <w:pPr>
              <w:pStyle w:val="Normal"/>
              <w:spacing w:before="40" w:after="40"/>
            </w:pPr>
            <w:r>
              <w:rPr>
                <w:color w:val="4A4A5A"/>
                <w:sz w:val="18"/>
                <w:rFonts w:ascii="Cambria" w:hAnsi="Cambria" w:eastAsia="Microsoft YaHei" w:cs="Cambria"/>
                <w:szCs w:val="18"/>
              </w:rPr>
              <w:t>Annex X (new annex)</w:t>
            </w:r>
          </w:p>
        </w:tc>
        <w:tc>
          <w:tcPr>
            <w:tcW w:w="2000" w:type="dxa"/>
          </w:tcPr>
          <w:p>
            <w:pPr>
              <w:pStyle w:val="Normal"/>
              <w:spacing w:before="40" w:after="40"/>
            </w:pPr>
            <w:r>
              <w:rPr>
                <w:color w:val="4A4A5A"/>
                <w:sz w:val="18"/>
                <w:rFonts w:ascii="Cambria" w:hAnsi="Cambria" w:eastAsia="Microsoft YaHei" w:cs="Cambria"/>
                <w:szCs w:val="18"/>
              </w:rPr>
              <w:t>Added</w:t>
            </w:r>
          </w:p>
        </w:tc>
        <w:tc>
          <w:tcPr>
            <w:tcW w:w="2000" w:type="dxa"/>
          </w:tcPr>
          <w:p>
            <w:pPr>
              <w:pStyle w:val="Normal"/>
              <w:spacing w:before="40" w:after="40"/>
            </w:pPr>
            <w:r>
              <w:rPr>
                <w:color w:val="4A4A5A"/>
                <w:sz w:val="18"/>
                <w:rFonts w:ascii="Cambria" w:hAnsi="Cambria" w:eastAsia="Microsoft YaHei" w:cs="Cambria"/>
                <w:szCs w:val="18"/>
              </w:rPr>
              <w:t>New Annex: US-Israel bilateral coordination preserving Israel's freedom of action</w:t>
            </w:r>
          </w:p>
        </w:tc>
      </w:tr>
    </w:tbl>
    <w:p>
      <w:pPr>
        <w:pStyle w:val="Heading3"/>
      </w:pPr>
      <w:bookmarkStart w:name="_Toc169" w:id="169"/>
      <w:r>
        <w:rPr>
          <w:rFonts w:ascii="Cambria" w:hAnsi="Cambria" w:eastAsia="Microsoft YaHei" w:cs="Cambria"/>
          <w:b/>
          <w:color w:val="1A1A2E"/>
          <w:sz w:val="26"/>
          <w:szCs w:val="26"/>
        </w:rPr>
        <w:t>Key Terminology Changes for Immutable Present-Tense Compliance</w:t>
      </w:r>
      <w:bookmarkEnd w:id="169"/>
    </w:p>
    <w:p>
      <w:pPr>
        <w:pStyle w:val="Normal"/>
      </w:pPr>
      <w:r>
        <w:rPr>
          <w:rFonts w:ascii="Cambria" w:hAnsi="Cambria" w:eastAsia="Microsoft YaHei" w:cs="Cambria"/>
          <w:color w:val="1A1A2E"/>
          <w:sz w:val="22"/>
          <w:szCs w:val="22"/>
        </w:rPr>
        <w:t>Throughout the merged instrument, the following systematic language changes were applied to comply with the Immutable Present-Tense Matrix v2.5:</w:t>
      </w:r>
    </w:p>
    <w:p>
      <w:pPr>
        <w:pStyle w:val="Normal"/>
        <w:numPr>
          <w:ilvl w:val="0"/>
          <w:numId w:val="1"/>
        </w:numPr>
      </w:pPr>
      <w:r>
        <w:rPr>
          <w:rFonts w:ascii="Cambria" w:hAnsi="Cambria" w:eastAsia="Microsoft YaHei" w:cs="Cambria"/>
          <w:color w:val="1A1A2E"/>
          <w:sz w:val="22"/>
          <w:szCs w:val="22"/>
        </w:rPr>
        <w:t>All instances of "shall" converted to active present-tense verbs (e.g., "The State notifies" instead of "The State shall notify")</w:t>
      </w:r>
    </w:p>
    <w:p>
      <w:pPr>
        <w:pStyle w:val="Normal"/>
        <w:numPr>
          <w:ilvl w:val="0"/>
          <w:numId w:val="1"/>
        </w:numPr>
      </w:pPr>
      <w:r>
        <w:rPr>
          <w:rFonts w:ascii="Cambria" w:hAnsi="Cambria" w:eastAsia="Microsoft YaHei" w:cs="Cambria"/>
          <w:color w:val="1A1A2E"/>
          <w:sz w:val="22"/>
          <w:szCs w:val="22"/>
        </w:rPr>
        <w:t>All instances of "must" converted to direct operational triggers or active state declarations</w:t>
      </w:r>
    </w:p>
    <w:p>
      <w:pPr>
        <w:pStyle w:val="Normal"/>
        <w:numPr>
          <w:ilvl w:val="0"/>
          <w:numId w:val="1"/>
        </w:numPr>
      </w:pPr>
      <w:r>
        <w:rPr>
          <w:rFonts w:ascii="Cambria" w:hAnsi="Cambria" w:eastAsia="Microsoft YaHei" w:cs="Cambria"/>
          <w:color w:val="1A1A2E"/>
          <w:sz w:val="22"/>
          <w:szCs w:val="22"/>
        </w:rPr>
        <w:t>All instances of "shall not" / "must not" converted to "is prohibited from" or direct prohibitive actions</w:t>
      </w:r>
    </w:p>
    <w:p>
      <w:pPr>
        <w:pStyle w:val="Normal"/>
        <w:numPr>
          <w:ilvl w:val="0"/>
          <w:numId w:val="1"/>
        </w:numPr>
      </w:pPr>
      <w:r>
        <w:rPr>
          <w:rFonts w:ascii="Cambria" w:hAnsi="Cambria" w:eastAsia="Microsoft YaHei" w:cs="Cambria"/>
          <w:color w:val="1A1A2E"/>
          <w:sz w:val="22"/>
          <w:szCs w:val="22"/>
        </w:rPr>
        <w:t>All instances of "shall be" converted to "is" or "are"</w:t>
      </w:r>
    </w:p>
    <w:p>
      <w:pPr>
        <w:pStyle w:val="Normal"/>
        <w:numPr>
          <w:ilvl w:val="0"/>
          <w:numId w:val="1"/>
        </w:numPr>
      </w:pPr>
      <w:r>
        <w:rPr>
          <w:rFonts w:ascii="Cambria" w:hAnsi="Cambria" w:eastAsia="Microsoft YaHei" w:cs="Cambria"/>
          <w:color w:val="1A1A2E"/>
          <w:sz w:val="22"/>
          <w:szCs w:val="22"/>
        </w:rPr>
        <w:t>All instances of "may" (where granting a right) converted to "retains the right to"</w:t>
      </w:r>
    </w:p>
    <w:p>
      <w:pPr>
        <w:pStyle w:val="Normal"/>
        <w:numPr>
          <w:ilvl w:val="0"/>
          <w:numId w:val="1"/>
        </w:numPr>
      </w:pPr>
      <w:r>
        <w:rPr>
          <w:rFonts w:ascii="Cambria" w:hAnsi="Cambria" w:eastAsia="Microsoft YaHei" w:cs="Cambria"/>
          <w:color w:val="1A1A2E"/>
          <w:sz w:val="22"/>
          <w:szCs w:val="22"/>
        </w:rPr>
        <w:t>All passive voice constructions converted to active subject-first present-tense constructions</w:t>
      </w:r>
    </w:p>
    <w:p>
      <w:pPr>
        <w:pStyle w:val="Normal"/>
        <w:numPr>
          <w:ilvl w:val="0"/>
          <w:numId w:val="1"/>
        </w:numPr>
      </w:pPr>
      <w:r>
        <w:rPr>
          <w:rFonts w:ascii="Cambria" w:hAnsi="Cambria" w:eastAsia="Microsoft YaHei" w:cs="Cambria"/>
          <w:color w:val="1A1A2E"/>
          <w:sz w:val="22"/>
          <w:szCs w:val="22"/>
        </w:rPr>
        <w:t>All prohibitive commitments reframed as features of the shared framework architecture rather than unilateral restraints</w:t>
      </w:r>
    </w:p>
    <w:p>
      <w:pPr>
        <w:pStyle w:val="Heading3"/>
      </w:pPr>
      <w:bookmarkStart w:name="_Toc170" w:id="170"/>
      <w:r>
        <w:rPr>
          <w:rFonts w:ascii="Cambria" w:hAnsi="Cambria" w:eastAsia="Microsoft YaHei" w:cs="Cambria"/>
          <w:b/>
          <w:color w:val="1A1A2E"/>
          <w:sz w:val="26"/>
          <w:szCs w:val="26"/>
        </w:rPr>
        <w:t>Unresolved Items and Fallback Positions</w:t>
      </w:r>
      <w:bookmarkEnd w:id="170"/>
    </w:p>
    <w:p>
      <w:pPr>
        <w:pStyle w:val="Normal"/>
        <w:numPr>
          <w:ilvl w:val="0"/>
          <w:numId w:val="1"/>
        </w:numPr>
      </w:pPr>
      <w:r>
        <w:rPr>
          <w:rFonts w:ascii="Cambria" w:hAnsi="Cambria" w:eastAsia="Microsoft YaHei" w:cs="Cambria"/>
          <w:color w:val="1A1A2E"/>
          <w:sz w:val="22"/>
          <w:szCs w:val="22"/>
        </w:rPr>
        <w:t>Pathway W timeline: Sunflower says 9 months (compressed); Provisional Steps says 14 months. This instrument adopts 9 months as the negotiated compromise, with 14 months as the fallback if Iran pushes back. The Merge Log notes this for negotiator awareness.</w:t>
      </w:r>
    </w:p>
    <w:p>
      <w:pPr>
        <w:pStyle w:val="Normal"/>
        <w:numPr>
          <w:ilvl w:val="0"/>
          <w:numId w:val="1"/>
        </w:numPr>
      </w:pPr>
      <w:r>
        <w:rPr>
          <w:rFonts w:ascii="Cambria" w:hAnsi="Cambria" w:eastAsia="Microsoft YaHei" w:cs="Cambria"/>
          <w:color w:val="1A1A2E"/>
          <w:sz w:val="22"/>
          <w:szCs w:val="22"/>
        </w:rPr>
        <w:t>No other unresolved items remain between the two base documents. All other differences were resolved in favor of the stronger or more specific provision.</w:t>
      </w:r>
    </w:p>
    <w:p>
      <w:pPr>
        <w:pStyle w:val="Heading3"/>
      </w:pPr>
      <w:bookmarkStart w:name="_Toc171" w:id="171"/>
      <w:r>
        <w:rPr>
          <w:rFonts w:ascii="Cambria" w:hAnsi="Cambria" w:eastAsia="Microsoft YaHei" w:cs="Cambria"/>
          <w:b/>
          <w:color w:val="1A1A2E"/>
          <w:sz w:val="26"/>
          <w:szCs w:val="26"/>
        </w:rPr>
        <w:t>Version History</w:t>
      </w:r>
      <w:bookmarkEnd w:id="171"/>
    </w:p>
    <w:p>
      <w:pPr>
        <w:pStyle w:val="Normal"/>
      </w:pPr>
      <w:r>
        <w:rPr>
          <w:rFonts w:ascii="Cambria" w:hAnsi="Cambria" w:eastAsia="Microsoft YaHei" w:cs="Cambria"/>
          <w:color w:val="1A1A2E"/>
          <w:sz w:val="22"/>
          <w:szCs w:val="22"/>
        </w:rPr>
        <w:t>Version 7.0 (June 2026): Bridging Protocol Edition integrating Sunflower Accord v5.0, Provisional Steps Framework v1.8, and the Ten-Point Pre-Signature Fix Package</w:t>
      </w:r>
    </w:p>
    <w:p>
      <w:pPr>
        <w:pStyle w:val="Normal"/>
      </w:pPr>
      <w:r>
        <w:rPr>
          <w:rFonts w:ascii="Cambria" w:hAnsi="Cambria" w:eastAsia="Microsoft YaHei" w:cs="Cambria"/>
          <w:color w:val="1A1A2E"/>
          <w:sz w:val="22"/>
          <w:szCs w:val="22"/>
        </w:rPr>
        <w:t>Base documents: The Sunflower Accord v5.0 (primary structure); The Provisional Steps Framework v1.8 (substantive provisions); The Final Steps Accord v4.0 (lineage provisions); The Stability First Enhanced Accord v5.7 (operative core); The Sunflower Seed Peace Architecture v2.5 (governing geometry); Annex U-1 (Lebanon Ceasefire Implementation); Annex V-R (Verification Restoration Protocol)</w:t>
      </w:r>
    </w:p>
    <w:p>
      <w:pPr>
        <w:pStyle w:val="Normal"/>
      </w:pPr>
      <w:r>
        <w:rPr>
          <w:rFonts w:ascii="Cambria" w:hAnsi="Cambria" w:eastAsia="Microsoft YaHei" w:cs="Cambria"/>
          <w:color w:val="1A1A2E"/>
          <w:sz w:val="22"/>
          <w:szCs w:val="22"/>
        </w:rPr>
        <w:t>Parallel. Contained. Restored. Permanent.</w:t>
      </w:r>
    </w:p>
    <w:p>
      <w:pPr>
        <w:pStyle w:val="Normal"/>
      </w:pPr>
      <w:r>
        <w:rPr>
          <w:rFonts w:ascii="Cambria" w:hAnsi="Cambria" w:eastAsia="Microsoft YaHei" w:cs="Cambria"/>
          <w:color w:val="1A1A2E"/>
          <w:sz w:val="22"/>
          <w:szCs w:val="22"/>
        </w:rPr>
        <w:t>The Memorandum of Understanding Pertaining to PEACE - v7.0 Merged Edition - From Bridge to Foundation</w:t>
      </w:r>
    </w:p>
    <w:p>
      <w:pPr>
        <w:pStyle w:val="Heading1"/>
      </w:pPr>
      <w:r>
        <w:rPr>
          <w:rFonts w:ascii="Cambria" w:hAnsi="Cambria" w:eastAsia="Microsoft YaHei" w:cs="Cambria"/>
          <w:b/>
          <w:color w:val="1A2744"/>
          <w:sz w:val="48"/>
          <w:szCs w:val="48"/>
        </w:rPr>
        <w:t>Annex U-1 - Lebanon Ceasefire Implementation</w:t>
      </w:r>
    </w:p>
    <w:p>
      <w:pPr>
        <w:pStyle w:val="Normal"/>
      </w:pPr>
      <w:r>
        <w:rPr>
          <w:rFonts w:ascii="Cambria" w:hAnsi="Cambria" w:eastAsia="Microsoft YaHei" w:cs="Cambria"/>
          <w:color w:val="1A1A2E"/>
          <w:sz w:val="22"/>
          <w:szCs w:val="22"/>
        </w:rPr>
        <w:t>The ceasefire in Lebanon includes a freeze-in-place of current military positions (per Annex M). Iran commits to using its influence to prevent any Lebanese party with which it has significant relations from launching cross-border attacks from Lebanese territory into Israel. This commitment is one of best efforts and does not require Iran to control any group against its will. The United States commits to using its influence to prevent Israeli military operations in Lebanon that would materially undermine the ceasefire, except in response to an immediate, ongoing armed attack from Lebanese territory. Violations of this Annex are subject to Tier-2 (material disruption) step-back, but only after a PCC finding. No violation of this Annex alone triggers Tier-3 (deliberate hostile violation) of the nuclear or maritime cores.</w:t>
      </w:r>
    </w:p>
    <w:p>
      <w:pPr>
        <w:pStyle w:val="Heading1"/>
      </w:pPr>
      <w:r>
        <w:rPr>
          <w:rFonts w:ascii="Cambria" w:hAnsi="Cambria" w:eastAsia="Microsoft YaHei" w:cs="Cambria"/>
          <w:b/>
          <w:color w:val="1A2744"/>
          <w:sz w:val="48"/>
          <w:szCs w:val="48"/>
        </w:rPr>
        <w:t>Annex V-R - Verification Restoration Protocol</w:t>
      </w:r>
    </w:p>
    <w:p>
      <w:pPr>
        <w:pStyle w:val="Normal"/>
      </w:pPr>
      <w:r>
        <w:rPr>
          <w:rFonts w:ascii="Cambria" w:hAnsi="Cambria" w:eastAsia="Microsoft YaHei" w:cs="Cambria"/>
          <w:color w:val="1A1A2E"/>
          <w:sz w:val="22"/>
          <w:szCs w:val="22"/>
        </w:rPr>
        <w:t>If Iran determines that a damaged site poses imminent safety or radiological hazards to IAEA inspectors, Iran delays access for up to 14 days while joint technical teams (IAEA + Iranian nuclear safety officials) conduct a remote or robotic assessment. During this delay, Iran provides all available telemetry and environmental data to the IAEA. If after 14 days access is still denied without credible safety justification, the denial is treated as a denial under Article 3.5 and Annex Q. No automatic step-back applies during the 14-day safety hold.</w:t>
      </w:r>
    </w:p>
    <w:p>
      <w:pPr>
        <w:pStyle w:val="Heading1"/>
      </w:pPr>
      <w:r>
        <w:rPr>
          <w:rFonts w:ascii="Cambria" w:hAnsi="Cambria" w:eastAsia="Microsoft YaHei" w:cs="Cambria"/>
          <w:b/>
          <w:color w:val="1A2744"/>
          <w:sz w:val="48"/>
          <w:szCs w:val="48"/>
        </w:rPr>
        <w:t>Side Letter from the United States to the Islamic Republic of Iran</w:t>
      </w:r>
    </w:p>
    <w:p>
      <w:pPr>
        <w:pStyle w:val="Normal"/>
      </w:pPr>
      <w:r>
        <w:rPr>
          <w:rFonts w:ascii="Cambria" w:hAnsi="Cambria" w:eastAsia="Microsoft YaHei" w:cs="Cambria"/>
          <w:color w:val="1A1A2E"/>
          <w:sz w:val="22"/>
          <w:szCs w:val="22"/>
        </w:rPr>
        <w:t>The United States affirms that it has communicated to the State of Israel the terms and importance of this MOU. The United States expects that Israel refrains from any military operation or covert action whose primary purpose is to cause a material breach of Iran's obligations under Articles 2-5 (nuclear and maritime cores) of this MOU. The United States does not guarantee Israeli compliance, and any Israeli action contrary to this expectation is not a breach of the MOU by either Party. However, the United States commits to using its good offices to resolve any Israeli-Iranian military escalation through the Tel Aviv Channel (Article 13.6) and the Unacceptable Escalation Threshold (Article 13.3) before such escalation irreparably damages the MOU. This letter is an expression of political intent, not a legally binding obligation, and does not require ratification.</w:t>
      </w:r>
    </w:p>
    <w:p>
      <w:pPr>
        <w:pStyle w:val="Normal"/>
        <w:sectPr>
          <w:headerReference w:type="default" r:id="R1b0621fb9e15488d"/>
          <w:footerReference w:type="default" r:id="Rf5c8eedf362f4384"/>
          <w:pgSz w:w="11906" w:h="16838"/>
          <w:pgMar w:top="1800" w:right="1440" w:bottom="1440" w:left="1440" w:header="720" w:footer="720"/>
        </w:sectPr>
      </w:pPr>
    </w:p>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7de8e3b51b474119"/>
                    <a:stretch>
                      <a:fillRect/>
                    </a:stretch>
                  </pic:blipFill>
                  <pic:spPr>
                    <a:xfrm>
                      <a:off x="0" y="0"/>
                      <a:ext cx="7560000" cy="10692000"/>
                    </a:xfrm>
                    <a:prstGeom prst="rect"/>
                  </pic:spPr>
                </pic:pic>
              </a:graphicData>
            </a:graphic>
          </wp:anchor>
        </w:drawing>
      </w:r>
    </w:p>
    <w:p>
      <w:pPr>
        <w:pStyle w:val="Normal"/>
        <w:spacing w:before="6000"/>
      </w:pPr>
    </w:p>
    <w:p>
      <w:pPr>
        <w:pStyle w:val="Normal"/>
        <w:spacing w:after="400"/>
        <w:jc w:val="center"/>
      </w:pPr>
      <w:r>
        <w:rPr>
          <w:b/>
          <w:color w:val="FFFFFF"/>
          <w:sz w:val="56"/>
          <w:rFonts w:ascii="Cambria" w:hAnsi="Cambria" w:eastAsia="Microsoft YaHei" w:cs="Cambria"/>
          <w:szCs w:val="56"/>
        </w:rPr>
        <w:t>Parallel</w:t>
      </w:r>
    </w:p>
    <w:p>
      <w:pPr>
        <w:pStyle w:val="Normal"/>
        <w:spacing w:after="400"/>
        <w:jc w:val="center"/>
      </w:pPr>
      <w:r>
        <w:rPr>
          <w:b/>
          <w:color w:val="FFFFFF"/>
          <w:sz w:val="56"/>
          <w:rFonts w:ascii="Cambria" w:hAnsi="Cambria" w:eastAsia="Microsoft YaHei" w:cs="Cambria"/>
          <w:szCs w:val="56"/>
        </w:rPr>
        <w:t>Contained</w:t>
      </w:r>
    </w:p>
    <w:p>
      <w:pPr>
        <w:pStyle w:val="Normal"/>
        <w:spacing w:after="400"/>
        <w:jc w:val="center"/>
      </w:pPr>
      <w:r>
        <w:rPr>
          <w:b/>
          <w:color w:val="FFFFFF"/>
          <w:sz w:val="56"/>
          <w:rFonts w:ascii="Cambria" w:hAnsi="Cambria" w:eastAsia="Microsoft YaHei" w:cs="Cambria"/>
          <w:szCs w:val="56"/>
        </w:rPr>
        <w:t>Restored</w:t>
      </w:r>
    </w:p>
    <w:p>
      <w:pPr>
        <w:pStyle w:val="Normal"/>
        <w:spacing w:after="800"/>
        <w:jc w:val="center"/>
      </w:pPr>
      <w:r>
        <w:rPr>
          <w:b/>
          <w:color w:val="FFFFFF"/>
          <w:sz w:val="56"/>
          <w:rFonts w:ascii="Cambria" w:hAnsi="Cambria" w:eastAsia="Microsoft YaHei" w:cs="Cambria"/>
          <w:szCs w:val="56"/>
        </w:rPr>
        <w:t>Permanent</w:t>
      </w:r>
    </w:p>
    <w:p>
      <w:pPr>
        <w:pStyle w:val="Normal"/>
        <w:spacing w:after="200"/>
        <w:jc w:val="center"/>
      </w:pPr>
      <w:r>
        <w:rPr>
          <w:color w:val="B8C4D4"/>
          <w:sz w:val="24"/>
          <w:rFonts w:ascii="Cambria" w:hAnsi="Cambria" w:eastAsia="Microsoft YaHei" w:cs="Cambria"/>
          <w:szCs w:val="24"/>
        </w:rPr>
        <w:t>Memorandum of Understanding Pertaining to PEACE</w:t>
      </w:r>
    </w:p>
    <w:p>
      <w:pPr>
        <w:pStyle w:val="Normal"/>
        <w:spacing w:after="200"/>
        <w:jc w:val="center"/>
      </w:pPr>
      <w:r>
        <w:rPr>
          <w:color w:val="8899AA"/>
          <w:sz w:val="18"/>
          <w:rFonts w:ascii="Cambria" w:hAnsi="Cambria" w:eastAsia="Microsoft YaHei" w:cs="Cambria"/>
          <w:szCs w:val="18"/>
        </w:rPr>
        <w:t>v7.0 Merged Edition | June 2026</w:t>
      </w:r>
    </w:p>
    <w:p>
      <w:pPr>
        <w:pStyle w:val="Normal"/>
        <w:jc w:val="center"/>
      </w:pPr>
      <w:r>
        <w:rPr>
          <w:color w:val="667788"/>
          <w:sz w:val="16"/>
          <w:rFonts w:ascii="Cambria" w:hAnsi="Cambria" w:eastAsia="Microsoft YaHei" w:cs="Cambria"/>
          <w:szCs w:val="16"/>
        </w:rPr>
        <w:t>End of Document</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7a8a"/>
        <w:sz w:val="18"/>
      </w:rPr>
      <w:t xml:space="preserve">Page </w:t>
    </w:r>
    <w:r>
      <w:rPr>
        <w:color w:val="7a7a8a"/>
        <w:sz w:val="18"/>
      </w:rPr>
      <w:fldChar w:fldCharType="begin"/>
    </w:r>
    <w:r>
      <w:rPr>
        <w:color w:val="7a7a8a"/>
        <w:sz w:val="18"/>
      </w:rPr>
      <w:instrText xml:space="preserve"> PAGE </w:instrText>
    </w:r>
    <w:r>
      <w:rPr>
        <w:color w:val="7a7a8a"/>
        <w:sz w:val="18"/>
      </w:rPr>
      <w:fldChar w:fldCharType="separate"/>
    </w:r>
    <w:r>
      <w:rPr>
        <w:color w:val="7a7a8a"/>
        <w:sz w:val="18"/>
      </w:rPr>
      <w:t>1</w:t>
    </w:r>
    <w:r>
      <w:rPr>
        <w:color w:val="7a7a8a"/>
        <w:sz w:val="18"/>
      </w:rPr>
      <w:fldChar w:fldCharType="end"/>
    </w:r>
  </w:p>
</w:ftr>
</file>

<file path=word/header1.xml><?xml version="1.0" encoding="utf-8"?>
<w:hdr xmlns:w="http://schemas.openxmlformats.org/wordprocessingml/2006/main">
  <w:p>
    <w:pPr>
      <w:jc w:val="center"/>
    </w:pPr>
    <w:r>
      <w:rPr>
        <w:caps/>
        <w:color w:val="7a7a8a"/>
        <w:sz w:val="18"/>
      </w:rPr>
      <w:t>Memorandum of Understanding Pertaining to PEACE - v6.0 Merged Edition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288" w:lineRule="auto"/>
    </w:pPr>
    <w:rPr>
      <w:rFonts w:ascii="Cambria" w:hAnsi="Cambria" w:eastAsia="Microsoft YaHei"/>
      <w:color w:val="1a1a2e"/>
      <w:sz w:val="22"/>
    </w:rPr>
  </w:style>
  <w:style w:type="paragraph" w:styleId="Heading1">
    <w:name w:val="heading 1"/>
    <w:basedOn w:val="Normal"/>
    <w:pPr>
      <w:keepNext/>
      <w:keepLines/>
      <w:pageBreakBefore/>
      <w:spacing w:before="600" w:after="240"/>
      <w:outlineLvl w:val="0"/>
    </w:pPr>
    <w:rPr>
      <w:rFonts w:ascii="Cambria" w:hAnsi="Cambria" w:eastAsia="Microsoft YaHei"/>
      <w:b/>
      <w:color w:val="1a2744"/>
      <w:sz w:val="48"/>
    </w:rPr>
  </w:style>
  <w:style w:type="paragraph" w:styleId="Heading2">
    <w:name w:val="heading 2"/>
    <w:basedOn w:val="Normal"/>
    <w:pPr>
      <w:keepNext/>
      <w:keepLines/>
      <w:spacing w:before="400" w:after="160"/>
      <w:outlineLvl w:val="1"/>
    </w:pPr>
    <w:rPr>
      <w:rFonts w:ascii="Cambria" w:hAnsi="Cambria" w:eastAsia="Microsoft YaHei"/>
      <w:b/>
      <w:color w:val="2d4a6f"/>
      <w:sz w:val="32"/>
    </w:rPr>
  </w:style>
  <w:style w:type="paragraph" w:styleId="Heading3">
    <w:name w:val="heading 3"/>
    <w:basedOn w:val="Normal"/>
    <w:pPr>
      <w:keepNext/>
      <w:keepLines/>
      <w:spacing w:before="280" w:after="120"/>
      <w:outlineLvl w:val="2"/>
    </w:pPr>
    <w:rPr>
      <w:rFonts w:ascii="Cambria" w:hAnsi="Cambria" w:eastAsia="Microsoft YaHei"/>
      <w:b/>
      <w:color w:val="1a1a2e"/>
      <w:sz w:val="26"/>
    </w:rPr>
  </w:style>
  <w:style w:type="paragraph" w:styleId="Heading4">
    <w:name w:val="heading 4"/>
    <w:basedOn w:val="Normal"/>
    <w:pPr>
      <w:keepNext/>
      <w:keepLines/>
      <w:spacing w:before="200" w:after="100"/>
      <w:outlineLvl w:val="3"/>
    </w:pPr>
    <w:rPr>
      <w:rFonts w:ascii="Cambria" w:hAnsi="Cambria" w:eastAsia="Microsoft YaHei"/>
      <w:b/>
      <w:color w:val="4a4a5a"/>
      <w:sz w:val="24"/>
    </w:rPr>
  </w:style>
  <w:style w:type="paragraph" w:styleId="Caption">
    <w:name w:val="Caption"/>
    <w:basedOn w:val="Normal"/>
    <w:pPr>
      <w:spacing w:before="60" w:after="240"/>
      <w:jc w:val="center"/>
    </w:pPr>
    <w:rPr>
      <w:color w:val="7a7a8a"/>
      <w:sz w:val="20"/>
    </w:rPr>
  </w:style>
  <w:style w:type="paragraph" w:styleId="TOC1">
    <w:name w:val="toc 1"/>
    <w:basedOn w:val="Normal"/>
    <w:pPr>
      <w:tabs>
        <w:tab w:val="right" w:leader="dot" w:pos="9350"/>
      </w:tabs>
      <w:spacing w:before="200" w:after="60"/>
      <w:ind w:left="0"/>
    </w:pPr>
    <w:rPr>
      <w:b/>
      <w:color w:val="1a1a2e"/>
    </w:rPr>
  </w:style>
  <w:style w:type="paragraph" w:styleId="TOC2">
    <w:name w:val="toc 2"/>
    <w:basedOn w:val="Normal"/>
    <w:pPr>
      <w:tabs>
        <w:tab w:val="right" w:leader="dot" w:pos="9350"/>
      </w:tabs>
      <w:spacing w:before="60" w:after="60"/>
      <w:ind w:left="360"/>
    </w:pPr>
    <w:rPr>
      <w:color w:val="4a4a5a"/>
    </w:rPr>
  </w:style>
  <w:style w:type="paragraph" w:styleId="TOC3">
    <w:name w:val="toc 3"/>
    <w:basedOn w:val="Normal"/>
    <w:pPr>
      <w:tabs>
        <w:tab w:val="right" w:leader="dot" w:pos="9350"/>
      </w:tabs>
      <w:spacing w:before="40" w:after="60"/>
      <w:ind w:left="720"/>
    </w:pPr>
    <w:rPr>
      <w:color w:val="4a4a5a"/>
    </w:rPr>
  </w:style>
</w:styles>
</file>

<file path=word/_rels/document.xml.rels><?xml version='1.0' encoding='UTF-8'?>
<Relationships xmlns="http://schemas.openxmlformats.org/package/2006/relationships"><Relationship Id="R1b0621fb9e15488d" Type="http://schemas.openxmlformats.org/officeDocument/2006/relationships/header" Target="header1.xml" /><Relationship Id="R7de8e3b51b474119" Type="http://schemas.openxmlformats.org/officeDocument/2006/relationships/image" Target="media/image2.png" /><Relationship Id="Raeaa9e7c1f1a4e29" Type="http://schemas.openxmlformats.org/officeDocument/2006/relationships/styles" Target="styles.xml" /><Relationship Id="Rbd7dfbd74702414e" Type="http://schemas.openxmlformats.org/officeDocument/2006/relationships/settings" Target="settings.xml" /><Relationship Id="Rd125ec2b3a434cf0" Type="http://schemas.openxmlformats.org/officeDocument/2006/relationships/numbering" Target="numbering.xml" /><Relationship Id="Rdee6842efbb74417" Type="http://schemas.openxmlformats.org/officeDocument/2006/relationships/image" Target="media/image.png" /><Relationship Id="Rf5c8eedf362f4384" Type="http://schemas.openxmlformats.org/officeDocument/2006/relationships/footer" Target="footer1.xml" /></Relationships>
</file>