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01ea75c1214f4221"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1dc68811fcfe4583"/>
                    <a:stretch>
                      <a:fillRect/>
                    </a:stretch>
                  </pic:blipFill>
                  <pic:spPr>
                    <a:xfrm>
                      <a:off x="0" y="0"/>
                      <a:ext cx="7560000" cy="10692000"/>
                    </a:xfrm>
                    <a:prstGeom prst="rect"/>
                  </pic:spPr>
                </pic:pic>
              </a:graphicData>
            </a:graphic>
          </wp:anchor>
        </w:drawing>
      </w:r>
    </w:p>
    <w:p>
      <w:pPr>
        <w:spacing w:before="5000"/>
      </w:pPr>
      <w:r/>
    </w:p>
    <w:p>
      <w:pPr>
        <w:spacing w:after="200"/>
        <w:ind w:left="1200" w:right="1200"/>
        <w:jc w:val="left"/>
      </w:pPr>
      <w:r>
        <w:rPr>
          <w:b/>
          <w:color w:val="FFFFFF"/>
          <w:spacing w:val="30"/>
          <w:sz w:val="72"/>
        </w:rPr>
        <w:t>NARRATIVE POLITICAL</w:t>
      </w:r>
    </w:p>
    <w:p>
      <w:pPr>
        <w:spacing w:after="400"/>
        <w:ind w:left="1200" w:right="1200"/>
        <w:jc w:val="left"/>
      </w:pPr>
      <w:r>
        <w:rPr>
          <w:b/>
          <w:color w:val="c9a84c"/>
          <w:spacing w:val="30"/>
          <w:sz w:val="72"/>
        </w:rPr>
        <w:t>PACKAGE</w:t>
      </w:r>
    </w:p>
    <w:p>
      <w:pPr>
        <w:spacing w:after="200"/>
        <w:ind w:left="1200" w:right="1200"/>
        <w:jc w:val="left"/>
      </w:pPr>
      <w:r>
        <w:rPr>
          <w:color w:val="cccccc"/>
          <w:sz w:val="28"/>
        </w:rPr>
        <w:t>Talking Points for the</w:t>
      </w:r>
    </w:p>
    <w:p>
      <w:pPr>
        <w:spacing w:after="600"/>
        <w:ind w:left="1200" w:right="1200"/>
        <w:jc w:val="left"/>
      </w:pPr>
      <w:r>
        <w:rPr>
          <w:b/>
          <w:color w:val="FFFFFF"/>
          <w:sz w:val="32"/>
        </w:rPr>
        <w:t>Memorandum of Understanding Pertaining to PEACE</w:t>
      </w:r>
    </w:p>
    <w:p>
      <w:pPr>
        <w:spacing w:after="120"/>
        <w:ind w:left="1200"/>
        <w:jc w:val="left"/>
      </w:pPr>
      <w:r>
        <w:rPr>
          <w:color w:val="c9a84c"/>
          <w:sz w:val="22"/>
        </w:rPr>
        <w:t>US Perspective  |  Iranian Perspective</w:t>
      </w:r>
    </w:p>
    <w:p>
      <w:pPr>
        <w:ind w:left="1200"/>
        <w:jc w:val="left"/>
      </w:pPr>
      <w:r>
        <w:rPr>
          <w:color w:val="999999"/>
          <w:sz w:val="20"/>
        </w:rPr>
        <w:t>June 2026  |  Version 1.0  |  Confidential</w:t>
      </w:r>
    </w:p>
    <w:p>
      <w:pPr>
        <w:sectPr>
          <w:type w:val="nextPage"/>
          <w:pgSz w:w="11906" w:h="16838"/>
          <w:pgMar w:top="0" w:right="0" w:bottom="0" w:left="0" w:header="0" w:footer="0"/>
          <w:titlePg/>
        </w:sectPr>
      </w:pPr>
    </w:p>
    <w:p>
      <w:pPr>
        <w:pStyle w:val="Heading1"/>
      </w:pPr>
      <w:r>
        <w:t>Table of Contents</w:t>
      </w:r>
      <w:bookmarkStart w:name="_Toc000" w:id="1"/>
      <w:bookmarkEnd w:id="1"/>
    </w:p>
    <w:p>
      <w:pPr>
        <w:spacing w:after="200"/>
      </w:pPr>
      <w:r>
        <w:rPr>
          <w:color w:val="7a7a8a"/>
          <w:sz w:val="18"/>
        </w:rPr>
        <w:t>Right-click and select "Update Field" to refresh page numbers</w:t>
      </w:r>
    </w:p>
    <w:p>
      <w:r>
        <w:fldChar w:fldCharType="begin"/>
      </w:r>
      <w:r>
        <w:instrText xml:space="preserve"> TOC \o "1-3" \h \z \u </w:instrText>
      </w:r>
      <w:r>
        <w:fldChar w:fldCharType="separate"/>
      </w:r>
    </w:p>
    <w:p>
      <w:pPr>
        <w:pStyle w:val="TOC1"/>
      </w:pPr>
      <w:r>
        <w:t>Core Principle</w:t>
      </w:r>
      <w:r>
        <w:tab/>
      </w:r>
      <w:r>
        <w:t>3</w:t>
      </w:r>
    </w:p>
    <w:p>
      <w:pPr>
        <w:pStyle w:val="TOC1"/>
      </w:pPr>
      <w:r>
        <w:t>Part I: US Talking Points</w:t>
      </w:r>
      <w:r>
        <w:tab/>
      </w:r>
      <w:r>
        <w:t>4</w:t>
      </w:r>
    </w:p>
    <w:p>
      <w:pPr>
        <w:pStyle w:val="TOC2"/>
      </w:pPr>
      <w:r>
        <w:t>Nuclear &amp; HEU Custody</w:t>
      </w:r>
      <w:r>
        <w:tab/>
      </w:r>
      <w:r>
        <w:t>4</w:t>
      </w:r>
    </w:p>
    <w:p>
      <w:pPr>
        <w:pStyle w:val="TOC2"/>
      </w:pPr>
      <w:r>
        <w:t>Enrichment Cap &amp; Moratorium</w:t>
      </w:r>
      <w:r>
        <w:tab/>
      </w:r>
      <w:r>
        <w:t>5</w:t>
      </w:r>
    </w:p>
    <w:p>
      <w:pPr>
        <w:pStyle w:val="TOC2"/>
      </w:pPr>
      <w:r>
        <w:t>Strait of Hormuz &amp; Maritime</w:t>
      </w:r>
      <w:r>
        <w:tab/>
      </w:r>
      <w:r>
        <w:t>6</w:t>
      </w:r>
    </w:p>
    <w:p>
      <w:pPr>
        <w:pStyle w:val="TOC2"/>
      </w:pPr>
      <w:r>
        <w:t>Sanctions Relief &amp; Economic</w:t>
      </w:r>
      <w:r>
        <w:tab/>
      </w:r>
      <w:r>
        <w:t>7</w:t>
      </w:r>
    </w:p>
    <w:p>
      <w:pPr>
        <w:pStyle w:val="TOC2"/>
      </w:pPr>
      <w:r>
        <w:t>Escalation Buffer &amp; Crisis Management</w:t>
      </w:r>
      <w:r>
        <w:tab/>
      </w:r>
      <w:r>
        <w:t>8</w:t>
      </w:r>
    </w:p>
    <w:p>
      <w:pPr>
        <w:pStyle w:val="TOC2"/>
      </w:pPr>
      <w:r>
        <w:t>Regional Issues &amp; Territorial Freeze</w:t>
      </w:r>
      <w:r>
        <w:tab/>
      </w:r>
      <w:r>
        <w:t>9</w:t>
      </w:r>
    </w:p>
    <w:p>
      <w:pPr>
        <w:pStyle w:val="TOC2"/>
      </w:pPr>
      <w:r>
        <w:t>Verification &amp; IAEA Access</w:t>
      </w:r>
      <w:r>
        <w:tab/>
      </w:r>
      <w:r>
        <w:t>10</w:t>
      </w:r>
    </w:p>
    <w:p>
      <w:pPr>
        <w:pStyle w:val="TOC1"/>
      </w:pPr>
      <w:r>
        <w:t>Part II: Iranian Talking Points</w:t>
      </w:r>
      <w:r>
        <w:tab/>
      </w:r>
      <w:r>
        <w:t>11</w:t>
      </w:r>
    </w:p>
    <w:p>
      <w:pPr>
        <w:pStyle w:val="TOC2"/>
      </w:pPr>
      <w:r>
        <w:t>Nuclear Sovereignty &amp; Dignity</w:t>
      </w:r>
      <w:r>
        <w:tab/>
      </w:r>
      <w:r>
        <w:t>11</w:t>
      </w:r>
    </w:p>
    <w:p>
      <w:pPr>
        <w:pStyle w:val="TOC2"/>
      </w:pPr>
      <w:r>
        <w:t>Enrichment Rights Under NPT</w:t>
      </w:r>
      <w:r>
        <w:tab/>
      </w:r>
      <w:r>
        <w:t>12</w:t>
      </w:r>
    </w:p>
    <w:p>
      <w:pPr>
        <w:pStyle w:val="TOC2"/>
      </w:pPr>
      <w:r>
        <w:t>Strait of Hormuz &amp; Coastal State</w:t>
      </w:r>
      <w:r>
        <w:tab/>
      </w:r>
      <w:r>
        <w:t>13</w:t>
      </w:r>
    </w:p>
    <w:p>
      <w:pPr>
        <w:pStyle w:val="TOC2"/>
      </w:pPr>
      <w:r>
        <w:t>Sanctions Relief &amp; Economic Justice</w:t>
      </w:r>
      <w:r>
        <w:tab/>
      </w:r>
      <w:r>
        <w:t>14</w:t>
      </w:r>
    </w:p>
    <w:p>
      <w:pPr>
        <w:pStyle w:val="TOC2"/>
      </w:pPr>
      <w:r>
        <w:t>Escalation Buffer &amp; Self-Defense</w:t>
      </w:r>
      <w:r>
        <w:tab/>
      </w:r>
      <w:r>
        <w:t>15</w:t>
      </w:r>
    </w:p>
    <w:p>
      <w:pPr>
        <w:pStyle w:val="TOC2"/>
      </w:pPr>
      <w:r>
        <w:t>Regional Solidarity &amp; Lebanon</w:t>
      </w:r>
      <w:r>
        <w:tab/>
      </w:r>
      <w:r>
        <w:t>16</w:t>
      </w:r>
    </w:p>
    <w:p>
      <w:pPr>
        <w:pStyle w:val="TOC2"/>
      </w:pPr>
      <w:r>
        <w:t>Verification as Cooperation</w:t>
      </w:r>
      <w:r>
        <w:tab/>
      </w:r>
      <w:r>
        <w:t>17</w:t>
      </w:r>
    </w:p>
    <w:p>
      <w:pPr>
        <w:pStyle w:val="TOC1"/>
      </w:pPr>
      <w:r>
        <w:t>Part III: Key Milestone Talking Points</w:t>
      </w:r>
      <w:r>
        <w:tab/>
      </w:r>
      <w:r>
        <w:t>18</w:t>
      </w:r>
    </w:p>
    <w:p>
      <w:pPr>
        <w:pStyle w:val="TOC1"/>
      </w:pPr>
      <w:r>
        <w:t>Part IV: Response Frames</w:t>
      </w:r>
      <w:r>
        <w:tab/>
      </w:r>
      <w:r>
        <w:t>20</w:t>
      </w:r>
    </w:p>
    <w:p>
      <w:pPr>
        <w:pStyle w:val="TOC1"/>
      </w:pPr>
      <w:r>
        <w:t>Part V: Anchor Lines &amp; Closing Statements</w:t>
      </w:r>
      <w:r>
        <w:tab/>
      </w:r>
      <w:r>
        <w:t>22</w:t>
      </w:r>
    </w:p>
    <w:p>
      <w:r>
        <w:fldChar w:fldCharType="end"/>
      </w:r>
    </w:p>
    <w:p>
      <w:pPr>
        <w:sectPr>
          <w:type w:val="nextPage"/>
          <w:pgSz w:w="11906" w:h="16838"/>
          <w:pgMar w:top="1440" w:right="1440" w:bottom="1440" w:left="1440" w:header="720" w:footer="720"/>
        </w:sectPr>
      </w:pPr>
    </w:p>
    <w:p>
      <w:pPr>
        <w:pStyle w:val="Heading1"/>
      </w:pPr>
      <w:r>
        <w:t>Core Principle</w:t>
      </w:r>
      <w:bookmarkStart w:name="_Toc001" w:id="2"/>
      <w:bookmarkEnd w:id="2"/>
    </w:p>
    <w:p>
      <w:r>
        <w:t>The same text allows both sides to claim victory. No statement constitutes a lie. Each statement constitutes a choice of emphasis. Every claim traces to a specific article or annex.</w:t>
      </w:r>
    </w:p>
    <w:p>
      <w:r>
        <w:t>When the other side says something that sounds opposite, check the citation. Both sides probably look at different paragraphs of the same operative text.</w:t>
      </w:r>
    </w:p>
    <w:p>
      <w:r>
        <w:t>This package follows the Three Permanent Frames that govern all public statements:</w:t>
      </w:r>
    </w:p>
    <w:p>
      <w:pPr>
        <w:spacing w:before="60" w:after="60"/>
        <w:ind w:left="720" w:hanging="360"/>
      </w:pPr>
      <w:r>
        <w:t>•  Verification Frame: Both sides emphasize the verification architecture, from different angles.</w:t>
      </w:r>
    </w:p>
    <w:p>
      <w:pPr>
        <w:spacing w:before="60" w:after="60"/>
        <w:ind w:left="720" w:hanging="360"/>
      </w:pPr>
      <w:r>
        <w:t>•  Reciprocity Frame: Neither side moves alone. Every benefit is earned, every obligation is paired.</w:t>
      </w:r>
    </w:p>
    <w:p>
      <w:pPr>
        <w:spacing w:before="60" w:after="60"/>
        <w:ind w:left="720" w:hanging="360"/>
      </w:pPr>
      <w:r>
        <w:t>•  Duration Frame: No sunset, no permanent surrender. Either side exits with notice.</w:t>
      </w:r>
    </w:p>
    <w:p>
      <w:r>
        <w:t>Each section provides multiple pre-approved statements organized by topic area. Spokespersons select the statements that best fit the moment while staying within the documented frames.</w:t>
      </w:r>
    </w:p>
    <w:p>
      <w:pPr>
        <w:pStyle w:val="Heading1"/>
      </w:pPr>
      <w:r>
        <w:t>Part I: US Talking Points</w:t>
      </w:r>
      <w:bookmarkStart w:name="_Toc002" w:id="3"/>
      <w:bookmarkEnd w:id="3"/>
    </w:p>
    <w:p>
      <w:r>
        <w:t>The following statements are calibrated for domestic US audiences, Republican constituencies, and allied capitals. Each traces to operative text in the MOU or its annexes.</w:t>
      </w:r>
    </w:p>
    <w:p>
      <w:pPr>
        <w:pStyle w:val="Heading2"/>
      </w:pPr>
      <w:r>
        <w:t>Nuclear &amp; HEU Custody</w:t>
      </w:r>
      <w:bookmarkStart w:name="_Toc003" w:id="4"/>
      <w:bookmarkEnd w:id="4"/>
    </w:p>
    <w:p>
      <w:pPr>
        <w:pStyle w:val="Heading3"/>
      </w:pPr>
      <w:r>
        <w:t>Statement 1: Immediate Security Gain</w:t>
      </w:r>
    </w:p>
    <w:p>
      <w:pPr>
        <w:pStyle w:val="USQuote"/>
      </w:pPr>
      <w:r>
        <w:t>Within 14 days of signature, Iran's entire stockpile of weapons-grade uranium sits under IAEA dual-lock custody. Not on Day 730 -- custody begins immediately. American technicians hold one of the two keys. That is effective control.</w:t>
      </w:r>
    </w:p>
    <w:p>
      <w:pPr>
        <w:spacing w:before="40" w:after="240"/>
        <w:ind w:left="480"/>
      </w:pPr>
      <w:r>
        <w:rPr>
          <w:i/>
          <w:color w:val="7a7a8a"/>
          <w:sz w:val="18"/>
        </w:rPr>
        <w:t>Source: MOU Article 2, Pairing 1; Annex Y, Article 1.2</w:t>
      </w:r>
    </w:p>
    <w:p>
      <w:pPr>
        <w:pStyle w:val="Heading3"/>
      </w:pPr>
      <w:r>
        <w:t>Statement 2: No Weapons-Usable Material Under Sole Iranian Control</w:t>
      </w:r>
    </w:p>
    <w:p>
      <w:pPr>
        <w:pStyle w:val="USQuote"/>
      </w:pPr>
      <w:r>
        <w:t>By default, Iran's 60% enriched uranium neutralizes in-country under joint dual-key lock. No material remains under Iran's sole control. The dual-key architecture means neither party opens the vault alone. Any attempted unilateral opening triggers automatic penalties.</w:t>
      </w:r>
    </w:p>
    <w:p>
      <w:pPr>
        <w:spacing w:before="40" w:after="240"/>
        <w:ind w:left="480"/>
      </w:pPr>
      <w:r>
        <w:rPr>
          <w:i/>
          <w:color w:val="7a7a8a"/>
          <w:sz w:val="18"/>
        </w:rPr>
        <w:t>Source: MOU Article 3.2; Annex Y, Article 1.3</w:t>
      </w:r>
    </w:p>
    <w:p>
      <w:pPr>
        <w:pStyle w:val="Heading3"/>
      </w:pPr>
      <w:r>
        <w:t>Statement 3: Irreversible Fertilizer Backstop</w:t>
      </w:r>
    </w:p>
    <w:p>
      <w:pPr>
        <w:pStyle w:val="USQuote"/>
      </w:pPr>
      <w:r>
        <w:t>If Iran selects no disposition pathway by Day 730, the material automatically converts to agricultural fertilizer -- physically irreversible. There is no path from a wheat field back to a weapon. The backstop ensures the outcome we need regardless of political developments.</w:t>
      </w:r>
    </w:p>
    <w:p>
      <w:pPr>
        <w:spacing w:before="40" w:after="240"/>
        <w:ind w:left="480"/>
      </w:pPr>
      <w:r>
        <w:rPr>
          <w:i/>
          <w:color w:val="7a7a8a"/>
          <w:sz w:val="18"/>
        </w:rPr>
        <w:t>Source: MOU Article 3.2; Annex Z, Pathway W</w:t>
      </w:r>
    </w:p>
    <w:p>
      <w:pPr>
        <w:pStyle w:val="Heading3"/>
      </w:pPr>
      <w:r>
        <w:t>Statement 4: US Veto Over Russian Pathway</w:t>
      </w:r>
    </w:p>
    <w:p>
      <w:pPr>
        <w:pStyle w:val="USQuote"/>
      </w:pPr>
      <w:r>
        <w:t>The framework gives the United States veto power over any disposition pathway involving Russia or hybrid arrangements. Of the seven available pathways, the United States holds effective blocking authority over the two that would keep weapons-usable material intact under Iranian-Russian arrangements.</w:t>
      </w:r>
    </w:p>
    <w:p>
      <w:pPr>
        <w:spacing w:before="40" w:after="240"/>
        <w:ind w:left="480"/>
      </w:pPr>
      <w:r>
        <w:rPr>
          <w:i/>
          <w:color w:val="7a7a8a"/>
          <w:sz w:val="18"/>
        </w:rPr>
        <w:t>Source: MOU Article 1.5; Part B-1.1</w:t>
      </w:r>
    </w:p>
    <w:p>
      <w:pPr>
        <w:pStyle w:val="Heading3"/>
      </w:pPr>
      <w:r>
        <w:t>Statement 5: Nuclear Dust Extraction</w:t>
      </w:r>
    </w:p>
    <w:p>
      <w:pPr>
        <w:pStyle w:val="USQuote"/>
      </w:pPr>
      <w:r>
        <w:t>We are physically extracting and containerizing 99.7% of Iran's highly enriched uranium from dispersed sites. The CANDOR protocol ensures every gram is accounted for, containerized, and placed under IAEA-certified custody. This is irreversible technical progress, not political promises.</w:t>
      </w:r>
    </w:p>
    <w:p>
      <w:pPr>
        <w:spacing w:before="40" w:after="240"/>
        <w:ind w:left="480"/>
      </w:pPr>
      <w:r>
        <w:rPr>
          <w:i/>
          <w:color w:val="7a7a8a"/>
          <w:sz w:val="18"/>
        </w:rPr>
        <w:t>Source: Annex V, Nuclear Dust Protocol</w:t>
      </w:r>
    </w:p>
    <w:p>
      <w:pPr>
        <w:pStyle w:val="Heading2"/>
      </w:pPr>
      <w:r>
        <w:t>Enrichment Cap &amp; Moratorium</w:t>
      </w:r>
      <w:bookmarkStart w:name="_Toc004" w:id="5"/>
      <w:bookmarkEnd w:id="5"/>
    </w:p>
    <w:p>
      <w:pPr>
        <w:pStyle w:val="Heading3"/>
      </w:pPr>
      <w:r>
        <w:t>Statement 1: 12-Year Moratorium with Violation Penalty</w:t>
      </w:r>
    </w:p>
    <w:p>
      <w:pPr>
        <w:pStyle w:val="USQuote"/>
      </w:pPr>
      <w:r>
        <w:t>Iran accepts a binding 12-year moratorium on enrichment above 3.67%. Any verified violation automatically extends the moratorium by 24 months per incident, up to 25 years. Cheating makes the deal longer, automatically, with no congressional vote required.</w:t>
      </w:r>
    </w:p>
    <w:p>
      <w:pPr>
        <w:spacing w:before="40" w:after="240"/>
        <w:ind w:left="480"/>
      </w:pPr>
      <w:r>
        <w:rPr>
          <w:i/>
          <w:color w:val="7a7a8a"/>
          <w:sz w:val="18"/>
        </w:rPr>
        <w:t>Source: MOU Article 3.1</w:t>
      </w:r>
    </w:p>
    <w:p>
      <w:pPr>
        <w:pStyle w:val="Heading3"/>
      </w:pPr>
      <w:r>
        <w:t>Statement 2: No HEU Production, No New Centrifuges</w:t>
      </w:r>
    </w:p>
    <w:p>
      <w:pPr>
        <w:pStyle w:val="USQuote"/>
      </w:pPr>
      <w:r>
        <w:t>Highly enriched uranium production stops completely. No new centrifuge capacity installs at any facility. The centrifuge production ban during Phase I freezes Iran's enrichment capability at its current level while verified neutralization proceeds.</w:t>
      </w:r>
    </w:p>
    <w:p>
      <w:pPr>
        <w:spacing w:before="40" w:after="240"/>
        <w:ind w:left="480"/>
      </w:pPr>
      <w:r>
        <w:rPr>
          <w:i/>
          <w:color w:val="7a7a8a"/>
          <w:sz w:val="18"/>
        </w:rPr>
        <w:t>Source: MOU Article 3.1; Article 3.7</w:t>
      </w:r>
    </w:p>
    <w:p>
      <w:pPr>
        <w:pStyle w:val="Heading3"/>
      </w:pPr>
      <w:r>
        <w:t>Statement 3: Breakout Time Extended to Months</w:t>
      </w:r>
    </w:p>
    <w:p>
      <w:pPr>
        <w:pStyle w:val="USQuote"/>
      </w:pPr>
      <w:r>
        <w:t>With the 60% stockpile neutralized and enrichment capped at 3.67%, Iran's breakout timeline extends to multiple months -- fully detectable by the IAEA's continuous monitoring architecture. The 'breakout eliminated' narrative is verified, not aspirational.</w:t>
      </w:r>
    </w:p>
    <w:p>
      <w:pPr>
        <w:spacing w:before="40" w:after="240"/>
        <w:ind w:left="480"/>
      </w:pPr>
      <w:r>
        <w:rPr>
          <w:i/>
          <w:color w:val="7a7a8a"/>
          <w:sz w:val="18"/>
        </w:rPr>
        <w:t>Source: MOU Article 13.2; Annex O</w:t>
      </w:r>
    </w:p>
    <w:p>
      <w:pPr>
        <w:pStyle w:val="Heading2"/>
      </w:pPr>
      <w:r>
        <w:t>Strait of Hormuz &amp; Maritime Security</w:t>
      </w:r>
      <w:bookmarkStart w:name="_Toc005" w:id="6"/>
      <w:bookmarkEnd w:id="6"/>
    </w:p>
    <w:p>
      <w:pPr>
        <w:pStyle w:val="Heading3"/>
      </w:pPr>
      <w:r>
        <w:t>Statement 1: Unrestricted Freedom of Navigation</w:t>
      </w:r>
    </w:p>
    <w:p>
      <w:pPr>
        <w:pStyle w:val="USQuote"/>
      </w:pPr>
      <w:r>
        <w:t>The Strait of Hormuz reopens to unrestricted commercial transit. Zero tolls. Zero Iranian checkpoints. Zero management authority for Tehran. Every vessel transits freely without paying Iran a cent. This is an open international waterway, guaranteed.</w:t>
      </w:r>
    </w:p>
    <w:p>
      <w:pPr>
        <w:spacing w:before="40" w:after="240"/>
        <w:ind w:left="480"/>
      </w:pPr>
      <w:r>
        <w:rPr>
          <w:i/>
          <w:color w:val="7a7a8a"/>
          <w:sz w:val="18"/>
        </w:rPr>
        <w:t>Source: MOU Article 4.1; Annex N, Article 2</w:t>
      </w:r>
    </w:p>
    <w:p>
      <w:pPr>
        <w:pStyle w:val="Heading3"/>
      </w:pPr>
      <w:r>
        <w:t>Statement 2: Absolute Non-Interdiction Guarantee</w:t>
      </w:r>
    </w:p>
    <w:p>
      <w:pPr>
        <w:pStyle w:val="USQuote"/>
      </w:pPr>
      <w:r>
        <w:t>No vessel is halted, boarded, delayed, or denied passage for any fee-related reason. Any pretextual interdiction triggers automatic penalties -- $10 million for a repeat violation, plus U.S. escort authority. The backdoor-closure protocol closes every loophole.</w:t>
      </w:r>
    </w:p>
    <w:p>
      <w:pPr>
        <w:spacing w:before="40" w:after="240"/>
        <w:ind w:left="480"/>
      </w:pPr>
      <w:r>
        <w:rPr>
          <w:i/>
          <w:color w:val="7a7a8a"/>
          <w:sz w:val="18"/>
        </w:rPr>
        <w:t>Source: Annex N, Article 2; Annex N.a, Backdoor-Closure Protocol</w:t>
      </w:r>
    </w:p>
    <w:p>
      <w:pPr>
        <w:pStyle w:val="Heading3"/>
      </w:pPr>
      <w:r>
        <w:t>Statement 3: Naval Stand-Off on Performance</w:t>
      </w:r>
    </w:p>
    <w:p>
      <w:pPr>
        <w:pStyle w:val="USQuote"/>
      </w:pPr>
      <w:r>
        <w:t>U.S. naval forces maintain stand-off distances, but only after Iran performs verified nuclear steps. The stand-off is earned, not granted on signature. Iran gets de-escalation only after it delivers measurable, IAEA-certified progress.</w:t>
      </w:r>
    </w:p>
    <w:p>
      <w:pPr>
        <w:spacing w:before="40" w:after="240"/>
        <w:ind w:left="480"/>
      </w:pPr>
      <w:r>
        <w:rPr>
          <w:i/>
          <w:color w:val="7a7a8a"/>
          <w:sz w:val="18"/>
        </w:rPr>
        <w:t>Source: MOU Article 4.9; Annex S, Week 3-4</w:t>
      </w:r>
    </w:p>
    <w:p>
      <w:pPr>
        <w:pStyle w:val="Heading3"/>
      </w:pPr>
      <w:r>
        <w:t>Statement 4: Multilateral Governance, Not Iranian Control</w:t>
      </w:r>
    </w:p>
    <w:p>
      <w:pPr>
        <w:pStyle w:val="USQuote"/>
      </w:pPr>
      <w:r>
        <w:t>The Joint Hormuz Transit Authority operates in an advisory capacity only. No body holds regulatory power over the corridor. Iran's Persian Gulf Strait Authority is recognized only within 12 nautical miles of Iranian territorial waters -- never over the international transit corridor.</w:t>
      </w:r>
    </w:p>
    <w:p>
      <w:pPr>
        <w:spacing w:before="40" w:after="240"/>
        <w:ind w:left="480"/>
      </w:pPr>
      <w:r>
        <w:rPr>
          <w:i/>
          <w:color w:val="7a7a8a"/>
          <w:sz w:val="18"/>
        </w:rPr>
        <w:t>Source: MOU Article 4.2-B; Annex N, Article 4</w:t>
      </w:r>
    </w:p>
    <w:p>
      <w:pPr>
        <w:pStyle w:val="Heading2"/>
      </w:pPr>
      <w:r>
        <w:t>Sanctions Relief &amp; Economic Terms</w:t>
      </w:r>
      <w:bookmarkStart w:name="_Toc006" w:id="7"/>
      <w:bookmarkEnd w:id="7"/>
    </w:p>
    <w:p>
      <w:pPr>
        <w:pStyle w:val="Heading3"/>
      </w:pPr>
      <w:r>
        <w:t>Statement 1: No Cash on Day 1</w:t>
      </w:r>
    </w:p>
    <w:p>
      <w:pPr>
        <w:pStyle w:val="USQuote"/>
      </w:pPr>
      <w:r>
        <w:t>Not one dollar moves on Day 1. A $5 billion escrow deposit is placed as mutual collateral -- held, not released. The first tranche unlocks only after 30 days of verified compliance. This is escrow architecture, not a cash giveaway.</w:t>
      </w:r>
    </w:p>
    <w:p>
      <w:pPr>
        <w:spacing w:before="40" w:after="240"/>
        <w:ind w:left="480"/>
      </w:pPr>
      <w:r>
        <w:rPr>
          <w:i/>
          <w:color w:val="7a7a8a"/>
          <w:sz w:val="18"/>
        </w:rPr>
        <w:t>Source: MOU Article 2, Pairing 1; Article 5.1</w:t>
      </w:r>
    </w:p>
    <w:p>
      <w:pPr>
        <w:pStyle w:val="Heading3"/>
      </w:pPr>
      <w:r>
        <w:t>Statement 2: Reversible, Milestone-Gated Relief</w:t>
      </w:r>
    </w:p>
    <w:p>
      <w:pPr>
        <w:pStyle w:val="USQuote"/>
      </w:pPr>
      <w:r>
        <w:t>Every dollar of sanctions relief is tied to a verified nuclear milestone, reversible through step-back if Iran cheats. The frozen-asset schedule front-loads early tranches but every release before Month 24 is fully reversible. We retain leverage throughout.</w:t>
      </w:r>
    </w:p>
    <w:p>
      <w:pPr>
        <w:spacing w:before="40" w:after="240"/>
        <w:ind w:left="480"/>
      </w:pPr>
      <w:r>
        <w:rPr>
          <w:i/>
          <w:color w:val="7a7a8a"/>
          <w:sz w:val="18"/>
        </w:rPr>
        <w:t>Source: MOU Article 5.3; Annex T, Articles II-III</w:t>
      </w:r>
    </w:p>
    <w:p>
      <w:pPr>
        <w:pStyle w:val="Heading3"/>
      </w:pPr>
      <w:r>
        <w:t>Statement 3: Step-Back, Not Snapback</w:t>
      </w:r>
    </w:p>
    <w:p>
      <w:pPr>
        <w:pStyle w:val="USQuote"/>
      </w:pPr>
      <w:r>
        <w:t>The framework replaces the old snapback mechanism with proportional, graduated step-back. Cheating costs Iran money quickly, but the deal survives honest mistakes. The earn-back mechanism creates an incentive for rapid return to compliance. This is smarter enforcement, not softer enforcement.</w:t>
      </w:r>
    </w:p>
    <w:p>
      <w:pPr>
        <w:spacing w:before="40" w:after="240"/>
        <w:ind w:left="480"/>
      </w:pPr>
      <w:r>
        <w:rPr>
          <w:i/>
          <w:color w:val="7a7a8a"/>
          <w:sz w:val="18"/>
        </w:rPr>
        <w:t>Source: MOU Article 7.3; Annex T, Article II</w:t>
      </w:r>
    </w:p>
    <w:p>
      <w:pPr>
        <w:pStyle w:val="Heading3"/>
      </w:pPr>
      <w:r>
        <w:t>Statement 4: Humanitarian Firewall Protection</w:t>
      </w:r>
    </w:p>
    <w:p>
      <w:pPr>
        <w:pStyle w:val="USQuote"/>
      </w:pPr>
      <w:r>
        <w:t>Medicine and food continue regardless of compliance disputes. The humanitarian firewall is one-way and permanent. Even in a Tier 3 hostile breach, medical supplies and food reach the Iranian people. We separate the regime from its people.</w:t>
      </w:r>
    </w:p>
    <w:p>
      <w:pPr>
        <w:spacing w:before="40" w:after="240"/>
        <w:ind w:left="480"/>
      </w:pPr>
      <w:r>
        <w:rPr>
          <w:i/>
          <w:color w:val="7a7a8a"/>
          <w:sz w:val="18"/>
        </w:rPr>
        <w:t>Source: MOU Article 5.4; Annex T, Article II.4</w:t>
      </w:r>
    </w:p>
    <w:p>
      <w:pPr>
        <w:pStyle w:val="Heading3"/>
      </w:pPr>
      <w:r>
        <w:t>Statement 5: Non-Nuclear Sanctions Remain</w:t>
      </w:r>
    </w:p>
    <w:p>
      <w:pPr>
        <w:pStyle w:val="USQuote"/>
      </w:pPr>
      <w:r>
        <w:t>This agreement addresses only nuclear-related sanctions. All terrorism sanctions, human rights sanctions, and missile program sanctions remain fully in force. This is a nuclear deal, not a normalization of relations with a state sponsor of terrorism.</w:t>
      </w:r>
    </w:p>
    <w:p>
      <w:pPr>
        <w:spacing w:before="40" w:after="240"/>
        <w:ind w:left="480"/>
      </w:pPr>
      <w:r>
        <w:rPr>
          <w:i/>
          <w:color w:val="7a7a8a"/>
          <w:sz w:val="18"/>
        </w:rPr>
        <w:t>Source: MOU Article 5.5; Annex T, Article II</w:t>
      </w:r>
    </w:p>
    <w:p>
      <w:pPr>
        <w:pStyle w:val="Heading2"/>
      </w:pPr>
      <w:r>
        <w:t>Escalation Buffer &amp; Crisis Management</w:t>
      </w:r>
      <w:bookmarkStart w:name="_Toc007" w:id="8"/>
      <w:bookmarkEnd w:id="8"/>
    </w:p>
    <w:p>
      <w:pPr>
        <w:pStyle w:val="Heading3"/>
      </w:pPr>
      <w:r>
        <w:t>Statement 1: 72-Hour Cooling-Off Window</w:t>
      </w:r>
    </w:p>
    <w:p>
      <w:pPr>
        <w:pStyle w:val="USQuote"/>
      </w:pPr>
      <w:r>
        <w:t>A single rogue drone or panicky missile intercept does not collapse months of diplomacy. The 72-hour escalation buffer activates automatically, giving both sides time to establish facts before responding. This is how we prevent war by miscalculation.</w:t>
      </w:r>
    </w:p>
    <w:p>
      <w:pPr>
        <w:spacing w:before="40" w:after="240"/>
        <w:ind w:left="480"/>
      </w:pPr>
      <w:r>
        <w:rPr>
          <w:i/>
          <w:color w:val="7a7a8a"/>
          <w:sz w:val="18"/>
        </w:rPr>
        <w:t>Source: Annex R, Article 4; Annex R.a, Article 1</w:t>
      </w:r>
    </w:p>
    <w:p>
      <w:pPr>
        <w:pStyle w:val="Heading3"/>
      </w:pPr>
      <w:r>
        <w:t>Statement 2: Back-Channel Communication</w:t>
      </w:r>
    </w:p>
    <w:p>
      <w:pPr>
        <w:pStyle w:val="USQuote"/>
      </w:pPr>
      <w:r>
        <w:t>Pakistan, Switzerland, and Oman stand ready 24/7 as neutral back-channel facilitators. We talk before we shoot. The back-channel gives us a direct line to Tehran even when public diplomacy is impossible.</w:t>
      </w:r>
    </w:p>
    <w:p>
      <w:pPr>
        <w:spacing w:before="40" w:after="240"/>
        <w:ind w:left="480"/>
      </w:pPr>
      <w:r>
        <w:rPr>
          <w:i/>
          <w:color w:val="7a7a8a"/>
          <w:sz w:val="18"/>
        </w:rPr>
        <w:t>Source: Annex R, Article 3; Annex R.a, Article 2-3</w:t>
      </w:r>
    </w:p>
    <w:p>
      <w:pPr>
        <w:pStyle w:val="Heading3"/>
      </w:pPr>
      <w:r>
        <w:t>Statement 3: No Automatic Military Escalation</w:t>
      </w:r>
    </w:p>
    <w:p>
      <w:pPr>
        <w:pStyle w:val="USQuote"/>
      </w:pPr>
      <w:r>
        <w:t>A compliance dispute over enrichment levels does not justify bombing. Military action requires a separate, explicit decision by the President under constitutional procedures. The framework decouples compliance penalties from use-of-force authorization.</w:t>
      </w:r>
    </w:p>
    <w:p>
      <w:pPr>
        <w:spacing w:before="40" w:after="240"/>
        <w:ind w:left="480"/>
      </w:pPr>
      <w:r>
        <w:rPr>
          <w:i/>
          <w:color w:val="7a7a8a"/>
          <w:sz w:val="18"/>
        </w:rPr>
        <w:t>Source: MOU Article 8.5; Article 18.1-18.2</w:t>
      </w:r>
    </w:p>
    <w:p>
      <w:pPr>
        <w:pStyle w:val="Heading3"/>
      </w:pPr>
      <w:r>
        <w:t>Statement 4: Rogue Actor Protection</w:t>
      </w:r>
    </w:p>
    <w:p>
      <w:pPr>
        <w:pStyle w:val="USQuote"/>
      </w:pPr>
      <w:r>
        <w:t>If Iran disavows a rogue action within 24 hours, we do not attribute it to the state. This protects both sides from being dragged into war by unauthorized commanders or third-party false-flag operations. Transparency earns reward.</w:t>
      </w:r>
    </w:p>
    <w:p>
      <w:pPr>
        <w:spacing w:before="40" w:after="240"/>
        <w:ind w:left="480"/>
      </w:pPr>
      <w:r>
        <w:rPr>
          <w:i/>
          <w:color w:val="7a7a8a"/>
          <w:sz w:val="18"/>
        </w:rPr>
        <w:t>Source: Annex R, Article 6; Annex R.a, Article 4</w:t>
      </w:r>
    </w:p>
    <w:p>
      <w:pPr>
        <w:pStyle w:val="Heading2"/>
      </w:pPr>
      <w:r>
        <w:t>Regional Issues &amp; Territorial Freeze</w:t>
      </w:r>
      <w:bookmarkStart w:name="_Toc008" w:id="9"/>
      <w:bookmarkEnd w:id="9"/>
    </w:p>
    <w:p>
      <w:pPr>
        <w:pStyle w:val="Heading3"/>
      </w:pPr>
      <w:r>
        <w:t>Statement 1: No Legal Linkage to Lebanon</w:t>
      </w:r>
    </w:p>
    <w:p>
      <w:pPr>
        <w:pStyle w:val="USQuote"/>
      </w:pPr>
      <w:r>
        <w:t>The Strait of Hormuz and the nuclear file carry no legal dependency on any regional front. No third-party military action can breach the deal. Lebanon incidents do not trigger the core agreement. The firewall protects the cores.</w:t>
      </w:r>
    </w:p>
    <w:p>
      <w:pPr>
        <w:spacing w:before="40" w:after="240"/>
        <w:ind w:left="480"/>
      </w:pPr>
      <w:r>
        <w:rPr>
          <w:i/>
          <w:color w:val="7a7a8a"/>
          <w:sz w:val="18"/>
        </w:rPr>
        <w:t>Source: MOU Article 6.1; Article 6.4; Annex M, Article 3.1</w:t>
      </w:r>
    </w:p>
    <w:p>
      <w:pPr>
        <w:pStyle w:val="Heading3"/>
      </w:pPr>
      <w:r>
        <w:t>Statement 2: Territorial Freeze with Enforcement</w:t>
      </w:r>
    </w:p>
    <w:p>
      <w:pPr>
        <w:pStyle w:val="USQuote"/>
      </w:pPr>
      <w:r>
        <w:t>Annex M freezes the current territorial footprint. Israel holds its position and advances no further. The Shared Digital Registry gives us real-time visibility. If a violation occurs, automatic penalties activate -- $1 million per day, reconstruction freeze, supply suspension.</w:t>
      </w:r>
    </w:p>
    <w:p>
      <w:pPr>
        <w:spacing w:before="40" w:after="240"/>
        <w:ind w:left="480"/>
      </w:pPr>
      <w:r>
        <w:rPr>
          <w:i/>
          <w:color w:val="7a7a8a"/>
          <w:sz w:val="18"/>
        </w:rPr>
        <w:t>Source: Annex M, Articles 3-5; Annex U, Article 5</w:t>
      </w:r>
    </w:p>
    <w:p>
      <w:pPr>
        <w:pStyle w:val="Heading3"/>
      </w:pPr>
      <w:r>
        <w:t>Statement 3: No Impediment to Regional Normalization</w:t>
      </w:r>
    </w:p>
    <w:p>
      <w:pPr>
        <w:pStyle w:val="USQuote"/>
      </w:pPr>
      <w:r>
        <w:t>Nothing in this agreement impedes any regional state from normalizing relations with Israel. Annex NORM proceeds on an independent track. Iran is a non-participating observer, not a veto holder.</w:t>
      </w:r>
    </w:p>
    <w:p>
      <w:pPr>
        <w:spacing w:before="40" w:after="240"/>
        <w:ind w:left="480"/>
      </w:pPr>
      <w:r>
        <w:rPr>
          <w:i/>
          <w:color w:val="7a7a8a"/>
          <w:sz w:val="18"/>
        </w:rPr>
        <w:t>Source: MOU Article 13.1; Annex NORM, Article 4.3</w:t>
      </w:r>
    </w:p>
    <w:p>
      <w:pPr>
        <w:pStyle w:val="Heading3"/>
      </w:pPr>
      <w:r>
        <w:t>Statement 4: Broad Endorsement</w:t>
      </w:r>
    </w:p>
    <w:p>
      <w:pPr>
        <w:pStyle w:val="USQuote"/>
      </w:pPr>
      <w:r>
        <w:t>Saudi Arabia, UAE, Qatar, Turkiye, China, and Russia all endorse this framework. This is not a bilateral concession -- it is a regionally and internationally backed architecture. The guarantor states provide verification backstop and certificate counter-signature.</w:t>
      </w:r>
    </w:p>
    <w:p>
      <w:pPr>
        <w:spacing w:before="40" w:after="240"/>
        <w:ind w:left="480"/>
      </w:pPr>
      <w:r>
        <w:rPr>
          <w:i/>
          <w:color w:val="7a7a8a"/>
          <w:sz w:val="18"/>
        </w:rPr>
        <w:t>Source: MOU Article 12.4; Distributed Guarantor Matrix</w:t>
      </w:r>
    </w:p>
    <w:p>
      <w:pPr>
        <w:pStyle w:val="Heading2"/>
      </w:pPr>
      <w:r>
        <w:t>Verification &amp; IAEA Access</w:t>
      </w:r>
      <w:bookmarkStart w:name="_Toc009" w:id="10"/>
      <w:bookmarkEnd w:id="10"/>
    </w:p>
    <w:p>
      <w:pPr>
        <w:pStyle w:val="Heading3"/>
      </w:pPr>
      <w:r>
        <w:t>Statement 1: Continuous IAEA Monitoring</w:t>
      </w:r>
    </w:p>
    <w:p>
      <w:pPr>
        <w:pStyle w:val="USQuote"/>
      </w:pPr>
      <w:r>
        <w:t>IAEA inspectors operate on the ground with continuous dual-key camera monitoring. Real-time mass-flow verification and independent isotopic sampling every 72 hours. Batch telemetry delivers on a 24-hour cycle. We see everything.</w:t>
      </w:r>
    </w:p>
    <w:p>
      <w:pPr>
        <w:spacing w:before="40" w:after="240"/>
        <w:ind w:left="480"/>
      </w:pPr>
      <w:r>
        <w:rPr>
          <w:i/>
          <w:color w:val="7a7a8a"/>
          <w:sz w:val="18"/>
        </w:rPr>
        <w:t>Source: MOU Article 7.1; Annex O, Article 1.2</w:t>
      </w:r>
    </w:p>
    <w:p>
      <w:pPr>
        <w:pStyle w:val="Heading3"/>
      </w:pPr>
      <w:r>
        <w:t>Statement 2: Automated Detection with Human Review</w:t>
      </w:r>
    </w:p>
    <w:p>
      <w:pPr>
        <w:pStyle w:val="USQuote"/>
      </w:pPr>
      <w:r>
        <w:t>Automated sensors flag anomalies within hours, but every Tier 2 and Tier 3 determination routes through human review before any penalty executes. A 48-hour cooling-off period protects both sides from honest mistakes. Annual audits confirm human oversight.</w:t>
      </w:r>
    </w:p>
    <w:p>
      <w:pPr>
        <w:spacing w:before="40" w:after="240"/>
        <w:ind w:left="480"/>
      </w:pPr>
      <w:r>
        <w:rPr>
          <w:i/>
          <w:color w:val="7a7a8a"/>
          <w:sz w:val="18"/>
        </w:rPr>
        <w:t>Source: MOU Article 7.2; Article 7.4; Article 7.6</w:t>
      </w:r>
    </w:p>
    <w:p>
      <w:pPr>
        <w:pStyle w:val="Heading3"/>
      </w:pPr>
      <w:r>
        <w:t>Statement 3: Shared Digital Registry</w:t>
      </w:r>
    </w:p>
    <w:p>
      <w:pPr>
        <w:pStyle w:val="USQuote"/>
      </w:pPr>
      <w:r>
        <w:t>Every key activation, every vault event, every territorial movement logs in the Shared Digital Registry in real time. Both capitals see the same data simultaneously. The sensors tell us. We do not need to trust.</w:t>
      </w:r>
    </w:p>
    <w:p>
      <w:pPr>
        <w:spacing w:before="40" w:after="240"/>
        <w:ind w:left="480"/>
      </w:pPr>
      <w:r>
        <w:rPr>
          <w:i/>
          <w:color w:val="7a7a8a"/>
          <w:sz w:val="18"/>
        </w:rPr>
        <w:t>Source: Annex U, Article 5; Annex Y, Article 1.3</w:t>
      </w:r>
    </w:p>
    <w:p>
      <w:pPr>
        <w:pStyle w:val="Heading3"/>
      </w:pPr>
      <w:r>
        <w:t>Statement 4: No U.S. Access Without Iranian Consent</w:t>
      </w:r>
    </w:p>
    <w:p>
      <w:pPr>
        <w:pStyle w:val="USQuote"/>
      </w:pPr>
      <w:r>
        <w:t>No American sets foot in an Iranian nuclear facility without Iran's explicit, revocable, per-visit written consent. The U.S. technical observer accesses only IAEA custody facilities, not Iranian operational sites. There is no standing access right.</w:t>
      </w:r>
    </w:p>
    <w:p>
      <w:pPr>
        <w:spacing w:before="40" w:after="240"/>
        <w:ind w:left="480"/>
      </w:pPr>
      <w:r>
        <w:rPr>
          <w:i/>
          <w:color w:val="7a7a8a"/>
          <w:sz w:val="18"/>
        </w:rPr>
        <w:t>Source: MOU Article 3.5; Annex O, Article 1.4</w:t>
      </w:r>
    </w:p>
    <w:p>
      <w:pPr>
        <w:pageBreakBefore/>
      </w:pPr>
    </w:p>
    <w:p>
      <w:pPr>
        <w:pStyle w:val="Heading1"/>
      </w:pPr>
      <w:r>
        <w:t>Part II: Iranian Talking Points</w:t>
      </w:r>
      <w:bookmarkStart w:name="_Toc010" w:id="11"/>
      <w:bookmarkEnd w:id="11"/>
    </w:p>
    <w:p>
      <w:r>
        <w:t>The following statements are calibrated for domestic Iranian audiences, the Supreme Leader's office, the Majlis, and allied regional constituencies. Each traces to operative text in the MOU or its annexes.</w:t>
      </w:r>
    </w:p>
    <w:p>
      <w:pPr>
        <w:pStyle w:val="Heading2"/>
      </w:pPr>
      <w:r>
        <w:t>Nuclear Sovereignty &amp; Dignity</w:t>
      </w:r>
      <w:bookmarkStart w:name="_Toc011" w:id="12"/>
      <w:bookmarkEnd w:id="12"/>
    </w:p>
    <w:p>
      <w:pPr>
        <w:pStyle w:val="Heading3"/>
      </w:pPr>
      <w:r>
        <w:t>Statement 1: Material Never Leaves Iran</w:t>
      </w:r>
    </w:p>
    <w:p>
      <w:pPr>
        <w:pStyle w:val="IranQuote"/>
      </w:pPr>
      <w:r>
        <w:t>The highly enriched uranium remains on Iranian soil by sovereign decision. The IAEA enters as a guest for verification purposes. No foreign power holds title to our nuclear material. The Central Bank of Iran retains full legal title.</w:t>
      </w:r>
    </w:p>
    <w:p>
      <w:pPr>
        <w:spacing w:before="40" w:after="240"/>
        <w:ind w:left="480"/>
      </w:pPr>
      <w:r>
        <w:rPr>
          <w:i/>
          <w:color w:val="7a7a8a"/>
          <w:sz w:val="18"/>
        </w:rPr>
        <w:t>Source: MOU Article 1.1; Article 1.3; Article 3.2</w:t>
      </w:r>
    </w:p>
    <w:p>
      <w:pPr>
        <w:pStyle w:val="Heading3"/>
      </w:pPr>
      <w:r>
        <w:t>Statement 2: Iran Chooses the Pathway</w:t>
      </w:r>
    </w:p>
    <w:p>
      <w:pPr>
        <w:pStyle w:val="IranQuote"/>
      </w:pPr>
      <w:r>
        <w:t>We choose the disposition pathway freely from seven options -- and the United States holds veto over only two. Pathways N, O, T, and W are available at Iran's sole election, without U.S. concurrence, joint review, or veto. This is our choice, not imposition.</w:t>
      </w:r>
    </w:p>
    <w:p>
      <w:pPr>
        <w:spacing w:before="40" w:after="240"/>
        <w:ind w:left="480"/>
      </w:pPr>
      <w:r>
        <w:rPr>
          <w:i/>
          <w:color w:val="7a7a8a"/>
          <w:sz w:val="18"/>
        </w:rPr>
        <w:t>Source: MOU Article 1.9; Article 3.2; Annex Z</w:t>
      </w:r>
    </w:p>
    <w:p>
      <w:pPr>
        <w:pStyle w:val="Heading3"/>
      </w:pPr>
      <w:r>
        <w:t>Statement 3: Sovereignty Automation</w:t>
      </w:r>
    </w:p>
    <w:p>
      <w:pPr>
        <w:pStyle w:val="IranQuote"/>
      </w:pPr>
      <w:r>
        <w:t>Within the framework of our immutable sovereign rights, we have activated a non-discretionary, automated technical matrix that verifies our domestic remediation and normalizes restricted assets. This is automation of sovereignty, not surrender of it.</w:t>
      </w:r>
    </w:p>
    <w:p>
      <w:pPr>
        <w:spacing w:before="40" w:after="240"/>
        <w:ind w:left="480"/>
      </w:pPr>
      <w:r>
        <w:rPr>
          <w:i/>
          <w:color w:val="7a7a8a"/>
          <w:sz w:val="18"/>
        </w:rPr>
        <w:t>Source: MOU Article 1.7; Article 1.9</w:t>
      </w:r>
    </w:p>
    <w:p>
      <w:pPr>
        <w:pStyle w:val="Heading3"/>
      </w:pPr>
      <w:r>
        <w:t>Statement 4: Custody Termination Right</w:t>
      </w:r>
    </w:p>
    <w:p>
      <w:pPr>
        <w:pStyle w:val="IranQuote"/>
      </w:pPr>
      <w:r>
        <w:t>After Day 365, Iran retains the unilateral right to request termination of IAEA custody and return to sovereign control on 180 days' notice. No external approval required. This right exists and is exercisable solely at Iran's determination.</w:t>
      </w:r>
    </w:p>
    <w:p>
      <w:pPr>
        <w:spacing w:before="40" w:after="240"/>
        <w:ind w:left="480"/>
      </w:pPr>
      <w:r>
        <w:rPr>
          <w:i/>
          <w:color w:val="7a7a8a"/>
          <w:sz w:val="18"/>
        </w:rPr>
        <w:t>Source: MOU Article 3.2(b); Annex Y, Article 4</w:t>
      </w:r>
    </w:p>
    <w:p>
      <w:pPr>
        <w:pStyle w:val="Heading3"/>
      </w:pPr>
      <w:r>
        <w:t>Statement 5: No Regime Change, No Humiliation</w:t>
      </w:r>
    </w:p>
    <w:p>
      <w:pPr>
        <w:pStyle w:val="IranQuote"/>
      </w:pPr>
      <w:r>
        <w:t>The framework explicitly prohibits requiring public renunciation of our nuclear program, demanding apologies, staging inspection-site media events, or characterizing compliance as submission. Our dignity is protected by operative text, not by good intentions.</w:t>
      </w:r>
    </w:p>
    <w:p>
      <w:pPr>
        <w:spacing w:before="40" w:after="240"/>
        <w:ind w:left="480"/>
      </w:pPr>
      <w:r>
        <w:rPr>
          <w:i/>
          <w:color w:val="7a7a8a"/>
          <w:sz w:val="18"/>
        </w:rPr>
        <w:t>Source: MOU Article 8.6; Article 1.7</w:t>
      </w:r>
    </w:p>
    <w:p>
      <w:pPr>
        <w:pStyle w:val="Heading2"/>
      </w:pPr>
      <w:r>
        <w:t>Enrichment Rights Under NPT</w:t>
      </w:r>
      <w:bookmarkStart w:name="_Toc012" w:id="13"/>
      <w:bookmarkEnd w:id="13"/>
    </w:p>
    <w:p>
      <w:pPr>
        <w:pStyle w:val="Heading3"/>
      </w:pPr>
      <w:r>
        <w:t>Statement 1: Peaceful Enrichment Affirmed</w:t>
      </w:r>
    </w:p>
    <w:p>
      <w:pPr>
        <w:pStyle w:val="IranQuote"/>
      </w:pPr>
      <w:r>
        <w:t>The preamble affirms Iran's sovereign right to peaceful nuclear energy under Article IV of the Non-Proliferation Treaty. Civilian enrichment continues at Natanz at 3.67% under IAEA safeguards. This Accord operationalizes our NPT rights, not surrenders them.</w:t>
      </w:r>
    </w:p>
    <w:p>
      <w:pPr>
        <w:spacing w:before="40" w:after="240"/>
        <w:ind w:left="480"/>
      </w:pPr>
      <w:r>
        <w:rPr>
          <w:i/>
          <w:color w:val="7a7a8a"/>
          <w:sz w:val="18"/>
        </w:rPr>
        <w:t>Source: MOU Preamble; Article 2.1; Article 3.2</w:t>
      </w:r>
    </w:p>
    <w:p>
      <w:pPr>
        <w:pStyle w:val="Heading3"/>
      </w:pPr>
      <w:r>
        <w:t>Statement 2: Fordow Medical Isotope Center</w:t>
      </w:r>
    </w:p>
    <w:p>
      <w:pPr>
        <w:pStyle w:val="IranQuote"/>
      </w:pPr>
      <w:r>
        <w:t>Fordow converts to the International Medical Isotope Research Center under an international advisory board with an Iranian co-chair. Our enrichment capability transforms into a humanitarian medical asset, serving cancer patients across the region.</w:t>
      </w:r>
    </w:p>
    <w:p>
      <w:pPr>
        <w:spacing w:before="40" w:after="240"/>
        <w:ind w:left="480"/>
      </w:pPr>
      <w:r>
        <w:rPr>
          <w:i/>
          <w:color w:val="7a7a8a"/>
          <w:sz w:val="18"/>
        </w:rPr>
        <w:t>Source: MOU Article 3.3; Part B-1.4</w:t>
      </w:r>
    </w:p>
    <w:p>
      <w:pPr>
        <w:pStyle w:val="Heading3"/>
      </w:pPr>
      <w:r>
        <w:t>Statement 3: Phase II Constitutes New Negotiation</w:t>
      </w:r>
    </w:p>
    <w:p>
      <w:pPr>
        <w:pStyle w:val="IranQuote"/>
      </w:pPr>
      <w:r>
        <w:t>Phase II is not an automatic rollover of Phase I terms. It constitutes a new negotiation with our full NPT rights on the table. We enter from a position of strength, having demonstrated compliance and earned corresponding benefits.</w:t>
      </w:r>
    </w:p>
    <w:p>
      <w:pPr>
        <w:spacing w:before="40" w:after="240"/>
        <w:ind w:left="480"/>
      </w:pPr>
      <w:r>
        <w:rPr>
          <w:i/>
          <w:color w:val="7a7a8a"/>
          <w:sz w:val="18"/>
        </w:rPr>
        <w:t>Source: MOU Article 11.2; Article 17.2-17.4</w:t>
      </w:r>
    </w:p>
    <w:p>
      <w:pPr>
        <w:pStyle w:val="Heading2"/>
      </w:pPr>
      <w:r>
        <w:t>Strait of Hormuz &amp; Coastal State Rights</w:t>
      </w:r>
      <w:bookmarkStart w:name="_Toc013" w:id="14"/>
      <w:bookmarkEnd w:id="14"/>
    </w:p>
    <w:p>
      <w:pPr>
        <w:pStyle w:val="Heading3"/>
      </w:pPr>
      <w:r>
        <w:t>Statement 1: Coastal State Position Acknowledged</w:t>
      </w:r>
    </w:p>
    <w:p>
      <w:pPr>
        <w:pStyle w:val="IranQuote"/>
      </w:pPr>
      <w:r>
        <w:t>The framework acknowledges Iran's position as a coastal state under international law, including our rights and responsibilities under the UN Convention on the Law of the Sea. Our sovereign equality is recorded, not negotiated away.</w:t>
      </w:r>
    </w:p>
    <w:p>
      <w:pPr>
        <w:spacing w:before="40" w:after="240"/>
        <w:ind w:left="480"/>
      </w:pPr>
      <w:r>
        <w:rPr>
          <w:i/>
          <w:color w:val="7a7a8a"/>
          <w:sz w:val="18"/>
        </w:rPr>
        <w:t>Source: MOU Article 4.2; Preamble</w:t>
      </w:r>
    </w:p>
    <w:p>
      <w:pPr>
        <w:pStyle w:val="Heading3"/>
      </w:pPr>
      <w:r>
        <w:t>Statement 2: Service Reimbursement for Strait Services</w:t>
      </w:r>
    </w:p>
    <w:p>
      <w:pPr>
        <w:pStyle w:val="IranQuote"/>
      </w:pPr>
      <w:r>
        <w:t>Iran receives reimbursement for verified services we perform in the Strait of Hormuz -- monitoring, mine-clearing, environmental response, search-and-rescue. These are payments for work performed, value for service, not tolls extracted by force.</w:t>
      </w:r>
    </w:p>
    <w:p>
      <w:pPr>
        <w:spacing w:before="40" w:after="240"/>
        <w:ind w:left="480"/>
      </w:pPr>
      <w:r>
        <w:rPr>
          <w:i/>
          <w:color w:val="7a7a8a"/>
          <w:sz w:val="18"/>
        </w:rPr>
        <w:t>Source: MOU Article 4.5; Annex N, Article 3</w:t>
      </w:r>
    </w:p>
    <w:p>
      <w:pPr>
        <w:pStyle w:val="Heading3"/>
      </w:pPr>
      <w:r>
        <w:t>Statement 3: PGSA as Sole Executive Authority</w:t>
      </w:r>
    </w:p>
    <w:p>
      <w:pPr>
        <w:pStyle w:val="IranQuote"/>
      </w:pPr>
      <w:r>
        <w:t>The Persian Gulf Strait Authority is recognized as the sole executive coastal law-enforcement body within Iranian territorial waters. The JHTA maintains advisory status only -- its recommendations carry no binding force in our waters.</w:t>
      </w:r>
    </w:p>
    <w:p>
      <w:pPr>
        <w:spacing w:before="40" w:after="240"/>
        <w:ind w:left="480"/>
      </w:pPr>
      <w:r>
        <w:rPr>
          <w:i/>
          <w:color w:val="7a7a8a"/>
          <w:sz w:val="18"/>
        </w:rPr>
        <w:t>Source: MOU Article 4.2-B; Annex N, Article 4</w:t>
      </w:r>
    </w:p>
    <w:p>
      <w:pPr>
        <w:pStyle w:val="Heading3"/>
      </w:pPr>
      <w:r>
        <w:t>Statement 4: No Interdiction of Commercial Vessels</w:t>
      </w:r>
    </w:p>
    <w:p>
      <w:pPr>
        <w:pStyle w:val="IranQuote"/>
      </w:pPr>
      <w:r>
        <w:t>We do not stop commercial vessels. The Accord preserves legitimate SOLAS safety inspections. The framework excludes naval forces from fee collection mechanisms. Commercial transit proceeds freely.</w:t>
      </w:r>
    </w:p>
    <w:p>
      <w:pPr>
        <w:spacing w:before="40" w:after="240"/>
        <w:ind w:left="480"/>
      </w:pPr>
      <w:r>
        <w:rPr>
          <w:i/>
          <w:color w:val="7a7a8a"/>
          <w:sz w:val="18"/>
        </w:rPr>
        <w:t>Source: Annex N, Article 2; Annex N.a, Article 4</w:t>
      </w:r>
    </w:p>
    <w:p>
      <w:pPr>
        <w:pStyle w:val="Heading2"/>
      </w:pPr>
      <w:r>
        <w:t>Sanctions Relief &amp; Economic Justice</w:t>
      </w:r>
      <w:bookmarkStart w:name="_Toc014" w:id="15"/>
      <w:bookmarkEnd w:id="15"/>
    </w:p>
    <w:p>
      <w:pPr>
        <w:pStyle w:val="Heading3"/>
      </w:pPr>
      <w:r>
        <w:t>Statement 1: The Siege Is Lifting</w:t>
      </w:r>
    </w:p>
    <w:p>
      <w:pPr>
        <w:pStyle w:val="IranQuote"/>
      </w:pPr>
      <w:r>
        <w:t>Oil exports resume at 2.1 million barrels per day. SWIFT is restored. The first tranche of frozen assets -- $3.6 billion -- releases at Day 30. The remainder follows on a binding schedule to 100% by Month 24. The economic siege is ending.</w:t>
      </w:r>
    </w:p>
    <w:p>
      <w:pPr>
        <w:spacing w:before="40" w:after="240"/>
        <w:ind w:left="480"/>
      </w:pPr>
      <w:r>
        <w:rPr>
          <w:i/>
          <w:color w:val="7a7a8a"/>
          <w:sz w:val="18"/>
        </w:rPr>
        <w:t>Source: MOU Article 2; Article 5.2; Article 5.3</w:t>
      </w:r>
    </w:p>
    <w:p>
      <w:pPr>
        <w:pStyle w:val="Heading3"/>
      </w:pPr>
      <w:r>
        <w:t>Statement 2: Reciprocal, Not Unilateral</w:t>
      </w:r>
    </w:p>
    <w:p>
      <w:pPr>
        <w:pStyle w:val="IranQuote"/>
      </w:pPr>
      <w:r>
        <w:t>The United States lifts pressure step by step as we meet benchmarks. The framework gives nothing away. Every tranche is earned through verified performance. We keep our leverage because relief follows compliance, never precedes it.</w:t>
      </w:r>
    </w:p>
    <w:p>
      <w:pPr>
        <w:spacing w:before="40" w:after="240"/>
        <w:ind w:left="480"/>
      </w:pPr>
      <w:r>
        <w:rPr>
          <w:i/>
          <w:color w:val="7a7a8a"/>
          <w:sz w:val="18"/>
        </w:rPr>
        <w:t>Source: MOU Article 1.1; Article 1.4; Annex S</w:t>
      </w:r>
    </w:p>
    <w:p>
      <w:pPr>
        <w:pStyle w:val="Heading3"/>
      </w:pPr>
      <w:r>
        <w:t>Statement 3: Step-Back Replaces Snapback</w:t>
      </w:r>
    </w:p>
    <w:p>
      <w:pPr>
        <w:pStyle w:val="IranQuote"/>
      </w:pPr>
      <w:r>
        <w:t>The old snapback mechanism is gone. In its place, proportional step-back with full earn-back. No benefit is permanently lost upon a single technical variance. A short-duration violation does not trigger full penalties. The system rewards quick remediation.</w:t>
      </w:r>
    </w:p>
    <w:p>
      <w:pPr>
        <w:spacing w:before="40" w:after="240"/>
        <w:ind w:left="480"/>
      </w:pPr>
      <w:r>
        <w:rPr>
          <w:i/>
          <w:color w:val="7a7a8a"/>
          <w:sz w:val="18"/>
        </w:rPr>
        <w:t>Source: MOU Article 7.3; Annex T, Articles II-III</w:t>
      </w:r>
    </w:p>
    <w:p>
      <w:pPr>
        <w:pStyle w:val="Heading3"/>
      </w:pPr>
      <w:r>
        <w:t>Statement 4: Humanitarian Protections Permanent</w:t>
      </w:r>
    </w:p>
    <w:p>
      <w:pPr>
        <w:pStyle w:val="IranQuote"/>
      </w:pPr>
      <w:r>
        <w:t>The humanitarian firewall protects medicine, food, and medical equipment permanently, regardless of compliance status. The framework bars the use of starvation as a weapon against our people. Even in dispute, our people's basic needs are shielded.</w:t>
      </w:r>
    </w:p>
    <w:p>
      <w:pPr>
        <w:spacing w:before="40" w:after="240"/>
        <w:ind w:left="480"/>
      </w:pPr>
      <w:r>
        <w:rPr>
          <w:i/>
          <w:color w:val="7a7a8a"/>
          <w:sz w:val="18"/>
        </w:rPr>
        <w:t>Source: MOU Article 5.4; Annex T, Article II.4</w:t>
      </w:r>
    </w:p>
    <w:p>
      <w:pPr>
        <w:pStyle w:val="Heading3"/>
      </w:pPr>
      <w:r>
        <w:t>Statement 5: Joint Disposition Fund</w:t>
      </w:r>
    </w:p>
    <w:p>
      <w:pPr>
        <w:pStyle w:val="IranQuote"/>
      </w:pPr>
      <w:r>
        <w:t>A $1 billion Joint Disposition Fund, co-funded equally, rewards our verified progress on any disposition pathway. A per-kilogram incentive of $5,000 for every kilogram of HEU neutralized gives us upside without new U.S. appropriation. We benefit from cooperation, not capitulation.</w:t>
      </w:r>
    </w:p>
    <w:p>
      <w:pPr>
        <w:spacing w:before="40" w:after="240"/>
        <w:ind w:left="480"/>
      </w:pPr>
      <w:r>
        <w:rPr>
          <w:i/>
          <w:color w:val="7a7a8a"/>
          <w:sz w:val="18"/>
        </w:rPr>
        <w:t>Source: MOU Article 3.6; Annex Z</w:t>
      </w:r>
    </w:p>
    <w:p>
      <w:pPr>
        <w:pStyle w:val="Heading2"/>
      </w:pPr>
      <w:r>
        <w:t>Escalation Buffer &amp; Self-Defense</w:t>
      </w:r>
      <w:bookmarkStart w:name="_Toc015" w:id="16"/>
      <w:bookmarkEnd w:id="16"/>
    </w:p>
    <w:p>
      <w:pPr>
        <w:pStyle w:val="Heading3"/>
      </w:pPr>
      <w:r>
        <w:t>Statement 1: Buffer Protects Against Pretext</w:t>
      </w:r>
    </w:p>
    <w:p>
      <w:pPr>
        <w:pStyle w:val="IranQuote"/>
      </w:pPr>
      <w:r>
        <w:t>The 72-hour escalation buffer prevents the United States from using minor incidents as pretext for war. A single drone does not become a justification for bombing. We communicate through neutral facilitators. Facts establish themselves before accusations fly.</w:t>
      </w:r>
    </w:p>
    <w:p>
      <w:pPr>
        <w:spacing w:before="40" w:after="240"/>
        <w:ind w:left="480"/>
      </w:pPr>
      <w:r>
        <w:rPr>
          <w:i/>
          <w:color w:val="7a7a8a"/>
          <w:sz w:val="18"/>
        </w:rPr>
        <w:t>Source: Annex R, Article 4; Annex R.a, Article 1.3</w:t>
      </w:r>
    </w:p>
    <w:p>
      <w:pPr>
        <w:pStyle w:val="Heading3"/>
      </w:pPr>
      <w:r>
        <w:t>Statement 2: Self-Defense Preserved</w:t>
      </w:r>
    </w:p>
    <w:p>
      <w:pPr>
        <w:pStyle w:val="IranQuote"/>
      </w:pPr>
      <w:r>
        <w:t>Nothing in this framework limits our inherent right to self-defense under international law. The Escalation Buffer applies to responses to incidents, not to defense against active aggression. We retain full sovereign authority to protect our territory and people.</w:t>
      </w:r>
    </w:p>
    <w:p>
      <w:pPr>
        <w:spacing w:before="40" w:after="240"/>
        <w:ind w:left="480"/>
      </w:pPr>
      <w:r>
        <w:rPr>
          <w:i/>
          <w:color w:val="7a7a8a"/>
          <w:sz w:val="18"/>
        </w:rPr>
        <w:t>Source: Annex R, Preamble; Article 4.2</w:t>
      </w:r>
    </w:p>
    <w:p>
      <w:pPr>
        <w:pStyle w:val="Heading3"/>
      </w:pPr>
      <w:r>
        <w:t>Statement 3: False-Flag Protection</w:t>
      </w:r>
    </w:p>
    <w:p>
      <w:pPr>
        <w:pStyle w:val="IranQuote"/>
      </w:pPr>
      <w:r>
        <w:t>Third-party false-flag attacks do not attach to Iran. If a rogue commander acts without authorization and we disavow within 24 hours, the action is not attributed to our state. The framework does not hold us responsible for what we did not order.</w:t>
      </w:r>
    </w:p>
    <w:p>
      <w:pPr>
        <w:spacing w:before="40" w:after="240"/>
        <w:ind w:left="480"/>
      </w:pPr>
      <w:r>
        <w:rPr>
          <w:i/>
          <w:color w:val="7a7a8a"/>
          <w:sz w:val="18"/>
        </w:rPr>
        <w:t>Source: Annex R, Article 6; Annex R.a, Article 4</w:t>
      </w:r>
    </w:p>
    <w:p>
      <w:pPr>
        <w:pStyle w:val="Heading3"/>
      </w:pPr>
      <w:r>
        <w:t>Statement 4: No Automatic Cross-Module Collapse</w:t>
      </w:r>
    </w:p>
    <w:p>
      <w:pPr>
        <w:pStyle w:val="IranQuote"/>
      </w:pPr>
      <w:r>
        <w:t>A dispute in one module does not collapse the entire agreement. Nuclear, maritime, and economic tracks are independent. Progress banks where it is made. The Partial Success Doctrine ensures localized failure stays localized.</w:t>
      </w:r>
    </w:p>
    <w:p>
      <w:pPr>
        <w:spacing w:before="40" w:after="240"/>
        <w:ind w:left="480"/>
      </w:pPr>
      <w:r>
        <w:rPr>
          <w:i/>
          <w:color w:val="7a7a8a"/>
          <w:sz w:val="18"/>
        </w:rPr>
        <w:t>Source: MOU Article 8.9; Annex T, Article I</w:t>
      </w:r>
    </w:p>
    <w:p>
      <w:pPr>
        <w:pStyle w:val="Heading2"/>
      </w:pPr>
      <w:r>
        <w:t>Regional Solidarity &amp; Lebanon</w:t>
      </w:r>
      <w:bookmarkStart w:name="_Toc016" w:id="17"/>
      <w:bookmarkEnd w:id="17"/>
    </w:p>
    <w:p>
      <w:pPr>
        <w:pStyle w:val="Heading3"/>
      </w:pPr>
      <w:r>
        <w:t>Statement 1: No Disarmament of Allies Required</w:t>
      </w:r>
    </w:p>
    <w:p>
      <w:pPr>
        <w:pStyle w:val="IranQuote"/>
      </w:pPr>
      <w:r>
        <w:t>This instrument does not require Iran to disarm, control, or take responsibility for Hezbollah or any other non-state actor. Our relationship with Hezbollah is political and diplomatic, not operational command. This is fully respected in the text.</w:t>
      </w:r>
    </w:p>
    <w:p>
      <w:pPr>
        <w:spacing w:before="40" w:after="240"/>
        <w:ind w:left="480"/>
      </w:pPr>
      <w:r>
        <w:rPr>
          <w:i/>
          <w:color w:val="7a7a8a"/>
          <w:sz w:val="18"/>
        </w:rPr>
        <w:t>Source: MOU Article 6.2; Annex G, Article 1.2</w:t>
      </w:r>
    </w:p>
    <w:p>
      <w:pPr>
        <w:pStyle w:val="Heading3"/>
      </w:pPr>
      <w:r>
        <w:t>Statement 2: Political Support Preserved</w:t>
      </w:r>
    </w:p>
    <w:p>
      <w:pPr>
        <w:pStyle w:val="IranQuote"/>
      </w:pPr>
      <w:r>
        <w:t>Political statements, diplomatic advocacy, humanitarian assistance, and general financial support remain entirely outside the scope of any prohibition. Only direct material support for cross-border attacks is restricted -- and the burden of proof lies with the accuser.</w:t>
      </w:r>
    </w:p>
    <w:p>
      <w:pPr>
        <w:spacing w:before="40" w:after="240"/>
        <w:ind w:left="480"/>
      </w:pPr>
      <w:r>
        <w:rPr>
          <w:i/>
          <w:color w:val="7a7a8a"/>
          <w:sz w:val="18"/>
        </w:rPr>
        <w:t>Source: Annex G, Article 2.2; Article 2.3</w:t>
      </w:r>
    </w:p>
    <w:p>
      <w:pPr>
        <w:pStyle w:val="Heading3"/>
      </w:pPr>
      <w:r>
        <w:t>Statement 3: Door to Regional Talks Opens</w:t>
      </w:r>
    </w:p>
    <w:p>
      <w:pPr>
        <w:pStyle w:val="IranQuote"/>
      </w:pPr>
      <w:r>
        <w:t>Phase III opens a written, scheduled track toward broader regional security talks and normalization. We characterize this as opening the door to resolving Lebanon and the wider conflict. The United States cannot deny that this pathway exists.</w:t>
      </w:r>
    </w:p>
    <w:p>
      <w:pPr>
        <w:spacing w:before="40" w:after="240"/>
        <w:ind w:left="480"/>
      </w:pPr>
      <w:r>
        <w:rPr>
          <w:i/>
          <w:color w:val="7a7a8a"/>
          <w:sz w:val="18"/>
        </w:rPr>
        <w:t>Source: MOU Article 6.3; Part C-3</w:t>
      </w:r>
    </w:p>
    <w:p>
      <w:pPr>
        <w:pStyle w:val="Heading3"/>
      </w:pPr>
      <w:r>
        <w:t>Statement 4: Territorial Freeze Constrains Israel</w:t>
      </w:r>
    </w:p>
    <w:p>
      <w:pPr>
        <w:pStyle w:val="IranQuote"/>
      </w:pPr>
      <w:r>
        <w:t>Annex M locks in Israeli expansion at the current footprint. Any movement beyond triggers automatic penalties -- $1 million per day, reconstruction freeze, supply suspension. The Shared Digital Registry gives us real-time visibility. Our strategic patience works.</w:t>
      </w:r>
    </w:p>
    <w:p>
      <w:pPr>
        <w:spacing w:before="40" w:after="240"/>
        <w:ind w:left="480"/>
      </w:pPr>
      <w:r>
        <w:rPr>
          <w:i/>
          <w:color w:val="7a7a8a"/>
          <w:sz w:val="18"/>
        </w:rPr>
        <w:t>Source: Annex M, Articles 3-5; Annex U, Article 5</w:t>
      </w:r>
    </w:p>
    <w:p>
      <w:pPr>
        <w:pStyle w:val="Heading3"/>
      </w:pPr>
      <w:r>
        <w:t>Statement 5: No Recognition of Israel</w:t>
      </w:r>
    </w:p>
    <w:p>
      <w:pPr>
        <w:pStyle w:val="IranQuote"/>
      </w:pPr>
      <w:r>
        <w:t>Nothing in this agreement constitutes recognition of Israel. Annex NORM proceeds among other states; Iran is a non-participating observer. The non-impediment clause acknowledges sovereign decisions of other states -- it is non-obstruction, not normalization.</w:t>
      </w:r>
    </w:p>
    <w:p>
      <w:pPr>
        <w:spacing w:before="40" w:after="240"/>
        <w:ind w:left="480"/>
      </w:pPr>
      <w:r>
        <w:rPr>
          <w:i/>
          <w:color w:val="7a7a8a"/>
          <w:sz w:val="18"/>
        </w:rPr>
        <w:t>Source: MOU Article 13.1; Annex NORM, Article 2.3</w:t>
      </w:r>
    </w:p>
    <w:p>
      <w:pPr>
        <w:pStyle w:val="Heading2"/>
      </w:pPr>
      <w:r>
        <w:t>Verification as Cooperation, Not Surrender</w:t>
      </w:r>
      <w:bookmarkStart w:name="_Toc017" w:id="18"/>
      <w:bookmarkEnd w:id="18"/>
    </w:p>
    <w:p>
      <w:pPr>
        <w:pStyle w:val="Heading3"/>
      </w:pPr>
      <w:r>
        <w:t>Statement 1: IAEA Enters as Guest</w:t>
      </w:r>
    </w:p>
    <w:p>
      <w:pPr>
        <w:pStyle w:val="IranQuote"/>
      </w:pPr>
      <w:r>
        <w:t>IAEA inspectors enter our facilities as guests. The framework respects our sovereignty. No foreign soldier sets foot in our nuclear facilities. Access operates under agreed protocols, not occupation authority.</w:t>
      </w:r>
    </w:p>
    <w:p>
      <w:pPr>
        <w:spacing w:before="40" w:after="240"/>
        <w:ind w:left="480"/>
      </w:pPr>
      <w:r>
        <w:rPr>
          <w:i/>
          <w:color w:val="7a7a8a"/>
          <w:sz w:val="18"/>
        </w:rPr>
        <w:t>Source: MOU Article 3.5; Annex O, Article 1.2</w:t>
      </w:r>
    </w:p>
    <w:p>
      <w:pPr>
        <w:pStyle w:val="Heading3"/>
      </w:pPr>
      <w:r>
        <w:t>Statement 2: Iran Holds One of Two Keys</w:t>
      </w:r>
    </w:p>
    <w:p>
      <w:pPr>
        <w:pStyle w:val="IranQuote"/>
      </w:pPr>
      <w:r>
        <w:t>In the dual-key custody system, Iran holds one of two digital keys. No extraction of nuclear material occurs without our authorization. Sovereignty is preserved through technical architecture, not just political assertion.</w:t>
      </w:r>
    </w:p>
    <w:p>
      <w:pPr>
        <w:spacing w:before="40" w:after="240"/>
        <w:ind w:left="480"/>
      </w:pPr>
      <w:r>
        <w:rPr>
          <w:i/>
          <w:color w:val="7a7a8a"/>
          <w:sz w:val="18"/>
        </w:rPr>
        <w:t>Source: Annex Y, Article 1.2; Article 1.3</w:t>
      </w:r>
    </w:p>
    <w:p>
      <w:pPr>
        <w:pStyle w:val="Heading3"/>
      </w:pPr>
      <w:r>
        <w:t>Statement 3: No Misuse of Framework Data</w:t>
      </w:r>
    </w:p>
    <w:p>
      <w:pPr>
        <w:pStyle w:val="IranQuote"/>
      </w:pPr>
      <w:r>
        <w:t>No verification data, monitoring feed, or escrow record may be used for intelligence collection, internal political disruption, or regime-change activity. This provision is binding and non-waivable. A verified violation triggers Tier 3 penalties against the offending party.</w:t>
      </w:r>
    </w:p>
    <w:p>
      <w:pPr>
        <w:spacing w:before="40" w:after="240"/>
        <w:ind w:left="480"/>
      </w:pPr>
      <w:r>
        <w:rPr>
          <w:i/>
          <w:color w:val="7a7a8a"/>
          <w:sz w:val="18"/>
        </w:rPr>
        <w:t>Source: MOU Article 1.8; Article 8.7</w:t>
      </w:r>
    </w:p>
    <w:p>
      <w:pPr>
        <w:pStyle w:val="Heading3"/>
      </w:pPr>
      <w:r>
        <w:t>Statement 4: Technical Sovereignty Framing</w:t>
      </w:r>
    </w:p>
    <w:p>
      <w:pPr>
        <w:pStyle w:val="IranQuote"/>
      </w:pPr>
      <w:r>
        <w:t>We have agreed to a technical implementation mechanism that ensures full compliance with international standards while preserving our sovereign rights. The enhanced measures are operational, not political. Verification is a tool, not a surrender.</w:t>
      </w:r>
    </w:p>
    <w:p>
      <w:pPr>
        <w:spacing w:before="40" w:after="240"/>
        <w:ind w:left="480"/>
      </w:pPr>
      <w:r>
        <w:rPr>
          <w:i/>
          <w:color w:val="7a7a8a"/>
          <w:sz w:val="18"/>
        </w:rPr>
        <w:t>Source: MOU Article 1.7; Article 1.9; Annex O</w:t>
      </w:r>
    </w:p>
    <w:p>
      <w:pPr>
        <w:pageBreakBefore/>
      </w:pPr>
    </w:p>
    <w:p>
      <w:pPr>
        <w:pStyle w:val="Heading1"/>
      </w:pPr>
      <w:r>
        <w:t>Part III: Key Milestone Talking Points</w:t>
      </w:r>
      <w:bookmarkStart w:name="_Toc018" w:id="19"/>
      <w:bookmarkEnd w:id="19"/>
    </w:p>
    <w:p>
      <w:r>
        <w:t>Pre-approved statements for use at specific milestone events. Each pair is designed for simultaneous delivery. Neither contradicts the other.</w:t>
      </w:r>
    </w:p>
    <w:p>
      <w:pPr>
        <w:pStyle w:val="Heading2"/>
      </w:pPr>
      <w:r>
        <w:t>At Signature (Simultaneous Announcement)</w:t>
      </w:r>
    </w:p>
    <w:tbl>
      <w:tblPr>
        <w:tblW w:w="5000" w:type="pct"/>
        <w:tblBorders>
          <w:top w:val="single" w:color="d0d0d8" w:sz="8"/>
          <w:left w:val="single" w:color="d0d0d8" w:sz="8"/>
          <w:bottom w:val="single" w:color="d0d0d8" w:sz="8"/>
          <w:right w:val="single" w:color="d0d0d8" w:sz="8"/>
          <w:insideV w:val="single" w:color="d0d0d8" w:sz="4"/>
        </w:tblBorders>
      </w:tblPr>
      <w:tblGrid>
        <w:gridCol w:w="4500"/>
        <w:gridCol w:w="4500"/>
      </w:tblGrid>
      <w:tr>
        <w:tc>
          <w:tcPr>
            <w:tcW w:w="4500" w:type="dxa"/>
            <w:shd w:val="clear" w:fill="e8f0f8"/>
          </w:tcPr>
          <w:p>
            <w:pPr>
              <w:spacing w:before="80" w:after="80"/>
              <w:jc w:val="center"/>
            </w:pPr>
            <w:r>
              <w:rPr>
                <w:b/>
                <w:color w:val="1a5276"/>
                <w:sz w:val="20"/>
              </w:rPr>
              <w:t>US PERSPECTIVE</w:t>
            </w:r>
          </w:p>
        </w:tc>
        <w:tc>
          <w:tcPr>
            <w:tcW w:w="4500" w:type="dxa"/>
            <w:shd w:val="clear" w:fill="e8f5e8"/>
          </w:tcPr>
          <w:p>
            <w:pPr>
              <w:spacing w:before="80" w:after="80"/>
              <w:jc w:val="center"/>
            </w:pPr>
            <w:r>
              <w:rPr>
                <w:b/>
                <w:color w:val="1e6b3a"/>
                <w:sz w:val="20"/>
              </w:rPr>
              <w:t>IRANIAN PERSPECTIVE</w:t>
            </w:r>
          </w:p>
        </w:tc>
      </w:tr>
      <w:tr>
        <w:tc>
          <w:tcPr>
            <w:tcW w:w="4500" w:type="dxa"/>
            <w:shd w:val="clear" w:fill="e8f0f8"/>
          </w:tcPr>
          <w:p>
            <w:pPr>
              <w:spacing w:before="80" w:after="80"/>
            </w:pPr>
            <w:r>
              <w:rPr>
                <w:color w:val="1a1a2e"/>
                <w:sz w:val="20"/>
              </w:rPr>
              <w:t>US Statement: Weapons-grade uranium secures itself under IAEA custody within 14 days. Every relief measure earns itself through verified milestones. No sunset exists. Compliance keeps the deal alive.</w:t>
            </w:r>
          </w:p>
        </w:tc>
        <w:tc>
          <w:tcPr>
            <w:tcW w:w="4500" w:type="dxa"/>
            <w:shd w:val="clear" w:fill="e8f5e8"/>
          </w:tcPr>
          <w:p>
            <w:pPr>
              <w:spacing w:before="80" w:after="80"/>
            </w:pPr>
            <w:r>
              <w:rPr>
                <w:color w:val="1a1a2e"/>
                <w:sz w:val="20"/>
              </w:rPr>
              <w:t>Iranian Statement: Legal title remains with Iran. The framework defers final disposition to negotiation. The US lifts pressure step by step. Nothing enters the pipeline before verification. No permanent surrender exists. Withdrawal remains permitted with notice.</w:t>
            </w:r>
          </w:p>
        </w:tc>
      </w:tr>
      <w:tr>
        <w:tc>
          <w:tcPr>
            <w:tcW w:w="9000" w:type="dxa"/>
            <w:gridSpan w:val="2"/>
            <w:shd w:val="clear" w:fill="f5f5f5"/>
          </w:tcPr>
          <w:p>
            <w:pPr>
              <w:spacing w:before="60" w:after="60"/>
              <w:jc w:val="center"/>
            </w:pPr>
            <w:r>
              <w:rPr>
                <w:i/>
                <w:color w:val="7a7a8a"/>
                <w:sz w:val="16"/>
              </w:rPr>
              <w:t>Source: MOU Article 2; Article 1.1; Article 17.2-17.4</w:t>
            </w:r>
          </w:p>
        </w:tc>
      </w:tr>
    </w:tbl>
    <w:p>
      <w:pPr>
        <w:pStyle w:val="Heading2"/>
      </w:pPr>
      <w:r>
        <w:t>At First IAEA Access (Day 1-7)</w:t>
      </w:r>
    </w:p>
    <w:tbl>
      <w:tblPr>
        <w:tblW w:w="5000" w:type="pct"/>
        <w:tblBorders>
          <w:top w:val="single" w:color="d0d0d8" w:sz="8"/>
          <w:left w:val="single" w:color="d0d0d8" w:sz="8"/>
          <w:bottom w:val="single" w:color="d0d0d8" w:sz="8"/>
          <w:right w:val="single" w:color="d0d0d8" w:sz="8"/>
          <w:insideV w:val="single" w:color="d0d0d8" w:sz="4"/>
        </w:tblBorders>
      </w:tblPr>
      <w:tblGrid>
        <w:gridCol w:w="4500"/>
        <w:gridCol w:w="4500"/>
      </w:tblGrid>
      <w:tr>
        <w:tc>
          <w:tcPr>
            <w:tcW w:w="4500" w:type="dxa"/>
            <w:shd w:val="clear" w:fill="e8f0f8"/>
          </w:tcPr>
          <w:p>
            <w:pPr>
              <w:spacing w:before="80" w:after="80"/>
              <w:jc w:val="center"/>
            </w:pPr>
            <w:r>
              <w:rPr>
                <w:b/>
                <w:color w:val="1a5276"/>
                <w:sz w:val="20"/>
              </w:rPr>
              <w:t>US PERSPECTIVE</w:t>
            </w:r>
          </w:p>
        </w:tc>
        <w:tc>
          <w:tcPr>
            <w:tcW w:w="4500" w:type="dxa"/>
            <w:shd w:val="clear" w:fill="e8f5e8"/>
          </w:tcPr>
          <w:p>
            <w:pPr>
              <w:spacing w:before="80" w:after="80"/>
              <w:jc w:val="center"/>
            </w:pPr>
            <w:r>
              <w:rPr>
                <w:b/>
                <w:color w:val="1e6b3a"/>
                <w:sz w:val="20"/>
              </w:rPr>
              <w:t>IRANIAN PERSPECTIVE</w:t>
            </w:r>
          </w:p>
        </w:tc>
      </w:tr>
      <w:tr>
        <w:tc>
          <w:tcPr>
            <w:tcW w:w="4500" w:type="dxa"/>
            <w:shd w:val="clear" w:fill="e8f0f8"/>
          </w:tcPr>
          <w:p>
            <w:pPr>
              <w:spacing w:before="80" w:after="80"/>
            </w:pPr>
            <w:r>
              <w:rPr>
                <w:color w:val="1a1a2e"/>
                <w:sz w:val="20"/>
              </w:rPr>
              <w:t>US Statement: Inspectors enter the facilities. We see everything. Continuous monitoring equipment installs itself at Natanz and Fordow.</w:t>
            </w:r>
          </w:p>
        </w:tc>
        <w:tc>
          <w:tcPr>
            <w:tcW w:w="4500" w:type="dxa"/>
            <w:shd w:val="clear" w:fill="e8f5e8"/>
          </w:tcPr>
          <w:p>
            <w:pPr>
              <w:spacing w:before="80" w:after="80"/>
            </w:pPr>
            <w:r>
              <w:rPr>
                <w:color w:val="1a1a2e"/>
                <w:sz w:val="20"/>
              </w:rPr>
              <w:t>Iranian Statement: Inspectors enter as guests. The framework respects our sovereignty. IAEA monitoring operates under our supervision, on our terms, at our facilities.</w:t>
            </w:r>
          </w:p>
        </w:tc>
      </w:tr>
      <w:tr>
        <w:tc>
          <w:tcPr>
            <w:tcW w:w="9000" w:type="dxa"/>
            <w:gridSpan w:val="2"/>
            <w:shd w:val="clear" w:fill="f5f5f5"/>
          </w:tcPr>
          <w:p>
            <w:pPr>
              <w:spacing w:before="60" w:after="60"/>
              <w:jc w:val="center"/>
            </w:pPr>
            <w:r>
              <w:rPr>
                <w:i/>
                <w:color w:val="7a7a8a"/>
                <w:sz w:val="16"/>
              </w:rPr>
              <w:t>Source: MOU Article 7.1; Annex O, Article 1</w:t>
            </w:r>
          </w:p>
        </w:tc>
      </w:tr>
    </w:tbl>
    <w:p>
      <w:pPr>
        <w:pStyle w:val="Heading2"/>
      </w:pPr>
      <w:r>
        <w:t>At First Relief Tranche Release (Day 30)</w:t>
      </w:r>
    </w:p>
    <w:tbl>
      <w:tblPr>
        <w:tblW w:w="5000" w:type="pct"/>
        <w:tblBorders>
          <w:top w:val="single" w:color="d0d0d8" w:sz="8"/>
          <w:left w:val="single" w:color="d0d0d8" w:sz="8"/>
          <w:bottom w:val="single" w:color="d0d0d8" w:sz="8"/>
          <w:right w:val="single" w:color="d0d0d8" w:sz="8"/>
          <w:insideV w:val="single" w:color="d0d0d8" w:sz="4"/>
        </w:tblBorders>
      </w:tblPr>
      <w:tblGrid>
        <w:gridCol w:w="4500"/>
        <w:gridCol w:w="4500"/>
      </w:tblGrid>
      <w:tr>
        <w:tc>
          <w:tcPr>
            <w:tcW w:w="4500" w:type="dxa"/>
            <w:shd w:val="clear" w:fill="e8f0f8"/>
          </w:tcPr>
          <w:p>
            <w:pPr>
              <w:spacing w:before="80" w:after="80"/>
              <w:jc w:val="center"/>
            </w:pPr>
            <w:r>
              <w:rPr>
                <w:b/>
                <w:color w:val="1a5276"/>
                <w:sz w:val="20"/>
              </w:rPr>
              <w:t>US PERSPECTIVE</w:t>
            </w:r>
          </w:p>
        </w:tc>
        <w:tc>
          <w:tcPr>
            <w:tcW w:w="4500" w:type="dxa"/>
            <w:shd w:val="clear" w:fill="e8f5e8"/>
          </w:tcPr>
          <w:p>
            <w:pPr>
              <w:spacing w:before="80" w:after="80"/>
              <w:jc w:val="center"/>
            </w:pPr>
            <w:r>
              <w:rPr>
                <w:b/>
                <w:color w:val="1e6b3a"/>
                <w:sz w:val="20"/>
              </w:rPr>
              <w:t>IRANIAN PERSPECTIVE</w:t>
            </w:r>
          </w:p>
        </w:tc>
      </w:tr>
      <w:tr>
        <w:tc>
          <w:tcPr>
            <w:tcW w:w="4500" w:type="dxa"/>
            <w:shd w:val="clear" w:fill="e8f0f8"/>
          </w:tcPr>
          <w:p>
            <w:pPr>
              <w:spacing w:before="80" w:after="80"/>
            </w:pPr>
            <w:r>
              <w:rPr>
                <w:color w:val="1a1a2e"/>
                <w:sz w:val="20"/>
              </w:rPr>
              <w:t>US Statement: Iran performed. We responded. The escrow architecture works -- verified compliance triggered the release. This is not a gift; it is earned performance.</w:t>
            </w:r>
          </w:p>
        </w:tc>
        <w:tc>
          <w:tcPr>
            <w:tcW w:w="4500" w:type="dxa"/>
            <w:shd w:val="clear" w:fill="e8f5e8"/>
          </w:tcPr>
          <w:p>
            <w:pPr>
              <w:spacing w:before="80" w:after="80"/>
            </w:pPr>
            <w:r>
              <w:rPr>
                <w:color w:val="1a1a2e"/>
                <w:sz w:val="20"/>
              </w:rPr>
              <w:t>Iranian Statement: We met every benchmark. The US released our assets as agreed. Reciprocity demonstrates itself. The framework delivers what was promised.</w:t>
            </w:r>
          </w:p>
        </w:tc>
      </w:tr>
      <w:tr>
        <w:tc>
          <w:tcPr>
            <w:tcW w:w="9000" w:type="dxa"/>
            <w:gridSpan w:val="2"/>
            <w:shd w:val="clear" w:fill="f5f5f5"/>
          </w:tcPr>
          <w:p>
            <w:pPr>
              <w:spacing w:before="60" w:after="60"/>
              <w:jc w:val="center"/>
            </w:pPr>
            <w:r>
              <w:rPr>
                <w:i/>
                <w:color w:val="7a7a8a"/>
                <w:sz w:val="16"/>
              </w:rPr>
              <w:t>Source: MOU Article 5.3; Annex S; Annex T</w:t>
            </w:r>
          </w:p>
        </w:tc>
      </w:tr>
    </w:tbl>
    <w:p>
      <w:pPr>
        <w:pStyle w:val="Heading2"/>
      </w:pPr>
      <w:r>
        <w:t>At a Kinetic Incident (If It Occurs)</w:t>
      </w:r>
    </w:p>
    <w:tbl>
      <w:tblPr>
        <w:tblW w:w="5000" w:type="pct"/>
        <w:tblBorders>
          <w:top w:val="single" w:color="d0d0d8" w:sz="8"/>
          <w:left w:val="single" w:color="d0d0d8" w:sz="8"/>
          <w:bottom w:val="single" w:color="d0d0d8" w:sz="8"/>
          <w:right w:val="single" w:color="d0d0d8" w:sz="8"/>
          <w:insideV w:val="single" w:color="d0d0d8" w:sz="4"/>
        </w:tblBorders>
      </w:tblPr>
      <w:tblGrid>
        <w:gridCol w:w="4500"/>
        <w:gridCol w:w="4500"/>
      </w:tblGrid>
      <w:tr>
        <w:tc>
          <w:tcPr>
            <w:tcW w:w="4500" w:type="dxa"/>
            <w:shd w:val="clear" w:fill="e8f0f8"/>
          </w:tcPr>
          <w:p>
            <w:pPr>
              <w:spacing w:before="80" w:after="80"/>
              <w:jc w:val="center"/>
            </w:pPr>
            <w:r>
              <w:rPr>
                <w:b/>
                <w:color w:val="1a5276"/>
                <w:sz w:val="20"/>
              </w:rPr>
              <w:t>US PERSPECTIVE</w:t>
            </w:r>
          </w:p>
        </w:tc>
        <w:tc>
          <w:tcPr>
            <w:tcW w:w="4500" w:type="dxa"/>
            <w:shd w:val="clear" w:fill="e8f5e8"/>
          </w:tcPr>
          <w:p>
            <w:pPr>
              <w:spacing w:before="80" w:after="80"/>
              <w:jc w:val="center"/>
            </w:pPr>
            <w:r>
              <w:rPr>
                <w:b/>
                <w:color w:val="1e6b3a"/>
                <w:sz w:val="20"/>
              </w:rPr>
              <w:t>IRANIAN PERSPECTIVE</w:t>
            </w:r>
          </w:p>
        </w:tc>
      </w:tr>
      <w:tr>
        <w:tc>
          <w:tcPr>
            <w:tcW w:w="4500" w:type="dxa"/>
            <w:shd w:val="clear" w:fill="e8f0f8"/>
          </w:tcPr>
          <w:p>
            <w:pPr>
              <w:spacing w:before="80" w:after="80"/>
            </w:pPr>
            <w:r>
              <w:rPr>
                <w:color w:val="1a1a2e"/>
                <w:sz w:val="20"/>
              </w:rPr>
              <w:t>US Statement: The 72-hour buffer activates. We assess through the Pakistan back-channel. No rush to judgment exists. Full sensor coverage operates. The verification architecture tells us what happened.</w:t>
            </w:r>
          </w:p>
        </w:tc>
        <w:tc>
          <w:tcPr>
            <w:tcW w:w="4500" w:type="dxa"/>
            <w:shd w:val="clear" w:fill="e8f5e8"/>
          </w:tcPr>
          <w:p>
            <w:pPr>
              <w:spacing w:before="80" w:after="80"/>
            </w:pPr>
            <w:r>
              <w:rPr>
                <w:color w:val="1a1a2e"/>
                <w:sz w:val="20"/>
              </w:rPr>
              <w:t>Iranian Statement: The buffer prevents escalation by miscalculation. We communicate through neutral facilitators. We call for a joint investigation. Facts establish themselves before any accusation flies.</w:t>
            </w:r>
          </w:p>
        </w:tc>
      </w:tr>
      <w:tr>
        <w:tc>
          <w:tcPr>
            <w:tcW w:w="9000" w:type="dxa"/>
            <w:gridSpan w:val="2"/>
            <w:shd w:val="clear" w:fill="f5f5f5"/>
          </w:tcPr>
          <w:p>
            <w:pPr>
              <w:spacing w:before="60" w:after="60"/>
              <w:jc w:val="center"/>
            </w:pPr>
            <w:r>
              <w:rPr>
                <w:i/>
                <w:color w:val="7a7a8a"/>
                <w:sz w:val="16"/>
              </w:rPr>
              <w:t>Source: Annex R, Article 4; Annex R.a, Articles 1-3</w:t>
            </w:r>
          </w:p>
        </w:tc>
      </w:tr>
    </w:tbl>
    <w:p>
      <w:pPr>
        <w:pStyle w:val="Heading2"/>
      </w:pPr>
      <w:r>
        <w:t>At Phase II Transition (Day 60-90)</w:t>
      </w:r>
    </w:p>
    <w:tbl>
      <w:tblPr>
        <w:tblW w:w="5000" w:type="pct"/>
        <w:tblBorders>
          <w:top w:val="single" w:color="d0d0d8" w:sz="8"/>
          <w:left w:val="single" w:color="d0d0d8" w:sz="8"/>
          <w:bottom w:val="single" w:color="d0d0d8" w:sz="8"/>
          <w:right w:val="single" w:color="d0d0d8" w:sz="8"/>
          <w:insideV w:val="single" w:color="d0d0d8" w:sz="4"/>
        </w:tblBorders>
      </w:tblPr>
      <w:tblGrid>
        <w:gridCol w:w="4500"/>
        <w:gridCol w:w="4500"/>
      </w:tblGrid>
      <w:tr>
        <w:tc>
          <w:tcPr>
            <w:tcW w:w="4500" w:type="dxa"/>
            <w:shd w:val="clear" w:fill="e8f0f8"/>
          </w:tcPr>
          <w:p>
            <w:pPr>
              <w:spacing w:before="80" w:after="80"/>
              <w:jc w:val="center"/>
            </w:pPr>
            <w:r>
              <w:rPr>
                <w:b/>
                <w:color w:val="1a5276"/>
                <w:sz w:val="20"/>
              </w:rPr>
              <w:t>US PERSPECTIVE</w:t>
            </w:r>
          </w:p>
        </w:tc>
        <w:tc>
          <w:tcPr>
            <w:tcW w:w="4500" w:type="dxa"/>
            <w:shd w:val="clear" w:fill="e8f5e8"/>
          </w:tcPr>
          <w:p>
            <w:pPr>
              <w:spacing w:before="80" w:after="80"/>
              <w:jc w:val="center"/>
            </w:pPr>
            <w:r>
              <w:rPr>
                <w:b/>
                <w:color w:val="1e6b3a"/>
                <w:sz w:val="20"/>
              </w:rPr>
              <w:t>IRANIAN PERSPECTIVE</w:t>
            </w:r>
          </w:p>
        </w:tc>
      </w:tr>
      <w:tr>
        <w:tc>
          <w:tcPr>
            <w:tcW w:w="4500" w:type="dxa"/>
            <w:shd w:val="clear" w:fill="e8f0f8"/>
          </w:tcPr>
          <w:p>
            <w:pPr>
              <w:spacing w:before="80" w:after="80"/>
            </w:pPr>
            <w:r>
              <w:rPr>
                <w:color w:val="1a1a2e"/>
                <w:sz w:val="20"/>
              </w:rPr>
              <w:t>US Statement: Phase I verification completes itself. Deeper limits on enrichment and missiles now sit on the table. Nothing enters Phase II unless we agree. Iran earns the benefits released.</w:t>
            </w:r>
          </w:p>
        </w:tc>
        <w:tc>
          <w:tcPr>
            <w:tcW w:w="4500" w:type="dxa"/>
            <w:shd w:val="clear" w:fill="e8f5e8"/>
          </w:tcPr>
          <w:p>
            <w:pPr>
              <w:spacing w:before="80" w:after="80"/>
            </w:pPr>
            <w:r>
              <w:rPr>
                <w:color w:val="1a1a2e"/>
                <w:sz w:val="20"/>
              </w:rPr>
              <w:t>Iranian Statement: Phase II constitutes a new negotiation. Our NPT rights remain. No automatic rollover of Phase I terms exists. We enter from a position of strength.</w:t>
            </w:r>
          </w:p>
        </w:tc>
      </w:tr>
      <w:tr>
        <w:tc>
          <w:tcPr>
            <w:tcW w:w="9000" w:type="dxa"/>
            <w:gridSpan w:val="2"/>
            <w:shd w:val="clear" w:fill="f5f5f5"/>
          </w:tcPr>
          <w:p>
            <w:pPr>
              <w:spacing w:before="60" w:after="60"/>
              <w:jc w:val="center"/>
            </w:pPr>
            <w:r>
              <w:rPr>
                <w:i/>
                <w:color w:val="7a7a8a"/>
                <w:sz w:val="16"/>
              </w:rPr>
              <w:t>Source: MOU Article 11.2; Part B; Article 17</w:t>
            </w:r>
          </w:p>
        </w:tc>
      </w:tr>
    </w:tbl>
    <w:p>
      <w:pPr>
        <w:pStyle w:val="Heading2"/>
      </w:pPr>
      <w:r>
        <w:t>At a Verified Breach (If It Occurs)</w:t>
      </w:r>
    </w:p>
    <w:tbl>
      <w:tblPr>
        <w:tblW w:w="5000" w:type="pct"/>
        <w:tblBorders>
          <w:top w:val="single" w:color="d0d0d8" w:sz="8"/>
          <w:left w:val="single" w:color="d0d0d8" w:sz="8"/>
          <w:bottom w:val="single" w:color="d0d0d8" w:sz="8"/>
          <w:right w:val="single" w:color="d0d0d8" w:sz="8"/>
          <w:insideV w:val="single" w:color="d0d0d8" w:sz="4"/>
        </w:tblBorders>
      </w:tblPr>
      <w:tblGrid>
        <w:gridCol w:w="4500"/>
        <w:gridCol w:w="4500"/>
      </w:tblGrid>
      <w:tr>
        <w:tc>
          <w:tcPr>
            <w:tcW w:w="4500" w:type="dxa"/>
            <w:shd w:val="clear" w:fill="e8f0f8"/>
          </w:tcPr>
          <w:p>
            <w:pPr>
              <w:spacing w:before="80" w:after="80"/>
              <w:jc w:val="center"/>
            </w:pPr>
            <w:r>
              <w:rPr>
                <w:b/>
                <w:color w:val="1a5276"/>
                <w:sz w:val="20"/>
              </w:rPr>
              <w:t>US PERSPECTIVE</w:t>
            </w:r>
          </w:p>
        </w:tc>
        <w:tc>
          <w:tcPr>
            <w:tcW w:w="4500" w:type="dxa"/>
            <w:shd w:val="clear" w:fill="e8f5e8"/>
          </w:tcPr>
          <w:p>
            <w:pPr>
              <w:spacing w:before="80" w:after="80"/>
              <w:jc w:val="center"/>
            </w:pPr>
            <w:r>
              <w:rPr>
                <w:b/>
                <w:color w:val="1e6b3a"/>
                <w:sz w:val="20"/>
              </w:rPr>
              <w:t>IRANIAN PERSPECTIVE</w:t>
            </w:r>
          </w:p>
        </w:tc>
      </w:tr>
      <w:tr>
        <w:tc>
          <w:tcPr>
            <w:tcW w:w="4500" w:type="dxa"/>
            <w:shd w:val="clear" w:fill="e8f0f8"/>
          </w:tcPr>
          <w:p>
            <w:pPr>
              <w:spacing w:before="80" w:after="80"/>
            </w:pPr>
            <w:r>
              <w:rPr>
                <w:color w:val="1a1a2e"/>
                <w:sz w:val="20"/>
              </w:rPr>
              <w:t>US Statement: The Shared Digital Registry confirms a violation. Under Annex T, this triggers proportional stepback -- not termination. The path to earnback stays open. Even a material breach fixed within a week faces only a 10% reduction.</w:t>
            </w:r>
          </w:p>
        </w:tc>
        <w:tc>
          <w:tcPr>
            <w:tcW w:w="4500" w:type="dxa"/>
            <w:shd w:val="clear" w:fill="e8f5e8"/>
          </w:tcPr>
          <w:p>
            <w:pPr>
              <w:spacing w:before="80" w:after="80"/>
            </w:pPr>
            <w:r>
              <w:rPr>
                <w:color w:val="1a1a2e"/>
                <w:sz w:val="20"/>
              </w:rPr>
              <w:t>Iranian Statement: The verification architecture documents the violation. The stepback mechanism pauses reciprocal benefits until the issue is corrected. This does not constitute collapse -- the system works as designed. Short-duration violations do not trigger full penalties.</w:t>
            </w:r>
          </w:p>
        </w:tc>
      </w:tr>
      <w:tr>
        <w:tc>
          <w:tcPr>
            <w:tcW w:w="9000" w:type="dxa"/>
            <w:gridSpan w:val="2"/>
            <w:shd w:val="clear" w:fill="f5f5f5"/>
          </w:tcPr>
          <w:p>
            <w:pPr>
              <w:spacing w:before="60" w:after="60"/>
              <w:jc w:val="center"/>
            </w:pPr>
            <w:r>
              <w:rPr>
                <w:i/>
                <w:color w:val="7a7a8a"/>
                <w:sz w:val="16"/>
              </w:rPr>
              <w:t>Source: Annex T, Articles II-III; MOU Article 7.3</w:t>
            </w:r>
          </w:p>
        </w:tc>
      </w:tr>
    </w:tbl>
    <w:p>
      <w:pPr>
        <w:pageBreakBefore/>
      </w:pPr>
    </w:p>
    <w:p>
      <w:pPr>
        <w:pStyle w:val="Heading1"/>
      </w:pPr>
      <w:r>
        <w:t>Part IV: Response Frames for Provocative Questions</w:t>
      </w:r>
      <w:bookmarkStart w:name="_Toc019" w:id="20"/>
      <w:bookmarkEnd w:id="20"/>
    </w:p>
    <w:p>
      <w:r>
        <w:t>When confronted with hostile questions or trap framing, spokespersons use these pre-approved response frames. Do not improvise. Cite the text. Reject false premises.</w:t>
      </w:r>
    </w:p>
    <w:p>
      <w:pPr>
        <w:pStyle w:val="Heading2"/>
      </w:pPr>
      <w:r>
        <w:t>If Asked: Did Iran Surrender Its Nuclear Program?</w:t>
      </w:r>
    </w:p>
    <w:p>
      <w:pPr>
        <w:pStyle w:val="USQuote"/>
      </w:pPr>
      <w:r>
        <w:t>No. Iran placed its HEU stockpile under IAEA dual-key custody per Article 1.1 -- a verification step, not surrender. Legal title stays with the Central Bank of Iran. Iran retains sovereign control over four of six disposition pathways. Final disposition defers to negotiation.</w:t>
      </w:r>
    </w:p>
    <w:p>
      <w:pPr>
        <w:spacing w:before="40" w:after="240"/>
        <w:ind w:left="480"/>
      </w:pPr>
      <w:r>
        <w:rPr>
          <w:i/>
          <w:color w:val="7a7a8a"/>
          <w:sz w:val="18"/>
        </w:rPr>
        <w:t>Source: MOU Article 1.1; Article 1.3; Article 1.5; Article 3.2</w:t>
      </w:r>
    </w:p>
    <w:p>
      <w:pPr>
        <w:pStyle w:val="Heading2"/>
      </w:pPr>
      <w:r>
        <w:t>If Asked: Does the US Control Iran's Nuclear Program Now?</w:t>
      </w:r>
    </w:p>
    <w:p>
      <w:pPr>
        <w:pStyle w:val="IranQuote"/>
      </w:pPr>
      <w:r>
        <w:t>No. The IAEA holds physical custody for verification purposes only. Iran retains sovereign legal title. The US exercises no operational control and no veto over our chosen in-country pathways. The IAEA is the custodian, not the United States.</w:t>
      </w:r>
    </w:p>
    <w:p>
      <w:pPr>
        <w:spacing w:before="40" w:after="240"/>
        <w:ind w:left="480"/>
      </w:pPr>
      <w:r>
        <w:rPr>
          <w:i/>
          <w:color w:val="7a7a8a"/>
          <w:sz w:val="18"/>
        </w:rPr>
        <w:t>Source: MOU Article 1.1; Article 1.3; Article 1.9; Article 3.5</w:t>
      </w:r>
    </w:p>
    <w:p>
      <w:pPr>
        <w:pStyle w:val="Heading2"/>
      </w:pPr>
      <w:r>
        <w:t>If Asked: Did the US Lift All Sanctions?</w:t>
      </w:r>
    </w:p>
    <w:p>
      <w:pPr>
        <w:pStyle w:val="USQuote"/>
      </w:pPr>
      <w:r>
        <w:t>Nuclear-related sanctions are frozen conditionally. Non-nuclear terrorism and human rights sanctions remain fully enforceable. The framework reverses any relief upon breach. This is targeted relief for verified nuclear compliance, not a blanket lifting.</w:t>
      </w:r>
    </w:p>
    <w:p>
      <w:pPr>
        <w:spacing w:before="40" w:after="240"/>
        <w:ind w:left="480"/>
      </w:pPr>
      <w:r>
        <w:rPr>
          <w:i/>
          <w:color w:val="7a7a8a"/>
          <w:sz w:val="18"/>
        </w:rPr>
        <w:t>Source: MOU Article 5.5; Article 7; Annex T, Article II</w:t>
      </w:r>
    </w:p>
    <w:p>
      <w:pPr>
        <w:pStyle w:val="Heading2"/>
      </w:pPr>
      <w:r>
        <w:t>If Asked: Did Iran Accept Unlimited Inspections?</w:t>
      </w:r>
    </w:p>
    <w:p>
      <w:pPr>
        <w:pStyle w:val="IranQuote"/>
      </w:pPr>
      <w:r>
        <w:t>IAEA access covers declared sites with agreed protocols. The Additional Protocol applies on a voluntary basis. No unlimited inspections exist. Every access right is bounded by the Annex O framework and operates under Iranian sovereignty.</w:t>
      </w:r>
    </w:p>
    <w:p>
      <w:pPr>
        <w:spacing w:before="40" w:after="240"/>
        <w:ind w:left="480"/>
      </w:pPr>
      <w:r>
        <w:rPr>
          <w:i/>
          <w:color w:val="7a7a8a"/>
          <w:sz w:val="18"/>
        </w:rPr>
        <w:t>Source: Annex O; MOU Article 3.2; Article 3.5</w:t>
      </w:r>
    </w:p>
    <w:p>
      <w:pPr>
        <w:pStyle w:val="Heading2"/>
      </w:pPr>
      <w:r>
        <w:t>If Asked: Is This Just Another JCPOA?</w:t>
      </w:r>
    </w:p>
    <w:p>
      <w:pPr>
        <w:pStyle w:val="USQuote"/>
      </w:pPr>
      <w:r>
        <w:t>This is fundamentally different. No cash moves on Day 1. Every benefit is escrow-held and reversible. The stepback mechanism replaces the old snapback. Iran's material stays under joint lock, not Iranian control. Dual-key custody, continuous monitoring, and automatic penalties create enforcement that did not exist before.</w:t>
      </w:r>
    </w:p>
    <w:p>
      <w:pPr>
        <w:spacing w:before="40" w:after="240"/>
        <w:ind w:left="480"/>
      </w:pPr>
      <w:r>
        <w:rPr>
          <w:i/>
          <w:color w:val="7a7a8a"/>
          <w:sz w:val="18"/>
        </w:rPr>
        <w:t>Source: MOU Article 1.4; Article 2; Article 7.3; Annex T</w:t>
      </w:r>
    </w:p>
    <w:p>
      <w:pPr>
        <w:pStyle w:val="Heading2"/>
      </w:pPr>
      <w:r>
        <w:t>If Asked: What Happens If Iran Cheats?</w:t>
      </w:r>
    </w:p>
    <w:p>
      <w:pPr>
        <w:pStyle w:val="USQuote"/>
      </w:pPr>
      <w:r>
        <w:t>Cheating costs money immediately. Tier 2 violations trigger graduated benefit reductions proportional to the violation. Tier 3 triggers full escrow freeze. Either party walks on 14 days' notice. The 14-day exit ramp means we are never trapped in a bad deal.</w:t>
      </w:r>
    </w:p>
    <w:p>
      <w:pPr>
        <w:spacing w:before="40" w:after="240"/>
        <w:ind w:left="480"/>
      </w:pPr>
      <w:r>
        <w:rPr>
          <w:i/>
          <w:color w:val="7a7a8a"/>
          <w:sz w:val="18"/>
        </w:rPr>
        <w:t>Source: MOU Article 7.3; Article 8.2; Annex T</w:t>
      </w:r>
    </w:p>
    <w:p>
      <w:pPr>
        <w:pStyle w:val="Heading2"/>
      </w:pPr>
      <w:r>
        <w:t>If Asked: What Happens If the US Reneges?</w:t>
      </w:r>
    </w:p>
    <w:p>
      <w:pPr>
        <w:pStyle w:val="IranQuote"/>
      </w:pPr>
      <w:r>
        <w:t>Iran steps back its own cooperation proportionally. The exit ramp is equally available to us. Humanitarian flows and oil continue regardless. The stepback mechanism protects both parties symmetrically. This is mutual architecture, not one-sided obligation.</w:t>
      </w:r>
    </w:p>
    <w:p>
      <w:pPr>
        <w:spacing w:before="40" w:after="240"/>
        <w:ind w:left="480"/>
      </w:pPr>
      <w:r>
        <w:rPr>
          <w:i/>
          <w:color w:val="7a7a8a"/>
          <w:sz w:val="18"/>
        </w:rPr>
        <w:t>Source: MOU Article 1.4; Article 8.2; Article 8.5; Annex T</w:t>
      </w:r>
    </w:p>
    <w:p>
      <w:pPr>
        <w:pStyle w:val="Heading2"/>
      </w:pPr>
      <w:r>
        <w:t>If Asked: Did Iran Recognize Israel?</w:t>
      </w:r>
    </w:p>
    <w:p>
      <w:pPr>
        <w:pStyle w:val="IranQuote"/>
      </w:pPr>
      <w:r>
        <w:t>Absolutely not. Nothing in this agreement constitutes recognition of Israel. We remain a non-participating observer to Annex NORM. The non-impediment clause is exactly that -- we do not obstruct others' sovereign decisions. We make none for them.</w:t>
      </w:r>
    </w:p>
    <w:p>
      <w:pPr>
        <w:spacing w:before="40" w:after="240"/>
        <w:ind w:left="480"/>
      </w:pPr>
      <w:r>
        <w:rPr>
          <w:i/>
          <w:color w:val="7a7a8a"/>
          <w:sz w:val="18"/>
        </w:rPr>
        <w:t>Source: MOU Article 13.1; Annex NORM, Article 2.3; Article 5.2</w:t>
      </w:r>
    </w:p>
    <w:p>
      <w:pPr>
        <w:pStyle w:val="Heading2"/>
      </w:pPr>
      <w:r>
        <w:t>If Asked: Why Should We Trust Iran?</w:t>
      </w:r>
    </w:p>
    <w:p>
      <w:pPr>
        <w:pStyle w:val="USQuote"/>
      </w:pPr>
      <w:r>
        <w:t>We do not trust. We verify. The framework runs on sensors, not trust. Continuous IAEA monitoring, dual-key custody, real-time telemetry, and automated breach detection remove the need for trust. The sensors tell us what we need to know.</w:t>
      </w:r>
    </w:p>
    <w:p>
      <w:pPr>
        <w:spacing w:before="40" w:after="240"/>
        <w:ind w:left="480"/>
      </w:pPr>
      <w:r>
        <w:rPr>
          <w:i/>
          <w:color w:val="7a7a8a"/>
          <w:sz w:val="18"/>
        </w:rPr>
        <w:t>Source: MOU Article 7.1; Article 7.5; Annex O; Annex Y</w:t>
      </w:r>
    </w:p>
    <w:p>
      <w:pPr>
        <w:pStyle w:val="Heading2"/>
      </w:pPr>
      <w:r>
        <w:t>If Asked: Why Deal With the Great Satan?</w:t>
      </w:r>
    </w:p>
    <w:p>
      <w:pPr>
        <w:pStyle w:val="IranQuote"/>
      </w:pPr>
      <w:r>
        <w:t>We deal because the framework preserves our rights, lifts the siege, and maintains our dignity. Every provision protects Iranian sovereignty. The Supreme Leader's red line -- that material not leave Iran -- is respected. We negotiated from strength, not weakness.</w:t>
      </w:r>
    </w:p>
    <w:p>
      <w:pPr>
        <w:spacing w:before="40" w:after="240"/>
        <w:ind w:left="480"/>
      </w:pPr>
      <w:r>
        <w:rPr>
          <w:i/>
          <w:color w:val="7a7a8a"/>
          <w:sz w:val="18"/>
        </w:rPr>
        <w:t>Source: MOU Preamble; Article 1.7; Article 1.9; Article 3.2</w:t>
      </w:r>
    </w:p>
    <w:p>
      <w:pPr>
        <w:pageBreakBefore/>
      </w:pPr>
    </w:p>
    <w:p>
      <w:pPr>
        <w:pStyle w:val="Heading1"/>
      </w:pPr>
      <w:r>
        <w:t>Part V: Anchor Lines &amp; Closing Statements</w:t>
      </w:r>
      <w:bookmarkStart w:name="_Toc020" w:id="21"/>
      <w:bookmarkEnd w:id="21"/>
    </w:p>
    <w:p>
      <w:r>
        <w:t>Anchor lines are recurring beats -- dropped after key points, used to transition between topics, repeated when fundamental architecture is challenged. Use 2-3 per press conference.</w:t>
      </w:r>
    </w:p>
    <w:p>
      <w:pPr>
        <w:pStyle w:val="Heading2"/>
      </w:pPr>
      <w:r>
        <w:t>US Anchor Lines</w:t>
      </w:r>
    </w:p>
    <w:p>
      <w:pPr>
        <w:spacing w:before="80" w:after="80"/>
        <w:ind w:left="720" w:hanging="360"/>
      </w:pPr>
      <w:r>
        <w:rPr>
          <w:color w:val="1a5276"/>
          <w:sz w:val="22"/>
        </w:rPr>
        <w:t>•  </w:t>
      </w:r>
      <w:r>
        <w:rPr>
          <w:i/>
          <w:color w:val="1a5276"/>
          <w:sz w:val="22"/>
        </w:rPr>
        <w:t>Iran performs. The US responds. That is reciprocity.</w:t>
      </w:r>
    </w:p>
    <w:p>
      <w:pPr>
        <w:spacing w:before="80" w:after="80"/>
        <w:ind w:left="720" w:hanging="360"/>
      </w:pPr>
      <w:r>
        <w:rPr>
          <w:color w:val="1a5276"/>
          <w:sz w:val="22"/>
        </w:rPr>
        <w:t>•  </w:t>
      </w:r>
      <w:r>
        <w:rPr>
          <w:i/>
          <w:color w:val="1a5276"/>
          <w:sz w:val="22"/>
        </w:rPr>
        <w:t>This deal runs on sensors, not trust.</w:t>
      </w:r>
    </w:p>
    <w:p>
      <w:pPr>
        <w:spacing w:before="80" w:after="80"/>
        <w:ind w:left="720" w:hanging="360"/>
      </w:pPr>
      <w:r>
        <w:rPr>
          <w:color w:val="1a5276"/>
          <w:sz w:val="22"/>
        </w:rPr>
        <w:t>•  </w:t>
      </w:r>
      <w:r>
        <w:rPr>
          <w:i/>
          <w:color w:val="1a5276"/>
          <w:sz w:val="22"/>
        </w:rPr>
        <w:t>No front-loading enters this deal. No free lunches exist.</w:t>
      </w:r>
    </w:p>
    <w:p>
      <w:pPr>
        <w:spacing w:before="80" w:after="80"/>
        <w:ind w:left="720" w:hanging="360"/>
      </w:pPr>
      <w:r>
        <w:rPr>
          <w:color w:val="1a5276"/>
          <w:sz w:val="22"/>
        </w:rPr>
        <w:t>•  </w:t>
      </w:r>
      <w:r>
        <w:rPr>
          <w:i/>
          <w:color w:val="1a5276"/>
          <w:sz w:val="22"/>
        </w:rPr>
        <w:t>Stepback is temporary. Snapback does not exist in this agreement.</w:t>
      </w:r>
    </w:p>
    <w:p>
      <w:pPr>
        <w:spacing w:before="80" w:after="80"/>
        <w:ind w:left="720" w:hanging="360"/>
      </w:pPr>
      <w:r>
        <w:rPr>
          <w:color w:val="1a5276"/>
          <w:sz w:val="22"/>
        </w:rPr>
        <w:t>•  </w:t>
      </w:r>
      <w:r>
        <w:rPr>
          <w:i/>
          <w:color w:val="1a5276"/>
          <w:sz w:val="22"/>
        </w:rPr>
        <w:t>The sensors tell us. We do not need to trust.</w:t>
      </w:r>
    </w:p>
    <w:p>
      <w:pPr>
        <w:spacing w:before="80" w:after="80"/>
        <w:ind w:left="720" w:hanging="360"/>
      </w:pPr>
      <w:r>
        <w:rPr>
          <w:color w:val="1a5276"/>
          <w:sz w:val="22"/>
        </w:rPr>
        <w:t>•  </w:t>
      </w:r>
      <w:r>
        <w:rPr>
          <w:i/>
          <w:color w:val="1a5276"/>
          <w:sz w:val="22"/>
        </w:rPr>
        <w:t>Every dollar of relief is earned, not given.</w:t>
      </w:r>
    </w:p>
    <w:p>
      <w:pPr>
        <w:spacing w:before="80" w:after="80"/>
        <w:ind w:left="720" w:hanging="360"/>
      </w:pPr>
      <w:r>
        <w:rPr>
          <w:color w:val="1a5276"/>
          <w:sz w:val="22"/>
        </w:rPr>
        <w:t>•  </w:t>
      </w:r>
      <w:r>
        <w:rPr>
          <w:i/>
          <w:color w:val="1a5276"/>
          <w:sz w:val="22"/>
        </w:rPr>
        <w:t>No sunset exists. Compliance keeps the deal alive.</w:t>
      </w:r>
    </w:p>
    <w:p>
      <w:pPr>
        <w:pStyle w:val="Heading2"/>
      </w:pPr>
      <w:r>
        <w:t>Iranian Anchor Lines</w:t>
      </w:r>
    </w:p>
    <w:p>
      <w:pPr>
        <w:spacing w:before="80" w:after="80"/>
        <w:ind w:left="720" w:hanging="360"/>
      </w:pPr>
      <w:r>
        <w:rPr>
          <w:color w:val="1e6b3a"/>
          <w:sz w:val="22"/>
        </w:rPr>
        <w:t>•  </w:t>
      </w:r>
      <w:r>
        <w:rPr>
          <w:i/>
          <w:color w:val="1e6b3a"/>
          <w:sz w:val="22"/>
        </w:rPr>
        <w:t>The US lifts pressure. We keep our sovereignty. That is reciprocity.</w:t>
      </w:r>
    </w:p>
    <w:p>
      <w:pPr>
        <w:spacing w:before="80" w:after="80"/>
        <w:ind w:left="720" w:hanging="360"/>
      </w:pPr>
      <w:r>
        <w:rPr>
          <w:color w:val="1e6b3a"/>
          <w:sz w:val="22"/>
        </w:rPr>
        <w:t>•  </w:t>
      </w:r>
      <w:r>
        <w:rPr>
          <w:i/>
          <w:color w:val="1e6b3a"/>
          <w:sz w:val="22"/>
        </w:rPr>
        <w:t>Verification is a tool, not a surrender.</w:t>
      </w:r>
    </w:p>
    <w:p>
      <w:pPr>
        <w:spacing w:before="80" w:after="80"/>
        <w:ind w:left="720" w:hanging="360"/>
      </w:pPr>
      <w:r>
        <w:rPr>
          <w:color w:val="1e6b3a"/>
          <w:sz w:val="22"/>
        </w:rPr>
        <w:t>•  </w:t>
      </w:r>
      <w:r>
        <w:rPr>
          <w:i/>
          <w:color w:val="1e6b3a"/>
          <w:sz w:val="22"/>
        </w:rPr>
        <w:t>The framework gives nothing away. Everything earns its place.</w:t>
      </w:r>
    </w:p>
    <w:p>
      <w:pPr>
        <w:spacing w:before="80" w:after="80"/>
        <w:ind w:left="720" w:hanging="360"/>
      </w:pPr>
      <w:r>
        <w:rPr>
          <w:color w:val="1e6b3a"/>
          <w:sz w:val="22"/>
        </w:rPr>
        <w:t>•  </w:t>
      </w:r>
      <w:r>
        <w:rPr>
          <w:i/>
          <w:color w:val="1e6b3a"/>
          <w:sz w:val="22"/>
        </w:rPr>
        <w:t>Penalties are proportional. Nothing is permanent unless we fail to perform.</w:t>
      </w:r>
    </w:p>
    <w:p>
      <w:pPr>
        <w:spacing w:before="80" w:after="80"/>
        <w:ind w:left="720" w:hanging="360"/>
      </w:pPr>
      <w:r>
        <w:rPr>
          <w:color w:val="1e6b3a"/>
          <w:sz w:val="22"/>
        </w:rPr>
        <w:t>•  </w:t>
      </w:r>
      <w:r>
        <w:rPr>
          <w:i/>
          <w:color w:val="1e6b3a"/>
          <w:sz w:val="22"/>
        </w:rPr>
        <w:t>Our sovereignty is preserved. Our rights are intact. Our future is in our own hands.</w:t>
      </w:r>
    </w:p>
    <w:p>
      <w:pPr>
        <w:spacing w:before="80" w:after="80"/>
        <w:ind w:left="720" w:hanging="360"/>
      </w:pPr>
      <w:r>
        <w:rPr>
          <w:color w:val="1e6b3a"/>
          <w:sz w:val="22"/>
        </w:rPr>
        <w:t>•  </w:t>
      </w:r>
      <w:r>
        <w:rPr>
          <w:i/>
          <w:color w:val="1e6b3a"/>
          <w:sz w:val="22"/>
        </w:rPr>
        <w:t>No foreign soldier sets foot in our nuclear facilities. No foreign power holds title to our material.</w:t>
      </w:r>
    </w:p>
    <w:p>
      <w:pPr>
        <w:spacing w:before="80" w:after="80"/>
        <w:ind w:left="720" w:hanging="360"/>
      </w:pPr>
      <w:r>
        <w:rPr>
          <w:color w:val="1e6b3a"/>
          <w:sz w:val="22"/>
        </w:rPr>
        <w:t>•  </w:t>
      </w:r>
      <w:r>
        <w:rPr>
          <w:i/>
          <w:color w:val="1e6b3a"/>
          <w:sz w:val="22"/>
        </w:rPr>
        <w:t>We enter Phase II from a position of strength, with our full rights on the table.</w:t>
      </w:r>
    </w:p>
    <w:p>
      <w:pPr>
        <w:pStyle w:val="Heading2"/>
      </w:pPr>
      <w:r>
        <w:t>Closing Lines</w:t>
      </w:r>
    </w:p>
    <w:p>
      <w:r>
        <w:t>Use these as final statements in any press conference or public appearance:</w:t>
      </w:r>
    </w:p>
    <w:p>
      <w:pPr>
        <w:pStyle w:val="Heading3"/>
      </w:pPr>
      <w:r>
        <w:t>US Closing Line</w:t>
      </w:r>
    </w:p>
    <w:p>
      <w:pPr>
        <w:pStyle w:val="USQuote"/>
      </w:pPr>
      <w:r>
        <w:t>This deal does not run on trust. It runs on sensors.</w:t>
      </w:r>
    </w:p>
    <w:p>
      <w:pPr>
        <w:pStyle w:val="Heading3"/>
      </w:pPr>
      <w:r>
        <w:t>Iranian Closing Line</w:t>
      </w:r>
    </w:p>
    <w:p>
      <w:pPr>
        <w:pStyle w:val="IranQuote"/>
      </w:pPr>
      <w:r>
        <w:t>Our sovereignty is preserved. Our rights are intact. Our future is in our own hands.</w:t>
      </w:r>
    </w:p>
    <w:p>
      <w:pPr>
        <w:pStyle w:val="Heading2"/>
      </w:pPr>
      <w:r>
        <w:t>Mediator Neutral Frame</w:t>
      </w:r>
    </w:p>
    <w:p>
      <w:r>
        <w:t>When Oman, Pakistan, Switzerland, or the JIG speaks publicly, use this neutral frame:</w:t>
      </w:r>
    </w:p>
    <w:p>
      <w:pPr>
        <w:pBdr>
          <w:left w:val="single" w:color="4a4a5a" w:sz="12"/>
        </w:pBdr>
        <w:spacing w:before="120" w:after="120"/>
        <w:ind w:left="480" w:right="480"/>
      </w:pPr>
      <w:r>
        <w:rPr>
          <w:i/>
          <w:color w:val="4a4a5a"/>
          <w:sz w:val="22"/>
        </w:rPr>
        <w:t>The Accord provides reciprocal, verified steps. Neither side moves alone. Sensors, escrow confirmations, and physical locks measure compliance -- not whose narrative speaks louder. Both capitals defend the sequencing as responding only when the other moves first or simultaneously.</w:t>
      </w:r>
    </w:p>
    <w:p>
      <w:pPr>
        <w:sectPr>
          <w:headerReference w:type="default" r:id="R5e31b53afc1841f2"/>
          <w:footerReference w:type="default" r:id="R9098738aa415444c"/>
          <w:pgSz w:w="11906" w:h="16838"/>
          <w:pgMar w:top="144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3bac73cb0ff645d0"/>
                    <a:stretch>
                      <a:fillRect/>
                    </a:stretch>
                  </pic:blipFill>
                  <pic:spPr>
                    <a:xfrm>
                      <a:off x="0" y="0"/>
                      <a:ext cx="7560000" cy="10692000"/>
                    </a:xfrm>
                    <a:prstGeom prst="rect"/>
                  </pic:spPr>
                </pic:pic>
              </a:graphicData>
            </a:graphic>
          </wp:anchor>
        </w:drawing>
      </w:r>
    </w:p>
    <w:p>
      <w:pPr>
        <w:spacing w:before="6000"/>
      </w:pPr>
      <w:r/>
    </w:p>
    <w:p>
      <w:pPr>
        <w:spacing w:after="200"/>
        <w:jc w:val="center"/>
      </w:pPr>
      <w:r>
        <w:rPr>
          <w:b/>
          <w:color w:val="c9a84c"/>
          <w:sz w:val="48"/>
        </w:rPr>
        <w:t>The Core Principle</w:t>
      </w:r>
    </w:p>
    <w:p>
      <w:pPr>
        <w:spacing w:after="600"/>
        <w:ind w:left="1600" w:right="1600"/>
        <w:jc w:val="center"/>
      </w:pPr>
      <w:r>
        <w:rPr>
          <w:i/>
          <w:color w:val="cccccc"/>
          <w:sz w:val="24"/>
        </w:rPr>
        <w:t>The same text allows both sides to claim victory.</w:t>
      </w:r>
    </w:p>
    <w:p>
      <w:pPr>
        <w:spacing w:after="200"/>
        <w:jc w:val="center"/>
      </w:pPr>
      <w:r>
        <w:rPr>
          <w:color w:val="999999"/>
          <w:sz w:val="20"/>
        </w:rPr>
        <w:t>Narrative Political Package  |  PEACE MOU v7.0</w:t>
      </w:r>
    </w:p>
    <w:p>
      <w:pPr>
        <w:jc w:val="center"/>
      </w:pPr>
      <w:r>
        <w:rPr>
          <w:color w:val="777777"/>
          <w:sz w:val="18"/>
        </w:rPr>
        <w:t>Internal Coordination Document  |  Not for Public Distribution</w:t>
      </w:r>
    </w:p>
    <w:p>
      <w:pPr>
        <w:sectPr>
          <w:pgSz w:w="11906" w:h="16838"/>
          <w:pgMar w:top="0" w:right="0" w:bottom="0" w:left="0" w:header="0" w:footer="0"/>
        </w:sectPr>
      </w:pPr>
    </w:p>
  </w:body>
</w:document>
</file>

<file path=word/footer1.xml><?xml version="1.0" encoding="utf-8"?>
<w:ftr xmlns:w="http://schemas.openxmlformats.org/wordprocessingml/2006/main">
  <w:p>
    <w:pPr>
      <w:jc w:val="center"/>
    </w:pPr>
    <w:r>
      <w:rPr>
        <w:color w:val="7a7a8a"/>
        <w:sz w:val="18"/>
      </w:rPr>
      <w:fldChar w:fldCharType="begin"/>
    </w:r>
    <w:r>
      <w:rPr>
        <w:color w:val="7a7a8a"/>
        <w:sz w:val="18"/>
      </w:rPr>
      <w:instrText xml:space="preserve"> PAGE </w:instrText>
    </w:r>
    <w:r>
      <w:rPr>
        <w:color w:val="7a7a8a"/>
        <w:sz w:val="18"/>
      </w:rPr>
      <w:fldChar w:fldCharType="separate"/>
    </w:r>
    <w:r>
      <w:rPr>
        <w:color w:val="7a7a8a"/>
        <w:sz w:val="18"/>
      </w:rPr>
      <w:t>1</w:t>
    </w:r>
    <w:r>
      <w:rPr>
        <w:color w:val="7a7a8a"/>
        <w:sz w:val="18"/>
      </w:rPr>
      <w:fldChar w:fldCharType="end"/>
    </w:r>
  </w:p>
</w:ftr>
</file>

<file path=word/header1.xml><?xml version="1.0" encoding="utf-8"?>
<w:hdr xmlns:w="http://schemas.openxmlformats.org/wordprocessingml/2006/main">
  <w:p>
    <w:pPr>
      <w:jc w:val="right"/>
    </w:pPr>
    <w:r>
      <w:rPr>
        <w:color w:val="7a7a8a"/>
        <w:sz w:val="18"/>
      </w:rPr>
      <w:t>Narrative Political Package | PEACE MOU | Confidential</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80" w:line="288" w:lineRule="auto"/>
    </w:pPr>
    <w:rPr>
      <w:rFonts w:ascii="Calibri" w:hAnsi="Calibri" w:eastAsia="Microsoft YaHei"/>
      <w:color w:val="1a1a2e"/>
      <w:sz w:val="22"/>
    </w:rPr>
  </w:style>
  <w:style w:type="paragraph" w:styleId="Heading1">
    <w:name w:val="heading 1"/>
    <w:basedOn w:val="Normal"/>
    <w:pPr>
      <w:keepNext/>
      <w:keepLines/>
      <w:spacing w:before="480" w:after="200"/>
      <w:outlineLvl w:val="0"/>
    </w:pPr>
    <w:rPr>
      <w:rFonts w:ascii="Calibri" w:hAnsi="Calibri" w:eastAsia="Microsoft YaHei"/>
      <w:b/>
      <w:color w:val="1a3a5c"/>
      <w:sz w:val="40"/>
    </w:rPr>
  </w:style>
  <w:style w:type="paragraph" w:styleId="Heading2">
    <w:name w:val="heading 2"/>
    <w:basedOn w:val="Normal"/>
    <w:pPr>
      <w:keepNext/>
      <w:keepLines/>
      <w:spacing w:before="360" w:after="160"/>
      <w:outlineLvl w:val="1"/>
    </w:pPr>
    <w:rPr>
      <w:rFonts w:ascii="Calibri" w:hAnsi="Calibri" w:eastAsia="Microsoft YaHei"/>
      <w:b/>
      <w:color w:val="1a5276"/>
      <w:sz w:val="30"/>
    </w:rPr>
  </w:style>
  <w:style w:type="paragraph" w:styleId="Heading3">
    <w:name w:val="heading 3"/>
    <w:basedOn w:val="Normal"/>
    <w:pPr>
      <w:keepNext/>
      <w:keepLines/>
      <w:spacing w:before="280" w:after="120"/>
      <w:outlineLvl w:val="2"/>
    </w:pPr>
    <w:rPr>
      <w:rFonts w:ascii="Calibri" w:hAnsi="Calibri" w:eastAsia="Microsoft YaHei"/>
      <w:b/>
      <w:color w:val="4a4a5a"/>
      <w:sz w:val="26"/>
    </w:rPr>
  </w:style>
  <w:style w:type="paragraph" w:styleId="USQuote">
    <w:name w:val="USQuote"/>
    <w:basedOn w:val="Normal"/>
    <w:pPr>
      <w:pBdr>
        <w:left w:val="single" w:color="1a5276" w:sz="18"/>
      </w:pBdr>
      <w:spacing w:before="120" w:after="120"/>
      <w:ind w:left="480" w:right="480"/>
    </w:pPr>
    <w:rPr>
      <w:i/>
      <w:color w:val="1a5276"/>
      <w:sz w:val="22"/>
    </w:rPr>
  </w:style>
  <w:style w:type="paragraph" w:styleId="IranQuote">
    <w:name w:val="IranQuote"/>
    <w:basedOn w:val="Normal"/>
    <w:pPr>
      <w:pBdr>
        <w:left w:val="single" w:color="1e6b3a" w:sz="18"/>
      </w:pBdr>
      <w:spacing w:before="120" w:after="120"/>
      <w:ind w:left="480" w:right="480"/>
    </w:pPr>
    <w:rPr>
      <w:i/>
      <w:color w:val="1e6b3a"/>
      <w:sz w:val="22"/>
    </w:rPr>
  </w:style>
  <w:style w:type="paragraph" w:styleId="Caption">
    <w:name w:val="Caption"/>
    <w:basedOn w:val="Normal"/>
    <w:pPr>
      <w:spacing w:before="60" w:after="240"/>
      <w:jc w:val="center"/>
    </w:pPr>
    <w:rPr>
      <w:color w:val="7a7a8a"/>
      <w:sz w:val="18"/>
    </w:rPr>
  </w:style>
  <w:style w:type="paragraph" w:styleId="TOC1">
    <w:name w:val="toc 1"/>
    <w:basedOn w:val="Normal"/>
    <w:pPr>
      <w:tabs>
        <w:tab w:val="right" w:leader="dot" w:pos="9350"/>
      </w:tabs>
      <w:spacing w:before="200" w:after="60"/>
      <w:ind w:left="0"/>
    </w:pPr>
    <w:rPr>
      <w:b/>
      <w:color w:val="1a1a2e"/>
    </w:rPr>
  </w:style>
  <w:style w:type="paragraph" w:styleId="TOC2">
    <w:name w:val="toc 2"/>
    <w:basedOn w:val="Normal"/>
    <w:pPr>
      <w:tabs>
        <w:tab w:val="right" w:leader="dot" w:pos="9350"/>
      </w:tabs>
      <w:spacing w:before="60" w:after="60"/>
      <w:ind w:left="360"/>
    </w:pPr>
    <w:rPr>
      <w:color w:val="4a4a5a"/>
    </w:rPr>
  </w:style>
  <w:style w:type="paragraph" w:styleId="TOC3">
    <w:name w:val="toc 3"/>
    <w:basedOn w:val="Normal"/>
    <w:pPr>
      <w:tabs>
        <w:tab w:val="right" w:leader="dot" w:pos="9350"/>
      </w:tabs>
      <w:spacing w:before="40" w:after="60"/>
      <w:ind w:left="720"/>
    </w:pPr>
    <w:rPr>
      <w:color w:val="4a4a5a"/>
    </w:rPr>
  </w:style>
</w:styles>
</file>

<file path=word/_rels/document.xml.rels><?xml version='1.0' encoding='UTF-8'?>
<Relationships xmlns="http://schemas.openxmlformats.org/package/2006/relationships"><Relationship Type="http://schemas.openxmlformats.org/officeDocument/2006/relationships/styles" Target="styles.xml" Id="R553716f490f74a3e" /><Relationship Type="http://schemas.openxmlformats.org/officeDocument/2006/relationships/numbering" Target="numbering.xml" Id="R52ac59aa0d7d40fe" /><Relationship Type="http://schemas.openxmlformats.org/officeDocument/2006/relationships/image" Target="media/image.png" Id="R1dc68811fcfe4583" /><Relationship Type="http://schemas.openxmlformats.org/officeDocument/2006/relationships/image" Target="media/image2.png" Id="R3bac73cb0ff645d0" /><Relationship Type="http://schemas.openxmlformats.org/officeDocument/2006/relationships/header" Target="header1.xml" Id="R5e31b53afc1841f2" /><Relationship Type="http://schemas.openxmlformats.org/officeDocument/2006/relationships/footer" Target="footer1.xml" Id="R9098738aa415444c" /><Relationship Type="http://schemas.openxmlformats.org/officeDocument/2006/relationships/settings" Target="settings.xml" Id="Rf512f017d7d9420f" /></Relationships>
</file>