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afcfa96e2f6488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71e76e6852cb4948"/>
                    <a:stretch>
                      <a:fillRect/>
                    </a:stretch>
                  </pic:blipFill>
                  <pic:spPr>
                    <a:xfrm>
                      <a:off x="0" y="0"/>
                      <a:ext cx="7560000" cy="10692000"/>
                    </a:xfrm>
                    <a:prstGeom prst="rect"/>
                  </pic:spPr>
                </pic:pic>
              </a:graphicData>
            </a:graphic>
          </wp:anchor>
        </w:drawing>
      </w:r>
    </w:p>
    <w:p>
      <w:pPr>
        <w:spacing w:before="5500"/>
      </w:pPr>
      <w:r/>
    </w:p>
    <w:p>
      <w:pPr>
        <w:spacing w:after="400"/>
        <w:jc w:val="center"/>
      </w:pPr>
      <w:r>
        <w:rPr>
          <w:color w:val="8a9aa5"/>
          <w:spacing w:val="60"/>
          <w:sz w:val="20"/>
        </w:rPr>
        <w:t>DIPLOMATIC WORKING DOCUMENT</w:t>
      </w:r>
    </w:p>
    <w:p>
      <w:pPr>
        <w:spacing w:after="200"/>
        <w:ind w:left="600" w:right="600"/>
        <w:jc w:val="center"/>
      </w:pPr>
      <w:r>
        <w:rPr>
          <w:b/>
          <w:color w:val="d0e0e8"/>
          <w:spacing w:val="30"/>
          <w:sz w:val="56"/>
        </w:rPr>
        <w:t>Technical Arrangement for</w:t>
      </w:r>
    </w:p>
    <w:p>
      <w:pPr>
        <w:spacing w:after="400"/>
        <w:ind w:left="600" w:right="600"/>
        <w:jc w:val="center"/>
      </w:pPr>
      <w:r>
        <w:rPr>
          <w:b/>
          <w:color w:val="d0e0e8"/>
          <w:spacing w:val="30"/>
          <w:sz w:val="56"/>
        </w:rPr>
        <w:t>Nuclear Material Verification</w:t>
      </w:r>
    </w:p>
    <w:p>
      <w:pPr>
        <w:spacing w:after="600"/>
        <w:jc w:val="center"/>
      </w:pPr>
      <w:r>
        <w:rPr>
          <w:color w:val="9aabbb"/>
          <w:sz w:val="28"/>
        </w:rPr>
        <w:t>and Disposition</w:t>
      </w:r>
    </w:p>
    <w:p>
      <w:pPr>
        <w:spacing w:after="120"/>
        <w:jc w:val="center"/>
      </w:pPr>
      <w:r>
        <w:rPr>
          <w:color w:val="8a9aa5"/>
          <w:sz w:val="22"/>
        </w:rPr>
        <w:t>On-Site Downblending Protocol</w:t>
      </w:r>
    </w:p>
    <w:p>
      <w:pPr>
        <w:spacing w:after="120"/>
        <w:jc w:val="center"/>
      </w:pPr>
      <w:r>
        <w:rPr>
          <w:color w:val="8a9aa5"/>
          <w:sz w:val="22"/>
        </w:rPr>
        <w:t>Issued through the Sultanate of Oman</w:t>
      </w:r>
    </w:p>
    <w:p>
      <w:pPr>
        <w:spacing w:after="2000"/>
        <w:jc w:val="center"/>
      </w:pPr>
      <w:r>
        <w:rPr>
          <w:color w:val="8a9aa5"/>
          <w:sz w:val="22"/>
        </w:rPr>
        <w:t>11 July 2026</w:t>
      </w:r>
    </w:p>
    <w:p>
      <w:pPr>
        <w:jc w:val="center"/>
      </w:pPr>
      <w:r>
        <w:rPr>
          <w:color w:val="6a7a85"/>
          <w:sz w:val="18"/>
        </w:rPr>
        <w:t>Version 1.0  |  Document 2 of 5  |  Crisis Negotiation Package</w:t>
      </w:r>
    </w:p>
    <w:p>
      <w:pPr>
        <w:sectPr>
          <w:type w:val="nextPage"/>
          <w:pgSz w:w="11906" w:h="16838"/>
          <w:pgMar w:top="0" w:right="0" w:bottom="0" w:left="0" w:header="0" w:footer="0"/>
          <w:titlePg/>
        </w:sectPr>
      </w:pPr>
    </w:p>
    <w:p>
      <w:pPr>
        <w:pStyle w:val="Heading1"/>
      </w:pPr>
      <w:r>
        <w:t>Table of Contents</w:t>
      </w:r>
    </w:p>
    <w:p>
      <w:pPr>
        <w:spacing w:after="300"/>
      </w:pPr>
      <w:r>
        <w:rPr>
          <w:color w:val="7a8a95"/>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3</w:t>
      </w:r>
    </w:p>
    <w:p>
      <w:pPr>
        <w:pStyle w:val="TOC1"/>
      </w:pPr>
      <w:r>
        <w:t>Section I: Scope and Applicability</w:t>
      </w:r>
      <w:r>
        <w:tab/>
      </w:r>
      <w:r>
        <w:t>4</w:t>
      </w:r>
    </w:p>
    <w:p>
      <w:pPr>
        <w:pStyle w:val="TOC2"/>
      </w:pPr>
      <w:r>
        <w:t>Material Subject to This Arrangement</w:t>
      </w:r>
      <w:r>
        <w:tab/>
      </w:r>
      <w:r>
        <w:t>4</w:t>
      </w:r>
    </w:p>
    <w:p>
      <w:pPr>
        <w:pStyle w:val="TOC2"/>
      </w:pPr>
      <w:r>
        <w:t>Geographic Scope</w:t>
      </w:r>
      <w:r>
        <w:tab/>
      </w:r>
      <w:r>
        <w:t>5</w:t>
      </w:r>
    </w:p>
    <w:p>
      <w:pPr>
        <w:pStyle w:val="TOC2"/>
      </w:pPr>
      <w:r>
        <w:t>Legal Basis</w:t>
      </w:r>
      <w:r>
        <w:tab/>
      </w:r>
      <w:r>
        <w:t>5</w:t>
      </w:r>
    </w:p>
    <w:p>
      <w:pPr>
        <w:pStyle w:val="TOC1"/>
      </w:pPr>
      <w:r>
        <w:t>Section II: Verification Access Modalities</w:t>
      </w:r>
      <w:r>
        <w:tab/>
      </w:r>
      <w:r>
        <w:t>6</w:t>
      </w:r>
    </w:p>
    <w:p>
      <w:pPr>
        <w:pStyle w:val="TOC2"/>
      </w:pPr>
      <w:r>
        <w:t>IAEA Access to Designated Sites</w:t>
      </w:r>
      <w:r>
        <w:tab/>
      </w:r>
      <w:r>
        <w:t>6</w:t>
      </w:r>
    </w:p>
    <w:p>
      <w:pPr>
        <w:pStyle w:val="TOC2"/>
      </w:pPr>
      <w:r>
        <w:t>Chain-of-Verification Protocol</w:t>
      </w:r>
      <w:r>
        <w:tab/>
      </w:r>
      <w:r>
        <w:t>7</w:t>
      </w:r>
    </w:p>
    <w:p>
      <w:pPr>
        <w:pStyle w:val="TOC2"/>
      </w:pPr>
      <w:r>
        <w:t>Verification Parameters</w:t>
      </w:r>
      <w:r>
        <w:tab/>
      </w:r>
      <w:r>
        <w:t>8</w:t>
      </w:r>
    </w:p>
    <w:p>
      <w:pPr>
        <w:pStyle w:val="TOC1"/>
      </w:pPr>
      <w:r>
        <w:t>Section III: Downblending Protocol</w:t>
      </w:r>
      <w:r>
        <w:tab/>
      </w:r>
      <w:r>
        <w:t>9</w:t>
      </w:r>
    </w:p>
    <w:p>
      <w:pPr>
        <w:pStyle w:val="TOC2"/>
      </w:pPr>
      <w:r>
        <w:t>Disposition Method</w:t>
      </w:r>
      <w:r>
        <w:tab/>
      </w:r>
      <w:r>
        <w:t>9</w:t>
      </w:r>
    </w:p>
    <w:p>
      <w:pPr>
        <w:pStyle w:val="TOC2"/>
      </w:pPr>
      <w:r>
        <w:t>Downblending Timeline</w:t>
      </w:r>
      <w:r>
        <w:tab/>
      </w:r>
      <w:r>
        <w:t>10</w:t>
      </w:r>
    </w:p>
    <w:p>
      <w:pPr>
        <w:pStyle w:val="TOC2"/>
      </w:pPr>
      <w:r>
        <w:t>Verification of Downblending Completion</w:t>
      </w:r>
      <w:r>
        <w:tab/>
      </w:r>
      <w:r>
        <w:t>11</w:t>
      </w:r>
    </w:p>
    <w:p>
      <w:pPr>
        <w:pStyle w:val="TOC1"/>
      </w:pPr>
      <w:r>
        <w:t>Section IV: Oversight and Consequences</w:t>
      </w:r>
      <w:r>
        <w:tab/>
      </w:r>
      <w:r>
        <w:t>12</w:t>
      </w:r>
    </w:p>
    <w:p>
      <w:pPr>
        <w:pStyle w:val="TOC2"/>
      </w:pPr>
      <w:r>
        <w:t>Role of the Sultanate of Oman</w:t>
      </w:r>
      <w:r>
        <w:tab/>
      </w:r>
      <w:r>
        <w:t>12</w:t>
      </w:r>
    </w:p>
    <w:p>
      <w:pPr>
        <w:pStyle w:val="TOC2"/>
      </w:pPr>
      <w:r>
        <w:t>IAEA Role and Reporting</w:t>
      </w:r>
      <w:r>
        <w:tab/>
      </w:r>
      <w:r>
        <w:t>13</w:t>
      </w:r>
    </w:p>
    <w:p>
      <w:pPr>
        <w:pStyle w:val="TOC2"/>
      </w:pPr>
      <w:r>
        <w:t>Consequences Matrix</w:t>
      </w:r>
      <w:r>
        <w:tab/>
      </w:r>
      <w:r>
        <w:t>14</w:t>
      </w:r>
    </w:p>
    <w:p>
      <w:pPr>
        <w:pStyle w:val="TOC1"/>
      </w:pPr>
      <w:r>
        <w:t>Section V: Duration and Termination</w:t>
      </w:r>
      <w:r>
        <w:tab/>
      </w:r>
      <w:r>
        <w:t>15</w:t>
      </w:r>
    </w:p>
    <w:p>
      <w:pPr>
        <w:pStyle w:val="TOC2"/>
      </w:pPr>
      <w:r>
        <w:t>Duration</w:t>
      </w:r>
      <w:r>
        <w:tab/>
      </w:r>
      <w:r>
        <w:t>15</w:t>
      </w:r>
    </w:p>
    <w:p>
      <w:pPr>
        <w:pStyle w:val="TOC2"/>
      </w:pPr>
      <w:r>
        <w:t>Termination Conditions</w:t>
      </w:r>
      <w:r>
        <w:tab/>
      </w:r>
      <w:r>
        <w:t>15</w:t>
      </w:r>
    </w:p>
    <w:p>
      <w:pPr>
        <w:pStyle w:val="TOC2"/>
      </w:pPr>
      <w:r>
        <w:t>Sovereignty Safeguard</w:t>
      </w:r>
      <w:r>
        <w:tab/>
      </w:r>
      <w:r>
        <w:t>16</w:t>
      </w:r>
    </w:p>
    <w:p>
      <w:pPr>
        <w:pStyle w:val="TOC1"/>
      </w:pPr>
      <w:r>
        <w:t>Issuance and Signature Block</w:t>
      </w:r>
      <w:r>
        <w:tab/>
      </w:r>
      <w:r>
        <w:t>17</w:t>
      </w:r>
    </w:p>
    <w:p>
      <w:r>
        <w:fldChar w:fldCharType="end"/>
      </w:r>
    </w:p>
    <w:p>
      <w:pPr>
        <w:sectPr>
          <w:type w:val="nextPage"/>
          <w:pgSz w:w="11906" w:h="16838"/>
          <w:pgMar w:top="1800" w:right="1440" w:bottom="1440" w:left="1440" w:header="720" w:footer="720"/>
        </w:sectPr>
      </w:pPr>
    </w:p>
    <w:p>
      <w:pPr>
        <w:pStyle w:val="Heading1"/>
      </w:pPr>
      <w:r>
        <w:t>Preamble</w:t>
      </w:r>
      <w:bookmarkStart w:name="_TocPreamble" w:id="1"/>
      <w:bookmarkEnd w:id="1"/>
    </w:p>
    <w:p>
      <w:r>
        <w:t>This arrangement establishes the technical framework for verification and disposition of specified nuclear material within the territorial borders of the Islamic Republic of Iran. It operates within the parameters established by the Islamabad Memorandum of Understanding (June 2026) and respects Iran's sovereign legal framework, including the Supreme Leader's directives regarding the non-export of nuclear materials.</w:t>
      </w:r>
    </w:p>
    <w:p>
      <w:r>
        <w:t>The Parties acknowledge that the International Atomic Energy Agency (IAEA) has lost continuity of knowledge across declared nuclear facilities following the events of June 2025. This arrangement aims to restore, to the maximum extent feasible, verification continuity through a special, time-bound, and case-specific framework.</w:t>
      </w:r>
    </w:p>
    <w:p>
      <w:r>
        <w:t>The Parties recognize that approximately 440 kilograms of uranium enriched to 60 percent purity exists at designated facilities including Fordow, Natanz, and Isfahan. The Parties further recognize that the IAEA has not conducted in-field verification activities under the NPT Safeguards Agreement since the June 2025 strikes, and that standard safeguards agreements are designed for normal conditions, not wartime.</w:t>
      </w:r>
    </w:p>
    <w:p>
      <w:r>
        <w:t>This arrangement reflects the following operational realities: the IAEA requires restored verification access; Iran retains sovereign control over all nuclear material on its territory; the Islamabad MoU explicitly references downblending on site under IAEA supervision; and the Sultanate of Oman serves as the neutral communication channel.</w:t>
      </w:r>
    </w:p>
    <w:p>
      <w:r>
        <w:t>The Parties adopt this arrangement as a voluntary, time-bound technical measure. Nothing in this document establishes a permanent inspection regime, creates a legal precedent, or alters the existing safeguards architecture beyond the specific operational parameters defined herein.</w:t>
      </w:r>
    </w:p>
    <w:p>
      <w:pPr>
        <w:pStyle w:val="Heading2"/>
      </w:pPr>
      <w:r>
        <w:t>Present-Tense Execution Principle</w:t>
      </w:r>
    </w:p>
    <w:p>
      <w:r>
        <w:t>Every clause in this arrangement executes in the active present tense. Consequences activate in real time. No Party waits for subsequent authorization once a condition is met. Triggers fire automatically. Penalties accrue immediately. Verification milestones activate upon IAEA certification, not upon political consensus.</w:t>
      </w:r>
    </w:p>
    <w:p>
      <w:pPr>
        <w:pStyle w:val="Heading2"/>
      </w:pPr>
      <w:r>
        <w:t>Sovereign Equality Principle</w:t>
      </w:r>
    </w:p>
    <w:p>
      <w:r>
        <w:t>The framework architecture binds both Parties equally. No provision of this arrangement imposes a unilateral obligation on one Party that the other does not share. All prohibitive commitments operate as features of the shared framework architecture, not as concessions or voluntary limitations by any single Party.</w:t>
      </w:r>
    </w:p>
    <w:p>
      <w:pPr>
        <w:pStyle w:val="Heading1"/>
      </w:pPr>
      <w:r>
        <w:t>Section I: Scope and Applicability</w:t>
      </w:r>
      <w:bookmarkStart w:name="_TocSec1" w:id="2"/>
      <w:bookmarkEnd w:id="2"/>
    </w:p>
    <w:p>
      <w:pPr>
        <w:pStyle w:val="Heading2"/>
      </w:pPr>
      <w:r>
        <w:t>1.1 Material Subject to This Arrangement</w:t>
      </w:r>
    </w:p>
    <w:p>
      <w:r>
        <w:t>This arrangement applies to approximately 440 kilograms of uranium enriched to 60 percent purity, located at designated facilities including but not limited to: Fordow, Natanz, Isfahan, and other declared locations as mutually agreed.</w:t>
      </w:r>
    </w:p>
    <w:p>
      <w:r>
        <w:t>The IAEA verifies the exact quantity and isotopic composition of the material subject to this arrangement through non-destructive assay within 48 hours of arrangement entry into force. The IAEA records the verified baseline in the Shared Digital Registry. This baseline constitutes the reference inventory against which all downstream verification is measured.</w:t>
      </w:r>
    </w:p>
    <w:p>
      <w:r>
        <w:t>The material exists in various forms across the designated facilities: some portions remain in intact cylinders, other portions exist as damaged material requiring stabilization, and trace quantities exist as dispersed particulate matter. The IAEA categorizes each material unit according to the Annex P classification system (Category I, II-A, II-B, III, or IV) at the time of initial verification.</w:t>
      </w:r>
    </w:p>
    <w:p>
      <w:pPr>
        <w:pStyle w:val="Heading2"/>
      </w:pPr>
      <w:r>
        <w:t>1.2 Geographic Scope</w:t>
      </w:r>
    </w:p>
    <w:p>
      <w:r>
        <w:t>All verification and disposition activities occur within the Islamic Republic of Iran's territory. No nuclear material subject to this arrangement transfers outside Iranian borders. This constraint is absolute and non-waivable.</w:t>
      </w:r>
    </w:p>
    <w:p>
      <w:r>
        <w:t>The designated facilities for this arrangement are: the Fordow Fuel Enrichment Plant (FFEP), the Natanz Enrichment Complex comprising the Fuel Enrichment Plant and the Pilot Fuel Enrichment Plant, and the Isfahan Nuclear Technology Center. The Parties add facilities only by mutual written agreement transmitted through Omani channels.</w:t>
      </w:r>
    </w:p>
    <w:p>
      <w:r>
        <w:t>Each designated facility has a Facility-Specific Annex detailing the material location, access routes, radiological conditions, and site-specific verification procedures. The Facility-Specific Annexes are classified as CONFIDENTIAL and are distributed only to the Parties, the IAEA Director General, and the Omani facilitation team.</w:t>
      </w:r>
    </w:p>
    <w:p>
      <w:pPr>
        <w:pStyle w:val="Heading2"/>
      </w:pPr>
      <w:r>
        <w:t>1.3 Legal Basis</w:t>
      </w:r>
    </w:p>
    <w:p>
      <w:r>
        <w:t>This arrangement is established as a special, voluntary framework under the Non-Proliferation Treaty (NPT) Safeguards Agreement. The Parties recognize that standard safeguards procedures are insufficient for wartime conditions and damaged sites. This arrangement does not amend, supersede, or replace the Safeguards Agreement (INFCIRC/214) or the Additional Protocol (INFCIRC/214/Add.1).</w:t>
      </w:r>
    </w:p>
    <w:p>
      <w:r>
        <w:t>This arrangement constitutes a supplementary technical measure, not a legal obligation. It operates on the basis of sovereign consent and remains revocable in accordance with Article 14 of this arrangement. The framework architecture explicitly excludes the construction of this arrangement as a precedent for any future verification obligation.</w:t>
      </w:r>
    </w:p>
    <w:p>
      <w:r>
        <w:t>The arrangement aligns with the Islamabad Memorandum of Understanding (June 2026), which explicitly references downblending on site under IAEA supervision. Nothing in this arrangement contradicts or overrides the Islamabad MoU. Where a conflict exists between this arrangement and the Islamabad MoU, the MoU governs.</w:t>
      </w:r>
    </w:p>
    <w:p>
      <w:pPr>
        <w:pStyle w:val="Heading1"/>
      </w:pPr>
      <w:r>
        <w:t>Section II: Verification Access Modalities</w:t>
      </w:r>
      <w:bookmarkStart w:name="_TocSec2" w:id="3"/>
      <w:bookmarkEnd w:id="3"/>
    </w:p>
    <w:p>
      <w:pPr>
        <w:pStyle w:val="Heading2"/>
      </w:pPr>
      <w:r>
        <w:t>2.1 IAEA Access to Designated Sites</w:t>
      </w:r>
    </w:p>
    <w:p>
      <w:r>
        <w:t>IAEA inspectors receive access to designated nuclear facilities for the purpose of material verification and monitoring. The IAEA Director General designates the inspection team composition. The team includes: a Lead Inspector with safeguards authority, nuclear material accountancy specialists, a Radiation Safety Officer with authority to halt operations, and a data security officer.</w:t>
      </w:r>
    </w:p>
    <w:p>
      <w:r>
        <w:t>Access to sites damaged during the June 2025 strikes requires: specific authorization from Iran's Supreme National Security Council (SNSC), a site-specific security protocol, and an agreed inspector roster with Iranian approval. The SNSC issues its authorization within 72 hours of receiving the IAEA access request transmitted through Omani channels.</w:t>
      </w:r>
    </w:p>
    <w:p>
      <w:r>
        <w:t>The current access baseline is limited to two locations: the Bushehr Nuclear Power Plant and the Tehran Research Reactor. This arrangement establishes a graduated pathway for additional access to damaged sites under the agreed terms. The pathway proceeds in three stages: Stage One involves remote sensing and perimeter assessment, Stage Two involves robotic or modified access, and Stage Three involves standard physical access where conditions permit.</w:t>
      </w:r>
    </w:p>
    <w:p>
      <w:r>
        <w:t>The framework architecture excludes U.S. government personnel from physical presence at any Iranian nuclear site. U.S. technical experts observe the verification process remotely via secure video feed. Physical access to the material by U.S. personnel is not permitted under this arrangement.</w:t>
      </w:r>
    </w:p>
    <w:p>
      <w:pPr>
        <w:pStyle w:val="Heading3"/>
      </w:pPr>
      <w:r>
        <w:t>Access Category Designations</w:t>
      </w:r>
    </w:p>
    <w:tbl>
      <w:tblPr>
        <w:tblW w:w="5000" w:type="pct"/>
        <w:tblBorders>
          <w:top w:val="single" w:color="1a5a6a" w:sz="12"/>
          <w:bottom w:val="single" w:color="1a5a6a" w:sz="12"/>
          <w:insideH w:val="single" w:color="c8d0d5" w:sz="4"/>
        </w:tblBorders>
      </w:tblPr>
      <w:tblGrid>
        <w:gridCol w:w="1600"/>
        <w:gridCol w:w="2400"/>
        <w:gridCol w:w="3000"/>
        <w:gridCol w:w="2000"/>
      </w:tblGrid>
      <w:tr>
        <w:trPr>
          <w:tblHeader/>
        </w:trPr>
        <w:tc>
          <w:tcPr>
            <w:tcW w:w="1600" w:type="dxa"/>
            <w:shd w:val="clear" w:fill="e8eef2"/>
          </w:tcPr>
          <w:p>
            <w:pPr>
              <w:spacing w:before="60" w:after="60"/>
              <w:jc w:val="left"/>
            </w:pPr>
            <w:r>
              <w:rPr>
                <w:b/>
                <w:color w:val="1e2a33"/>
                <w:sz w:val="20"/>
              </w:rPr>
              <w:t>Category</w:t>
            </w:r>
          </w:p>
        </w:tc>
        <w:tc>
          <w:tcPr>
            <w:tcW w:w="2400" w:type="dxa"/>
            <w:shd w:val="clear" w:fill="e8eef2"/>
          </w:tcPr>
          <w:p>
            <w:pPr>
              <w:spacing w:before="60" w:after="60"/>
              <w:jc w:val="left"/>
            </w:pPr>
            <w:r>
              <w:rPr>
                <w:b/>
                <w:color w:val="1e2a33"/>
                <w:sz w:val="20"/>
              </w:rPr>
              <w:t>Site Condition</w:t>
            </w:r>
          </w:p>
        </w:tc>
        <w:tc>
          <w:tcPr>
            <w:tcW w:w="3000" w:type="dxa"/>
            <w:shd w:val="clear" w:fill="e8eef2"/>
          </w:tcPr>
          <w:p>
            <w:pPr>
              <w:spacing w:before="60" w:after="60"/>
              <w:jc w:val="left"/>
            </w:pPr>
            <w:r>
              <w:rPr>
                <w:b/>
                <w:color w:val="1e2a33"/>
                <w:sz w:val="20"/>
              </w:rPr>
              <w:t>Access Modality</w:t>
            </w:r>
          </w:p>
        </w:tc>
        <w:tc>
          <w:tcPr>
            <w:tcW w:w="2000" w:type="dxa"/>
            <w:shd w:val="clear" w:fill="e8eef2"/>
          </w:tcPr>
          <w:p>
            <w:pPr>
              <w:spacing w:before="60" w:after="60"/>
              <w:jc w:val="left"/>
            </w:pPr>
            <w:r>
              <w:rPr>
                <w:b/>
                <w:color w:val="1e2a33"/>
                <w:sz w:val="20"/>
              </w:rPr>
              <w:t>Governing Protocol</w:t>
            </w:r>
          </w:p>
        </w:tc>
      </w:tr>
      <w:tr>
        <w:tc>
          <w:tcPr>
            <w:tcW w:w="1600" w:type="dxa"/>
          </w:tcPr>
          <w:p>
            <w:pPr>
              <w:spacing w:before="40" w:after="40"/>
              <w:jc w:val="left"/>
            </w:pPr>
            <w:r>
              <w:rPr>
                <w:color w:val="4a5a65"/>
                <w:sz w:val="20"/>
              </w:rPr>
              <w:t>Category A</w:t>
            </w:r>
          </w:p>
        </w:tc>
        <w:tc>
          <w:tcPr>
            <w:tcW w:w="2400" w:type="dxa"/>
          </w:tcPr>
          <w:p>
            <w:pPr>
              <w:spacing w:before="40" w:after="40"/>
              <w:jc w:val="left"/>
            </w:pPr>
            <w:r>
              <w:rPr>
                <w:color w:val="4a5a65"/>
                <w:sz w:val="20"/>
              </w:rPr>
              <w:t>Fully intact declared facilities</w:t>
            </w:r>
          </w:p>
        </w:tc>
        <w:tc>
          <w:tcPr>
            <w:tcW w:w="3000" w:type="dxa"/>
          </w:tcPr>
          <w:p>
            <w:pPr>
              <w:spacing w:before="40" w:after="40"/>
              <w:jc w:val="left"/>
            </w:pPr>
            <w:r>
              <w:rPr>
                <w:color w:val="4a5a65"/>
                <w:sz w:val="20"/>
              </w:rPr>
              <w:t>Standard IAEA safeguards access; physical entry; resident inspector deployment</w:t>
            </w:r>
          </w:p>
        </w:tc>
        <w:tc>
          <w:tcPr>
            <w:tcW w:w="2000" w:type="dxa"/>
          </w:tcPr>
          <w:p>
            <w:pPr>
              <w:spacing w:before="40" w:after="40"/>
              <w:jc w:val="left"/>
            </w:pPr>
            <w:r>
              <w:rPr>
                <w:color w:val="4a5a65"/>
                <w:sz w:val="20"/>
              </w:rPr>
              <w:t>Safeguards Agreement (INFCIRC/214)</w:t>
            </w:r>
          </w:p>
        </w:tc>
      </w:tr>
      <w:tr>
        <w:tc>
          <w:tcPr>
            <w:tcW w:w="1600" w:type="dxa"/>
          </w:tcPr>
          <w:p>
            <w:pPr>
              <w:spacing w:before="40" w:after="40"/>
              <w:jc w:val="left"/>
            </w:pPr>
            <w:r>
              <w:rPr>
                <w:color w:val="4a5a65"/>
                <w:sz w:val="20"/>
              </w:rPr>
              <w:t>Category B</w:t>
            </w:r>
          </w:p>
        </w:tc>
        <w:tc>
          <w:tcPr>
            <w:tcW w:w="2400" w:type="dxa"/>
          </w:tcPr>
          <w:p>
            <w:pPr>
              <w:spacing w:before="40" w:after="40"/>
              <w:jc w:val="left"/>
            </w:pPr>
            <w:r>
              <w:rPr>
                <w:color w:val="4a5a65"/>
                <w:sz w:val="20"/>
              </w:rPr>
              <w:t>Damaged or partially inaccessible</w:t>
            </w:r>
          </w:p>
        </w:tc>
        <w:tc>
          <w:tcPr>
            <w:tcW w:w="3000" w:type="dxa"/>
          </w:tcPr>
          <w:p>
            <w:pPr>
              <w:spacing w:before="40" w:after="40"/>
              <w:jc w:val="left"/>
            </w:pPr>
            <w:r>
              <w:rPr>
                <w:color w:val="4a5a65"/>
                <w:sz w:val="20"/>
              </w:rPr>
              <w:t>Remote sensing first; physical access where safe; robotic inspection</w:t>
            </w:r>
          </w:p>
        </w:tc>
        <w:tc>
          <w:tcPr>
            <w:tcW w:w="2000" w:type="dxa"/>
          </w:tcPr>
          <w:p>
            <w:pPr>
              <w:spacing w:before="40" w:after="40"/>
              <w:jc w:val="left"/>
            </w:pPr>
            <w:r>
              <w:rPr>
                <w:color w:val="4a5a65"/>
                <w:sz w:val="20"/>
              </w:rPr>
              <w:t>Annex O; Annex P</w:t>
            </w:r>
          </w:p>
        </w:tc>
      </w:tr>
      <w:tr>
        <w:tc>
          <w:tcPr>
            <w:tcW w:w="1600" w:type="dxa"/>
          </w:tcPr>
          <w:p>
            <w:pPr>
              <w:spacing w:before="40" w:after="40"/>
              <w:jc w:val="left"/>
            </w:pPr>
            <w:r>
              <w:rPr>
                <w:color w:val="4a5a65"/>
                <w:sz w:val="20"/>
              </w:rPr>
              <w:t>Category C</w:t>
            </w:r>
          </w:p>
        </w:tc>
        <w:tc>
          <w:tcPr>
            <w:tcW w:w="2400" w:type="dxa"/>
          </w:tcPr>
          <w:p>
            <w:pPr>
              <w:spacing w:before="40" w:after="40"/>
              <w:jc w:val="left"/>
            </w:pPr>
            <w:r>
              <w:rPr>
                <w:color w:val="4a5a65"/>
                <w:sz w:val="20"/>
              </w:rPr>
              <w:t>Undeclared sites with suspected material</w:t>
            </w:r>
          </w:p>
        </w:tc>
        <w:tc>
          <w:tcPr>
            <w:tcW w:w="3000" w:type="dxa"/>
          </w:tcPr>
          <w:p>
            <w:pPr>
              <w:spacing w:before="40" w:after="40"/>
              <w:jc w:val="left"/>
            </w:pPr>
            <w:r>
              <w:rPr>
                <w:color w:val="4a5a65"/>
                <w:sz w:val="20"/>
              </w:rPr>
              <w:t>IAEA-led access following 72-hour advance notification; joint technical team</w:t>
            </w:r>
          </w:p>
        </w:tc>
        <w:tc>
          <w:tcPr>
            <w:tcW w:w="2000" w:type="dxa"/>
          </w:tcPr>
          <w:p>
            <w:pPr>
              <w:spacing w:before="40" w:after="40"/>
              <w:jc w:val="left"/>
            </w:pPr>
            <w:r>
              <w:rPr>
                <w:color w:val="4a5a65"/>
                <w:sz w:val="20"/>
              </w:rPr>
              <w:t>Additional Protocol</w:t>
            </w:r>
          </w:p>
        </w:tc>
      </w:tr>
      <w:tr>
        <w:tc>
          <w:tcPr>
            <w:tcW w:w="1600" w:type="dxa"/>
          </w:tcPr>
          <w:p>
            <w:pPr>
              <w:spacing w:before="40" w:after="40"/>
              <w:jc w:val="left"/>
            </w:pPr>
            <w:r>
              <w:rPr>
                <w:color w:val="4a5a65"/>
                <w:sz w:val="20"/>
              </w:rPr>
              <w:t>Category D</w:t>
            </w:r>
          </w:p>
        </w:tc>
        <w:tc>
          <w:tcPr>
            <w:tcW w:w="2400" w:type="dxa"/>
          </w:tcPr>
          <w:p>
            <w:pPr>
              <w:spacing w:before="40" w:after="40"/>
              <w:jc w:val="left"/>
            </w:pPr>
            <w:r>
              <w:rPr>
                <w:color w:val="4a5a65"/>
                <w:sz w:val="20"/>
              </w:rPr>
              <w:t>Confirmed radiological contamination</w:t>
            </w:r>
          </w:p>
        </w:tc>
        <w:tc>
          <w:tcPr>
            <w:tcW w:w="3000" w:type="dxa"/>
          </w:tcPr>
          <w:p>
            <w:pPr>
              <w:spacing w:before="40" w:after="40"/>
              <w:jc w:val="left"/>
            </w:pPr>
            <w:r>
              <w:rPr>
                <w:color w:val="4a5a65"/>
                <w:sz w:val="20"/>
              </w:rPr>
              <w:t>Remote and robotic assessment only until joint safety clearance</w:t>
            </w:r>
          </w:p>
        </w:tc>
        <w:tc>
          <w:tcPr>
            <w:tcW w:w="2000" w:type="dxa"/>
          </w:tcPr>
          <w:p>
            <w:pPr>
              <w:spacing w:before="40" w:after="40"/>
              <w:jc w:val="left"/>
            </w:pPr>
            <w:r>
              <w:rPr>
                <w:color w:val="4a5a65"/>
                <w:sz w:val="20"/>
              </w:rPr>
              <w:t>Annex V (CANDOR)</w:t>
            </w:r>
          </w:p>
        </w:tc>
      </w:tr>
    </w:tbl>
    <w:p>
      <w:pPr>
        <w:pStyle w:val="Heading2"/>
      </w:pPr>
      <w:r>
        <w:t>2.2 Chain-of-Verification Protocol</w:t>
      </w:r>
    </w:p>
    <w:p>
      <w:r>
        <w:t>Material remains under Iranian custodial control at all times. The IAEA monitors but does not take custody of the material. This distinction is fundamental: Iran retains physical possession and operational authority over all nuclear material subject to this arrangement.</w:t>
      </w:r>
    </w:p>
    <w:p>
      <w:r>
        <w:t>IAEA inspectors exercise continuous surveillance access to material storage and processing areas. This surveillance includes: dual-sealed containers with seals inspected jointly by Iranian and IAEA personnel, video monitoring providing remote observation capability for U.S. technical experts without physical access to the material, and environmental sampling at agreed perimeter points.</w:t>
      </w:r>
    </w:p>
    <w:p>
      <w:r>
        <w:t>The dual-seal system operates as follows: Iran applies its national seal to each container, and the IAEA applies its independent verification seal. Both seals carry unique serial numbers recorded in the Shared Digital Registry. Either Party detects and reports any seal anomaly within 4 hours of discovery. A compromised seal triggers immediate joint inspection and an automatic report to all Parties through Omani channels.</w:t>
      </w:r>
    </w:p>
    <w:p>
      <w:r>
        <w:t>Video monitoring infrastructure transmits live encrypted feeds to monitoring stations in Tehran, Vienna (IAEA), Washington, and Muscat (Oman) simultaneously. No feed interruption exceeds 15 minutes without automatic escalation to the Joint Secretariat. The video archive retains 90 days of continuous recording.</w:t>
      </w:r>
    </w:p>
    <w:p>
      <w:pPr>
        <w:pStyle w:val="Heading2"/>
      </w:pPr>
      <w:r>
        <w:t>2.3 Verification Parameters</w:t>
      </w:r>
    </w:p>
    <w:p>
      <w:r>
        <w:t>IAEA inspectors conduct the following verification activities: non-destructive gamma spectroscopy to confirm isotopic composition, weight verification using certified industrial scales calibrated daily, seal authentication comparing seal integrity against the Registry baseline, and environmental sampling at mutually agreed perimeter locations.</w:t>
      </w:r>
    </w:p>
    <w:p>
      <w:r>
        <w:t>The following restrictions apply: no material opens, samples, extracts, or removes from the facility without explicit Iranian authorization. The IAEA does not take physical samples of the material for off-site analysis. All verification is non-destructive and occurs in the presence of Iranian technical personnel.</w:t>
      </w:r>
    </w:p>
    <w:p>
      <w:r>
        <w:t>The IAEA certifies the mass balance for each verification tranche through the following procedure: pre-verification baseline measurement of the material volume and estimated enrichment, per-shift weighing with certified scales, per-shift gamma spectroscopy assay, post-shift reconciliation of total weight multiplied by enrichment level, independent verification by a second IAEA inspector team using separate equipment, and publication of the certified mass balance to the Shared Digital Registry within 6 hours of verification completion.</w:t>
      </w:r>
    </w:p>
    <w:p>
      <w:r>
        <w:t>Verification frequency operates on the following schedule: daily for the first 14 days of arrangement entry into force, every 48 hours for days 15 through 30, and every 72 hours thereafter unless modified by mutual consent. Either Party requests an extraordinary verification session with 24 hours' notice through Omani channels.</w:t>
      </w:r>
    </w:p>
    <w:p>
      <w:pPr>
        <w:pStyle w:val="Heading1"/>
      </w:pPr>
      <w:r>
        <w:t>Section III: Downblending Protocol</w:t>
      </w:r>
      <w:bookmarkStart w:name="_TocSec3" w:id="4"/>
      <w:bookmarkEnd w:id="4"/>
    </w:p>
    <w:p>
      <w:pPr>
        <w:pStyle w:val="Heading2"/>
      </w:pPr>
      <w:r>
        <w:t>3.1 Disposition Method: On-Site Downblending</w:t>
      </w:r>
    </w:p>
    <w:p>
      <w:r>
        <w:t>The Parties agree that the preferred disposition mechanism is in-country downblending of enriched uranium under IAEA supervision. This method aligns with the Islamabad Memorandum of Understanding (June 2026), which explicitly references on-site downblending under IAEA supervision.</w:t>
      </w:r>
    </w:p>
    <w:p>
      <w:r>
        <w:t>Downblending means mixing highly enriched uranium with uranium containing a lower U-235 concentration to reduce the overall enrichment level to a grade unsuitable for weapons use. The target enrichment level is 3.67 percent U-235 or lower. This target matches the Civilian Enrichment Level (CEL) defined in the MENOC Charter and represents the standard enrichment level for commercial nuclear power reactor fuel.</w:t>
      </w:r>
    </w:p>
    <w:p>
      <w:r>
        <w:t>The downblending process occurs at the Esfahan Nuclear Technology Center unless the Parties agree on an alternative facility through Omani channels. The Islamic Republic of Iran retains operational control of the downblending process at all times. Iranian technical personnel operate all equipment. IAEA inspectors observe and verify but do not operate equipment or handle material.</w:t>
      </w:r>
    </w:p>
    <w:p>
      <w:r>
        <w:t>The downblending process uses depleted uranium or natural uranium as the blending agent. Iran provides the blending agent from its declared stockpile. The IAEA verifies the isotopic composition of the blending agent before the process begins. The Parties agree on the exact blending ratio based on a technical calculation performed jointly by Iranian nuclear engineers and IAEA material accountancy specialists.</w:t>
      </w:r>
    </w:p>
    <w:p>
      <w:pPr>
        <w:pStyle w:val="Heading2"/>
      </w:pPr>
      <w:r>
        <w:t>3.2 Downblending Timeline</w:t>
      </w:r>
    </w:p>
    <w:tbl>
      <w:tblPr>
        <w:tblW w:w="5000" w:type="pct"/>
        <w:tblBorders>
          <w:top w:val="single" w:color="1a5a6a" w:sz="12"/>
          <w:bottom w:val="single" w:color="1a5a6a" w:sz="12"/>
          <w:insideH w:val="single" w:color="c8d0d5" w:sz="4"/>
        </w:tblBorders>
      </w:tblPr>
      <w:tblGrid>
        <w:gridCol w:w="1500"/>
        <w:gridCol w:w="4500"/>
        <w:gridCol w:w="2000"/>
      </w:tblGrid>
      <w:tr>
        <w:trPr>
          <w:tblHeader/>
        </w:trPr>
        <w:tc>
          <w:tcPr>
            <w:tcW w:w="1500" w:type="dxa"/>
            <w:shd w:val="clear" w:fill="e8eef2"/>
          </w:tcPr>
          <w:p>
            <w:pPr>
              <w:spacing w:before="60" w:after="60"/>
              <w:jc w:val="left"/>
            </w:pPr>
            <w:r>
              <w:rPr>
                <w:b/>
                <w:color w:val="1e2a33"/>
                <w:sz w:val="20"/>
              </w:rPr>
              <w:t>Phase</w:t>
            </w:r>
          </w:p>
        </w:tc>
        <w:tc>
          <w:tcPr>
            <w:tcW w:w="4500" w:type="dxa"/>
            <w:shd w:val="clear" w:fill="e8eef2"/>
          </w:tcPr>
          <w:p>
            <w:pPr>
              <w:spacing w:before="60" w:after="60"/>
              <w:jc w:val="left"/>
            </w:pPr>
            <w:r>
              <w:rPr>
                <w:b/>
                <w:color w:val="1e2a33"/>
                <w:sz w:val="20"/>
              </w:rPr>
              <w:t>Activity</w:t>
            </w:r>
          </w:p>
        </w:tc>
        <w:tc>
          <w:tcPr>
            <w:tcW w:w="2000" w:type="dxa"/>
            <w:shd w:val="clear" w:fill="e8eef2"/>
          </w:tcPr>
          <w:p>
            <w:pPr>
              <w:spacing w:before="60" w:after="60"/>
              <w:jc w:val="left"/>
            </w:pPr>
            <w:r>
              <w:rPr>
                <w:b/>
                <w:color w:val="1e2a33"/>
                <w:sz w:val="20"/>
              </w:rPr>
              <w:t>Duration</w:t>
            </w:r>
          </w:p>
        </w:tc>
      </w:tr>
      <w:tr>
        <w:tc>
          <w:tcPr>
            <w:tcW w:w="1500" w:type="dxa"/>
          </w:tcPr>
          <w:p>
            <w:pPr>
              <w:spacing w:before="40" w:after="40"/>
              <w:jc w:val="left"/>
            </w:pPr>
            <w:r>
              <w:rPr>
                <w:color w:val="4a5a65"/>
                <w:sz w:val="20"/>
              </w:rPr>
              <w:t>Phase 1</w:t>
            </w:r>
          </w:p>
        </w:tc>
        <w:tc>
          <w:tcPr>
            <w:tcW w:w="4500" w:type="dxa"/>
          </w:tcPr>
          <w:p>
            <w:pPr>
              <w:spacing w:before="40" w:after="40"/>
              <w:jc w:val="left"/>
            </w:pPr>
            <w:r>
              <w:rPr>
                <w:color w:val="4a5a65"/>
                <w:sz w:val="20"/>
              </w:rPr>
              <w:t>IAEA verification of pre-downblending inventory including mass spectrometry, seal authentication, and equipment calibration</w:t>
            </w:r>
          </w:p>
        </w:tc>
        <w:tc>
          <w:tcPr>
            <w:tcW w:w="2000" w:type="dxa"/>
          </w:tcPr>
          <w:p>
            <w:pPr>
              <w:spacing w:before="40" w:after="40"/>
              <w:jc w:val="left"/>
            </w:pPr>
            <w:r>
              <w:rPr>
                <w:color w:val="4a5a65"/>
                <w:sz w:val="20"/>
              </w:rPr>
              <w:t>48 hours</w:t>
            </w:r>
          </w:p>
        </w:tc>
      </w:tr>
      <w:tr>
        <w:tc>
          <w:tcPr>
            <w:tcW w:w="1500" w:type="dxa"/>
          </w:tcPr>
          <w:p>
            <w:pPr>
              <w:spacing w:before="40" w:after="40"/>
              <w:jc w:val="left"/>
            </w:pPr>
            <w:r>
              <w:rPr>
                <w:color w:val="4a5a65"/>
                <w:sz w:val="20"/>
              </w:rPr>
              <w:t>Phase 2</w:t>
            </w:r>
          </w:p>
        </w:tc>
        <w:tc>
          <w:tcPr>
            <w:tcW w:w="4500" w:type="dxa"/>
          </w:tcPr>
          <w:p>
            <w:pPr>
              <w:spacing w:before="40" w:after="40"/>
              <w:jc w:val="left"/>
            </w:pPr>
            <w:r>
              <w:rPr>
                <w:color w:val="4a5a65"/>
                <w:sz w:val="20"/>
              </w:rPr>
              <w:t>Iranian-led downblending with continuous IAEA observation; batch-by-batch verification and certification</w:t>
            </w:r>
          </w:p>
        </w:tc>
        <w:tc>
          <w:tcPr>
            <w:tcW w:w="2000" w:type="dxa"/>
          </w:tcPr>
          <w:p>
            <w:pPr>
              <w:spacing w:before="40" w:after="40"/>
              <w:jc w:val="left"/>
            </w:pPr>
            <w:r>
              <w:rPr>
                <w:color w:val="4a5a65"/>
                <w:sz w:val="20"/>
              </w:rPr>
              <w:t>Variable (estimated 30-60 days)</w:t>
            </w:r>
          </w:p>
        </w:tc>
      </w:tr>
      <w:tr>
        <w:tc>
          <w:tcPr>
            <w:tcW w:w="1500" w:type="dxa"/>
          </w:tcPr>
          <w:p>
            <w:pPr>
              <w:spacing w:before="40" w:after="40"/>
              <w:jc w:val="left"/>
            </w:pPr>
            <w:r>
              <w:rPr>
                <w:color w:val="4a5a65"/>
                <w:sz w:val="20"/>
              </w:rPr>
              <w:t>Phase 3</w:t>
            </w:r>
          </w:p>
        </w:tc>
        <w:tc>
          <w:tcPr>
            <w:tcW w:w="4500" w:type="dxa"/>
          </w:tcPr>
          <w:p>
            <w:pPr>
              <w:spacing w:before="40" w:after="40"/>
              <w:jc w:val="left"/>
            </w:pPr>
            <w:r>
              <w:rPr>
                <w:color w:val="4a5a65"/>
                <w:sz w:val="20"/>
              </w:rPr>
              <w:t>Post-downblending verification and IAEA certification of target enrichment achievement</w:t>
            </w:r>
          </w:p>
        </w:tc>
        <w:tc>
          <w:tcPr>
            <w:tcW w:w="2000" w:type="dxa"/>
          </w:tcPr>
          <w:p>
            <w:pPr>
              <w:spacing w:before="40" w:after="40"/>
              <w:jc w:val="left"/>
            </w:pPr>
            <w:r>
              <w:rPr>
                <w:color w:val="4a5a65"/>
                <w:sz w:val="20"/>
              </w:rPr>
              <w:t>24 hours</w:t>
            </w:r>
          </w:p>
        </w:tc>
      </w:tr>
    </w:tbl>
    <w:p>
      <w:pPr>
        <w:pStyle w:val="Heading3"/>
      </w:pPr>
      <w:r>
        <w:t>Phase 1: Pre-Downblending Verification (48 Hours)</w:t>
      </w:r>
    </w:p>
    <w:p>
      <w:r>
        <w:t>The IAEA conducts a comprehensive verification of the pre-downblending inventory. This verification includes: confirming the total mass of material subject to downblending through non-destructive assay, verifying the enrichment level of each container through gamma spectroscopy, authenticating all dual seals and recording serial numbers, establishing the video monitoring baseline, and calibrating all weighing equipment. The IAEA issues a Phase 1 Certification within 48 hours of commencement.</w:t>
      </w:r>
    </w:p>
    <w:p>
      <w:pPr>
        <w:pStyle w:val="Heading3"/>
      </w:pPr>
      <w:r>
        <w:t>Phase 2: Active Downblending (Variable Duration)</w:t>
      </w:r>
    </w:p>
    <w:p>
      <w:r>
        <w:t>Iranian technical personnel conduct the downblending operations with continuous IAEA observation. The IAEA verifies each batch before, during, and after the blending process. Each batch undergoes the following verification sequence: pre-blending weight and enrichment measurement, blending process observation, post-blending homogeneity sampling (from the exterior of the blending vessel only), post-blending enrichment verification through gamma spectroscopy, and containerization under dual seal.</w:t>
      </w:r>
    </w:p>
    <w:p>
      <w:r>
        <w:t>The Parties conduct downblending in discrete batches not exceeding 50 kilograms of HEU equivalent per batch. This batch size ensures manageable verification granularity and minimizes technical risk. The IAEA certifies each batch independently before the next batch begins.</w:t>
      </w:r>
    </w:p>
    <w:p>
      <w:r>
        <w:t>The estimated timeline for Phase 2 depends on the material form and facility readiness. The Joint Technical Team provides a detailed operational schedule within 72 hours of Phase 1 completion. The framework architecture allows for a single 14-day extension of Phase 2 by mutual consent through Oman, where verified technical conditions justify the extension.</w:t>
      </w:r>
    </w:p>
    <w:p>
      <w:pPr>
        <w:pStyle w:val="Heading3"/>
      </w:pPr>
      <w:r>
        <w:t>Phase 3: Post-Downblending Verification (24 Hours)</w:t>
      </w:r>
    </w:p>
    <w:p>
      <w:r>
        <w:t>Upon completion of all downblending operations, the IAEA conducts a comprehensive post-downblending verification. This verification includes: total mass verification of all downblended material, enrichment level confirmation for each container through gamma spectroscopy, homogeneity assessment through representative measurements, dual seal application to all final containers, and photographic documentation of the final material configuration. The IAEA issues a Post-Downblending Certification within 24 hours of verification completion.</w:t>
      </w:r>
    </w:p>
    <w:p>
      <w:pPr>
        <w:pStyle w:val="Heading2"/>
      </w:pPr>
      <w:r>
        <w:t>3.3 Verification of Downblending Completion</w:t>
      </w:r>
    </w:p>
    <w:p>
      <w:r>
        <w:t>The IAEA certifies that downblending has achieved the target enrichment level of 3.67 percent U-235 or lower for all material subject to this arrangement. The IAEA confirms that no material subject to this arrangement remains at weapons-usable enrichment levels. Weapons-usable means any enrichment level above 20 percent U-235.</w:t>
      </w:r>
    </w:p>
    <w:p>
      <w:r>
        <w:t>Certification is provided to the United States and Iran through Omani channels. The certification includes: the final mass and enrichment level of all downblended material, a batch-by-batch verification log, the serial numbers of all dual seals applied, the video monitoring completion report, and a statement confirming that all material previously at 60 percent enrichment now exists at or below 3.67 percent enrichment.</w:t>
      </w:r>
    </w:p>
    <w:p>
      <w:r>
        <w:t>The certification is final and binding for the purposes of this arrangement. Either Party requests a re-verification within 7 days of certification issuance. Re-verification is limited to one request per Party and proceeds at the requesting Party's expense unless the re-verification reveals a material discrepancy, in which case the framework bears the cost.</w:t>
      </w:r>
    </w:p>
    <w:p>
      <w:pPr>
        <w:pStyle w:val="Heading1"/>
      </w:pPr>
      <w:r>
        <w:t>Section IV: Oversight and Consequences</w:t>
      </w:r>
      <w:bookmarkStart w:name="_TocSec4" w:id="5"/>
      <w:bookmarkEnd w:id="5"/>
    </w:p>
    <w:p>
      <w:pPr>
        <w:pStyle w:val="Heading2"/>
      </w:pPr>
      <w:r>
        <w:t>4.1 Role of the Sultanate of Oman</w:t>
      </w:r>
    </w:p>
    <w:p>
      <w:r>
        <w:t>Oman serves as the neutral communication channel for all arrangement activities. Oman does not serve as custodian of any nuclear material subject to this arrangement. Oman's role is strictly facilitative and diplomatic, not technical or operational.</w:t>
      </w:r>
    </w:p>
    <w:p>
      <w:r>
        <w:t>Oman's specific responsibilities include: logistical coordination for IAEA inspector travel, visas, and site access; incident reporting and dispute resolution facilitation; timeline management and deadline reminders; certification transmission between the IAEA, Iran, and the United States; and convening emergency consultations where operational disputes arise.</w:t>
      </w:r>
    </w:p>
    <w:p>
      <w:r>
        <w:t>The Omani facilitation team maintains a secure communication infrastructure for all Parties. This infrastructure includes: encrypted voice and video conferencing capability, a secure document transmission system, a 24-hour duty officer for urgent communications, and a physical coordination center in Muscat for face-to-face consultations where required.</w:t>
      </w:r>
    </w:p>
    <w:p>
      <w:r>
        <w:t>Oman convenes a weekly status briefing for all Parties every Monday at 10:00 GST. This briefing reviews the week's verification activities, identifies operational issues, and coordinates the coming week's schedule. Extraordinary briefings occur within 24 hours of any Party's request transmitted through Omani channels.</w:t>
      </w:r>
    </w:p>
    <w:p>
      <w:pPr>
        <w:pStyle w:val="Heading2"/>
      </w:pPr>
      <w:r>
        <w:t>4.2 IAEA Role and Reporting</w:t>
      </w:r>
    </w:p>
    <w:p>
      <w:r>
        <w:t>The IAEA serves as the sole verification authority under this arrangement. No other entity exercises verification functions. The IAEA's role is technical and operational, not political. All IAEA activities proceed exclusively in accordance with the IAEA Statute, safeguards agreements, applicable Board of Governors decisions, and the independent authority of the Director General.</w:t>
      </w:r>
    </w:p>
    <w:p>
      <w:r>
        <w:t>The IAEA provides regular status reports to both Parties through Omani channels. Reporting occurs on the following schedule: daily operational summaries during Phase 1, per-batch verification reports during Phase 2, a comprehensive Phase Completion Report at the end of each phase, and a Final Verification Report upon certification of downblending completion.</w:t>
      </w:r>
    </w:p>
    <w:p>
      <w:r>
        <w:t>Data confidentiality provisions apply: the IAEA provides clear legal guarantees regarding data confidentiality and accountability in the event of misuse. Reports are limited to technical verification findings and do not collect or transmit non-nuclear military or industrial intelligence. The IAEA does not share raw verification data with any state; only the Director General's certification and summary findings are transmitted.</w:t>
      </w:r>
    </w:p>
    <w:p>
      <w:r>
        <w:t>The IAEA Director General accepts the technical responsibilities assigned under this arrangement through a separate exchange of letters with the Omani facilitation team. The IAEA's acceptance does not constitute political endorsement of this arrangement as an agreement between states. The Director General specifies the technical functions, required resources, and conditions under which the IAEA exercises its authority.</w:t>
      </w:r>
    </w:p>
    <w:p>
      <w:pPr>
        <w:pStyle w:val="Heading2"/>
      </w:pPr>
      <w:r>
        <w:t>4.3 Consequences Matrix</w:t>
      </w:r>
    </w:p>
    <w:p>
      <w:r>
        <w:t>The following matrix defines the operational responses to each scenario. These responses are diplomatic and procedural, not military. The framework architecture excludes kinetic enforcement mechanisms. Every response aims at restoring compliance, not punishing non-compliance.</w:t>
      </w:r>
    </w:p>
    <w:tbl>
      <w:tblPr>
        <w:tblW w:w="5000" w:type="pct"/>
        <w:tblBorders>
          <w:top w:val="single" w:color="1a5a6a" w:sz="12"/>
          <w:bottom w:val="single" w:color="1a5a6a" w:sz="12"/>
          <w:insideH w:val="single" w:color="c8d0d5" w:sz="4"/>
        </w:tblBorders>
      </w:tblPr>
      <w:tblGrid>
        <w:gridCol w:w="2400"/>
        <w:gridCol w:w="2600"/>
        <w:gridCol w:w="3000"/>
      </w:tblGrid>
      <w:tr>
        <w:trPr>
          <w:tblHeader/>
        </w:trPr>
        <w:tc>
          <w:tcPr>
            <w:tcW w:w="2400" w:type="dxa"/>
            <w:shd w:val="clear" w:fill="e8eef2"/>
          </w:tcPr>
          <w:p>
            <w:pPr>
              <w:spacing w:before="60" w:after="60"/>
              <w:jc w:val="left"/>
            </w:pPr>
            <w:r>
              <w:rPr>
                <w:b/>
                <w:color w:val="1e2a33"/>
                <w:sz w:val="20"/>
              </w:rPr>
              <w:t>Scenario</w:t>
            </w:r>
          </w:p>
        </w:tc>
        <w:tc>
          <w:tcPr>
            <w:tcW w:w="2600" w:type="dxa"/>
            <w:shd w:val="clear" w:fill="e8eef2"/>
          </w:tcPr>
          <w:p>
            <w:pPr>
              <w:spacing w:before="60" w:after="60"/>
              <w:jc w:val="left"/>
            </w:pPr>
            <w:r>
              <w:rPr>
                <w:b/>
                <w:color w:val="1e2a33"/>
                <w:sz w:val="20"/>
              </w:rPr>
              <w:t>U.S. Response</w:t>
            </w:r>
          </w:p>
        </w:tc>
        <w:tc>
          <w:tcPr>
            <w:tcW w:w="3000" w:type="dxa"/>
            <w:shd w:val="clear" w:fill="e8eef2"/>
          </w:tcPr>
          <w:p>
            <w:pPr>
              <w:spacing w:before="60" w:after="60"/>
              <w:jc w:val="left"/>
            </w:pPr>
            <w:r>
              <w:rPr>
                <w:b/>
                <w:color w:val="1e2a33"/>
                <w:sz w:val="20"/>
              </w:rPr>
              <w:t>Iranian Response</w:t>
            </w:r>
          </w:p>
        </w:tc>
      </w:tr>
      <w:tr>
        <w:tc>
          <w:tcPr>
            <w:tcW w:w="2400" w:type="dxa"/>
          </w:tcPr>
          <w:p>
            <w:pPr>
              <w:spacing w:before="40" w:after="40"/>
              <w:jc w:val="left"/>
            </w:pPr>
            <w:r>
              <w:rPr>
                <w:color w:val="4a5a65"/>
                <w:sz w:val="20"/>
              </w:rPr>
              <w:t>Full compliance plus downblending certification</w:t>
            </w:r>
          </w:p>
        </w:tc>
        <w:tc>
          <w:tcPr>
            <w:tcW w:w="2600" w:type="dxa"/>
          </w:tcPr>
          <w:p>
            <w:pPr>
              <w:spacing w:before="40" w:after="40"/>
              <w:jc w:val="left"/>
            </w:pPr>
            <w:r>
              <w:rPr>
                <w:color w:val="4a5a65"/>
                <w:sz w:val="20"/>
              </w:rPr>
              <w:t>Proceed with agreed sanctions relief; issue acceptance statement</w:t>
            </w:r>
          </w:p>
        </w:tc>
        <w:tc>
          <w:tcPr>
            <w:tcW w:w="3000" w:type="dxa"/>
          </w:tcPr>
          <w:p>
            <w:pPr>
              <w:spacing w:before="40" w:after="40"/>
              <w:jc w:val="left"/>
            </w:pPr>
            <w:r>
              <w:rPr>
                <w:color w:val="4a5a65"/>
                <w:sz w:val="20"/>
              </w:rPr>
              <w:t>Arrangement satisfied; Iran retains ownership of downblended material</w:t>
            </w:r>
          </w:p>
        </w:tc>
      </w:tr>
      <w:tr>
        <w:tc>
          <w:tcPr>
            <w:tcW w:w="2400" w:type="dxa"/>
          </w:tcPr>
          <w:p>
            <w:pPr>
              <w:spacing w:before="40" w:after="40"/>
              <w:jc w:val="left"/>
            </w:pPr>
            <w:r>
              <w:rPr>
                <w:color w:val="4a5a65"/>
                <w:sz w:val="20"/>
              </w:rPr>
              <w:t>IAEA access denied to designated site</w:t>
            </w:r>
          </w:p>
        </w:tc>
        <w:tc>
          <w:tcPr>
            <w:tcW w:w="2600" w:type="dxa"/>
          </w:tcPr>
          <w:p>
            <w:pPr>
              <w:spacing w:before="40" w:after="40"/>
              <w:jc w:val="left"/>
            </w:pPr>
            <w:r>
              <w:rPr>
                <w:color w:val="4a5a65"/>
                <w:sz w:val="20"/>
              </w:rPr>
              <w:t>Diplomatic notification; 72-hour pause on sanctions relief discussions</w:t>
            </w:r>
          </w:p>
        </w:tc>
        <w:tc>
          <w:tcPr>
            <w:tcW w:w="3000" w:type="dxa"/>
          </w:tcPr>
          <w:p>
            <w:pPr>
              <w:spacing w:before="40" w:after="40"/>
              <w:jc w:val="left"/>
            </w:pPr>
            <w:r>
              <w:rPr>
                <w:color w:val="4a5a65"/>
                <w:sz w:val="20"/>
              </w:rPr>
              <w:t>No obligation to proceed with downblending at that site</w:t>
            </w:r>
          </w:p>
        </w:tc>
      </w:tr>
      <w:tr>
        <w:tc>
          <w:tcPr>
            <w:tcW w:w="2400" w:type="dxa"/>
          </w:tcPr>
          <w:p>
            <w:pPr>
              <w:spacing w:before="40" w:after="40"/>
              <w:jc w:val="left"/>
            </w:pPr>
            <w:r>
              <w:rPr>
                <w:color w:val="4a5a65"/>
                <w:sz w:val="20"/>
              </w:rPr>
              <w:t>Verification discrepancies identified</w:t>
            </w:r>
          </w:p>
        </w:tc>
        <w:tc>
          <w:tcPr>
            <w:tcW w:w="2600" w:type="dxa"/>
          </w:tcPr>
          <w:p>
            <w:pPr>
              <w:spacing w:before="40" w:after="40"/>
              <w:jc w:val="left"/>
            </w:pPr>
            <w:r>
              <w:rPr>
                <w:color w:val="4a5a65"/>
                <w:sz w:val="20"/>
              </w:rPr>
              <w:t>Request clarification through Omani channel; IAEA revisits within 48 hours</w:t>
            </w:r>
          </w:p>
        </w:tc>
        <w:tc>
          <w:tcPr>
            <w:tcW w:w="3000" w:type="dxa"/>
          </w:tcPr>
          <w:p>
            <w:pPr>
              <w:spacing w:before="40" w:after="40"/>
              <w:jc w:val="left"/>
            </w:pPr>
            <w:r>
              <w:rPr>
                <w:color w:val="4a5a65"/>
                <w:sz w:val="20"/>
              </w:rPr>
              <w:t>Provide clarification; facilitate re-verification</w:t>
            </w:r>
          </w:p>
        </w:tc>
      </w:tr>
      <w:tr>
        <w:tc>
          <w:tcPr>
            <w:tcW w:w="2400" w:type="dxa"/>
          </w:tcPr>
          <w:p>
            <w:pPr>
              <w:spacing w:before="40" w:after="40"/>
              <w:jc w:val="left"/>
            </w:pPr>
            <w:r>
              <w:rPr>
                <w:color w:val="4a5a65"/>
                <w:sz w:val="20"/>
              </w:rPr>
              <w:t>Material tampering or diversion</w:t>
            </w:r>
          </w:p>
        </w:tc>
        <w:tc>
          <w:tcPr>
            <w:tcW w:w="2600" w:type="dxa"/>
          </w:tcPr>
          <w:p>
            <w:pPr>
              <w:spacing w:before="40" w:after="40"/>
              <w:jc w:val="left"/>
            </w:pPr>
            <w:r>
              <w:rPr>
                <w:color w:val="4a5a65"/>
                <w:sz w:val="20"/>
              </w:rPr>
              <w:t>Public notification; suspension of arrangement; referral to Joint Commission</w:t>
            </w:r>
          </w:p>
        </w:tc>
        <w:tc>
          <w:tcPr>
            <w:tcW w:w="3000" w:type="dxa"/>
          </w:tcPr>
          <w:p>
            <w:pPr>
              <w:spacing w:before="40" w:after="40"/>
              <w:jc w:val="left"/>
            </w:pPr>
            <w:r>
              <w:rPr>
                <w:color w:val="4a5a65"/>
                <w:sz w:val="20"/>
              </w:rPr>
              <w:t>Material remains in Iran; international investigation</w:t>
            </w:r>
          </w:p>
        </w:tc>
      </w:tr>
      <w:tr>
        <w:tc>
          <w:tcPr>
            <w:tcW w:w="2400" w:type="dxa"/>
          </w:tcPr>
          <w:p>
            <w:pPr>
              <w:spacing w:before="40" w:after="40"/>
              <w:jc w:val="left"/>
            </w:pPr>
            <w:r>
              <w:rPr>
                <w:color w:val="4a5a65"/>
                <w:sz w:val="20"/>
              </w:rPr>
              <w:t>Downblending not completed by deadline</w:t>
            </w:r>
          </w:p>
        </w:tc>
        <w:tc>
          <w:tcPr>
            <w:tcW w:w="2600" w:type="dxa"/>
          </w:tcPr>
          <w:p>
            <w:pPr>
              <w:spacing w:before="40" w:after="40"/>
              <w:jc w:val="left"/>
            </w:pPr>
            <w:r>
              <w:rPr>
                <w:color w:val="4a5a65"/>
                <w:sz w:val="20"/>
              </w:rPr>
              <w:t>Extension possible by mutual consent through Oman</w:t>
            </w:r>
          </w:p>
        </w:tc>
        <w:tc>
          <w:tcPr>
            <w:tcW w:w="3000" w:type="dxa"/>
          </w:tcPr>
          <w:p>
            <w:pPr>
              <w:spacing w:before="40" w:after="40"/>
              <w:jc w:val="left"/>
            </w:pPr>
            <w:r>
              <w:rPr>
                <w:color w:val="4a5a65"/>
                <w:sz w:val="20"/>
              </w:rPr>
              <w:t>Continue downblending; IAEA monitoring remains</w:t>
            </w:r>
          </w:p>
        </w:tc>
      </w:tr>
    </w:tbl>
    <w:p>
      <w:r>
        <w:t>The escalation sequence operates as follows: Level 1 (Technical Clarification) involves a 72-hour clarification window through Omani channels with no operational pause. Level 2 (Operational Pause) involves a 7-day suspension of downblending activities with IAEA monitoring continuing. Level 3 (Joint Commission Review) involves referral to the Joint Commission with a 14-day review window. Level 4 (Arrangement Suspension) involves suspension of this arrangement with material secured under dual seal pending resolution.</w:t>
      </w:r>
    </w:p>
    <w:p>
      <w:r>
        <w:t>No penalty under this matrix affects humanitarian flows. Food, medicine, medical equipment, and safety-related transactions remain protected regardless of arrangement status. This protection is absolute and non-waivable.</w:t>
      </w:r>
    </w:p>
    <w:p>
      <w:pPr>
        <w:pStyle w:val="Heading1"/>
      </w:pPr>
      <w:r>
        <w:t>Section V: Duration and Termination</w:t>
      </w:r>
      <w:bookmarkStart w:name="_TocSec5" w:id="6"/>
      <w:bookmarkEnd w:id="6"/>
    </w:p>
    <w:p>
      <w:pPr>
        <w:pStyle w:val="Heading2"/>
      </w:pPr>
      <w:r>
        <w:t>5.1 Duration</w:t>
      </w:r>
    </w:p>
    <w:p>
      <w:r>
        <w:t>This arrangement remains in effect for 90 days from the date of issuance, unless extended by mutual written consent through Oman. The 90-day period is calculated from the timestamp of issuance recorded in the Shared Digital Registry.</w:t>
      </w:r>
    </w:p>
    <w:p>
      <w:r>
        <w:t>Extension is available once for an additional 60 days. Extension requires: a written request from either Party submitted through Omani channels at least 14 days before expiry, IAEA confirmation that the downblending process is in active progress, and written consent from both Parties transmitted simultaneously to the Omani facilitation team. No further extension is available beyond the total 150-day maximum.</w:t>
      </w:r>
    </w:p>
    <w:p>
      <w:r>
        <w:t>If downblending completes and the IAEA issues its certification before the expiry of the 90-day or extended period, this arrangement terminates automatically upon certification. Early termination does not affect the validity of the certification or any verification activities completed prior to termination.</w:t>
      </w:r>
    </w:p>
    <w:p>
      <w:pPr>
        <w:pStyle w:val="Heading2"/>
      </w:pPr>
      <w:r>
        <w:t>5.2 Termination Conditions</w:t>
      </w:r>
    </w:p>
    <w:p>
      <w:r>
        <w:t>This arrangement terminates automatically upon: IAEA certification of downblending completion, mutual agreement of the Parties transmitted through Omani channels, or material breach by either Party subject to the following remediation protocol.</w:t>
      </w:r>
    </w:p>
    <w:p>
      <w:r>
        <w:t>Material breach for the purposes of this arrangement is defined exclusively as: deliberate interference with IAEA verification activities, deliberate falsification of material accountancy data, unauthorized removal of material subject to this arrangement from designated facilities, or unauthorized transfer of material subject to this arrangement outside Iranian territory.</w:t>
      </w:r>
    </w:p>
    <w:p>
      <w:r>
        <w:t>The remediation protocol for material breach operates as follows: the non-breaching Party notifies the Omani facilitation team and the IAEA Director General within 24 hours of detection. Oman convenes an emergency consultation within 48 hours. A 7-day remediation window opens automatically. If remediation occurs within the window, the arrangement continues. If remediation does not occur, the arrangement terminates and material secures under dual seal pending further agreement.</w:t>
      </w:r>
    </w:p>
    <w:p>
      <w:r>
        <w:t>Either Party terminates this arrangement without cause on 14 days' written notice to the Omani facilitation team and the IAEA Director General. Termination without cause does not constitute breach. All verification activities completed prior to termination remain valid. The IAEA certification, if issued, remains operative. Material secures under dual seal upon termination.</w:t>
      </w:r>
    </w:p>
    <w:p>
      <w:pPr>
        <w:pStyle w:val="Heading2"/>
      </w:pPr>
      <w:r>
        <w:t>5.3 Sovereignty Safeguard</w:t>
      </w:r>
    </w:p>
    <w:p>
      <w:r>
        <w:t>Nothing in this arrangement alters Iran's domestic legal framework, nuclear doctrine, or military posture. All activities occur within Iran's sovereign territory and under its operational control. The framework architecture respects Iran's sovereign legal order in every operational dimension.</w:t>
      </w:r>
    </w:p>
    <w:p>
      <w:r>
        <w:t>This arrangement explicitly does not: authorize the transfer of any nuclear material outside Iran's territorial borders, create a permanent IAEA inspection right beyond the specific arrangement parameters, establish precedent for future verification obligations, require changes to Iran's domestic nuclear legislation, or affect Iran's rights under the NPT or its Safeguards Agreement.</w:t>
      </w:r>
    </w:p>
    <w:p>
      <w:r>
        <w:t>The Parties reaffirm that all nuclear facilities, equipment, and material remain the exclusive sovereign property of the Islamic Republic of Iran. This arrangement creates no transfer of ownership, present or future, explicit or implicit. Iran retains full title and control over all material subject to this arrangement, including all downblended material.</w:t>
      </w:r>
    </w:p>
    <w:p>
      <w:pPr>
        <w:pStyle w:val="Heading1"/>
      </w:pPr>
      <w:r>
        <w:t>Issuance and Signature Block</w:t>
      </w:r>
      <w:bookmarkStart w:name="_TocSig" w:id="7"/>
      <w:bookmarkEnd w:id="7"/>
    </w:p>
    <w:p>
      <w:r>
        <w:t>This arrangement enters into force upon the later of: signature by the authorized representative of the Islamic Republic of Iran, or confirmation of acceptance by the United States Department of State through Omani channels.</w:t>
      </w:r>
    </w:p>
    <w:tbl>
      <w:tblPr>
        <w:tblW w:w="5000" w:type="pct"/>
        <w:tblBorders>
          <w:top w:val="single" w:color="1a5a6a" w:sz="8"/>
          <w:bottom w:val="single" w:color="1a5a6a" w:sz="8"/>
          <w:insideH w:val="single" w:color="c8d0d5" w:sz="4"/>
          <w:insideV w:val="single" w:color="c8d0d5" w:sz="4"/>
        </w:tblBorders>
      </w:tblPr>
      <w:tblGrid>
        <w:gridCol w:w="3000"/>
        <w:gridCol w:w="5000"/>
      </w:tblGrid>
      <w:tr>
        <w:trPr>
          <w:tblHeader/>
        </w:trPr>
        <w:tc>
          <w:tcPr>
            <w:tcW w:w="3000" w:type="dxa"/>
            <w:shd w:val="clear" w:fill="e8eef2"/>
          </w:tcPr>
          <w:p>
            <w:pPr>
              <w:spacing w:before="60" w:after="60"/>
              <w:jc w:val="left"/>
            </w:pPr>
            <w:r>
              <w:rPr>
                <w:b/>
                <w:color w:val="1e2a33"/>
                <w:sz w:val="20"/>
              </w:rPr>
              <w:t>Field</w:t>
            </w:r>
          </w:p>
        </w:tc>
        <w:tc>
          <w:tcPr>
            <w:tcW w:w="5000" w:type="dxa"/>
            <w:shd w:val="clear" w:fill="e8eef2"/>
          </w:tcPr>
          <w:p>
            <w:pPr>
              <w:spacing w:before="60" w:after="60"/>
              <w:jc w:val="left"/>
            </w:pPr>
            <w:r>
              <w:rPr>
                <w:b/>
                <w:color w:val="1e2a33"/>
                <w:sz w:val="20"/>
              </w:rPr>
              <w:t>Entry</w:t>
            </w:r>
          </w:p>
        </w:tc>
      </w:tr>
      <w:tr>
        <w:tc>
          <w:tcPr>
            <w:tcW w:w="3000" w:type="dxa"/>
          </w:tcPr>
          <w:p>
            <w:pPr>
              <w:spacing w:before="40" w:after="40"/>
              <w:jc w:val="left"/>
            </w:pPr>
            <w:r>
              <w:rPr>
                <w:color w:val="4a5a65"/>
                <w:sz w:val="20"/>
              </w:rPr>
              <w:t>Issued by</w:t>
            </w:r>
          </w:p>
        </w:tc>
        <w:tc>
          <w:tcPr>
            <w:tcW w:w="5000" w:type="dxa"/>
          </w:tcPr>
          <w:p>
            <w:pPr>
              <w:spacing w:before="40" w:after="40"/>
              <w:jc w:val="left"/>
            </w:pPr>
            <w:r>
              <w:rPr>
                <w:color w:val="4a5a65"/>
                <w:sz w:val="20"/>
              </w:rPr>
              <w:t>Ministry of Foreign Affairs of the Islamic Republic of Iran / U.S. Department of State</w:t>
            </w:r>
          </w:p>
        </w:tc>
      </w:tr>
      <w:tr>
        <w:tc>
          <w:tcPr>
            <w:tcW w:w="3000" w:type="dxa"/>
          </w:tcPr>
          <w:p>
            <w:pPr>
              <w:spacing w:before="40" w:after="40"/>
              <w:jc w:val="left"/>
            </w:pPr>
            <w:r>
              <w:rPr>
                <w:color w:val="4a5a65"/>
                <w:sz w:val="20"/>
              </w:rPr>
              <w:t>Transmitted via</w:t>
            </w:r>
          </w:p>
        </w:tc>
        <w:tc>
          <w:tcPr>
            <w:tcW w:w="5000" w:type="dxa"/>
          </w:tcPr>
          <w:p>
            <w:pPr>
              <w:spacing w:before="40" w:after="40"/>
              <w:jc w:val="left"/>
            </w:pPr>
            <w:r>
              <w:rPr>
                <w:color w:val="4a5a65"/>
                <w:sz w:val="20"/>
              </w:rPr>
              <w:t>Sultanate of Oman, Ministry of Foreign Affairs</w:t>
            </w:r>
          </w:p>
        </w:tc>
      </w:tr>
      <w:tr>
        <w:tc>
          <w:tcPr>
            <w:tcW w:w="3000" w:type="dxa"/>
          </w:tcPr>
          <w:p>
            <w:pPr>
              <w:spacing w:before="40" w:after="40"/>
              <w:jc w:val="left"/>
            </w:pPr>
            <w:r>
              <w:rPr>
                <w:color w:val="4a5a65"/>
                <w:sz w:val="20"/>
              </w:rPr>
              <w:t>Date</w:t>
            </w:r>
          </w:p>
        </w:tc>
        <w:tc>
          <w:tcPr>
            <w:tcW w:w="5000" w:type="dxa"/>
          </w:tcPr>
          <w:p>
            <w:pPr>
              <w:spacing w:before="40" w:after="40"/>
              <w:jc w:val="left"/>
            </w:pPr>
            <w:r>
              <w:rPr>
                <w:color w:val="4a5a65"/>
                <w:sz w:val="20"/>
              </w:rPr>
              <w:t>Saturday, 11 July 2026</w:t>
            </w:r>
          </w:p>
        </w:tc>
      </w:tr>
      <w:tr>
        <w:tc>
          <w:tcPr>
            <w:tcW w:w="3000" w:type="dxa"/>
          </w:tcPr>
          <w:p>
            <w:pPr>
              <w:spacing w:before="40" w:after="40"/>
              <w:jc w:val="left"/>
            </w:pPr>
            <w:r>
              <w:rPr>
                <w:color w:val="4a5a65"/>
                <w:sz w:val="20"/>
              </w:rPr>
              <w:t>Time</w:t>
            </w:r>
          </w:p>
        </w:tc>
        <w:tc>
          <w:tcPr>
            <w:tcW w:w="5000" w:type="dxa"/>
          </w:tcPr>
          <w:p>
            <w:pPr>
              <w:spacing w:before="40" w:after="40"/>
              <w:jc w:val="left"/>
            </w:pPr>
            <w:r>
              <w:rPr>
                <w:color w:val="4a5a65"/>
                <w:sz w:val="20"/>
              </w:rPr>
              <w:t>[INSERT GST TIME]</w:t>
            </w:r>
          </w:p>
        </w:tc>
      </w:tr>
      <w:tr>
        <w:tc>
          <w:tcPr>
            <w:tcW w:w="3000" w:type="dxa"/>
          </w:tcPr>
          <w:p>
            <w:pPr>
              <w:spacing w:before="40" w:after="40"/>
              <w:jc w:val="left"/>
            </w:pPr>
            <w:r>
              <w:rPr>
                <w:color w:val="4a5a65"/>
                <w:sz w:val="20"/>
              </w:rPr>
              <w:t>Location</w:t>
            </w:r>
          </w:p>
        </w:tc>
        <w:tc>
          <w:tcPr>
            <w:tcW w:w="5000" w:type="dxa"/>
          </w:tcPr>
          <w:p>
            <w:pPr>
              <w:spacing w:before="40" w:after="40"/>
              <w:jc w:val="left"/>
            </w:pPr>
            <w:r>
              <w:rPr>
                <w:color w:val="4a5a65"/>
                <w:sz w:val="20"/>
              </w:rPr>
              <w:t>Muscat, Sultanate of Oman</w:t>
            </w:r>
          </w:p>
        </w:tc>
      </w:tr>
      <w:tr>
        <w:tc>
          <w:tcPr>
            <w:tcW w:w="3000" w:type="dxa"/>
          </w:tcPr>
          <w:p>
            <w:pPr>
              <w:spacing w:before="40" w:after="40"/>
              <w:jc w:val="left"/>
            </w:pPr>
            <w:r>
              <w:rPr>
                <w:color w:val="4a5a65"/>
                <w:sz w:val="20"/>
              </w:rPr>
              <w:t>IAEA Observer</w:t>
            </w:r>
          </w:p>
        </w:tc>
        <w:tc>
          <w:tcPr>
            <w:tcW w:w="5000" w:type="dxa"/>
          </w:tcPr>
          <w:p>
            <w:pPr>
              <w:spacing w:before="40" w:after="40"/>
              <w:jc w:val="left"/>
            </w:pPr>
            <w:r>
              <w:rPr>
                <w:color w:val="4a5a65"/>
                <w:sz w:val="20"/>
              </w:rPr>
              <w:t>[INSERT NAME/TITLE]</w:t>
            </w:r>
          </w:p>
        </w:tc>
      </w:tr>
      <w:tr>
        <w:tc>
          <w:tcPr>
            <w:tcW w:w="3000" w:type="dxa"/>
          </w:tcPr>
          <w:p>
            <w:pPr>
              <w:spacing w:before="40" w:after="40"/>
              <w:jc w:val="left"/>
            </w:pPr>
            <w:r>
              <w:rPr>
                <w:color w:val="4a5a65"/>
                <w:sz w:val="20"/>
              </w:rPr>
              <w:t>Omani Facilitator</w:t>
            </w:r>
          </w:p>
        </w:tc>
        <w:tc>
          <w:tcPr>
            <w:tcW w:w="5000" w:type="dxa"/>
          </w:tcPr>
          <w:p>
            <w:pPr>
              <w:spacing w:before="40" w:after="40"/>
              <w:jc w:val="left"/>
            </w:pPr>
            <w:r>
              <w:rPr>
                <w:color w:val="4a5a65"/>
                <w:sz w:val="20"/>
              </w:rPr>
              <w:t>[INSERT NAME/TITLE]</w:t>
            </w:r>
          </w:p>
        </w:tc>
      </w:tr>
    </w:tbl>
    <w:p>
      <w:r>
        <w:t>The IAEA undertakes the technical functions assigned under this arrangement in accordance with its Statute, safeguards agreements, and the independent authority of the Director General. The IAEA's acceptance is communicated through a separate letter from the Director General to the Omani facilitation team.</w:t>
      </w:r>
    </w:p>
    <w:p>
      <w:r>
        <w:t>This arrangement is issued in the English language. In the event of divergence among translations, the English text prevails. This arrangement is deposited with the Omani Ministry of Foreign Affairs, which serves as the custodian of the official text and distributes certified copies to all Parties.</w:t>
      </w:r>
    </w:p>
    <w:p>
      <w:r>
        <w:t>In witness whereof, the undersigned, being duly authorized by their respective governments, have executed this Technical Arrangement for Nuclear Material Verification and Disposition.</w:t>
      </w:r>
    </w:p>
    <w:sectPr>
      <w:headerReference w:type="default" r:id="Re461cb9fae3e4a4a"/>
      <w:footerReference w:type="default" r:id="R90ac25cdecbc489e"/>
      <w:pgSz w:w="11906" w:h="16838"/>
      <w:pgMar w:top="1800" w:right="1440" w:bottom="1440" w:left="1440" w:header="720" w:footer="720"/>
    </w:sectPr>
  </w:body>
</w:document>
</file>

<file path=word/footer1.xml><?xml version="1.0" encoding="utf-8"?>
<w:ftr xmlns:w="http://schemas.openxmlformats.org/wordprocessingml/2006/main">
  <w:p>
    <w:pPr>
      <w:jc w:val="center"/>
    </w:pPr>
    <w:r>
      <w:rPr>
        <w:color w:val="7a8a95"/>
        <w:sz w:val="18"/>
      </w:rPr>
      <w:fldChar w:fldCharType="begin"/>
    </w:r>
    <w:r>
      <w:rPr>
        <w:color w:val="7a8a95"/>
        <w:sz w:val="18"/>
      </w:rPr>
      <w:instrText xml:space="preserve"> PAGE </w:instrText>
    </w:r>
    <w:r>
      <w:rPr>
        <w:color w:val="7a8a95"/>
        <w:sz w:val="18"/>
      </w:rPr>
      <w:fldChar w:fldCharType="separate"/>
    </w:r>
    <w:r>
      <w:rPr>
        <w:color w:val="7a8a95"/>
        <w:sz w:val="18"/>
      </w:rPr>
      <w:t>1</w:t>
    </w:r>
    <w:r>
      <w:rPr>
        <w:color w:val="7a8a95"/>
        <w:sz w:val="18"/>
      </w:rPr>
      <w:fldChar w:fldCharType="end"/>
    </w:r>
    <w:r>
      <w:rPr>
        <w:color w:val="7a8a95"/>
        <w:sz w:val="18"/>
      </w:rPr>
      <w:t xml:space="preserve"> / </w:t>
    </w:r>
    <w:r>
      <w:rPr>
        <w:color w:val="7a8a95"/>
        <w:sz w:val="18"/>
      </w:rPr>
      <w:fldChar w:fldCharType="begin"/>
    </w:r>
    <w:r>
      <w:rPr>
        <w:color w:val="7a8a95"/>
        <w:sz w:val="18"/>
      </w:rPr>
      <w:instrText xml:space="preserve"> NUMPAGES </w:instrText>
    </w:r>
    <w:r>
      <w:rPr>
        <w:color w:val="7a8a95"/>
        <w:sz w:val="18"/>
      </w:rPr>
      <w:fldChar w:fldCharType="separate"/>
    </w:r>
    <w:r>
      <w:rPr>
        <w:color w:val="7a8a95"/>
        <w:sz w:val="18"/>
      </w:rPr>
      <w:t>1</w:t>
    </w:r>
    <w:r>
      <w:rPr>
        <w:color w:val="7a8a95"/>
        <w:sz w:val="18"/>
      </w:rPr>
      <w:fldChar w:fldCharType="end"/>
    </w:r>
  </w:p>
</w:ftr>
</file>

<file path=word/header1.xml><?xml version="1.0" encoding="utf-8"?>
<w:hdr xmlns:w="http://schemas.openxmlformats.org/wordprocessingml/2006/main">
  <w:p>
    <w:pPr>
      <w:jc w:val="right"/>
    </w:pPr>
    <w:r>
      <w:rPr>
        <w:color w:val="7a8a95"/>
        <w:sz w:val="18"/>
      </w:rPr>
      <w:t>Technical Arrangement for Nuclear Material Verification and Disposition</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80" w:line="300" w:lineRule="auto"/>
    </w:pPr>
    <w:rPr>
      <w:rFonts w:ascii="Calibri" w:hAnsi="Calibri" w:eastAsia="Microsoft YaHei"/>
      <w:color w:val="1e2a33"/>
      <w:sz w:val="22"/>
    </w:rPr>
  </w:style>
  <w:style w:type="paragraph" w:styleId="Heading1">
    <w:name w:val="heading 1"/>
    <w:basedOn w:val="Normal"/>
    <w:pPr>
      <w:keepNext/>
      <w:keepLines/>
      <w:spacing w:before="480" w:after="200"/>
      <w:outlineLvl w:val="0"/>
    </w:pPr>
    <w:rPr>
      <w:rFonts w:ascii="Calibri" w:hAnsi="Calibri" w:eastAsia="Microsoft YaHei"/>
      <w:b/>
      <w:color w:val="1a5a6a"/>
      <w:sz w:val="36"/>
    </w:rPr>
  </w:style>
  <w:style w:type="paragraph" w:styleId="Heading2">
    <w:name w:val="heading 2"/>
    <w:basedOn w:val="Normal"/>
    <w:pPr>
      <w:keepNext/>
      <w:keepLines/>
      <w:spacing w:before="360" w:after="160"/>
      <w:outlineLvl w:val="1"/>
    </w:pPr>
    <w:rPr>
      <w:rFonts w:ascii="Calibri" w:hAnsi="Calibri" w:eastAsia="Microsoft YaHei"/>
      <w:b/>
      <w:color w:val="1e2a33"/>
      <w:sz w:val="28"/>
    </w:rPr>
  </w:style>
  <w:style w:type="paragraph" w:styleId="Heading3">
    <w:name w:val="heading 3"/>
    <w:basedOn w:val="Normal"/>
    <w:pPr>
      <w:keepNext/>
      <w:keepLines/>
      <w:spacing w:before="280" w:after="120"/>
      <w:outlineLvl w:val="2"/>
    </w:pPr>
    <w:rPr>
      <w:rFonts w:ascii="Calibri" w:hAnsi="Calibri" w:eastAsia="Microsoft YaHei"/>
      <w:b/>
      <w:color w:val="4a5a65"/>
      <w:sz w:val="24"/>
    </w:rPr>
  </w:style>
  <w:style w:type="paragraph" w:styleId="Caption">
    <w:name w:val="Caption"/>
    <w:basedOn w:val="Normal"/>
    <w:pPr>
      <w:spacing w:before="60" w:after="280"/>
      <w:jc w:val="center"/>
    </w:pPr>
    <w:rPr>
      <w:color w:val="7a8a95"/>
      <w:sz w:val="20"/>
    </w:rPr>
  </w:style>
  <w:style w:type="paragraph" w:styleId="TOC1">
    <w:name w:val="toc 1"/>
    <w:basedOn w:val="Normal"/>
    <w:pPr>
      <w:tabs>
        <w:tab w:val="right" w:leader="dot" w:pos="9350"/>
      </w:tabs>
      <w:spacing w:before="200" w:after="60"/>
      <w:ind w:left="0"/>
    </w:pPr>
    <w:rPr>
      <w:b/>
      <w:color w:val="1e2a33"/>
    </w:rPr>
  </w:style>
  <w:style w:type="paragraph" w:styleId="TOC2">
    <w:name w:val="toc 2"/>
    <w:basedOn w:val="Normal"/>
    <w:pPr>
      <w:tabs>
        <w:tab w:val="right" w:leader="dot" w:pos="9350"/>
      </w:tabs>
      <w:spacing w:before="60" w:after="60"/>
      <w:ind w:left="360"/>
    </w:pPr>
    <w:rPr>
      <w:color w:val="4a5a65"/>
    </w:rPr>
  </w:style>
  <w:style w:type="paragraph" w:styleId="TOC3">
    <w:name w:val="toc 3"/>
    <w:basedOn w:val="Normal"/>
    <w:pPr>
      <w:tabs>
        <w:tab w:val="right" w:leader="dot" w:pos="9350"/>
      </w:tabs>
      <w:spacing w:before="60" w:after="60"/>
      <w:ind w:left="720"/>
    </w:pPr>
    <w:rPr>
      <w:color w:val="4a5a65"/>
    </w:rPr>
  </w:style>
</w:styles>
</file>

<file path=word/_rels/document.xml.rels><?xml version='1.0' encoding='UTF-8'?>
<Relationships xmlns="http://schemas.openxmlformats.org/package/2006/relationships"><Relationship Type="http://schemas.openxmlformats.org/officeDocument/2006/relationships/styles" Target="styles.xml" Id="R22f5cb2af5814222" /><Relationship Type="http://schemas.openxmlformats.org/officeDocument/2006/relationships/numbering" Target="numbering.xml" Id="R3e8aba04f3714fba" /><Relationship Type="http://schemas.openxmlformats.org/officeDocument/2006/relationships/image" Target="media/image.png" Id="R71e76e6852cb4948" /><Relationship Type="http://schemas.openxmlformats.org/officeDocument/2006/relationships/header" Target="header1.xml" Id="Re461cb9fae3e4a4a" /><Relationship Type="http://schemas.openxmlformats.org/officeDocument/2006/relationships/footer" Target="footer1.xml" Id="R90ac25cdecbc489e" /><Relationship Type="http://schemas.openxmlformats.org/officeDocument/2006/relationships/settings" Target="settings.xml" Id="Rafb5368d1a73477a" /></Relationships>
</file>