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e28ee5483b9d4824"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22cf3432dafa4c66"/>
                    <a:stretch>
                      <a:fillRect/>
                    </a:stretch>
                  </pic:blipFill>
                  <pic:spPr>
                    <a:xfrm>
                      <a:off x="0" y="0"/>
                      <a:ext cx="7560000" cy="10692000"/>
                    </a:xfrm>
                    <a:prstGeom prst="rect"/>
                  </pic:spPr>
                </pic:pic>
              </a:graphicData>
            </a:graphic>
          </wp:anchor>
        </w:drawing>
      </w:r>
    </w:p>
    <w:p>
      <w:pPr>
        <w:spacing w:before="3600"/>
      </w:pPr>
      <w:r/>
    </w:p>
    <w:p>
      <w:pPr>
        <w:spacing w:after="200"/>
        <w:jc w:val="center"/>
      </w:pPr>
      <w:r>
        <w:rPr>
          <w:rFonts w:ascii="Cambria" w:hAnsi="Cambria"/>
          <w:color w:val="c9a84c"/>
          <w:spacing w:val="60"/>
          <w:sz w:val="28"/>
        </w:rPr>
        <w:t>ANNEX LN</w:t>
      </w:r>
    </w:p>
    <w:p>
      <w:pPr>
        <w:spacing w:after="400"/>
        <w:jc w:val="center"/>
      </w:pPr>
      <w:r>
        <w:rPr>
          <w:rFonts w:ascii="Cambria" w:hAnsi="Cambria"/>
          <w:color w:val="f8fafc"/>
          <w:spacing w:val="30"/>
          <w:sz w:val="72"/>
        </w:rPr>
        <w:t>Lebanon Non-Attribution</w:t>
      </w:r>
    </w:p>
    <w:p>
      <w:pPr>
        <w:spacing w:after="600"/>
        <w:jc w:val="center"/>
      </w:pPr>
      <w:r>
        <w:rPr>
          <w:rFonts w:ascii="Cambria" w:hAnsi="Cambria"/>
          <w:color w:val="f8fafc"/>
          <w:spacing w:val="30"/>
          <w:sz w:val="72"/>
        </w:rPr>
        <w:t>&amp; Stabilization Protocol</w:t>
      </w:r>
    </w:p>
    <w:p>
      <w:pPr>
        <w:spacing w:after="1200"/>
        <w:jc w:val="center"/>
      </w:pPr>
      <w:r>
        <w:rPr>
          <w:rFonts w:ascii="Cambria" w:hAnsi="Cambria"/>
          <w:color w:val="c9a84c"/>
          <w:spacing w:val="40"/>
          <w:sz w:val="24"/>
        </w:rPr>
        <w:t>A Firewalled, Verifiable Framework for the Levant Front</w:t>
      </w:r>
    </w:p>
    <w:p>
      <w:pPr>
        <w:spacing w:after="200"/>
        <w:jc w:val="center"/>
      </w:pPr>
      <w:r>
        <w:rPr>
          <w:rFonts w:ascii="Cambria" w:hAnsi="Cambria"/>
          <w:color w:val="94a3b8"/>
          <w:sz w:val="22"/>
        </w:rPr>
        <w:t>Strict Adherence to the Immutable Present-Tense Matrix v2.5</w:t>
      </w:r>
    </w:p>
    <w:p>
      <w:pPr>
        <w:spacing w:after="200"/>
        <w:jc w:val="center"/>
      </w:pPr>
      <w:r>
        <w:rPr>
          <w:rFonts w:ascii="Cambria" w:hAnsi="Cambria"/>
          <w:color w:val="94a3b8"/>
          <w:sz w:val="22"/>
        </w:rPr>
        <w:t>All Provisions Rendered in Active Present-Tense Sovereign Voice</w:t>
      </w:r>
    </w:p>
    <w:p>
      <w:pPr>
        <w:spacing w:before="2400"/>
        <w:jc w:val="center"/>
      </w:pPr>
      <w:r>
        <w:rPr>
          <w:rFonts w:ascii="Cambria" w:hAnsi="Cambria"/>
          <w:color w:val="94a3b8"/>
          <w:sz w:val="20"/>
        </w:rPr>
        <w:t>Modular  ·  Self-Contained  ·  Incorporable by Reference</w:t>
      </w:r>
    </w:p>
    <w:p>
      <w:pPr>
        <w:spacing w:before="400"/>
        <w:jc w:val="center"/>
      </w:pPr>
      <w:r>
        <w:rPr>
          <w:rFonts w:ascii="Cambria" w:hAnsi="Cambria"/>
          <w:color w:val="94a3b8"/>
          <w:sz w:val="20"/>
        </w:rPr>
        <w:t>June 2026</w:t>
      </w:r>
    </w:p>
    <w:p>
      <w:pPr>
        <w:sectPr>
          <w:type w:val="nextPage"/>
          <w:pgSz w:w="11906" w:h="16838"/>
          <w:pgMar w:top="0" w:right="0" w:bottom="0" w:left="0" w:header="0" w:footer="0"/>
          <w:titlePg/>
        </w:sectPr>
      </w:pPr>
    </w:p>
    <w:p>
      <w:pPr>
        <w:pStyle w:val="Heading1"/>
      </w:pPr>
      <w:r>
        <w:t>Table of Contents</w:t>
      </w:r>
    </w:p>
    <w:p>
      <w:pPr>
        <w:spacing w:after="300"/>
      </w:pPr>
      <w:r>
        <w:rPr>
          <w:color w:val="94a3b8"/>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1</w:t>
      </w:r>
    </w:p>
    <w:p>
      <w:pPr>
        <w:pStyle w:val="TOC1"/>
      </w:pPr>
      <w:r>
        <w:t>Section 1: The Structural Firewall (Cascade Barrier)</w:t>
      </w:r>
      <w:r>
        <w:tab/>
      </w:r>
      <w:r>
        <w:t>2</w:t>
      </w:r>
    </w:p>
    <w:p>
      <w:pPr>
        <w:pStyle w:val="TOC2"/>
      </w:pPr>
      <w:r>
        <w:t>1.1 The Firewall Principle</w:t>
      </w:r>
      <w:r>
        <w:tab/>
      </w:r>
      <w:r>
        <w:t>2</w:t>
      </w:r>
    </w:p>
    <w:p>
      <w:pPr>
        <w:pStyle w:val="TOC2"/>
      </w:pPr>
      <w:r>
        <w:t>1.2 The Cascade Barrier</w:t>
      </w:r>
      <w:r>
        <w:tab/>
      </w:r>
      <w:r>
        <w:t>2</w:t>
      </w:r>
    </w:p>
    <w:p>
      <w:pPr>
        <w:pStyle w:val="TOC2"/>
      </w:pPr>
      <w:r>
        <w:t>1.3 Dual-Key Escalation Lock</w:t>
      </w:r>
      <w:r>
        <w:tab/>
      </w:r>
      <w:r>
        <w:t>3</w:t>
      </w:r>
    </w:p>
    <w:p>
      <w:pPr>
        <w:pStyle w:val="TOC1"/>
      </w:pPr>
      <w:r>
        <w:t>Section 2: Non-Attribution Protocol</w:t>
      </w:r>
      <w:r>
        <w:tab/>
      </w:r>
      <w:r>
        <w:t>3</w:t>
      </w:r>
    </w:p>
    <w:p>
      <w:pPr>
        <w:pStyle w:val="TOC2"/>
      </w:pPr>
      <w:r>
        <w:t>2.1 The Non-Attribution Principle</w:t>
      </w:r>
      <w:r>
        <w:tab/>
      </w:r>
      <w:r>
        <w:t>3</w:t>
      </w:r>
    </w:p>
    <w:p>
      <w:pPr>
        <w:pStyle w:val="TOC2"/>
      </w:pPr>
      <w:r>
        <w:t>2.2 The Verification Standard</w:t>
      </w:r>
      <w:r>
        <w:tab/>
      </w:r>
      <w:r>
        <w:t>4</w:t>
      </w:r>
    </w:p>
    <w:p>
      <w:pPr>
        <w:pStyle w:val="TOC2"/>
      </w:pPr>
      <w:r>
        <w:t>2.3 Proxy Influence Presumption</w:t>
      </w:r>
      <w:r>
        <w:tab/>
      </w:r>
      <w:r>
        <w:t>4</w:t>
      </w:r>
    </w:p>
    <w:p>
      <w:pPr>
        <w:pStyle w:val="TOC1"/>
      </w:pPr>
      <w:r>
        <w:t>Section 3: Proxy Operational Pause</w:t>
      </w:r>
      <w:r>
        <w:tab/>
      </w:r>
      <w:r>
        <w:t>5</w:t>
      </w:r>
    </w:p>
    <w:p>
      <w:pPr>
        <w:pStyle w:val="TOC2"/>
      </w:pPr>
      <w:r>
        <w:t>3.1 Phase 1 (Days 1-30)</w:t>
      </w:r>
      <w:r>
        <w:tab/>
      </w:r>
      <w:r>
        <w:t>5</w:t>
      </w:r>
    </w:p>
    <w:p>
      <w:pPr>
        <w:pStyle w:val="TOC2"/>
      </w:pPr>
      <w:r>
        <w:t>3.2 Phase 2 (Days 31-90)</w:t>
      </w:r>
      <w:r>
        <w:tab/>
      </w:r>
      <w:r>
        <w:t>5</w:t>
      </w:r>
    </w:p>
    <w:p>
      <w:pPr>
        <w:pStyle w:val="TOC2"/>
      </w:pPr>
      <w:r>
        <w:t>3.3 Phase 3 (Days 91-180)</w:t>
      </w:r>
      <w:r>
        <w:tab/>
      </w:r>
      <w:r>
        <w:t>5</w:t>
      </w:r>
    </w:p>
    <w:p>
      <w:pPr>
        <w:pStyle w:val="TOC2"/>
      </w:pPr>
      <w:r>
        <w:t>3.4 Iran's Influence Commitment</w:t>
      </w:r>
      <w:r>
        <w:tab/>
      </w:r>
      <w:r>
        <w:t>6</w:t>
      </w:r>
    </w:p>
    <w:p>
      <w:pPr>
        <w:pStyle w:val="TOC2"/>
      </w:pPr>
      <w:r>
        <w:t>3.5 Compliance Credits</w:t>
      </w:r>
      <w:r>
        <w:tab/>
      </w:r>
      <w:r>
        <w:t>6</w:t>
      </w:r>
    </w:p>
    <w:p>
      <w:pPr>
        <w:pStyle w:val="TOC1"/>
      </w:pPr>
      <w:r>
        <w:t>Section 4: Escalation Ladder (Three-Tier)</w:t>
      </w:r>
      <w:r>
        <w:tab/>
      </w:r>
      <w:r>
        <w:t>7</w:t>
      </w:r>
    </w:p>
    <w:p>
      <w:pPr>
        <w:pStyle w:val="TOC1"/>
      </w:pPr>
      <w:r>
        <w:t>Section 5: De-Escalation Channel (The Oman Back-Channel)</w:t>
      </w:r>
      <w:r>
        <w:tab/>
      </w:r>
      <w:r>
        <w:t>8</w:t>
      </w:r>
    </w:p>
    <w:p>
      <w:pPr>
        <w:pStyle w:val="TOC1"/>
      </w:pPr>
      <w:r>
        <w:t>Section 6: Third-Party Escalation Protection</w:t>
      </w:r>
      <w:r>
        <w:tab/>
      </w:r>
      <w:r>
        <w:t>9</w:t>
      </w:r>
    </w:p>
    <w:p>
      <w:pPr>
        <w:pStyle w:val="TOC1"/>
      </w:pPr>
      <w:r>
        <w:t>Section 7: The Lebanon Stability Corridor</w:t>
      </w:r>
      <w:r>
        <w:tab/>
      </w:r>
      <w:r>
        <w:t>10</w:t>
      </w:r>
    </w:p>
    <w:p>
      <w:pPr>
        <w:pStyle w:val="TOC1"/>
      </w:pPr>
      <w:r>
        <w:t>Section 8: Impairment Adjudication Process</w:t>
      </w:r>
      <w:r>
        <w:tab/>
      </w:r>
      <w:r>
        <w:t>11</w:t>
      </w:r>
    </w:p>
    <w:p>
      <w:pPr>
        <w:pStyle w:val="TOC1"/>
      </w:pPr>
      <w:r>
        <w:t>Section 9: Governance and Verification</w:t>
      </w:r>
      <w:r>
        <w:tab/>
      </w:r>
      <w:r>
        <w:t>12</w:t>
      </w:r>
    </w:p>
    <w:p>
      <w:pPr>
        <w:pStyle w:val="TOC1"/>
      </w:pPr>
      <w:r>
        <w:t>Section 10: Exit and Duration</w:t>
      </w:r>
      <w:r>
        <w:tab/>
      </w:r>
      <w:r>
        <w:t>13</w:t>
      </w:r>
    </w:p>
    <w:p>
      <w:pPr>
        <w:pStyle w:val="TOC1"/>
      </w:pPr>
      <w:r>
        <w:t>Innovation Summary</w:t>
      </w:r>
      <w:r>
        <w:tab/>
      </w:r>
      <w:r>
        <w:t>14</w:t>
      </w:r>
    </w:p>
    <w:p>
      <w:pPr>
        <w:pStyle w:val="TOC1"/>
      </w:pPr>
      <w:r>
        <w:t>Signature Block</w:t>
      </w:r>
      <w:r>
        <w:tab/>
      </w:r>
      <w:r>
        <w:t>15</w:t>
      </w:r>
    </w:p>
    <w:p>
      <w:r>
        <w:fldChar w:fldCharType="end"/>
      </w:r>
    </w:p>
    <w:p>
      <w:pPr>
        <w:sectPr>
          <w:type w:val="nextPage"/>
          <w:pgSz w:w="11906" w:h="16838"/>
          <w:pgMar w:top="1800" w:right="1440" w:bottom="1440" w:left="1440" w:header="720" w:footer="720"/>
        </w:sectPr>
      </w:pPr>
    </w:p>
    <w:p>
      <w:pPr>
        <w:pStyle w:val="Heading1"/>
      </w:pPr>
      <w:r>
        <w:t>Preamble</w:t>
      </w:r>
    </w:p>
    <w:p>
      <w:pPr>
        <w:ind w:firstLine="0"/>
      </w:pPr>
      <w:r>
        <w:t xml:space="preserve">The Parties adopt this Annex LN as an operative provision of the Agreement. In the event of any inconsistency, Annex LN governs with respect to the Lebanon front, the proxy operational pause, the non-attribution protocol, and the structural firewall.</w:t>
      </w:r>
    </w:p>
    <w:p>
      <w:pPr>
        <w:pStyle w:val="Heading2"/>
      </w:pPr>
      <w:r>
        <w:t>Purpose</w:t>
      </w:r>
    </w:p>
    <w:p>
      <w:pPr>
        <w:ind w:firstLine="0"/>
      </w:pPr>
      <w:r>
        <w:t xml:space="preserve">This Annex establishes a firewalled, verifiable framework for containing and managing the Lebanon front. The architecture prevents localized incidents from collapsing the core United States-Iran nuclear, maritime, and economic tracks.</w:t>
      </w:r>
    </w:p>
    <w:p>
      <w:pPr>
        <w:ind w:firstLine="0"/>
      </w:pPr>
      <w:r>
        <w:t xml:space="preserve">The framework achieves the following purposes through this Annex:</w:t>
      </w:r>
    </w:p>
    <w:p>
      <w:pPr>
        <w:ind w:firstLine="0"/>
      </w:pPr>
      <w:r>
        <w:t xml:space="preserve">Lebanon containment: A lapse on the Lebanon front suspends only the Lebanon unit under the proportionality scale. The nuclear, maritime, and economic tracks continue without interruption.</w:t>
      </w:r>
    </w:p>
    <w:p>
      <w:pPr>
        <w:ind w:firstLine="0"/>
      </w:pPr>
      <w:r>
        <w:t xml:space="preserve">Non-attribution firewall: A Hezbollah action in Lebanon does not automatically attribute to Iran. Attribution requires a joint finding by the Joint Coordination Center, confirmed by the Human-in-the-Loop Review, that Iran exercised direct operational control over a specific operation.</w:t>
      </w:r>
    </w:p>
    <w:p>
      <w:pPr>
        <w:ind w:firstLine="0"/>
      </w:pPr>
      <w:r>
        <w:t xml:space="preserve">Outcome-based compliance: Iran's compliance is measured by observable outcomes on the ground, verified by telemetry and neutral observers, not by the production of internal communications or guarantees of Hezbollah's conduct.</w:t>
      </w:r>
    </w:p>
    <w:p>
      <w:pPr>
        <w:pStyle w:val="Heading2"/>
      </w:pPr>
      <w:r>
        <w:t>The Bridge</w:t>
      </w:r>
    </w:p>
    <w:p>
      <w:pPr>
        <w:ind w:firstLine="0"/>
      </w:pPr>
      <w:r>
        <w:t xml:space="preserve">This Annex creates a reciprocal political exchange. Iran receives a formal role in ending the "war on all fronts." The United States receives a legally firewalled architecture that prevents Hezbollah from becoming a veto point over the core agreement.</w:t>
      </w:r>
    </w:p>
    <w:p>
      <w:pPr>
        <w:ind w:firstLine="0"/>
      </w:pPr>
      <w:r>
        <w:t xml:space="preserve">The framework architecture treats this exchange as synchronized reciprocal motion: both Parties move simultaneously. Neither Party moves alone.</w:t>
      </w:r>
    </w:p>
    <w:p>
      <w:pPr>
        <w:pStyle w:val="Heading2"/>
      </w:pPr>
      <w:r>
        <w:t>Modularity Clause</w:t>
      </w:r>
    </w:p>
    <w:p>
      <w:pPr>
        <w:ind w:firstLine="0"/>
      </w:pPr>
      <w:r>
        <w:t xml:space="preserve">The Parties adopt Annex LN as an operative provision of this Agreement. In the event of any inconsistency, Annex LN governs with respect to the Lebanon front, the proxy operational pause, the non-attribution protocol, and the structural firewall.</w:t>
      </w:r>
    </w:p>
    <w:p>
      <w:pPr>
        <w:ind w:firstLine="0"/>
      </w:pPr>
      <w:r>
        <w:t xml:space="preserve">This Annex is self-contained. The Parties incorporate it into any existing or future agreement through a single sentence of adoption. No amendment of the parent Agreement is required for this Annex to enter into force. This Annex enters into force upon signature by both Parties or provisional application by exchange of diplomatic notes.</w:t>
      </w:r>
    </w:p>
    <w:p>
      <w:pPr>
        <w:pStyle w:val="Heading2"/>
      </w:pPr>
      <w:r>
        <w:t>Core Drafting Principles</w:t>
      </w:r>
    </w:p>
    <w:p>
      <w:pPr>
        <w:ind w:firstLine="0"/>
      </w:pPr>
      <w:r>
        <w:t xml:space="preserve">The following interpretive principles govern every provision of this Annex:</w:t>
      </w:r>
    </w:p>
    <w:p>
      <w:pPr>
        <w:ind w:firstLine="0"/>
      </w:pPr>
      <w:r>
        <w:t xml:space="preserve">Present-tense mutual architecture: Each provision functions as a feature of the shared framework, binding both Parties equally, rather than a unilateral restraint by one Party for the benefit of the other.</w:t>
      </w:r>
    </w:p>
    <w:p>
      <w:pPr>
        <w:ind w:firstLine="0"/>
      </w:pPr>
      <w:r>
        <w:t xml:space="preserve">Sovereign reciprocal motion: Every commitment is a feature of the shared framework, not a unilateral concession. The framework attributes constraints to the system itself, not to either Party's choice.</w:t>
      </w:r>
    </w:p>
    <w:p>
      <w:pPr>
        <w:ind w:firstLine="0"/>
      </w:pPr>
      <w:r>
        <w:t xml:space="preserve">Outcome-based measurement: Compliance is measured by observable outcomes on the ground, verified by telemetry and neutral observers, not by the production of internal communications or guarantees of non-state actor conduct.</w:t>
      </w:r>
    </w:p>
    <w:p>
      <w:pPr>
        <w:ind w:firstLine="0"/>
      </w:pPr>
      <w:r>
        <w:t xml:space="preserve">No-precedent preservation: This Protocol creates no legal precedent and applies only to the circumstances of June 2026. No inference may be drawn from any provision regarding positions on any matter not expressly addressed herein.</w:t>
      </w:r>
    </w:p>
    <w:p>
      <w:pPr>
        <w:pStyle w:val="Heading1"/>
      </w:pPr>
      <w:r>
        <w:t>Section 1: The Structural Firewall (Cascade Barrier)</w:t>
      </w:r>
    </w:p>
    <w:p>
      <w:pPr>
        <w:ind w:firstLine="0"/>
      </w:pPr>
      <w:r>
        <w:t xml:space="preserve">This section establishes the cascade barrier that prevents a Lebanon incident from automatically triggering a breach, penalty, or suspension in the nuclear, maritime, or economic core modules. This is the non-negotiable foundational rule of the framework.</w:t>
      </w:r>
    </w:p>
    <w:p>
      <w:pPr>
        <w:pStyle w:val="Heading2"/>
      </w:pPr>
      <w:r>
        <w:t>1.1 The Firewall Principle</w:t>
      </w:r>
    </w:p>
    <w:p>
      <w:pPr>
        <w:ind w:firstLine="0"/>
      </w:pPr>
      <w:r>
        <w:t xml:space="preserve">A lapse on the Lebanon front suspends only the Lebanon unit under the proportionality scale. The nuclear, maritime, and economic tracks continue without interruption.</w:t>
      </w:r>
    </w:p>
    <w:p>
      <w:pPr>
        <w:ind w:firstLine="0"/>
      </w:pPr>
      <w:r>
        <w:t xml:space="preserve">The framework architecture excludes automatic contagion from the Lebanon module to any other module. A Lebanon incident has no automatic effect on any other reciprocity unit. The firewall operates as a permanent structural feature of the framework, not as a conditional protection.</w:t>
      </w:r>
    </w:p>
    <w:p>
      <w:pPr>
        <w:ind w:firstLine="0"/>
      </w:pPr>
      <w:r>
        <w:t xml:space="preserve">The following specific protections activate automatically under the firewall principle:</w:t>
      </w:r>
    </w:p>
    <w:p>
      <w:pPr>
        <w:ind w:firstLine="0"/>
      </w:pPr>
      <w:r>
        <w:t xml:space="preserve">Nuclear track protection: No Lebanon incident affects the IAEA custody regime, the enrichment monitoring architecture, the seal integrity system, or the Joint Disposition Fund.</w:t>
      </w:r>
    </w:p>
    <w:p>
      <w:pPr>
        <w:ind w:firstLine="0"/>
      </w:pPr>
      <w:r>
        <w:t xml:space="preserve">Maritime track protection: No Lebanon incident affects the Strait of Hormuz transit protocol, the Joint Hormuz Transit Authority operations, the naval posture stand-off, or the maritime coordination center.</w:t>
      </w:r>
    </w:p>
    <w:p>
      <w:pPr>
        <w:ind w:firstLine="0"/>
      </w:pPr>
      <w:r>
        <w:t xml:space="preserve">Economic track protection: No Lebanon incident affects sanctions relief tranches, escrow releases, SWIFT reconnection phases, or the frozen asset release schedule.</w:t>
      </w:r>
    </w:p>
    <w:p>
      <w:pPr>
        <w:pStyle w:val="Heading2"/>
      </w:pPr>
      <w:r>
        <w:t>1.2 The Cascade Barrier</w:t>
      </w:r>
    </w:p>
    <w:p>
      <w:pPr>
        <w:ind w:firstLine="0"/>
      </w:pPr>
      <w:r>
        <w:t xml:space="preserve">The framework excludes automatic contagion. A Lebanon incident has no automatic effect on any other reciprocity unit. The cascade barrier operates through the following mechanical architecture:</w:t>
      </w:r>
    </w:p>
    <w:p>
      <w:pPr>
        <w:ind w:firstLine="0"/>
      </w:pPr>
      <w:r>
        <w:t xml:space="preserve">Band isolation: The Lebanon front processes exclusively through Band One (Micro-Processing). No Lebanon incident routes automatically to Band Two or Band Three.</w:t>
      </w:r>
    </w:p>
    <w:p>
      <w:pPr>
        <w:ind w:firstLine="0"/>
      </w:pPr>
      <w:r>
        <w:t xml:space="preserve">Core Protection Filter application: A Lebanon incident passes through the Core Protection Filter only after satisfying all three criteria of the Pressure Test: Core-Level Threat Criterion, Band Exhaustion Criterion, and Party Confirmation Criterion.</w:t>
      </w:r>
    </w:p>
    <w:p>
      <w:pPr>
        <w:ind w:firstLine="0"/>
      </w:pPr>
      <w:r>
        <w:t xml:space="preserve">Reciprocity Ledger separation: The Lebanon Stability Corridor maintains a separate ledger entry. A Lebanon deficit does not cross-post to the Nuclear, Maritime, or Economic Corridor balances.</w:t>
      </w:r>
    </w:p>
    <w:p>
      <w:pPr>
        <w:ind w:firstLine="0"/>
      </w:pPr>
      <w:r>
        <w:t xml:space="preserve">Synchronization Clock partial pause: A significant Lebanon incident (Level 3 on the escalation ladder) pauses only the Lebanon unit's clock. The nuclear, maritime, and economic clocks continue running.</w:t>
      </w:r>
    </w:p>
    <w:p>
      <w:pPr>
        <w:pStyle w:val="Heading2"/>
      </w:pPr>
      <w:r>
        <w:t>1.3 Dual-Key Escalation Lock</w:t>
      </w:r>
    </w:p>
    <w:p>
      <w:pPr>
        <w:ind w:firstLine="0"/>
      </w:pPr>
      <w:r>
        <w:t xml:space="preserve">Cross-module spillover requires two independent confirmations before any Lebanon incident affects non-Lebanon modules. The dual-key mechanism operates as follows:</w:t>
      </w:r>
    </w:p>
    <w:p>
      <w:pPr>
        <w:ind w:firstLine="0"/>
      </w:pPr>
      <w:r>
        <w:t xml:space="preserve">First key — Joint Coordination Center finding: The JCC issues a finding of direct material impairment. The finding identifies the specific nuclear, maritime, or economic obligation that the Lebanon incident materially impairs. Generalized assertions of regional instability do not satisfy this standard.</w:t>
      </w:r>
    </w:p>
    <w:p>
      <w:pPr>
        <w:ind w:firstLine="0"/>
      </w:pPr>
      <w:r>
        <w:t xml:space="preserve">Second key — UN Security Council determination: The UN Security Council issues a determination within 72 hours that the incident resulted from a direct, verifiable order from Iran's Supreme Leader. The determination requires three independent sources of verification: satellite imagery, neutral observer reports, and signals intelligence.</w:t>
      </w:r>
    </w:p>
    <w:p>
      <w:pPr>
        <w:ind w:firstLine="0"/>
      </w:pPr>
      <w:r>
        <w:t xml:space="preserve">Absent both keys: The nuclear and maritime cores continue unchanged. No single actor exploits ambiguity to collapse the deal. The dual-key requirement means that cross-module spillover is structurally impossible without multilateral confirmation at the highest level.</w:t>
      </w:r>
    </w:p>
    <w:p>
      <w:pPr>
        <w:ind w:firstLine="0"/>
      </w:pPr>
      <w:r>
        <w:t xml:space="preserve">This dual-key mechanism constitutes an innovation in treaty architecture. It prevents any single actor — whether a Party, a verification body, or a third state — from unilaterally collapsing the core agreement through a Lebanon-related complaint.</w:t>
      </w:r>
    </w:p>
    <w:p>
      <w:pPr>
        <w:pStyle w:val="Heading1"/>
      </w:pPr>
      <w:r>
        <w:t>Section 2: Non-Attribution Protocol</w:t>
      </w:r>
    </w:p>
    <w:p>
      <w:pPr>
        <w:ind w:firstLine="0"/>
      </w:pPr>
      <w:r>
        <w:t xml:space="preserve">This section establishes the standard by which a Hezbollah action in Lebanon does or does not attribute to Iran. The protocol closes the "plausible deniability" loophole while preserving the non-attribution standard.</w:t>
      </w:r>
    </w:p>
    <w:p>
      <w:pPr>
        <w:pStyle w:val="Heading2"/>
      </w:pPr>
      <w:r>
        <w:t>2.1 The Non-Attribution Principle</w:t>
      </w:r>
    </w:p>
    <w:p>
      <w:pPr>
        <w:ind w:firstLine="0"/>
      </w:pPr>
      <w:r>
        <w:t xml:space="preserve">A Hezbollah action in Lebanon does not automatically attribute to Iran. The framework architecture presumes non-attribution as the default state. Only a joint finding by the Joint Coordination Center, confirmed by the Human-in-the-Loop Review, that Iran exercised direct operational control over a specific operation constitutes an attributable breach.</w:t>
      </w:r>
    </w:p>
    <w:p>
      <w:pPr>
        <w:ind w:firstLine="0"/>
      </w:pPr>
      <w:r>
        <w:t xml:space="preserve">The following specific elements define the non-attribution standard:</w:t>
      </w:r>
    </w:p>
    <w:p>
      <w:pPr>
        <w:ind w:firstLine="0"/>
      </w:pPr>
      <w:r>
        <w:t xml:space="preserve">Default presumption: The framework presumes that Hezbollah actions in Lebanese territory are not attributable to Iran unless the JCC overturns this presumption through the procedure described in this section.</w:t>
      </w:r>
    </w:p>
    <w:p>
      <w:pPr>
        <w:ind w:firstLine="0"/>
      </w:pPr>
      <w:r>
        <w:t xml:space="preserve">Operational control standard: Attribution requires evidence that Iran exercised direct operational control over a specific operation. Direct operational control means: Iran selected the target, Iran set the timing, Iran provided the specific weapons or equipment used in the operation, or Iran gave a direct order for the operation to proceed.</w:t>
      </w:r>
    </w:p>
    <w:p>
      <w:pPr>
        <w:ind w:firstLine="0"/>
      </w:pPr>
      <w:r>
        <w:t xml:space="preserve">General influence is not operational control: The framework distinguishes between general influence (diplomatic, political, financial, or relational support) and direct operational control. General influence alone does not satisfy the attribution standard.</w:t>
      </w:r>
    </w:p>
    <w:p>
      <w:pPr>
        <w:pStyle w:val="Heading2"/>
      </w:pPr>
      <w:r>
        <w:t>2.2 The Verification Standard</w:t>
      </w:r>
    </w:p>
    <w:p>
      <w:pPr>
        <w:ind w:firstLine="0"/>
      </w:pPr>
      <w:r>
        <w:t xml:space="preserve">Attribution requires three independent sources confirming direct operational control. The framework architecture accepts the following evidence types:</w:t>
      </w:r>
    </w:p>
    <w:p>
      <w:pPr>
        <w:ind w:firstLine="0"/>
      </w:pPr>
      <w:r>
        <w:t xml:space="preserve">Satellite imagery: Geospatial intelligence showing Iranian Revolutionary Guard Corps personnel at the launch site, Iranian supply convoys delivering weapons to the specific attack location, or Iranian command vehicles in operational proximity during the attack window.</w:t>
      </w:r>
    </w:p>
    <w:p>
      <w:pPr>
        <w:ind w:firstLine="0"/>
      </w:pPr>
      <w:r>
        <w:t xml:space="preserve">Neutral observer reports: UN Interim Force in Lebanon incident reports, International Committee of the Red Cross observations, or Joint Humanitarian Transit Authority documentation that independently corroborates Iranian operational involvement.</w:t>
      </w:r>
    </w:p>
    <w:p>
      <w:pPr>
        <w:ind w:firstLine="0"/>
      </w:pPr>
      <w:r>
        <w:t xml:space="preserve">Signals intelligence: Intercepted communications containing direct orders from identified Iranian command structures to Hezbollah operational units, where the content, timing, and authentication establish operational control over the specific attack.</w:t>
      </w:r>
    </w:p>
    <w:p>
      <w:pPr>
        <w:ind w:firstLine="0"/>
      </w:pPr>
      <w:r>
        <w:t xml:space="preserve">Burden of proof: The Party alleging attribution bears the burden of demonstrating all three independent sources. The JCC applies a clear and convincing evidence standard. The Human-in-the-Loop Review applies a beyond-reasonable-doubt standard for the final confirmation.</w:t>
      </w:r>
    </w:p>
    <w:p>
      <w:pPr>
        <w:pStyle w:val="Heading2"/>
      </w:pPr>
      <w:r>
        <w:t>2.3 Proxy Influence Presumption</w:t>
      </w:r>
    </w:p>
    <w:p>
      <w:pPr>
        <w:ind w:firstLine="0"/>
      </w:pPr>
      <w:r>
        <w:t xml:space="preserve">Iran accepts responsibility for actions taken by Hezbollah in Lebanese territory. Non-attribution status requires Iran to provide verified evidence of opposition to the action within 72 hours.</w:t>
      </w:r>
    </w:p>
    <w:p>
      <w:pPr>
        <w:ind w:firstLine="0"/>
      </w:pPr>
      <w:r>
        <w:t xml:space="preserve">The Proxy Influence Presumption operates through the following mechanism:</w:t>
      </w:r>
    </w:p>
    <w:p>
      <w:pPr>
        <w:ind w:firstLine="0"/>
      </w:pPr>
      <w:r>
        <w:t xml:space="preserve">Presumption activation: When a Hezbollah action in Lebanese territory produces casualties or significant property damage, the presumption activates automatically. The action is presumed to fall within Iran's sphere of influence unless Iran demonstrates otherwise.</w:t>
      </w:r>
    </w:p>
    <w:p>
      <w:pPr>
        <w:ind w:firstLine="0"/>
      </w:pPr>
      <w:r>
        <w:t xml:space="preserve">72-hour opposition window: Within 72 hours of the action, Iran provides verified evidence of opposition to the JCC. Acceptable evidence includes: diplomatic communications to Hezbollah leadership opposing the action, public statements by Iranian officials condemning the specific operation, verifiable instructions to Iranian liaison personnel to dissuade the operation, or documentary evidence of financial or material penalties applied to Hezbollah for the unauthorized action.</w:t>
      </w:r>
    </w:p>
    <w:p>
      <w:pPr>
        <w:ind w:firstLine="0"/>
      </w:pPr>
      <w:r>
        <w:t xml:space="preserve">Effect of timely opposition: If Iran provides verified evidence of opposition within 72 hours, the presumption reverses. The action is classified as non-attributable. No step-back applies. The incident is logged for pattern monitoring only.</w:t>
      </w:r>
    </w:p>
    <w:p>
      <w:pPr>
        <w:ind w:firstLine="0"/>
      </w:pPr>
      <w:r>
        <w:t xml:space="preserve">Effect of silence: If Iran provides no evidence of opposition within 72 hours, the presumption holds. The action is classified as attributable for purposes of the Lebanon Stability Corridor scoring and the escalation ladder. This does not constitute automatic attribution for cross-module purposes; the dual-key escalation lock in Section 1.3 still applies.</w:t>
      </w:r>
    </w:p>
    <w:p>
      <w:pPr>
        <w:ind w:firstLine="0"/>
      </w:pPr>
      <w:r>
        <w:t xml:space="preserve">Rationale: This innovation closes the "plausible deniability" loophole without requiring Iran to guarantee Hezbollah's conduct. Iran maintains its sovereign position that it does not control Hezbollah operationally. The presumption simply says: if you opposed it, show evidence of opposition. Silence carries a cost. Opposition earns credit.</w:t>
      </w:r>
    </w:p>
    <w:p>
      <w:pPr>
        <w:pStyle w:val="Heading1"/>
      </w:pPr>
      <w:r>
        <w:t>Section 3: Proxy Operational Pause (The Hezbollah Mechanism)</w:t>
      </w:r>
    </w:p>
    <w:p>
      <w:pPr>
        <w:ind w:firstLine="0"/>
      </w:pPr>
      <w:r>
        <w:t xml:space="preserve">This section establishes the phased operational pause mechanism for Hezbollah activities on the Lebanon front. The mechanism creates verifiable, time-bound commitments that generate compliance credits while respecting Iran's position that it does not operationally control Hezbollah.</w:t>
      </w:r>
    </w:p>
    <w:p>
      <w:pPr>
        <w:pStyle w:val="Heading2"/>
      </w:pPr>
      <w:r>
        <w:t>3.1 Phase 1 (Days 1-30)</w:t>
      </w:r>
    </w:p>
    <w:p>
      <w:pPr>
        <w:ind w:firstLine="0"/>
      </w:pPr>
      <w:r>
        <w:t xml:space="preserve">The following commitments activate on Day 1 and remain in force through Day 30:</w:t>
      </w:r>
    </w:p>
    <w:p>
      <w:pPr>
        <w:ind w:firstLine="0"/>
      </w:pPr>
      <w:r>
        <w:t xml:space="preserve">Cessation of cross-border rocket attacks: The framework architecture excludes rocket and missile fire from Lebanese territory into Israeli territory during Phase 1.</w:t>
      </w:r>
    </w:p>
    <w:p>
      <w:pPr>
        <w:ind w:firstLine="0"/>
      </w:pPr>
      <w:r>
        <w:t xml:space="preserve">Cessation of cross-border drone attacks: The framework architecture excludes drone and UAV operations launched from Lebanese territory into Israeli airspace during Phase 1.</w:t>
      </w:r>
    </w:p>
    <w:p>
      <w:pPr>
        <w:ind w:firstLine="0"/>
      </w:pPr>
      <w:r>
        <w:t xml:space="preserve">Suspension of offensive military operations: The framework architecture excludes offensive military operations across the Blue Line during Phase 1.</w:t>
      </w:r>
    </w:p>
    <w:p>
      <w:pPr>
        <w:ind w:firstLine="0"/>
      </w:pPr>
      <w:r>
        <w:t xml:space="preserve">No new weapons transfers: The framework architecture excludes the transfer of new weapons systems, ammunition, or military equipment into Lebanese territory during Phase 1. Existing stocks and defensive positions remain unaffected.</w:t>
      </w:r>
    </w:p>
    <w:p>
      <w:pPr>
        <w:ind w:firstLine="0"/>
      </w:pPr>
      <w:r>
        <w:t xml:space="preserve">Verification standard: Phase 1 compliance is verified by satellite imagery analysis, UNIFIL patrol observations, and Israeli telemetry data. The absence of cross-border fire, the absence of offensive operations, and the absence of new weapons convoys constitute compliance.</w:t>
      </w:r>
    </w:p>
    <w:p>
      <w:pPr>
        <w:pStyle w:val="Heading2"/>
      </w:pPr>
      <w:r>
        <w:t>3.2 Phase 2 (Days 31-90)</w:t>
      </w:r>
    </w:p>
    <w:p>
      <w:pPr>
        <w:ind w:firstLine="0"/>
      </w:pPr>
      <w:r>
        <w:t xml:space="preserve">Phase 2 commitments build on Phase 1 verification. The following commitments activate on Day 31 and remain in force through Day 90:</w:t>
      </w:r>
    </w:p>
    <w:p>
      <w:pPr>
        <w:ind w:firstLine="0"/>
      </w:pPr>
      <w:r>
        <w:t xml:space="preserve">Continued cessation: All Phase 1 commitments continue without modification.</w:t>
      </w:r>
    </w:p>
    <w:p>
      <w:pPr>
        <w:ind w:firstLine="0"/>
      </w:pPr>
      <w:r>
        <w:t xml:space="preserve">No infiltration attempts across the Blue Line: The framework architecture excludes ground infiltration operations across the Blue Line during Phase 2. This includes tunneling operations, commando raids, and any ground force movement across the demarcation line.</w:t>
      </w:r>
    </w:p>
    <w:p>
      <w:pPr>
        <w:ind w:firstLine="0"/>
      </w:pPr>
      <w:r>
        <w:t xml:space="preserve">Verification standard: Phase 2 adds ground-penetration radar monitoring, seismic sensors along the Blue Line, and enhanced UNIFIL patrol density to the Phase 1 verification architecture.</w:t>
      </w:r>
    </w:p>
    <w:p>
      <w:pPr>
        <w:pStyle w:val="Heading2"/>
      </w:pPr>
      <w:r>
        <w:t>3.3 Phase 3 (Days 91-180)</w:t>
      </w:r>
    </w:p>
    <w:p>
      <w:pPr>
        <w:ind w:firstLine="0"/>
      </w:pPr>
      <w:r>
        <w:t xml:space="preserve">Phase 3 transitions from operational pause to structured de-escalation. The following commitments activate on Day 91 and remain in force through Day 180:</w:t>
      </w:r>
    </w:p>
    <w:p>
      <w:pPr>
        <w:ind w:firstLine="0"/>
      </w:pPr>
      <w:r>
        <w:t xml:space="preserve">Exploration of structured de-escalation: The Parties explore structured de-escalation through a regional basket mechanism. The regional basket includes: prisoner exchange negotiations, territorial adjustment discussions under UN supervision, economic reconstruction planning for southern Lebanon, and confidence-building measures along the Blue Line.</w:t>
      </w:r>
    </w:p>
    <w:p>
      <w:pPr>
        <w:ind w:firstLine="0"/>
      </w:pPr>
      <w:r>
        <w:t xml:space="preserve">Good-faith engagement standard: Iran engages in good faith with the regional basket process. Good faith means: Iran participates in scheduled meetings, Iran transmits proposals and counter-proposals through the JCC, Iran does not actively obstruct the process, and Iran uses its influence channels to encourage Hezbollah participation in the regional basket.</w:t>
      </w:r>
    </w:p>
    <w:p>
      <w:pPr>
        <w:pStyle w:val="Heading2"/>
      </w:pPr>
      <w:r>
        <w:t>3.4 Iran's Influence Commitment</w:t>
      </w:r>
    </w:p>
    <w:p>
      <w:pPr>
        <w:ind w:firstLine="0"/>
      </w:pPr>
      <w:r>
        <w:t xml:space="preserve">Iran commits to using its influence — through diplomatic, political, and relational channels — to prevent cross-border attacks. This is a best-efforts obligation, not a guarantee.</w:t>
      </w:r>
    </w:p>
    <w:p>
      <w:pPr>
        <w:ind w:firstLine="0"/>
      </w:pPr>
      <w:r>
        <w:t xml:space="preserve">The framework architecture defines the influence commitment through the following elements:</w:t>
      </w:r>
    </w:p>
    <w:p>
      <w:pPr>
        <w:ind w:firstLine="0"/>
      </w:pPr>
      <w:r>
        <w:t xml:space="preserve">Diplomatic channels: Iran communicates through official diplomatic channels, including the Foreign Ministry, the Permanent Mission to the United Nations, and bilateral communications with regional states, to convey the position that cross-border attacks undermine the framework and jeopardize the reciprocal benefits Iran receives.</w:t>
      </w:r>
    </w:p>
    <w:p>
      <w:pPr>
        <w:ind w:firstLine="0"/>
      </w:pPr>
      <w:r>
        <w:t xml:space="preserve">Political channels: Iran communicates through political party relationships, parliamentary connections, and ideological networks to convey that restraint on the Lebanon front serves Iran's broader strategic interests.</w:t>
      </w:r>
    </w:p>
    <w:p>
      <w:pPr>
        <w:ind w:firstLine="0"/>
      </w:pPr>
      <w:r>
        <w:t xml:space="preserve">Relational channels: Iran communicates through personal relationships, tribal connections, and historical alliances to encourage Hezbollah leadership to respect the operational pause.</w:t>
      </w:r>
    </w:p>
    <w:p>
      <w:pPr>
        <w:ind w:firstLine="0"/>
      </w:pPr>
      <w:r>
        <w:t xml:space="preserve">Best-efforts standard: The framework architecture recognizes that Iran does not exercise operational command over Hezbollah. Documented good-faith efforts satisfy the commitment. The verification standard focuses on the quality and quantity of Iran's influence efforts, not on the outcome of those efforts.</w:t>
      </w:r>
    </w:p>
    <w:p>
      <w:pPr>
        <w:ind w:firstLine="0"/>
      </w:pPr>
      <w:r>
        <w:t xml:space="preserve">Documentation requirement: Iran provides the JCC with a monthly Influence Activity Report documenting: the dates and nature of influence communications, the channels used, the recipients, and any responses received. This report is confidential and shared only with the JCC and the Neutral Guarantor.</w:t>
      </w:r>
    </w:p>
    <w:p>
      <w:pPr>
        <w:pStyle w:val="Heading2"/>
      </w:pPr>
      <w:r>
        <w:t>3.5 Compliance Credits</w:t>
      </w:r>
    </w:p>
    <w:p>
      <w:pPr>
        <w:ind w:firstLine="0"/>
      </w:pPr>
      <w:r>
        <w:t xml:space="preserve">Iran receives credits for "demonstrable Hezbollah restraint." These credits convert into a one-time, non-reversible release of 50 million dollars from frozen assets, capped at 250 million dollars total.</w:t>
      </w:r>
    </w:p>
    <w:p>
      <w:pPr>
        <w:ind w:firstLine="0"/>
      </w:pPr>
      <w:r>
        <w:t xml:space="preserve">The Compliance Credits mechanism operates through the following architecture:</w:t>
      </w:r>
    </w:p>
    <w:p>
      <w:pPr>
        <w:ind w:firstLine="0"/>
      </w:pPr>
      <w:r>
        <w:t xml:space="preserve">Credit accrual: Each 30-day period of verified Hezbollah restraint (no cross-border attacks, no offensive operations, no new weapons transfers) earns Iran one Compliance Credit.</w:t>
      </w:r>
    </w:p>
    <w:p>
      <w:pPr>
        <w:ind w:firstLine="0"/>
      </w:pPr>
      <w:r>
        <w:t xml:space="preserve">Credit verification: The JCC verifies restraint through the telemetry sources described in Section 9. A period qualifies as a restraint period only if all three verification sources (satellite, UNIFIL, Israeli telemetry) confirm no violations.</w:t>
      </w:r>
    </w:p>
    <w:p>
      <w:pPr>
        <w:ind w:firstLine="0"/>
      </w:pPr>
      <w:r>
        <w:t xml:space="preserve">Credit conversion: Each verified Compliance Credit converts into a 50 million dollar release from frozen assets. The release is non-reversible. Once released, the funds do not return to frozen status regardless of subsequent events on the Lebanon front.</w:t>
      </w:r>
    </w:p>
    <w:p>
      <w:pPr>
        <w:ind w:firstLine="0"/>
      </w:pPr>
      <w:r>
        <w:t xml:space="preserve">Credit cap: The maximum total release under the Compliance Credits mechanism is 250 million dollars (5 credits). After 5 credits are earned and converted, the mechanism reaches its cap. No further releases occur under this specific mechanism, though other benefit mechanisms continue.</w:t>
      </w:r>
    </w:p>
    <w:p>
      <w:pPr>
        <w:ind w:firstLine="0"/>
      </w:pPr>
      <w:r>
        <w:t xml:space="preserve">Release timing: Conversion occurs within 14 days of JCC verification. The Swiss escrow administrator processes the release. Iran designates the humanitarian or developmental purpose for the released funds.</w:t>
      </w:r>
    </w:p>
    <w:p>
      <w:pPr>
        <w:ind w:firstLine="0"/>
      </w:pPr>
      <w:r>
        <w:t xml:space="preserve">Rationale: This innovation creates a powerful, verifiable incentive for Iran to exercise influence without requiring Iran to guarantee Hezbollah's conduct. Iran earns concrete financial benefits for demonstrated restraint. The non-reversibility of releases means Iran has a permanent stake in maintaining the framework, even after the cap is reached.</w:t>
      </w:r>
    </w:p>
    <w:p>
      <w:pPr>
        <w:pStyle w:val="Heading1"/>
      </w:pPr>
      <w:r>
        <w:t>Section 4: Escalation Ladder (Three-Tier)</w:t>
      </w:r>
    </w:p>
    <w:p>
      <w:pPr>
        <w:ind w:firstLine="0"/>
      </w:pPr>
      <w:r>
        <w:t xml:space="preserve">This section establishes the three-tier escalation ladder that governs how the framework responds to incidents on the Lebanon front. The ladder replaces the 10-casualty hair-trigger with graduated, proportionate responses.</w:t>
      </w:r>
    </w:p>
    <w:p>
      <w:pPr>
        <w:pStyle w:val="Heading2"/>
      </w:pPr>
      <w:r>
        <w:t>Level 1 (Minor)</w:t>
      </w:r>
    </w:p>
    <w:p>
      <w:pPr>
        <w:ind w:firstLine="0"/>
      </w:pPr>
      <w:r>
        <w:t xml:space="preserve">Threshold: 0-2 fatalities from a single incident.</w:t>
      </w:r>
    </w:p>
    <w:p>
      <w:pPr>
        <w:ind w:firstLine="0"/>
      </w:pPr>
      <w:r>
        <w:t xml:space="preserve">Framework response: The incident is logged in the Lebanon Status Dashboard. Enhanced monitoring activates for 48 hours. No Core Accord effect occurs. The Reciprocity Index records a minor debit in the Security Uplift component only.</w:t>
      </w:r>
    </w:p>
    <w:p>
      <w:pPr>
        <w:ind w:firstLine="0"/>
      </w:pPr>
      <w:r>
        <w:t xml:space="preserve">Automatic triggers: The Early Warning Network shifts to Amber status for 48 hours. The Pattern Monitoring System increases sampling frequency from daily to every 6 hours.</w:t>
      </w:r>
    </w:p>
    <w:p>
      <w:pPr>
        <w:pStyle w:val="Heading2"/>
      </w:pPr>
      <w:r>
        <w:t>Level 2 (Moderate)</w:t>
      </w:r>
    </w:p>
    <w:p>
      <w:pPr>
        <w:ind w:firstLine="0"/>
      </w:pPr>
      <w:r>
        <w:t xml:space="preserve">Threshold: 3-9 fatalities from a single incident, or a pattern of three Level 1 incidents within 14 days.</w:t>
      </w:r>
    </w:p>
    <w:p>
      <w:pPr>
        <w:ind w:firstLine="0"/>
      </w:pPr>
      <w:r>
        <w:t xml:space="preserve">Framework response: A 72-hour diplomatic consultation window opens automatically. The JCC convenes an emergency review session within 24 hours. The Core Accord remains unaffected. The Reciprocity Index records a moderate debit across Security Uplift and Political Viability Gain components.</w:t>
      </w:r>
    </w:p>
    <w:p>
      <w:pPr>
        <w:ind w:firstLine="0"/>
      </w:pPr>
      <w:r>
        <w:t xml:space="preserve">Consultation window: Both Parties transmit factual accounts of the incident through the JCC within 12 hours. The Neutral Guarantor facilitates direct communication. The consultation produces a written incident summary that enters the Forward Drift Archive.</w:t>
      </w:r>
    </w:p>
    <w:p>
      <w:pPr>
        <w:ind w:firstLine="0"/>
      </w:pPr>
      <w:r>
        <w:t xml:space="preserve">Pattern escalation: Three Level 1 incidents within 14 days automatically escalate to Level 2, regardless of individual casualty counts. The pattern itself constitutes the escalation trigger.</w:t>
      </w:r>
    </w:p>
    <w:p>
      <w:pPr>
        <w:pStyle w:val="Heading2"/>
      </w:pPr>
      <w:r>
        <w:t>Level 3 (Significant)</w:t>
      </w:r>
    </w:p>
    <w:p>
      <w:pPr>
        <w:ind w:firstLine="0"/>
      </w:pPr>
      <w:r>
        <w:t xml:space="preserve">Threshold: 10 or more fatalities from a single incident, or a pattern of two Level 2 incidents within 30 days.</w:t>
      </w:r>
    </w:p>
    <w:p>
      <w:pPr>
        <w:ind w:firstLine="0"/>
      </w:pPr>
      <w:r>
        <w:t xml:space="preserve">Framework response: The Lebanon unit pauses or collapses at the discretion of the impaired Party. An emergency session convenes within 48 hours. The nuclear and maritime tracks remain protected by the structural firewall. The Reciprocity Index records a major debit across all four components.</w:t>
      </w:r>
    </w:p>
    <w:p>
      <w:pPr>
        <w:ind w:firstLine="0"/>
      </w:pPr>
      <w:r>
        <w:t xml:space="preserve">Lebanon unit pause: A Level 3 incident triggers a 14-day pause in the Lebanon Stability Corridor. During the pause, no new compliance credits accrue, no new releases process, and the Oman back-channel enters proactive deployment mode.</w:t>
      </w:r>
    </w:p>
    <w:p>
      <w:pPr>
        <w:ind w:firstLine="0"/>
      </w:pPr>
      <w:r>
        <w:t xml:space="preserve">Core protection: The structural firewall in Section 1 prevents the Level 3 pause from affecting nuclear, maritime, or economic modules. The dual-key escalation lock in Section 1.3 remains the sole pathway for cross-module effects.</w:t>
      </w:r>
    </w:p>
    <w:p>
      <w:pPr>
        <w:pStyle w:val="Heading2"/>
      </w:pPr>
      <w:r>
        <w:t>Force Majeure for Regional Spillover</w:t>
      </w:r>
    </w:p>
    <w:p>
      <w:pPr>
        <w:ind w:firstLine="0"/>
      </w:pPr>
      <w:r>
        <w:t xml:space="preserve">The 10-casualty threshold includes third-party actions. Israel retains its inherent right to self-defense against an ongoing armed attack under Article 51 of the UN Charter.</w:t>
      </w:r>
    </w:p>
    <w:p>
      <w:pPr>
        <w:ind w:firstLine="0"/>
      </w:pPr>
      <w:r>
        <w:t xml:space="preserve">Third-party exclusion: Casualties inflicted by a third party (a non-signatory state, a non-state actor other than Hezbollah, or an unidentified force) do not count toward the escalation ladder thresholds. The JCC determines attribution for casualty-counting purposes within 48 hours.</w:t>
      </w:r>
    </w:p>
    <w:p>
      <w:pPr>
        <w:ind w:firstLine="0"/>
      </w:pPr>
      <w:r>
        <w:t xml:space="preserve">Self-defense acknowledgment: The framework architecture explicitly recognizes Israel's inherent right to self-defense under Article 51 of the UN Charter. Defensive military operations that respond to an ongoing armed attack do not constitute a Lebanon front incident for purposes of this escalation ladder.</w:t>
      </w:r>
    </w:p>
    <w:p>
      <w:pPr>
        <w:pStyle w:val="Heading1"/>
      </w:pPr>
      <w:r>
        <w:t>Section 5: De-Escalation Channel (The Oman Back-Channel)</w:t>
      </w:r>
    </w:p>
    <w:p>
      <w:pPr>
        <w:ind w:firstLine="0"/>
      </w:pPr>
      <w:r>
        <w:t xml:space="preserve">This section establishes the confidential de-escalation channel through the Neutral Guarantor (Oman). The channel provides a direct communication pathway that auto-activates under defined conditions.</w:t>
      </w:r>
    </w:p>
    <w:p>
      <w:pPr>
        <w:pStyle w:val="Heading2"/>
      </w:pPr>
      <w:r>
        <w:t>5.1 Establishment</w:t>
      </w:r>
    </w:p>
    <w:p>
      <w:pPr>
        <w:ind w:firstLine="0"/>
      </w:pPr>
      <w:r>
        <w:t xml:space="preserve">The Neutral Guarantor (Oman) establishes a confidential de-escalation channel available to both Israel and Hezbollah. The channel operates through the following architecture:</w:t>
      </w:r>
    </w:p>
    <w:p>
      <w:pPr>
        <w:ind w:firstLine="0"/>
      </w:pPr>
      <w:r>
        <w:t xml:space="preserve">Oman hosts the channel: The Omani Foreign Ministry provides secure facilities, encrypted communications, and trusted intermediaries for the channel. Oman does not participate in the substance of communications; it facilitates the connection.</w:t>
      </w:r>
    </w:p>
    <w:p>
      <w:pPr>
        <w:ind w:firstLine="0"/>
      </w:pPr>
      <w:r>
        <w:t xml:space="preserve">Channel confidentiality: All communications through the channel carry diplomatic privilege. No participant records, transcribes, or discloses channel communications without unanimous consent of all parties to the specific communication.</w:t>
      </w:r>
    </w:p>
    <w:p>
      <w:pPr>
        <w:ind w:firstLine="0"/>
      </w:pPr>
      <w:r>
        <w:t xml:space="preserve">Channel availability: The channel operates 24 hours per day, 7 days per week. A designated Omani diplomat serves as the channel duty officer at all times.</w:t>
      </w:r>
    </w:p>
    <w:p>
      <w:pPr>
        <w:pStyle w:val="Heading2"/>
      </w:pPr>
      <w:r>
        <w:t>5.2 Encouragement Commitments</w:t>
      </w:r>
    </w:p>
    <w:p>
      <w:pPr>
        <w:ind w:firstLine="0"/>
      </w:pPr>
      <w:r>
        <w:t xml:space="preserve">The framework architecture creates reciprocal encouragement commitments:</w:t>
      </w:r>
    </w:p>
    <w:p>
      <w:pPr>
        <w:ind w:firstLine="0"/>
      </w:pPr>
      <w:r>
        <w:t xml:space="preserve">United States commitment: The United States commits to encouraging Israel to use the channel voluntarily. Encouragement includes: diplomatic communications at the working level, information sharing about channel availability and procedures, and public acknowledgment (when mutually agreed) that the channel exists and has been used.</w:t>
      </w:r>
    </w:p>
    <w:p>
      <w:pPr>
        <w:ind w:firstLine="0"/>
      </w:pPr>
      <w:r>
        <w:t xml:space="preserve">Iran commitment: Iran commits to encouraging Hezbollah to use the channel voluntarily. Encouragement includes: diplomatic communications through available channels, information sharing about channel availability and procedures, and private assurances that channel use does not constitute political concession.</w:t>
      </w:r>
    </w:p>
    <w:p>
      <w:pPr>
        <w:ind w:firstLine="0"/>
      </w:pPr>
      <w:r>
        <w:t xml:space="preserve">Voluntary use standard: The framework architecture recognizes that neither the United States nor Iran commands the non-state actors on the Lebanon front. The encouragement commitments are best-efforts obligations. Neither Party guarantees that the channel receives use.</w:t>
      </w:r>
    </w:p>
    <w:p>
      <w:pPr>
        <w:pStyle w:val="Heading2"/>
      </w:pPr>
      <w:r>
        <w:t>5.3 Proactive Deployment</w:t>
      </w:r>
    </w:p>
    <w:p>
      <w:pPr>
        <w:ind w:firstLine="0"/>
      </w:pPr>
      <w:r>
        <w:t xml:space="preserve">The channel auto-activates when either of the following conditions is met:</w:t>
      </w:r>
    </w:p>
    <w:p>
      <w:pPr>
        <w:ind w:firstLine="0"/>
      </w:pPr>
      <w:r>
        <w:t xml:space="preserve">Stability Corridor trigger: The Lebanon Stability Corridor score falls below 25. When the score drops to 24 or lower, the channel auto-activates. The Omani duty officer contacts the designated representatives of both Israel and Hezbollah within 6 hours to offer channel access.</w:t>
      </w:r>
    </w:p>
    <w:p>
      <w:pPr>
        <w:ind w:firstLine="0"/>
      </w:pPr>
      <w:r>
        <w:t xml:space="preserve">Pattern Monitoring trigger: A Pattern Monitoring System signal exceeds two standard deviations from the 30-day baseline. When the pattern indicator crosses the threshold, the channel auto-activates. The Omani duty officer contacts the designated representatives within 6 hours.</w:t>
      </w:r>
    </w:p>
    <w:p>
      <w:pPr>
        <w:ind w:firstLine="0"/>
      </w:pPr>
      <w:r>
        <w:t xml:space="preserve">Proactive deployment effect: Auto-activation does not compel either side to use the channel. It simply ensures that the channel is actively offered and available at moments of heightened risk. The duty officer documents the offer. If either side declines, the decline is logged without penalty.</w:t>
      </w:r>
    </w:p>
    <w:p>
      <w:pPr>
        <w:ind w:firstLine="0"/>
      </w:pPr>
      <w:r>
        <w:t xml:space="preserve">Rationale: This innovation prevents crises from developing by making de-escalation an automatic, mechanical process. Instead of waiting for political will to coalesce after a major incident, the framework pushes the de-escalation tool forward at the first statistical sign of trouble.</w:t>
      </w:r>
    </w:p>
    <w:p>
      <w:pPr>
        <w:pStyle w:val="Heading1"/>
      </w:pPr>
      <w:r>
        <w:t>Section 6: Third-Party Escalation Protection</w:t>
      </w:r>
    </w:p>
    <w:p>
      <w:pPr>
        <w:ind w:firstLine="0"/>
      </w:pPr>
      <w:r>
        <w:t xml:space="preserve">This section establishes the protections that prevent third-party actions from collapsing the framework. The architecture ensures that no Party suffers disadvantage from actions by regional states that it did not direct or authorize.</w:t>
      </w:r>
    </w:p>
    <w:p>
      <w:pPr>
        <w:pStyle w:val="Heading2"/>
      </w:pPr>
      <w:r>
        <w:t>6.1 Non-Attribution of Israeli Actions</w:t>
      </w:r>
    </w:p>
    <w:p>
      <w:pPr>
        <w:ind w:firstLine="0"/>
      </w:pPr>
      <w:r>
        <w:t xml:space="preserve">An Israeli military operation does not constitute a breach by the United States unless the JCC finds that the United States directed, authorized, or materially supported the operation.</w:t>
      </w:r>
    </w:p>
    <w:p>
      <w:pPr>
        <w:ind w:firstLine="0"/>
      </w:pPr>
      <w:r>
        <w:t xml:space="preserve">The framework architecture establishes the following specific standards:</w:t>
      </w:r>
    </w:p>
    <w:p>
      <w:pPr>
        <w:ind w:firstLine="0"/>
      </w:pPr>
      <w:r>
        <w:t xml:space="preserve">Direction standard: The United States specifically ordered the Israeli military operation, including target selection, timing, and force composition.</w:t>
      </w:r>
    </w:p>
    <w:p>
      <w:pPr>
        <w:ind w:firstLine="0"/>
      </w:pPr>
      <w:r>
        <w:t xml:space="preserve">Authorization standard: The United States provided advance approval for the Israeli military operation, knowing the specific targets, timing, and anticipated effects.</w:t>
      </w:r>
    </w:p>
    <w:p>
      <w:pPr>
        <w:ind w:firstLine="0"/>
      </w:pPr>
      <w:r>
        <w:t xml:space="preserve">Material support standard: The United States provided intelligence, logistics, weapons, or operational support that directly enabled the Israeli military operation.</w:t>
      </w:r>
    </w:p>
    <w:p>
      <w:pPr>
        <w:ind w:firstLine="0"/>
      </w:pPr>
      <w:r>
        <w:t xml:space="preserve">Burden of proof: Iran bears the burden of demonstrating direction, authorization, or material support by clear and convincing evidence. General alliance relationships, historical cooperation patterns, or shared intelligence agreements do not satisfy the material support standard.</w:t>
      </w:r>
    </w:p>
    <w:p>
      <w:pPr>
        <w:pStyle w:val="Heading2"/>
      </w:pPr>
      <w:r>
        <w:t>6.2 The American Compliance Shield</w:t>
      </w:r>
    </w:p>
    <w:p>
      <w:pPr>
        <w:ind w:firstLine="0"/>
      </w:pPr>
      <w:r>
        <w:t xml:space="preserve">The United States is not held to Compact obligations regarding actions by regional states that were not made at its request or direction.</w:t>
      </w:r>
    </w:p>
    <w:p>
      <w:pPr>
        <w:ind w:firstLine="0"/>
      </w:pPr>
      <w:r>
        <w:t xml:space="preserve">The framework architecture applies the compliance shield through the following rules:</w:t>
      </w:r>
    </w:p>
    <w:p>
      <w:pPr>
        <w:ind w:firstLine="0"/>
      </w:pPr>
      <w:r>
        <w:t xml:space="preserve">No guarantee obligation: The Compact does not require the United States to guarantee the behavior of any regional state. Israel, Saudi Arabia, the United Arab Emirates, and other regional states exercise sovereign independence in their military decisions.</w:t>
      </w:r>
    </w:p>
    <w:p>
      <w:pPr>
        <w:ind w:firstLine="0"/>
      </w:pPr>
      <w:r>
        <w:t xml:space="preserve">No control obligation: The United States has no obligation to prevent Israeli military operations. The encouragement commitment in Section 5.2 is a best-efforts diplomatic measure, not a control obligation.</w:t>
      </w:r>
    </w:p>
    <w:p>
      <w:pPr>
        <w:ind w:firstLine="0"/>
      </w:pPr>
      <w:r>
        <w:t xml:space="preserve">Reasonable influence standard: The JCC evaluates whether the United States exercised reasonable influence to discourage Israeli actions that materially impair the framework. Reasonable influence means: diplomatic communications at appropriate levels, timely use of the Tel Aviv Channel, and good-faith engagement through available influence mechanisms.</w:t>
      </w:r>
    </w:p>
    <w:p>
      <w:pPr>
        <w:pStyle w:val="Heading2"/>
      </w:pPr>
      <w:r>
        <w:t>6.3 Escalation Neutrality Principle</w:t>
      </w:r>
    </w:p>
    <w:p>
      <w:pPr>
        <w:ind w:firstLine="0"/>
      </w:pPr>
      <w:r>
        <w:t xml:space="preserve">No Party derives positional advantage from a verified unprovoked attack by a regional state. The framework neutralizes the strategic effect of such attacks.</w:t>
      </w:r>
    </w:p>
    <w:p>
      <w:pPr>
        <w:ind w:firstLine="0"/>
      </w:pPr>
      <w:r>
        <w:t xml:space="preserve">The escalation neutrality principle operates through the following mechanisms:</w:t>
      </w:r>
    </w:p>
    <w:p>
      <w:pPr>
        <w:ind w:firstLine="0"/>
      </w:pPr>
      <w:r>
        <w:t xml:space="preserve">Verified unprovoked attack protocol: If a regional state conducts a verified unprovoked attack that affects the Lebanon front, the following protections activate: The attack does not count toward escalation ladder thresholds for either Party. The Synchronization Clock freezes for the duration of the crisis. Neither Party loses compliance credits. Neither Party suffers Reciprocity Index debits for effects of the attack.</w:t>
      </w:r>
    </w:p>
    <w:p>
      <w:pPr>
        <w:ind w:firstLine="0"/>
      </w:pPr>
      <w:r>
        <w:t xml:space="preserve">De-escalation credit: If a Party demonstrates good-faith efforts to prevent escalation by a regional state or to de-escalate a regional-state-initiated crisis, it receives a De-Escalation Credit. The credit adds +5 points to the Party's Reciprocity Index for 30 days.</w:t>
      </w:r>
    </w:p>
    <w:p>
      <w:pPr>
        <w:ind w:firstLine="0"/>
      </w:pPr>
      <w:r>
        <w:t xml:space="preserve">Spoiler designation: If the JCC determines by two-thirds majority that a regional state deliberately conducted an attack to sabotage the framework, the Guarantor Matrix issues a Spoiler Finding. The finding authorizes the framework to apply spoiler cost recovery measures, including exclusion from framework benefits, denial of transit privileges, and referral to the UN Security Council.</w:t>
      </w:r>
    </w:p>
    <w:p>
      <w:pPr>
        <w:pStyle w:val="Heading1"/>
      </w:pPr>
      <w:r>
        <w:t>Section 7: The Lebanon Stability Corridor (Benefit Corridor)</w:t>
      </w:r>
    </w:p>
    <w:p>
      <w:pPr>
        <w:ind w:firstLine="0"/>
      </w:pPr>
      <w:r>
        <w:t xml:space="preserve">This section establishes the dedicated Benefit Corridor within the Reciprocity Ledger that measures the political lift generated by stability on the Lebanon front.</w:t>
      </w:r>
    </w:p>
    <w:p>
      <w:pPr>
        <w:pStyle w:val="Heading2"/>
      </w:pPr>
      <w:r>
        <w:t>7.1 Establishment</w:t>
      </w:r>
    </w:p>
    <w:p>
      <w:pPr>
        <w:ind w:firstLine="0"/>
      </w:pPr>
      <w:r>
        <w:t xml:space="preserve">A dedicated Benefit Corridor within the Reciprocity Ledger measures the political lift generated by stability on the Lebanon front. The corridor operates as a separate module with its own scoring, thresholds, and consequences.</w:t>
      </w:r>
    </w:p>
    <w:p>
      <w:pPr>
        <w:ind w:firstLine="0"/>
      </w:pPr>
      <w:r>
        <w:t xml:space="preserve">Corridor activation: The Lebanon Stability Corridor activates automatically upon Annex LN entry into force. The JCC establishes the baseline score within 7 days of activation.</w:t>
      </w:r>
    </w:p>
    <w:p>
      <w:pPr>
        <w:ind w:firstLine="0"/>
      </w:pPr>
      <w:r>
        <w:t xml:space="preserve">Corridor isolation: The Lebanon Stability Corridor maintains separate accounting from the Nuclear, Maritime, and Economic Corridors. A deficit in the Lebanon Corridor does not automatically produce deficits in other corridors.</w:t>
      </w:r>
    </w:p>
    <w:p>
      <w:pPr>
        <w:pStyle w:val="Heading2"/>
      </w:pPr>
      <w:r>
        <w:t>7.2 Lift Components</w:t>
      </w:r>
    </w:p>
    <w:p>
      <w:pPr>
        <w:ind w:firstLine="0"/>
      </w:pPr>
      <w:r>
        <w:t xml:space="preserve">The Lebanon Stability Corridor score is a weighted composite of four components:</w:t>
      </w:r>
    </w:p>
    <w:p>
      <w:pPr>
        <w:ind w:firstLine="0"/>
      </w:pPr>
      <w:r>
        <w:t xml:space="preserve">Security Uplift (30% weight): Measured reduction in cross-border incident frequency, rocket and drone attacks, and ground force movements across the Blue Line attributable to the framework. Baseline: average monthly incident rate for the 6 months preceding framework entry into force.</w:t>
      </w:r>
    </w:p>
    <w:p>
      <w:pPr>
        <w:ind w:firstLine="0"/>
      </w:pPr>
      <w:r>
        <w:t xml:space="preserve">Political Viability Gain (25% weight): Increase in domestic political space for the Parties' Lebanon policies, measured by: public opinion polling data, elite statement analysis, media sentiment tracking, and legislative activity indicators.</w:t>
      </w:r>
    </w:p>
    <w:p>
      <w:pPr>
        <w:ind w:firstLine="0"/>
      </w:pPr>
      <w:r>
        <w:t xml:space="preserve">Economic Drag Reduction (25% weight): Measurable reduction in the economic cost of Lebanon instability, including: reduced displacement and refugee flows, stabilized energy prices in the Levant, restored commercial activity in southern Lebanon, and reduced infrastructure protection burden.</w:t>
      </w:r>
    </w:p>
    <w:p>
      <w:pPr>
        <w:ind w:firstLine="0"/>
      </w:pPr>
      <w:r>
        <w:t xml:space="preserve">Norm Contagion Score (20% weight): Rate at which Lebanon stabilization measures are emulated or cited as precedent by actors outside the bilateral framework, including: other conflict zones applying similar firewalled architectures, regional organizations citing the Lebanon model, and academic or policy literature referencing the framework.</w:t>
      </w:r>
    </w:p>
    <w:p>
      <w:pPr>
        <w:pStyle w:val="Heading2"/>
      </w:pPr>
      <w:r>
        <w:t>7.3 Cross-Track Reinforcement</w:t>
      </w:r>
    </w:p>
    <w:p>
      <w:pPr>
        <w:ind w:firstLine="0"/>
      </w:pPr>
      <w:r>
        <w:t xml:space="preserve">Verified calm on the Lebanon front generates a +5 bonus to the Reciprocity Index for the Nuclear, Maritime, and Economic Corridors.</w:t>
      </w:r>
    </w:p>
    <w:p>
      <w:pPr>
        <w:ind w:firstLine="0"/>
      </w:pPr>
      <w:r>
        <w:t xml:space="preserve">Reinforcement trigger: The bonus activates when the Lebanon Stability Corridor score exceeds 60 for 30 consecutive days.</w:t>
      </w:r>
    </w:p>
    <w:p>
      <w:pPr>
        <w:ind w:firstLine="0"/>
      </w:pPr>
      <w:r>
        <w:t xml:space="preserve">Bonus application: The +5 bonus applies to all three core corridor scores simultaneously. The bonus is non-cumulative; multiple 30-day periods do not stack. The bonus renews if the score drops below 60 and then exceeds 60 again for another 30 consecutive days.</w:t>
      </w:r>
    </w:p>
    <w:p>
      <w:pPr>
        <w:ind w:firstLine="0"/>
      </w:pPr>
      <w:r>
        <w:t xml:space="preserve">Bonus effect: The +5 bonus increases the total Reciprocity Index, which accelerates benefit unlock timing, reduces escrow hold periods, and improves the Stability Coefficient reading.</w:t>
      </w:r>
    </w:p>
    <w:p>
      <w:pPr>
        <w:pStyle w:val="Heading2"/>
      </w:pPr>
      <w:r>
        <w:t>7.4 Early Warning Thresholds</w:t>
      </w:r>
    </w:p>
    <w:p>
      <w:pPr>
        <w:ind w:firstLine="0"/>
      </w:pPr>
      <w:r>
        <w:t xml:space="preserve">The Lebanon Stability Corridor operates with three warning levels:</w:t>
      </w:r>
    </w:p>
    <w:p>
      <w:pPr>
        <w:ind w:firstLine="0"/>
      </w:pPr>
      <w:r>
        <w:t xml:space="preserve">Green (Score 40-100): Normal operations. Standard monitoring frequency. Standard consultation cadence.</w:t>
      </w:r>
    </w:p>
    <w:p>
      <w:pPr>
        <w:ind w:firstLine="0"/>
      </w:pPr>
      <w:r>
        <w:t xml:space="preserve">Yellow Flag (Score 25-39): Enhanced monitoring activates. The JCC increases reporting frequency from weekly to daily. The Neutral Guarantor offers proactive de-escalation channel deployment. No automatic consequences attach.</w:t>
      </w:r>
    </w:p>
    <w:p>
      <w:pPr>
        <w:ind w:firstLine="0"/>
      </w:pPr>
      <w:r>
        <w:t xml:space="preserve">Red Flag (Score Below 15): Full Firewall activation occurs. The Synchronization Clock pauses for the Lebanon unit only. The Oman back-channel enters mandatory deployment. An emergency JCC session convenes within 48 hours. The nuclear, maritime, and economic modules continue unchanged.</w:t>
      </w:r>
    </w:p>
    <w:p>
      <w:pPr>
        <w:pStyle w:val="Heading1"/>
      </w:pPr>
      <w:r>
        <w:t>Section 8: Impairment Adjudication Process (The Causation Standard)</w:t>
      </w:r>
    </w:p>
    <w:p>
      <w:pPr>
        <w:ind w:firstLine="0"/>
      </w:pPr>
      <w:r>
        <w:t xml:space="preserve">This section establishes the sole mechanism by which a ceasefire breach on the Lebanon front translates into a suspension of non-core benefits. The process ensures that any suspension is temporary, justified, and subject to ongoing review.</w:t>
      </w:r>
    </w:p>
    <w:p>
      <w:pPr>
        <w:pStyle w:val="Heading2"/>
      </w:pPr>
      <w:r>
        <w:t>8.1 Purpose</w:t>
      </w:r>
    </w:p>
    <w:p>
      <w:pPr>
        <w:ind w:firstLine="0"/>
      </w:pPr>
      <w:r>
        <w:t xml:space="preserve">The Impairment Adjudication Process is the exclusive pathway by which a Lebanon incident affects non-core benefits. No other mechanism permits Lebanon incidents to trigger benefit suspensions. The process ensures that suspensions are specific, time-limited, and subject to evidentiary standards.</w:t>
      </w:r>
    </w:p>
    <w:p>
      <w:pPr>
        <w:pStyle w:val="Heading2"/>
      </w:pPr>
      <w:r>
        <w:t>8.2 The Five-Step Process</w:t>
      </w:r>
    </w:p>
    <w:p>
      <w:pPr>
        <w:ind w:firstLine="0"/>
      </w:pPr>
      <w:r>
        <w:t xml:space="preserve">The Impairment Adjudication Process operates through five sequential steps:</w:t>
      </w:r>
    </w:p>
    <w:p>
      <w:pPr>
        <w:ind w:firstLine="0"/>
      </w:pPr>
      <w:r>
        <w:t xml:space="preserve">Step 1 — Notification: The impaired Party submits a written Notification of Impairment to the JCC within 72 hours of the incident. The notification specifies: the particular Lebanon incident, the specific non-core benefit the impaired Party claims is impaired, and the causal mechanism linking the incident to the benefit impairment.</w:t>
      </w:r>
    </w:p>
    <w:p>
      <w:pPr>
        <w:ind w:firstLine="0"/>
      </w:pPr>
      <w:r>
        <w:t xml:space="preserve">Step 2 — Preliminary Assessment: The JCC conducts a Preliminary Assessment within 7 days. The assessment determines whether the notification satisfies the minimum threshold for PCC convening. The threshold requires: a specific non-core benefit (not a generalized claim of harm), a plausible causal link (not mere temporal proximity), and evidence that the incident is attributable under Section 2 (not a third-party or unattributable event).</w:t>
      </w:r>
    </w:p>
    <w:p>
      <w:pPr>
        <w:ind w:firstLine="0"/>
      </w:pPr>
      <w:r>
        <w:t xml:space="preserve">Step 3 — PCC Convening: If the Preliminary Assessment clears the threshold, the PCC convenes within 14 days. Both Parties present evidence and argument. The Neutral Guarantor facilitates. The PCC applies the causation standard in Section 8.3.</w:t>
      </w:r>
    </w:p>
    <w:p>
      <w:pPr>
        <w:ind w:firstLine="0"/>
      </w:pPr>
      <w:r>
        <w:t xml:space="preserve">Step 4 — Causation Submission: The impaired Party submits a Causation Brief identifying the particular nuclear or maritime obligation it claims is impaired by the Lebanon incident. Generalized assertions of regional instability do not satisfy this standard.</w:t>
      </w:r>
    </w:p>
    <w:p>
      <w:pPr>
        <w:ind w:firstLine="0"/>
      </w:pPr>
      <w:r>
        <w:t xml:space="preserve">Step 5 — PCC Determination: The PCC issues a Determination within 21 days of convening. The Determination is binding. A two-thirds majority of PCC members (including at least two neutrals) is required for a determination that impairment exists.</w:t>
      </w:r>
    </w:p>
    <w:p>
      <w:pPr>
        <w:pStyle w:val="Heading2"/>
      </w:pPr>
      <w:r>
        <w:t>8.3 The Causation Standard</w:t>
      </w:r>
    </w:p>
    <w:p>
      <w:pPr>
        <w:ind w:firstLine="0"/>
      </w:pPr>
      <w:r>
        <w:t xml:space="preserve">The standard is specific, direct, and non-speculative. The impaired Party identifies the particular nuclear or maritime obligation it claims is impaired by a Lebanon incident.</w:t>
      </w:r>
    </w:p>
    <w:p>
      <w:pPr>
        <w:ind w:firstLine="0"/>
      </w:pPr>
      <w:r>
        <w:t xml:space="preserve">The framework architecture defines the causation standard through the following elements:</w:t>
      </w:r>
    </w:p>
    <w:p>
      <w:pPr>
        <w:ind w:firstLine="0"/>
      </w:pPr>
      <w:r>
        <w:t xml:space="preserve">Specific obligation requirement: The impaired Party names the specific obligation. Examples: "The IAEA seal application at Natanz is impaired because the security environment in Lebanon makes inspector transit unsafe" or "The Strait of Hormuz transit protocol is impaired because Hezbollah threats to commercial shipping create insurance costs that deter vessel operators."</w:t>
      </w:r>
    </w:p>
    <w:p>
      <w:pPr>
        <w:ind w:firstLine="0"/>
      </w:pPr>
      <w:r>
        <w:t xml:space="preserve">Direct causal link requirement: The impaired Party demonstrates a direct causal chain from the Lebanon incident to the specific obligation impairment. The causal chain excludes: generalized political instability, speculative future risks, reputational effects, or market sentiment.</w:t>
      </w:r>
    </w:p>
    <w:p>
      <w:pPr>
        <w:ind w:firstLine="0"/>
      </w:pPr>
      <w:r>
        <w:t xml:space="preserve">Non-speculative standard: The impairment is occurring or has occurred. Projected future impairments do not satisfy the standard unless the PCC finds that the projection is supported by concrete, verifiable evidence of imminent operational impact.</w:t>
      </w:r>
    </w:p>
    <w:p>
      <w:pPr>
        <w:ind w:firstLine="0"/>
      </w:pPr>
      <w:r>
        <w:t xml:space="preserve">Generalized assertions exclusion: The following arguments are categorically excluded from satisfying the causation standard: "Regional instability undermines the framework," "The Lebanon situation creates a bad atmosphere for nuclear cooperation," "Hezbollah actions show Iran's bad faith," and "The broader security environment is deteriorating." These are political arguments, not legal causation.</w:t>
      </w:r>
    </w:p>
    <w:p>
      <w:pPr>
        <w:pStyle w:val="Heading2"/>
      </w:pPr>
      <w:r>
        <w:t>8.4 The 30-Day Suspension Ceiling</w:t>
      </w:r>
    </w:p>
    <w:p>
      <w:pPr>
        <w:ind w:firstLine="0"/>
      </w:pPr>
      <w:r>
        <w:t xml:space="preserve">A non-core benefit suspension is operative for a maximum of 30 days. After that, it lifts automatically unless the PCC issues a renewed determination.</w:t>
      </w:r>
    </w:p>
    <w:p>
      <w:pPr>
        <w:ind w:firstLine="0"/>
      </w:pPr>
      <w:r>
        <w:t xml:space="preserve">The suspension ceiling operates through the following rules:</w:t>
      </w:r>
    </w:p>
    <w:p>
      <w:pPr>
        <w:ind w:firstLine="0"/>
      </w:pPr>
      <w:r>
        <w:t xml:space="preserve">Initial suspension: If the PCC determines that impairment exists, the affected non-core benefit suspends for 30 days. The suspension begins on the date of the PCC Determination.</w:t>
      </w:r>
    </w:p>
    <w:p>
      <w:pPr>
        <w:ind w:firstLine="0"/>
      </w:pPr>
      <w:r>
        <w:t xml:space="preserve">Automatic lift: On day 31, the suspension lifts automatically. No Party action is required. The benefit resumes at full status.</w:t>
      </w:r>
    </w:p>
    <w:p>
      <w:pPr>
        <w:ind w:firstLine="0"/>
      </w:pPr>
      <w:r>
        <w:t xml:space="preserve">Renewal procedure: If the impaired Party seeks renewal, it files a Renewal Request before day 25. The PCC convenes within 7 days. The PCC applies the same causation standard. A new two-thirds majority vote is required.</w:t>
      </w:r>
    </w:p>
    <w:p>
      <w:pPr>
        <w:ind w:firstLine="0"/>
      </w:pPr>
      <w:r>
        <w:t xml:space="preserve">Maximum consecutive suspensions: No non-core benefit may be suspended for more than 90 consecutive days (three 30-day periods). After 90 days, the suspension terminates permanently and the PCC may not issue further suspensions for the same incident.</w:t>
      </w:r>
    </w:p>
    <w:p>
      <w:pPr>
        <w:ind w:firstLine="0"/>
      </w:pPr>
      <w:r>
        <w:t xml:space="preserve">Rationale: This innovation prevents indefinite leverage from a single regional incident. Any suspension is temporary and requires ongoing justification. The automatic lift means that a Party seeking to maintain leverage continually demonstrates causation, not merely restates grievances.</w:t>
      </w:r>
    </w:p>
    <w:p>
      <w:pPr>
        <w:pStyle w:val="Heading1"/>
      </w:pPr>
      <w:r>
        <w:t>Section 9: Governance and Verification</w:t>
      </w:r>
    </w:p>
    <w:p>
      <w:pPr>
        <w:ind w:firstLine="0"/>
      </w:pPr>
      <w:r>
        <w:t xml:space="preserve">This section establishes the governance and verification architecture specific to the Lebanon front. The architecture ensures continuous monitoring, transparent reporting, and early warning capability.</w:t>
      </w:r>
    </w:p>
    <w:p>
      <w:pPr>
        <w:pStyle w:val="Heading2"/>
      </w:pPr>
      <w:r>
        <w:t>9.1 Lebanon-Specific Verification Team</w:t>
      </w:r>
    </w:p>
    <w:p>
      <w:pPr>
        <w:ind w:firstLine="0"/>
      </w:pPr>
      <w:r>
        <w:t xml:space="preserve">A dedicated team comprising personnel from neutral nations deploys to monitor the Lebanon front. The team includes:</w:t>
      </w:r>
    </w:p>
    <w:p>
      <w:pPr>
        <w:ind w:firstLine="0"/>
      </w:pPr>
      <w:r>
        <w:t xml:space="preserve">Military observers: Personnel from neutral nations (Switzerland, Austria, Sweden, Brazil, South Africa) with military observation experience. The observers deploy to UNIFIL positions along the Blue Line and to independent observation posts agreed by the Parties.</w:t>
      </w:r>
    </w:p>
    <w:p>
      <w:pPr>
        <w:ind w:firstLine="0"/>
      </w:pPr>
      <w:r>
        <w:t xml:space="preserve">Satellite imagery analysts: Analysts from the Swiss-hosted verification center who review commercial and government-provided satellite imagery of the Lebanon-Israel border area on a 12-hour cycle.</w:t>
      </w:r>
    </w:p>
    <w:p>
      <w:pPr>
        <w:ind w:firstLine="0"/>
      </w:pPr>
      <w:r>
        <w:t xml:space="preserve">UNIFIL liaison officers: Dedicated liaison officers who maintain continuous communication with UNIFIL command, receive incident reports within 2 hours, and transmit verified data to the JCC within 6 hours.</w:t>
      </w:r>
    </w:p>
    <w:p>
      <w:pPr>
        <w:ind w:firstLine="0"/>
      </w:pPr>
      <w:r>
        <w:t xml:space="preserve">Team independence: The Lebanon-Specific Verification Team reports exclusively to the JCC. No Party directs, censors, or reviews team reports before transmission.</w:t>
      </w:r>
    </w:p>
    <w:p>
      <w:pPr>
        <w:pStyle w:val="Heading2"/>
      </w:pPr>
      <w:r>
        <w:t>9.2 The Joint Coordination Center (JCC)</w:t>
      </w:r>
    </w:p>
    <w:p>
      <w:pPr>
        <w:ind w:firstLine="0"/>
      </w:pPr>
      <w:r>
        <w:t xml:space="preserve">The JCC serves as the primary coordination and verification body for the Lebanon front. The JCC performs the following Lebanon-specific functions:</w:t>
      </w:r>
    </w:p>
    <w:p>
      <w:pPr>
        <w:ind w:firstLine="0"/>
      </w:pPr>
      <w:r>
        <w:t xml:space="preserve">Incident logging: All Lebanon front incidents are logged in the JCC database within 12 hours of occurrence. The log includes: date, time, location, description, casualty count (if any), verification sources, and preliminary attribution assessment.</w:t>
      </w:r>
    </w:p>
    <w:p>
      <w:pPr>
        <w:ind w:firstLine="0"/>
      </w:pPr>
      <w:r>
        <w:t xml:space="preserve">Score calculation: The JCC calculates the Lebanon Stability Corridor score weekly, using the component weights in Section 7.2. The score publishes on the Lebanon Status Dashboard within 24 hours of calculation.</w:t>
      </w:r>
    </w:p>
    <w:p>
      <w:pPr>
        <w:ind w:firstLine="0"/>
      </w:pPr>
      <w:r>
        <w:t xml:space="preserve">Credit verification: The JCC verifies Compliance Credits under Section 3.5 and authorizes releases through the Swiss escrow administrator.</w:t>
      </w:r>
    </w:p>
    <w:p>
      <w:pPr>
        <w:ind w:firstLine="0"/>
      </w:pPr>
      <w:r>
        <w:t xml:space="preserve">Escalation assessment: The JCC determines the escalation level (1, 2, or 3) for each incident within 24 hours. The determination is binding unless overturned by the Human-in-the-Loop Review.</w:t>
      </w:r>
    </w:p>
    <w:p>
      <w:pPr>
        <w:pStyle w:val="Heading2"/>
      </w:pPr>
      <w:r>
        <w:t>9.3 The Lebanon Status Dashboard</w:t>
      </w:r>
    </w:p>
    <w:p>
      <w:pPr>
        <w:ind w:firstLine="0"/>
      </w:pPr>
      <w:r>
        <w:t xml:space="preserve">A dedicated module of the Swiss-hosted digital dashboard tracks the following Lebanon-specific indicators:</w:t>
      </w:r>
    </w:p>
    <w:p>
      <w:pPr>
        <w:ind w:firstLine="0"/>
      </w:pPr>
      <w:r>
        <w:t xml:space="preserve">Stability Corridor score: Current score, component breakdown, 30-day trend line, and comparison to baseline.</w:t>
      </w:r>
    </w:p>
    <w:p>
      <w:pPr>
        <w:ind w:firstLine="0"/>
      </w:pPr>
      <w:r>
        <w:t xml:space="preserve">Compliance credits: Credits earned, credits converted, remaining cap, and conversion history.</w:t>
      </w:r>
    </w:p>
    <w:p>
      <w:pPr>
        <w:ind w:firstLine="0"/>
      </w:pPr>
      <w:r>
        <w:t xml:space="preserve">Active Firewall status: Firewall state (active/inactive), trigger history, and current protection level.</w:t>
      </w:r>
    </w:p>
    <w:p>
      <w:pPr>
        <w:ind w:firstLine="0"/>
      </w:pPr>
      <w:r>
        <w:t xml:space="preserve">Incident log: All logged incidents with escalation level, attribution status, and JCC determination.</w:t>
      </w:r>
    </w:p>
    <w:p>
      <w:pPr>
        <w:ind w:firstLine="0"/>
      </w:pPr>
      <w:r>
        <w:t xml:space="preserve">Dashboard access: Both Parties, the Neutral Guarantor, the Verification Team, and the Human-in-the-Loop Review Panel have real-time access. The public transparency layer displays the Stability Corridor score and incident count only.</w:t>
      </w:r>
    </w:p>
    <w:p>
      <w:pPr>
        <w:pStyle w:val="Heading2"/>
      </w:pPr>
      <w:r>
        <w:t>9.4 Early Warning Network</w:t>
      </w:r>
    </w:p>
    <w:p>
      <w:pPr>
        <w:ind w:firstLine="0"/>
      </w:pPr>
      <w:r>
        <w:t xml:space="preserve">A three-level warning system provides early detection of escalation indicators:</w:t>
      </w:r>
    </w:p>
    <w:p>
      <w:pPr>
        <w:ind w:firstLine="0"/>
      </w:pPr>
      <w:r>
        <w:t xml:space="preserve">Amber Warning: Triggered by a single Level 1 incident, a Stability Corridor score between 25-39, or a Pattern Monitoring signal between 1-1.5 standard deviations. Response: Enhanced monitoring, daily JCC reporting, Neutral Guarantor alert.</w:t>
      </w:r>
    </w:p>
    <w:p>
      <w:pPr>
        <w:ind w:firstLine="0"/>
      </w:pPr>
      <w:r>
        <w:t xml:space="preserve">Orange Warning: Triggered by a Level 2 incident, a Stability Corridor score between 15-24, or a Pattern Monitoring signal between 1.5-2 standard deviations. Response: Oman back-channel proactive deployment, emergency JCC session within 48 hours, compliance credit accrual pause.</w:t>
      </w:r>
    </w:p>
    <w:p>
      <w:pPr>
        <w:ind w:firstLine="0"/>
      </w:pPr>
      <w:r>
        <w:t xml:space="preserve">Red Warning: Triggered by a Level 3 incident, a Stability Corridor score below 15, or a Pattern Monitoring signal exceeding 2 standard deviations. Response: Full firewall activation, Lebanon unit Synchronization Clock pause, mandatory PCC convening, Guarantor Matrix notification.</w:t>
      </w:r>
    </w:p>
    <w:p>
      <w:pPr>
        <w:pStyle w:val="Heading1"/>
      </w:pPr>
      <w:r>
        <w:t>Section 10: Exit and Duration</w:t>
      </w:r>
    </w:p>
    <w:p>
      <w:pPr>
        <w:ind w:firstLine="0"/>
      </w:pPr>
      <w:r>
        <w:t xml:space="preserve">This section establishes the exit mechanisms and duration rules specific to the Lebanon front. The architecture ensures that exit from the Lebanon module does not affect the core agreement.</w:t>
      </w:r>
    </w:p>
    <w:p>
      <w:pPr>
        <w:pStyle w:val="Heading2"/>
      </w:pPr>
      <w:r>
        <w:t>10.1 Lebanon-Only Exit</w:t>
      </w:r>
    </w:p>
    <w:p>
      <w:pPr>
        <w:ind w:firstLine="0"/>
      </w:pPr>
      <w:r>
        <w:t xml:space="preserve">Either Party invokes a Lebanon-only exit by giving 14 days' written notice to the JCC. This terminates the Lebanon unit while all other articles remain in full force.</w:t>
      </w:r>
    </w:p>
    <w:p>
      <w:pPr>
        <w:ind w:firstLine="0"/>
      </w:pPr>
      <w:r>
        <w:t xml:space="preserve">The Lebanon-only exit operates through the following rules:</w:t>
      </w:r>
    </w:p>
    <w:p>
      <w:pPr>
        <w:ind w:firstLine="0"/>
      </w:pPr>
      <w:r>
        <w:t xml:space="preserve">Notice content: The notice states only that the Party is invoking the Lebanon-only exit under Section 10.1. The notice does not require explanation, justification, or specification of grievances.</w:t>
      </w:r>
    </w:p>
    <w:p>
      <w:pPr>
        <w:ind w:firstLine="0"/>
      </w:pPr>
      <w:r>
        <w:t xml:space="preserve">Notice effect: Upon receipt, the JCC logs the notice and begins a 14-day countdown. During the 14 days, all Annex LN commitments remain in force. Compliance credits continue to accrue.</w:t>
      </w:r>
    </w:p>
    <w:p>
      <w:pPr>
        <w:ind w:firstLine="0"/>
      </w:pPr>
      <w:r>
        <w:t xml:space="preserve">Exit effect: On day 15, Annex LN terminates. The Lebanon Stability Corridor closes. The Oman back-channel closes. Compliance credit accrual stops. The structural firewall remains in effect for incidents occurring before exit.</w:t>
      </w:r>
    </w:p>
    <w:p>
      <w:pPr>
        <w:ind w:firstLine="0"/>
      </w:pPr>
      <w:r>
        <w:t xml:space="preserve">Core agreement preservation: The parent Agreement continues in full force. All nuclear, maritime, and economic commitments survive the Lebanon exit. No other annex is affected.</w:t>
      </w:r>
    </w:p>
    <w:p>
      <w:pPr>
        <w:ind w:firstLine="0"/>
      </w:pPr>
      <w:r>
        <w:t xml:space="preserve">Re-entry: Either Party proposes re-entry into Annex LN by written notice to the JCC. Re-entry requires mutual consent and a new signature or exchange of diplomatic notes.</w:t>
      </w:r>
    </w:p>
    <w:p>
      <w:pPr>
        <w:pStyle w:val="Heading2"/>
      </w:pPr>
      <w:r>
        <w:t>10.2 Auto-Extension</w:t>
      </w:r>
    </w:p>
    <w:p>
      <w:pPr>
        <w:ind w:firstLine="0"/>
      </w:pPr>
      <w:r>
        <w:t xml:space="preserve">All commitments under this Annex extend automatically for successive 90-day periods unless either Party provides written notice of non-extension at least 30 days before expiry.</w:t>
      </w:r>
    </w:p>
    <w:p>
      <w:pPr>
        <w:ind w:firstLine="0"/>
      </w:pPr>
      <w:r>
        <w:t xml:space="preserve">The auto-extension operates through the following rules:</w:t>
      </w:r>
    </w:p>
    <w:p>
      <w:pPr>
        <w:ind w:firstLine="0"/>
      </w:pPr>
      <w:r>
        <w:t xml:space="preserve">Initial term: Annex LN remains in force for 90 days from entry into force.</w:t>
      </w:r>
    </w:p>
    <w:p>
      <w:pPr>
        <w:ind w:firstLine="0"/>
      </w:pPr>
      <w:r>
        <w:t xml:space="preserve">Automatic renewal: On day 91, the Annex renews automatically for another 90 days. This process continues indefinitely.</w:t>
      </w:r>
    </w:p>
    <w:p>
      <w:pPr>
        <w:ind w:firstLine="0"/>
      </w:pPr>
      <w:r>
        <w:t xml:space="preserve">Non-extension notice: Either Party stops the auto-extension by providing written notice to the JCC at least 30 days before the end of any 90-day period. The notice takes effect at the end of the current period.</w:t>
      </w:r>
    </w:p>
    <w:p>
      <w:pPr>
        <w:ind w:firstLine="0"/>
      </w:pPr>
      <w:r>
        <w:t xml:space="preserve">No termination effect: A non-extension notice does not constitute termination of the parent Agreement. It simply means that Annex LN does not renew after the current period expires.</w:t>
      </w:r>
    </w:p>
    <w:p>
      <w:pPr>
        <w:pStyle w:val="Heading2"/>
      </w:pPr>
      <w:r>
        <w:t>10.3 No-Precedent Clause</w:t>
      </w:r>
    </w:p>
    <w:p>
      <w:pPr>
        <w:ind w:firstLine="0"/>
      </w:pPr>
      <w:r>
        <w:t xml:space="preserve">This Protocol creates no legal precedent and applies only to the circumstances of June 2026.</w:t>
      </w:r>
    </w:p>
    <w:p>
      <w:pPr>
        <w:ind w:firstLine="0"/>
      </w:pPr>
      <w:r>
        <w:t xml:space="preserve">The framework architecture establishes the following no-precedent protections:</w:t>
      </w:r>
    </w:p>
    <w:p>
      <w:pPr>
        <w:ind w:firstLine="0"/>
      </w:pPr>
      <w:r>
        <w:t xml:space="preserve">No inference: No inference may be drawn from any provision of Annex LN regarding positions on any matter not expressly addressed herein. Either Party asserts in any domestic, international, or diplomatic forum that Annex LN has no precedential value.</w:t>
      </w:r>
    </w:p>
    <w:p>
      <w:pPr>
        <w:ind w:firstLine="0"/>
      </w:pPr>
      <w:r>
        <w:t xml:space="preserve">Self-executing: This clause is self-executing. Both Parties cite this clause whenever defending Annex LN against claims that it establishes binding precedent for unrelated matters.</w:t>
      </w:r>
    </w:p>
    <w:p>
      <w:pPr>
        <w:ind w:firstLine="0"/>
      </w:pPr>
      <w:r>
        <w:t xml:space="preserve">Sui generis: Each provision of Annex LN is sui generis, tailored to the June 2026 negotiating environment and the specific circumstances giving rise to this Annex.</w:t>
      </w:r>
    </w:p>
    <w:p>
      <w:pPr>
        <w:pStyle w:val="Heading1"/>
      </w:pPr>
      <w:r>
        <w:t>Innovation Summary for Annex LN</w:t>
      </w:r>
    </w:p>
    <w:p>
      <w:pPr>
        <w:ind w:firstLine="0"/>
      </w:pPr>
      <w:r>
        <w:t xml:space="preserve">The following innovations distinguish Annex LN from prior frameworks and establish new standards for firewalled, verifiable regional stabilization protocols:</w:t>
      </w:r>
    </w:p>
    <w:tbl>
      <w:tblPr>
        <w:tblW w:w="5000" w:type="pct"/>
        <w:tblBorders>
          <w:top w:val="single" w:color="1a2744" w:sz="12"/>
          <w:left w:val="single" w:color="cbd5e1" w:sz="4"/>
          <w:bottom w:val="single" w:color="1a2744" w:sz="12"/>
          <w:right w:val="single" w:color="cbd5e1" w:sz="4"/>
          <w:insideH w:val="single" w:color="cbd5e1" w:sz="4"/>
          <w:insideV w:val="single" w:color="cbd5e1" w:sz="4"/>
        </w:tblBorders>
      </w:tblPr>
      <w:tblGrid>
        <w:gridCol w:w="1800"/>
        <w:gridCol w:w="3600"/>
        <w:gridCol w:w="3600"/>
      </w:tblGrid>
      <w:tr>
        <w:trPr>
          <w:tblHeader/>
        </w:trPr>
        <w:tc>
          <w:tcPr>
            <w:tcW w:w="1800" w:type="dxa"/>
            <w:shd w:val="clear" w:fill="f1f5f9"/>
          </w:tcPr>
          <w:p>
            <w:pPr>
              <w:spacing w:before="60" w:after="60"/>
              <w:jc w:val="left"/>
            </w:pPr>
            <w:r>
              <w:rPr>
                <w:b/>
                <w:color w:val="1e293b"/>
                <w:sz w:val="20"/>
              </w:rPr>
              <w:t>Innovation</w:t>
            </w:r>
          </w:p>
        </w:tc>
        <w:tc>
          <w:tcPr>
            <w:tcW w:w="3600" w:type="dxa"/>
            <w:shd w:val="clear" w:fill="f1f5f9"/>
          </w:tcPr>
          <w:p>
            <w:pPr>
              <w:spacing w:before="60" w:after="60"/>
              <w:jc w:val="left"/>
            </w:pPr>
            <w:r>
              <w:rPr>
                <w:b/>
                <w:color w:val="1e293b"/>
                <w:sz w:val="20"/>
              </w:rPr>
              <w:t>Description</w:t>
            </w:r>
          </w:p>
        </w:tc>
        <w:tc>
          <w:tcPr>
            <w:tcW w:w="3600" w:type="dxa"/>
            <w:shd w:val="clear" w:fill="f1f5f9"/>
          </w:tcPr>
          <w:p>
            <w:pPr>
              <w:spacing w:before="60" w:after="60"/>
              <w:jc w:val="left"/>
            </w:pPr>
            <w:r>
              <w:rPr>
                <w:b/>
                <w:color w:val="1e293b"/>
                <w:sz w:val="20"/>
              </w:rPr>
              <w:t>Source/Justification</w:t>
            </w:r>
          </w:p>
        </w:tc>
      </w:tr>
      <w:tr>
        <w:tc>
          <w:tcPr>
            <w:tcW w:w="1800" w:type="dxa"/>
          </w:tcPr>
          <w:p>
            <w:pPr>
              <w:spacing w:before="40" w:after="40"/>
              <w:jc w:val="left"/>
            </w:pPr>
            <w:r>
              <w:rPr>
                <w:color w:val="1e293b"/>
                <w:sz w:val="20"/>
              </w:rPr>
              <w:t>Dual-Key Escalation Lock</w:t>
            </w:r>
          </w:p>
        </w:tc>
        <w:tc>
          <w:tcPr>
            <w:tcW w:w="3600" w:type="dxa"/>
          </w:tcPr>
          <w:p>
            <w:pPr>
              <w:spacing w:before="40" w:after="40"/>
              <w:jc w:val="left"/>
            </w:pPr>
            <w:r>
              <w:rPr>
                <w:color w:val="1e293b"/>
                <w:sz w:val="20"/>
              </w:rPr>
              <w:t>Cross-module spillover requires a JCC finding of impairment and a UNSC determination that the incident was from a direct Supreme Leader order. Absent both keys, the nuclear and maritime cores continue unchanged.</w:t>
            </w:r>
          </w:p>
        </w:tc>
        <w:tc>
          <w:tcPr>
            <w:tcW w:w="3600" w:type="dxa"/>
          </w:tcPr>
          <w:p>
            <w:pPr>
              <w:spacing w:before="40" w:after="40"/>
              <w:jc w:val="left"/>
            </w:pPr>
            <w:r>
              <w:rPr>
                <w:color w:val="1e293b"/>
                <w:sz w:val="20"/>
              </w:rPr>
              <w:t>Prevents any single actor from exploiting ambiguity to collapse the deal. Derived from HSC Annex K, Section 5.5.</w:t>
            </w:r>
          </w:p>
        </w:tc>
      </w:tr>
      <w:tr>
        <w:tc>
          <w:tcPr>
            <w:tcW w:w="1800" w:type="dxa"/>
          </w:tcPr>
          <w:p>
            <w:pPr>
              <w:spacing w:before="40" w:after="40"/>
              <w:jc w:val="left"/>
            </w:pPr>
            <w:r>
              <w:rPr>
                <w:color w:val="1e293b"/>
                <w:sz w:val="20"/>
              </w:rPr>
              <w:t>Proxy Influence Presumption</w:t>
            </w:r>
          </w:p>
        </w:tc>
        <w:tc>
          <w:tcPr>
            <w:tcW w:w="3600" w:type="dxa"/>
          </w:tcPr>
          <w:p>
            <w:pPr>
              <w:spacing w:before="40" w:after="40"/>
              <w:jc w:val="left"/>
            </w:pPr>
            <w:r>
              <w:rPr>
                <w:color w:val="1e293b"/>
                <w:sz w:val="20"/>
              </w:rPr>
              <w:t>Iran accepts responsibility for Hezbollah actions in Lebanese territory. Non-attribution requires Iran to provide verified evidence of opposition within 72 hours.</w:t>
            </w:r>
          </w:p>
        </w:tc>
        <w:tc>
          <w:tcPr>
            <w:tcW w:w="3600" w:type="dxa"/>
          </w:tcPr>
          <w:p>
            <w:pPr>
              <w:spacing w:before="40" w:after="40"/>
              <w:jc w:val="left"/>
            </w:pPr>
            <w:r>
              <w:rPr>
                <w:color w:val="1e293b"/>
                <w:sz w:val="20"/>
              </w:rPr>
              <w:t>Closes the plausible deniability loophole while preserving the non-attribution standard. Derived from HSC Annex K, Section 8.6.</w:t>
            </w:r>
          </w:p>
        </w:tc>
      </w:tr>
      <w:tr>
        <w:tc>
          <w:tcPr>
            <w:tcW w:w="1800" w:type="dxa"/>
          </w:tcPr>
          <w:p>
            <w:pPr>
              <w:spacing w:before="40" w:after="40"/>
              <w:jc w:val="left"/>
            </w:pPr>
            <w:r>
              <w:rPr>
                <w:color w:val="1e293b"/>
                <w:sz w:val="20"/>
              </w:rPr>
              <w:t>Compliance Credits for Hezbollah Restraint</w:t>
            </w:r>
          </w:p>
        </w:tc>
        <w:tc>
          <w:tcPr>
            <w:tcW w:w="3600" w:type="dxa"/>
          </w:tcPr>
          <w:p>
            <w:pPr>
              <w:spacing w:before="40" w:after="40"/>
              <w:jc w:val="left"/>
            </w:pPr>
            <w:r>
              <w:rPr>
                <w:color w:val="1e293b"/>
                <w:sz w:val="20"/>
              </w:rPr>
              <w:t>Iran receives credits for demonstrable restraint. Each credit converts into a non-reversible 50 million dollar release from frozen assets, capped at 250 million dollars total.</w:t>
            </w:r>
          </w:p>
        </w:tc>
        <w:tc>
          <w:tcPr>
            <w:tcW w:w="3600" w:type="dxa"/>
          </w:tcPr>
          <w:p>
            <w:pPr>
              <w:spacing w:before="40" w:after="40"/>
              <w:jc w:val="left"/>
            </w:pPr>
            <w:r>
              <w:rPr>
                <w:color w:val="1e293b"/>
                <w:sz w:val="20"/>
              </w:rPr>
              <w:t>Creates a powerful, verifiable incentive for Iran to exercise influence without requiring a guarantee of Hezbollah conduct. Derived from HSC Annex K, Section 10.1.</w:t>
            </w:r>
          </w:p>
        </w:tc>
      </w:tr>
      <w:tr>
        <w:tc>
          <w:tcPr>
            <w:tcW w:w="1800" w:type="dxa"/>
          </w:tcPr>
          <w:p>
            <w:pPr>
              <w:spacing w:before="40" w:after="40"/>
              <w:jc w:val="left"/>
            </w:pPr>
            <w:r>
              <w:rPr>
                <w:color w:val="1e293b"/>
                <w:sz w:val="20"/>
              </w:rPr>
              <w:t>Proactive De-Escalation Deployment</w:t>
            </w:r>
          </w:p>
        </w:tc>
        <w:tc>
          <w:tcPr>
            <w:tcW w:w="3600" w:type="dxa"/>
          </w:tcPr>
          <w:p>
            <w:pPr>
              <w:spacing w:before="40" w:after="40"/>
              <w:jc w:val="left"/>
            </w:pPr>
            <w:r>
              <w:rPr>
                <w:color w:val="1e293b"/>
                <w:sz w:val="20"/>
              </w:rPr>
              <w:t>The Oman back-channel auto-activates when the Stability Corridor score falls below 25 or a Pattern Monitor signal exceeds two standard deviations.</w:t>
            </w:r>
          </w:p>
        </w:tc>
        <w:tc>
          <w:tcPr>
            <w:tcW w:w="3600" w:type="dxa"/>
          </w:tcPr>
          <w:p>
            <w:pPr>
              <w:spacing w:before="40" w:after="40"/>
              <w:jc w:val="left"/>
            </w:pPr>
            <w:r>
              <w:rPr>
                <w:color w:val="1e293b"/>
                <w:sz w:val="20"/>
              </w:rPr>
              <w:t>Prevents crises from developing; de-escalation becomes an automatic, mechanical process. Derived from HSC Annex K, Section 11.3.</w:t>
            </w:r>
          </w:p>
        </w:tc>
      </w:tr>
      <w:tr>
        <w:tc>
          <w:tcPr>
            <w:tcW w:w="1800" w:type="dxa"/>
          </w:tcPr>
          <w:p>
            <w:pPr>
              <w:spacing w:before="40" w:after="40"/>
              <w:jc w:val="left"/>
            </w:pPr>
            <w:r>
              <w:rPr>
                <w:color w:val="1e293b"/>
                <w:sz w:val="20"/>
              </w:rPr>
              <w:t>30-Day Suspension Ceiling</w:t>
            </w:r>
          </w:p>
        </w:tc>
        <w:tc>
          <w:tcPr>
            <w:tcW w:w="3600" w:type="dxa"/>
          </w:tcPr>
          <w:p>
            <w:pPr>
              <w:spacing w:before="40" w:after="40"/>
              <w:jc w:val="left"/>
            </w:pPr>
            <w:r>
              <w:rPr>
                <w:color w:val="1e293b"/>
                <w:sz w:val="20"/>
              </w:rPr>
              <w:t>Non-core benefits suspend for a maximum of 30 days. The suspension lifts automatically unless the PCC issues a renewed determination. Maximum 90 consecutive days.</w:t>
            </w:r>
          </w:p>
        </w:tc>
        <w:tc>
          <w:tcPr>
            <w:tcW w:w="3600" w:type="dxa"/>
          </w:tcPr>
          <w:p>
            <w:pPr>
              <w:spacing w:before="40" w:after="40"/>
              <w:jc w:val="left"/>
            </w:pPr>
            <w:r>
              <w:rPr>
                <w:color w:val="1e293b"/>
                <w:sz w:val="20"/>
              </w:rPr>
              <w:t>Prevents indefinite leverage from a single regional incident; ensures any suspension is temporary. Derived from Big Book Annex J, Article 5.</w:t>
            </w:r>
          </w:p>
        </w:tc>
      </w:tr>
    </w:tbl>
    <w:p>
      <w:pPr>
        <w:pStyle w:val="Heading1"/>
      </w:pPr>
      <w:r>
        <w:t>Signature Block</w:t>
      </w:r>
    </w:p>
    <w:p>
      <w:pPr>
        <w:ind w:firstLine="0"/>
      </w:pPr>
      <w:r>
        <w:t xml:space="preserve">In witness whereof, the undersigned, being duly authorized by their respective governments, have signed this Annex LN: Lebanon Non-Attribution &amp; Stabilization Protocol.</w:t>
      </w:r>
    </w:p>
    <w:p>
      <w:pPr>
        <w:ind w:firstLine="0"/>
      </w:pPr>
      <w:r>
        <w:t xml:space="preserve">Done at _________________________, this ______ day of _________________________, 2026, in duplicate in the English language.</w:t>
      </w:r>
    </w:p>
    <w:p>
      <w:pPr>
        <w:ind w:firstLine="0"/>
      </w:pPr>
      <w:r>
        <w:t xml:space="preserve"/>
      </w:r>
    </w:p>
    <w:p>
      <w:pPr>
        <w:ind w:firstLine="0"/>
      </w:pPr>
      <w:r>
        <w:t xml:space="preserve">For the United States of America:</w:t>
      </w:r>
    </w:p>
    <w:p>
      <w:pPr>
        <w:ind w:firstLine="0"/>
      </w:pPr>
      <w:r>
        <w:t xml:space="preserve">Name: ____________________</w:t>
      </w:r>
    </w:p>
    <w:p>
      <w:pPr>
        <w:ind w:firstLine="0"/>
      </w:pPr>
      <w:r>
        <w:t xml:space="preserve">Title: ____________________</w:t>
      </w:r>
    </w:p>
    <w:p>
      <w:pPr>
        <w:ind w:firstLine="0"/>
      </w:pPr>
      <w:r>
        <w:t xml:space="preserve">Date: ____________________</w:t>
      </w:r>
    </w:p>
    <w:p>
      <w:pPr>
        <w:ind w:firstLine="0"/>
      </w:pPr>
      <w:r>
        <w:t xml:space="preserve"/>
      </w:r>
    </w:p>
    <w:p>
      <w:pPr>
        <w:ind w:firstLine="0"/>
      </w:pPr>
      <w:r>
        <w:t xml:space="preserve">For the Islamic Republic of Iran:</w:t>
      </w:r>
    </w:p>
    <w:p>
      <w:pPr>
        <w:ind w:firstLine="0"/>
      </w:pPr>
      <w:r>
        <w:t xml:space="preserve">Name: ____________________</w:t>
      </w:r>
    </w:p>
    <w:p>
      <w:pPr>
        <w:ind w:firstLine="0"/>
      </w:pPr>
      <w:r>
        <w:t xml:space="preserve">Title: ____________________</w:t>
      </w:r>
    </w:p>
    <w:p>
      <w:pPr>
        <w:ind w:firstLine="0"/>
      </w:pPr>
      <w:r>
        <w:t xml:space="preserve">Date: ____________________</w:t>
      </w:r>
    </w:p>
    <w:p>
      <w:pPr>
        <w:ind w:firstLine="0"/>
      </w:pPr>
      <w:r>
        <w:t xml:space="preserve"/>
      </w:r>
    </w:p>
    <w:p>
      <w:pPr>
        <w:ind w:firstLine="0"/>
      </w:pPr>
      <w:r>
        <w:t xml:space="preserve">Witnessed by the Joint Secretariat (Muscat):</w:t>
      </w:r>
    </w:p>
    <w:p>
      <w:pPr>
        <w:ind w:firstLine="0"/>
      </w:pPr>
      <w:r>
        <w:t xml:space="preserve">Signature: ____________________</w:t>
      </w:r>
    </w:p>
    <w:p>
      <w:pPr>
        <w:ind w:firstLine="0"/>
      </w:pPr>
      <w:r>
        <w:t xml:space="preserve">Date: ____________________</w:t>
      </w:r>
    </w:p>
    <w:p>
      <w:pPr>
        <w:sectPr>
          <w:headerReference w:type="default" r:id="R26febe9e34bd482b"/>
          <w:footerReference w:type="default" r:id="R0f7aafe69e6f4613"/>
          <w:pgSz w:w="11906" w:h="16838"/>
          <w:pgMar w:top="1800" w:right="1440" w:bottom="1440" w:left="1440" w:header="720" w:footer="720"/>
        </w:sectPr>
      </w:pPr>
    </w:p>
  </w:body>
</w:document>
</file>

<file path=word/footer1.xml><?xml version="1.0" encoding="utf-8"?>
<w:ftr xmlns:w="http://schemas.openxmlformats.org/wordprocessingml/2006/main">
  <w:p>
    <w:pPr>
      <w:jc w:val="center"/>
    </w:pPr>
    <w:r>
      <w:rPr>
        <w:color w:val="94a3b8"/>
        <w:sz w:val="18"/>
      </w:rPr>
      <w:fldChar w:fldCharType="begin"/>
    </w:r>
    <w:r>
      <w:rPr>
        <w:color w:val="94a3b8"/>
        <w:sz w:val="18"/>
      </w:rPr>
      <w:instrText xml:space="preserve"> PAGE </w:instrText>
    </w:r>
    <w:r>
      <w:rPr>
        <w:color w:val="94a3b8"/>
        <w:sz w:val="18"/>
      </w:rPr>
      <w:fldChar w:fldCharType="separate"/>
    </w:r>
    <w:r>
      <w:rPr>
        <w:color w:val="94a3b8"/>
        <w:sz w:val="18"/>
      </w:rPr>
      <w:t>1</w:t>
    </w:r>
    <w:r>
      <w:rPr>
        <w:color w:val="94a3b8"/>
        <w:sz w:val="18"/>
      </w:rPr>
      <w:fldChar w:fldCharType="end"/>
    </w:r>
  </w:p>
</w:ftr>
</file>

<file path=word/header1.xml><?xml version="1.0" encoding="utf-8"?>
<w:hdr xmlns:w="http://schemas.openxmlformats.org/wordprocessingml/2006/main">
  <w:p>
    <w:pPr>
      <w:jc w:val="right"/>
    </w:pPr>
    <w:r>
      <w:rPr>
        <w:rFonts w:ascii="Cambria" w:hAnsi="Cambria"/>
        <w:color w:val="94a3b8"/>
        <w:sz w:val="18"/>
      </w:rPr>
      <w:t>Annex LN: Lebanon Non-Attribution &amp; Stabilization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276" w:lineRule="auto"/>
      <w:jc w:val="both"/>
    </w:pPr>
    <w:rPr>
      <w:rFonts w:ascii="Cambria" w:hAnsi="Cambria" w:eastAsia="Times New Roman"/>
      <w:color w:val="1e293b"/>
      <w:sz w:val="22"/>
    </w:rPr>
  </w:style>
  <w:style w:type="paragraph" w:styleId="Heading1">
    <w:name w:val="heading 1"/>
    <w:basedOn w:val="Normal"/>
    <w:pPr>
      <w:keepNext/>
      <w:keepLines/>
      <w:spacing w:before="480" w:after="200"/>
      <w:outlineLvl w:val="0"/>
    </w:pPr>
    <w:rPr>
      <w:rFonts w:ascii="Cambria" w:hAnsi="Cambria" w:eastAsia="Times New Roman"/>
      <w:b/>
      <w:color w:val="1a2744"/>
      <w:sz w:val="40"/>
    </w:rPr>
  </w:style>
  <w:style w:type="paragraph" w:styleId="Heading2">
    <w:name w:val="heading 2"/>
    <w:basedOn w:val="Normal"/>
    <w:pPr>
      <w:keepNext/>
      <w:keepLines/>
      <w:spacing w:before="360" w:after="160"/>
      <w:outlineLvl w:val="1"/>
    </w:pPr>
    <w:rPr>
      <w:rFonts w:ascii="Cambria" w:hAnsi="Cambria" w:eastAsia="Times New Roman"/>
      <w:b/>
      <w:color w:val="1a2744"/>
      <w:sz w:val="28"/>
    </w:rPr>
  </w:style>
  <w:style w:type="paragraph" w:styleId="Heading3">
    <w:name w:val="heading 3"/>
    <w:basedOn w:val="Normal"/>
    <w:pPr>
      <w:keepNext/>
      <w:keepLines/>
      <w:spacing w:before="280" w:after="120"/>
      <w:outlineLvl w:val="2"/>
    </w:pPr>
    <w:rPr>
      <w:rFonts w:ascii="Cambria" w:hAnsi="Cambria" w:eastAsia="Times New Roman"/>
      <w:b/>
      <w:color w:val="1e293b"/>
      <w:sz w:val="24"/>
    </w:rPr>
  </w:style>
  <w:style w:type="paragraph" w:styleId="Caption">
    <w:name w:val="Caption"/>
    <w:basedOn w:val="Normal"/>
    <w:pPr>
      <w:spacing w:before="60" w:after="240"/>
      <w:jc w:val="center"/>
    </w:pPr>
    <w:rPr>
      <w:color w:val="94a3b8"/>
      <w:sz w:val="20"/>
    </w:rPr>
  </w:style>
  <w:style w:type="paragraph" w:styleId="TOC1">
    <w:name w:val="toc 1"/>
    <w:basedOn w:val="Normal"/>
    <w:pPr>
      <w:tabs>
        <w:tab w:val="right" w:leader="dot" w:pos="9350"/>
      </w:tabs>
      <w:spacing w:before="240" w:after="40"/>
      <w:ind w:left="0"/>
    </w:pPr>
    <w:rPr>
      <w:b/>
      <w:color w:val="1e293b"/>
    </w:rPr>
  </w:style>
  <w:style w:type="paragraph" w:styleId="TOC2">
    <w:name w:val="toc 2"/>
    <w:basedOn w:val="Normal"/>
    <w:pPr>
      <w:tabs>
        <w:tab w:val="right" w:leader="dot" w:pos="9350"/>
      </w:tabs>
      <w:spacing w:before="80" w:after="40"/>
      <w:ind w:left="360"/>
    </w:pPr>
    <w:rPr>
      <w:color w:val="475569"/>
    </w:rPr>
  </w:style>
  <w:style w:type="paragraph" w:styleId="TOC3">
    <w:name w:val="toc 3"/>
    <w:basedOn w:val="Normal"/>
    <w:pPr>
      <w:tabs>
        <w:tab w:val="right" w:leader="dot" w:pos="9350"/>
      </w:tabs>
      <w:spacing w:before="40" w:after="40"/>
      <w:ind w:left="720"/>
    </w:pPr>
    <w:rPr>
      <w:color w:val="475569"/>
    </w:rPr>
  </w:style>
</w:styles>
</file>

<file path=word/_rels/document.xml.rels><?xml version='1.0' encoding='UTF-8'?>
<Relationships xmlns="http://schemas.openxmlformats.org/package/2006/relationships"><Relationship Type="http://schemas.openxmlformats.org/officeDocument/2006/relationships/styles" Target="styles.xml" Id="R5f25d61091dc4a44" /><Relationship Type="http://schemas.openxmlformats.org/officeDocument/2006/relationships/numbering" Target="numbering.xml" Id="Rbeee464f571949c8" /><Relationship Type="http://schemas.openxmlformats.org/officeDocument/2006/relationships/image" Target="media/image.png" Id="R22cf3432dafa4c66" /><Relationship Type="http://schemas.openxmlformats.org/officeDocument/2006/relationships/header" Target="header1.xml" Id="R26febe9e34bd482b" /><Relationship Type="http://schemas.openxmlformats.org/officeDocument/2006/relationships/footer" Target="footer1.xml" Id="R0f7aafe69e6f4613" /><Relationship Type="http://schemas.openxmlformats.org/officeDocument/2006/relationships/settings" Target="settings.xml" Id="R915ba87e25b94db4" /></Relationships>
</file>