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31F80" w14:textId="77777777" w:rsidR="00DA7972" w:rsidRDefault="00DA7972">
      <w:pPr>
        <w:spacing w:before="3400" w:after="0"/>
        <w:jc w:val="center"/>
      </w:pPr>
    </w:p>
    <w:p w14:paraId="201C621F" w14:textId="77777777" w:rsidR="00DA7972" w:rsidRDefault="00000000">
      <w:pPr>
        <w:spacing w:after="300"/>
        <w:jc w:val="center"/>
      </w:pPr>
      <w:r>
        <w:rPr>
          <w:rFonts w:ascii="Calibri" w:eastAsia="Calibri" w:hAnsi="Calibri" w:cs="Calibri"/>
          <w:b/>
          <w:color w:val="37474F"/>
          <w:spacing w:val="60"/>
          <w:sz w:val="60"/>
          <w:szCs w:val="60"/>
        </w:rPr>
        <w:t>THE STILLWATER ACCORD</w:t>
      </w:r>
    </w:p>
    <w:p w14:paraId="7BECF309" w14:textId="77777777" w:rsidR="00DA7972" w:rsidRDefault="00000000">
      <w:pPr>
        <w:spacing w:after="520"/>
        <w:jc w:val="center"/>
      </w:pPr>
      <w:r>
        <w:rPr>
          <w:rFonts w:ascii="Calibri" w:eastAsia="Calibri" w:hAnsi="Calibri" w:cs="Calibri"/>
          <w:i/>
          <w:color w:val="546E7A"/>
          <w:sz w:val="27"/>
          <w:szCs w:val="27"/>
        </w:rPr>
        <w:t>A Multilateral Framework for the Governance, Safety, and Transit of the Strait of Hormuz</w:t>
      </w:r>
    </w:p>
    <w:p w14:paraId="4C348DD0" w14:textId="77777777" w:rsidR="00DA7972" w:rsidRDefault="00DA7972">
      <w:pPr>
        <w:pBdr>
          <w:bottom w:val="single" w:sz="6" w:space="1" w:color="546E7A"/>
        </w:pBdr>
        <w:spacing w:after="520"/>
        <w:ind w:left="2400" w:right="2400"/>
      </w:pPr>
    </w:p>
    <w:p w14:paraId="173153FC" w14:textId="77777777" w:rsidR="00DA7972" w:rsidRDefault="00000000">
      <w:pPr>
        <w:spacing w:after="160"/>
        <w:jc w:val="center"/>
      </w:pPr>
      <w:r>
        <w:rPr>
          <w:rFonts w:ascii="Calibri" w:eastAsia="Calibri" w:hAnsi="Calibri" w:cs="Calibri"/>
          <w:sz w:val="24"/>
        </w:rPr>
        <w:t>Version 2.2  ·  July 2026</w:t>
      </w:r>
    </w:p>
    <w:p w14:paraId="5A6FA1D8" w14:textId="77777777" w:rsidR="00DA7972" w:rsidRDefault="00000000">
      <w:pPr>
        <w:spacing w:after="160"/>
        <w:jc w:val="center"/>
      </w:pPr>
      <w:r>
        <w:rPr>
          <w:rFonts w:ascii="Calibri" w:eastAsia="Calibri" w:hAnsi="Calibri" w:cs="Calibri"/>
          <w:color w:val="546E7A"/>
          <w:sz w:val="22"/>
          <w:szCs w:val="22"/>
        </w:rPr>
        <w:t>Negotiating Draft for Authorized Participants</w:t>
      </w:r>
    </w:p>
    <w:p w14:paraId="07A0B742" w14:textId="77777777" w:rsidR="00DA7972" w:rsidRDefault="00000000">
      <w:pPr>
        <w:spacing w:after="2600"/>
        <w:jc w:val="center"/>
      </w:pPr>
      <w:r>
        <w:rPr>
          <w:rFonts w:ascii="Calibri" w:eastAsia="Calibri" w:hAnsi="Calibri" w:cs="Calibri"/>
          <w:i/>
          <w:color w:val="78909C"/>
          <w:sz w:val="20"/>
          <w:szCs w:val="20"/>
        </w:rPr>
        <w:t>Drafted in strict adherence to the Immutable Present-Tense Matrix, with the Nofade Rule as first among equals</w:t>
      </w:r>
    </w:p>
    <w:p w14:paraId="3BA32602" w14:textId="77777777" w:rsidR="00DA7972" w:rsidRDefault="00000000">
      <w:pPr>
        <w:spacing w:after="160"/>
        <w:jc w:val="center"/>
      </w:pPr>
      <w:r>
        <w:rPr>
          <w:rFonts w:ascii="Calibri" w:eastAsia="Calibri" w:hAnsi="Calibri" w:cs="Calibri"/>
          <w:b/>
          <w:color w:val="37474F"/>
          <w:sz w:val="22"/>
          <w:szCs w:val="22"/>
        </w:rPr>
        <w:t>The Islamic Republic of Iran  ·  The Sultanate of Oman  ·  The United Arab Emirates</w:t>
      </w:r>
    </w:p>
    <w:p w14:paraId="7CF5FC0E" w14:textId="77777777" w:rsidR="00DA7972" w:rsidRDefault="00000000">
      <w:pPr>
        <w:spacing w:after="160"/>
        <w:jc w:val="center"/>
      </w:pPr>
      <w:r>
        <w:rPr>
          <w:rFonts w:ascii="Calibri" w:eastAsia="Calibri" w:hAnsi="Calibri" w:cs="Calibri"/>
          <w:color w:val="546E7A"/>
          <w:sz w:val="20"/>
          <w:szCs w:val="20"/>
        </w:rPr>
        <w:t>with a defined accession path for Saudi Arabia, Qatar, Bahrain, Kuwait, and Iraq</w:t>
      </w:r>
    </w:p>
    <w:p w14:paraId="03D3A36B" w14:textId="77777777" w:rsidR="00DA7972" w:rsidRDefault="00000000">
      <w:pPr>
        <w:spacing w:after="160"/>
        <w:jc w:val="center"/>
      </w:pPr>
      <w:r>
        <w:rPr>
          <w:rFonts w:ascii="Calibri" w:eastAsia="Calibri" w:hAnsi="Calibri" w:cs="Calibri"/>
          <w:color w:val="546E7A"/>
          <w:sz w:val="20"/>
          <w:szCs w:val="20"/>
        </w:rPr>
        <w:t>Mediator of Record: The Sultanate of Oman   ·   Neutral Administrator: The Swiss Confederation</w:t>
      </w:r>
    </w:p>
    <w:p w14:paraId="6930FCEF" w14:textId="77777777" w:rsidR="00DA7972" w:rsidRDefault="00000000">
      <w:pPr>
        <w:spacing w:after="400"/>
        <w:jc w:val="center"/>
      </w:pPr>
      <w:r>
        <w:rPr>
          <w:rFonts w:ascii="Calibri" w:eastAsia="Calibri" w:hAnsi="Calibri" w:cs="Calibri"/>
          <w:color w:val="546E7A"/>
          <w:sz w:val="20"/>
          <w:szCs w:val="20"/>
        </w:rPr>
        <w:t>Facilitators: The State of Qatar and the Islamic Republic of Pakistan</w:t>
      </w:r>
    </w:p>
    <w:p w14:paraId="17645E74" w14:textId="77777777" w:rsidR="00DA7972" w:rsidRDefault="00000000">
      <w:pPr>
        <w:spacing w:after="0"/>
        <w:jc w:val="center"/>
      </w:pPr>
      <w:r>
        <w:rPr>
          <w:rFonts w:ascii="Calibri" w:eastAsia="Calibri" w:hAnsi="Calibri" w:cs="Calibri"/>
          <w:i/>
          <w:color w:val="78909C"/>
          <w:sz w:val="18"/>
          <w:szCs w:val="18"/>
        </w:rPr>
        <w:t>Seated at the Meridian Operations Center, Muscat, with the Mirror Facility of Equal Rank at Bandar Abbas</w:t>
      </w:r>
    </w:p>
    <w:p w14:paraId="008844C3" w14:textId="77777777" w:rsidR="00DA7972" w:rsidRDefault="00DA7972">
      <w:pPr>
        <w:sectPr w:rsidR="00DA7972">
          <w:pgSz w:w="11906" w:h="16838"/>
          <w:pgMar w:top="1134" w:right="1134" w:bottom="1134" w:left="1134" w:header="720" w:footer="720" w:gutter="0"/>
          <w:pgBorders>
            <w:top w:val="double" w:sz="6" w:space="28" w:color="37474F"/>
            <w:left w:val="double" w:sz="6" w:space="28" w:color="37474F"/>
            <w:bottom w:val="double" w:sz="6" w:space="28" w:color="37474F"/>
            <w:right w:val="double" w:sz="6" w:space="28" w:color="37474F"/>
          </w:pgBorders>
          <w:cols w:space="720"/>
        </w:sectPr>
      </w:pPr>
    </w:p>
    <w:p w14:paraId="06C29E4C" w14:textId="77777777" w:rsidR="00DA7972" w:rsidRDefault="00000000">
      <w:pPr>
        <w:keepNext/>
        <w:spacing w:after="360"/>
      </w:pPr>
      <w:r>
        <w:rPr>
          <w:rFonts w:ascii="Calibri" w:eastAsia="Calibri" w:hAnsi="Calibri" w:cs="Calibri"/>
          <w:b/>
          <w:caps/>
          <w:color w:val="37474F"/>
          <w:sz w:val="32"/>
          <w:szCs w:val="32"/>
        </w:rPr>
        <w:lastRenderedPageBreak/>
        <w:t>Table of Contents</w:t>
      </w:r>
    </w:p>
    <w:p w14:paraId="7F0167DF" w14:textId="3376BF45" w:rsidR="001F1E7D" w:rsidRDefault="00000000">
      <w:pPr>
        <w:pStyle w:val="TOC1"/>
        <w:rPr>
          <w:rFonts w:asciiTheme="minorHAnsi" w:hAnsiTheme="minorHAnsi"/>
          <w:b w:val="0"/>
          <w:noProof/>
          <w:color w:val="auto"/>
          <w:sz w:val="24"/>
        </w:rPr>
      </w:pPr>
      <w:r>
        <w:fldChar w:fldCharType="begin"/>
      </w:r>
      <w:r>
        <w:instrText xml:space="preserve"> TOC \o "1-2" \h \z \u </w:instrText>
      </w:r>
      <w:r>
        <w:fldChar w:fldCharType="separate"/>
      </w:r>
      <w:hyperlink w:anchor="_Toc236229881" w:history="1">
        <w:r w:rsidR="001F1E7D" w:rsidRPr="009D79F5">
          <w:rPr>
            <w:rStyle w:val="Hyperlink"/>
            <w:rFonts w:eastAsia="Calibri" w:cs="Calibri"/>
            <w:noProof/>
          </w:rPr>
          <w:t>Document Control</w:t>
        </w:r>
        <w:r w:rsidR="001F1E7D">
          <w:rPr>
            <w:noProof/>
            <w:webHidden/>
          </w:rPr>
          <w:tab/>
        </w:r>
        <w:r w:rsidR="001F1E7D">
          <w:rPr>
            <w:noProof/>
            <w:webHidden/>
          </w:rPr>
          <w:fldChar w:fldCharType="begin"/>
        </w:r>
        <w:r w:rsidR="001F1E7D">
          <w:rPr>
            <w:noProof/>
            <w:webHidden/>
          </w:rPr>
          <w:instrText xml:space="preserve"> PAGEREF _Toc236229881 \h </w:instrText>
        </w:r>
        <w:r w:rsidR="001F1E7D">
          <w:rPr>
            <w:noProof/>
            <w:webHidden/>
          </w:rPr>
        </w:r>
        <w:r w:rsidR="001F1E7D">
          <w:rPr>
            <w:noProof/>
            <w:webHidden/>
          </w:rPr>
          <w:fldChar w:fldCharType="separate"/>
        </w:r>
        <w:r w:rsidR="001F1E7D">
          <w:rPr>
            <w:noProof/>
            <w:webHidden/>
          </w:rPr>
          <w:t>4</w:t>
        </w:r>
        <w:r w:rsidR="001F1E7D">
          <w:rPr>
            <w:noProof/>
            <w:webHidden/>
          </w:rPr>
          <w:fldChar w:fldCharType="end"/>
        </w:r>
      </w:hyperlink>
    </w:p>
    <w:p w14:paraId="73FADD08" w14:textId="74D90108" w:rsidR="001F1E7D" w:rsidRDefault="001F1E7D">
      <w:pPr>
        <w:pStyle w:val="TOC1"/>
        <w:rPr>
          <w:rFonts w:asciiTheme="minorHAnsi" w:hAnsiTheme="minorHAnsi"/>
          <w:b w:val="0"/>
          <w:noProof/>
          <w:color w:val="auto"/>
          <w:sz w:val="24"/>
        </w:rPr>
      </w:pPr>
      <w:hyperlink w:anchor="_Toc236229882" w:history="1">
        <w:r w:rsidRPr="009D79F5">
          <w:rPr>
            <w:rStyle w:val="Hyperlink"/>
            <w:rFonts w:eastAsia="Calibri" w:cs="Calibri"/>
            <w:noProof/>
          </w:rPr>
          <w:t>The Stillwater Declaration of Principles</w:t>
        </w:r>
        <w:r>
          <w:rPr>
            <w:noProof/>
            <w:webHidden/>
          </w:rPr>
          <w:tab/>
        </w:r>
        <w:r>
          <w:rPr>
            <w:noProof/>
            <w:webHidden/>
          </w:rPr>
          <w:fldChar w:fldCharType="begin"/>
        </w:r>
        <w:r>
          <w:rPr>
            <w:noProof/>
            <w:webHidden/>
          </w:rPr>
          <w:instrText xml:space="preserve"> PAGEREF _Toc236229882 \h </w:instrText>
        </w:r>
        <w:r>
          <w:rPr>
            <w:noProof/>
            <w:webHidden/>
          </w:rPr>
        </w:r>
        <w:r>
          <w:rPr>
            <w:noProof/>
            <w:webHidden/>
          </w:rPr>
          <w:fldChar w:fldCharType="separate"/>
        </w:r>
        <w:r>
          <w:rPr>
            <w:noProof/>
            <w:webHidden/>
          </w:rPr>
          <w:t>5</w:t>
        </w:r>
        <w:r>
          <w:rPr>
            <w:noProof/>
            <w:webHidden/>
          </w:rPr>
          <w:fldChar w:fldCharType="end"/>
        </w:r>
      </w:hyperlink>
    </w:p>
    <w:p w14:paraId="79FE6D6B" w14:textId="3DB0D681" w:rsidR="001F1E7D" w:rsidRDefault="001F1E7D">
      <w:pPr>
        <w:pStyle w:val="TOC1"/>
        <w:rPr>
          <w:rFonts w:asciiTheme="minorHAnsi" w:hAnsiTheme="minorHAnsi"/>
          <w:b w:val="0"/>
          <w:noProof/>
          <w:color w:val="auto"/>
          <w:sz w:val="24"/>
        </w:rPr>
      </w:pPr>
      <w:hyperlink w:anchor="_Toc236229883" w:history="1">
        <w:r w:rsidRPr="009D79F5">
          <w:rPr>
            <w:rStyle w:val="Hyperlink"/>
            <w:rFonts w:eastAsia="Calibri" w:cs="Calibri"/>
            <w:noProof/>
          </w:rPr>
          <w:t>Preamble: The Moment of July 2026</w:t>
        </w:r>
        <w:r>
          <w:rPr>
            <w:noProof/>
            <w:webHidden/>
          </w:rPr>
          <w:tab/>
        </w:r>
        <w:r>
          <w:rPr>
            <w:noProof/>
            <w:webHidden/>
          </w:rPr>
          <w:fldChar w:fldCharType="begin"/>
        </w:r>
        <w:r>
          <w:rPr>
            <w:noProof/>
            <w:webHidden/>
          </w:rPr>
          <w:instrText xml:space="preserve"> PAGEREF _Toc236229883 \h </w:instrText>
        </w:r>
        <w:r>
          <w:rPr>
            <w:noProof/>
            <w:webHidden/>
          </w:rPr>
        </w:r>
        <w:r>
          <w:rPr>
            <w:noProof/>
            <w:webHidden/>
          </w:rPr>
          <w:fldChar w:fldCharType="separate"/>
        </w:r>
        <w:r>
          <w:rPr>
            <w:noProof/>
            <w:webHidden/>
          </w:rPr>
          <w:t>6</w:t>
        </w:r>
        <w:r>
          <w:rPr>
            <w:noProof/>
            <w:webHidden/>
          </w:rPr>
          <w:fldChar w:fldCharType="end"/>
        </w:r>
      </w:hyperlink>
    </w:p>
    <w:p w14:paraId="30B8A945" w14:textId="665711FB" w:rsidR="001F1E7D" w:rsidRDefault="001F1E7D">
      <w:pPr>
        <w:pStyle w:val="TOC1"/>
        <w:rPr>
          <w:rFonts w:asciiTheme="minorHAnsi" w:hAnsiTheme="minorHAnsi"/>
          <w:b w:val="0"/>
          <w:noProof/>
          <w:color w:val="auto"/>
          <w:sz w:val="24"/>
        </w:rPr>
      </w:pPr>
      <w:hyperlink w:anchor="_Toc236229884" w:history="1">
        <w:r w:rsidRPr="009D79F5">
          <w:rPr>
            <w:rStyle w:val="Hyperlink"/>
            <w:rFonts w:eastAsia="Calibri" w:cs="Calibri"/>
            <w:noProof/>
          </w:rPr>
          <w:t>Part I: Foundations</w:t>
        </w:r>
        <w:r>
          <w:rPr>
            <w:noProof/>
            <w:webHidden/>
          </w:rPr>
          <w:tab/>
        </w:r>
        <w:r>
          <w:rPr>
            <w:noProof/>
            <w:webHidden/>
          </w:rPr>
          <w:fldChar w:fldCharType="begin"/>
        </w:r>
        <w:r>
          <w:rPr>
            <w:noProof/>
            <w:webHidden/>
          </w:rPr>
          <w:instrText xml:space="preserve"> PAGEREF _Toc236229884 \h </w:instrText>
        </w:r>
        <w:r>
          <w:rPr>
            <w:noProof/>
            <w:webHidden/>
          </w:rPr>
        </w:r>
        <w:r>
          <w:rPr>
            <w:noProof/>
            <w:webHidden/>
          </w:rPr>
          <w:fldChar w:fldCharType="separate"/>
        </w:r>
        <w:r>
          <w:rPr>
            <w:noProof/>
            <w:webHidden/>
          </w:rPr>
          <w:t>8</w:t>
        </w:r>
        <w:r>
          <w:rPr>
            <w:noProof/>
            <w:webHidden/>
          </w:rPr>
          <w:fldChar w:fldCharType="end"/>
        </w:r>
      </w:hyperlink>
    </w:p>
    <w:p w14:paraId="3742783C" w14:textId="4DB68C2B" w:rsidR="001F1E7D" w:rsidRDefault="001F1E7D">
      <w:pPr>
        <w:pStyle w:val="TOC2"/>
        <w:rPr>
          <w:rFonts w:asciiTheme="minorHAnsi" w:hAnsiTheme="minorHAnsi"/>
          <w:noProof/>
          <w:color w:val="auto"/>
          <w:sz w:val="24"/>
        </w:rPr>
      </w:pPr>
      <w:hyperlink w:anchor="_Toc236229885" w:history="1">
        <w:r w:rsidRPr="009D79F5">
          <w:rPr>
            <w:rStyle w:val="Hyperlink"/>
            <w:rFonts w:eastAsia="Calibri" w:cs="Calibri"/>
            <w:noProof/>
          </w:rPr>
          <w:t>Article 1: Establishment, Purpose, and Scope</w:t>
        </w:r>
        <w:r>
          <w:rPr>
            <w:noProof/>
            <w:webHidden/>
          </w:rPr>
          <w:tab/>
        </w:r>
        <w:r>
          <w:rPr>
            <w:noProof/>
            <w:webHidden/>
          </w:rPr>
          <w:fldChar w:fldCharType="begin"/>
        </w:r>
        <w:r>
          <w:rPr>
            <w:noProof/>
            <w:webHidden/>
          </w:rPr>
          <w:instrText xml:space="preserve"> PAGEREF _Toc236229885 \h </w:instrText>
        </w:r>
        <w:r>
          <w:rPr>
            <w:noProof/>
            <w:webHidden/>
          </w:rPr>
        </w:r>
        <w:r>
          <w:rPr>
            <w:noProof/>
            <w:webHidden/>
          </w:rPr>
          <w:fldChar w:fldCharType="separate"/>
        </w:r>
        <w:r>
          <w:rPr>
            <w:noProof/>
            <w:webHidden/>
          </w:rPr>
          <w:t>8</w:t>
        </w:r>
        <w:r>
          <w:rPr>
            <w:noProof/>
            <w:webHidden/>
          </w:rPr>
          <w:fldChar w:fldCharType="end"/>
        </w:r>
      </w:hyperlink>
    </w:p>
    <w:p w14:paraId="0C0B6A2B" w14:textId="0A0CE166" w:rsidR="001F1E7D" w:rsidRDefault="001F1E7D">
      <w:pPr>
        <w:pStyle w:val="TOC2"/>
        <w:rPr>
          <w:rFonts w:asciiTheme="minorHAnsi" w:hAnsiTheme="minorHAnsi"/>
          <w:noProof/>
          <w:color w:val="auto"/>
          <w:sz w:val="24"/>
        </w:rPr>
      </w:pPr>
      <w:hyperlink w:anchor="_Toc236229886" w:history="1">
        <w:r w:rsidRPr="009D79F5">
          <w:rPr>
            <w:rStyle w:val="Hyperlink"/>
            <w:rFonts w:eastAsia="Calibri" w:cs="Calibri"/>
            <w:noProof/>
          </w:rPr>
          <w:t>Article 2: Legal Foundations</w:t>
        </w:r>
        <w:r>
          <w:rPr>
            <w:noProof/>
            <w:webHidden/>
          </w:rPr>
          <w:tab/>
        </w:r>
        <w:r>
          <w:rPr>
            <w:noProof/>
            <w:webHidden/>
          </w:rPr>
          <w:fldChar w:fldCharType="begin"/>
        </w:r>
        <w:r>
          <w:rPr>
            <w:noProof/>
            <w:webHidden/>
          </w:rPr>
          <w:instrText xml:space="preserve"> PAGEREF _Toc236229886 \h </w:instrText>
        </w:r>
        <w:r>
          <w:rPr>
            <w:noProof/>
            <w:webHidden/>
          </w:rPr>
        </w:r>
        <w:r>
          <w:rPr>
            <w:noProof/>
            <w:webHidden/>
          </w:rPr>
          <w:fldChar w:fldCharType="separate"/>
        </w:r>
        <w:r>
          <w:rPr>
            <w:noProof/>
            <w:webHidden/>
          </w:rPr>
          <w:t>9</w:t>
        </w:r>
        <w:r>
          <w:rPr>
            <w:noProof/>
            <w:webHidden/>
          </w:rPr>
          <w:fldChar w:fldCharType="end"/>
        </w:r>
      </w:hyperlink>
    </w:p>
    <w:p w14:paraId="2CF4BB54" w14:textId="61C21E82" w:rsidR="001F1E7D" w:rsidRDefault="001F1E7D">
      <w:pPr>
        <w:pStyle w:val="TOC2"/>
        <w:rPr>
          <w:rFonts w:asciiTheme="minorHAnsi" w:hAnsiTheme="minorHAnsi"/>
          <w:noProof/>
          <w:color w:val="auto"/>
          <w:sz w:val="24"/>
        </w:rPr>
      </w:pPr>
      <w:hyperlink w:anchor="_Toc236229887" w:history="1">
        <w:r w:rsidRPr="009D79F5">
          <w:rPr>
            <w:rStyle w:val="Hyperlink"/>
            <w:rFonts w:eastAsia="Calibri" w:cs="Calibri"/>
            <w:noProof/>
          </w:rPr>
          <w:t>Article 3: Core Operating Principles</w:t>
        </w:r>
        <w:r>
          <w:rPr>
            <w:noProof/>
            <w:webHidden/>
          </w:rPr>
          <w:tab/>
        </w:r>
        <w:r>
          <w:rPr>
            <w:noProof/>
            <w:webHidden/>
          </w:rPr>
          <w:fldChar w:fldCharType="begin"/>
        </w:r>
        <w:r>
          <w:rPr>
            <w:noProof/>
            <w:webHidden/>
          </w:rPr>
          <w:instrText xml:space="preserve"> PAGEREF _Toc236229887 \h </w:instrText>
        </w:r>
        <w:r>
          <w:rPr>
            <w:noProof/>
            <w:webHidden/>
          </w:rPr>
        </w:r>
        <w:r>
          <w:rPr>
            <w:noProof/>
            <w:webHidden/>
          </w:rPr>
          <w:fldChar w:fldCharType="separate"/>
        </w:r>
        <w:r>
          <w:rPr>
            <w:noProof/>
            <w:webHidden/>
          </w:rPr>
          <w:t>11</w:t>
        </w:r>
        <w:r>
          <w:rPr>
            <w:noProof/>
            <w:webHidden/>
          </w:rPr>
          <w:fldChar w:fldCharType="end"/>
        </w:r>
      </w:hyperlink>
    </w:p>
    <w:p w14:paraId="43C358D6" w14:textId="36354A43" w:rsidR="001F1E7D" w:rsidRDefault="001F1E7D">
      <w:pPr>
        <w:pStyle w:val="TOC2"/>
        <w:rPr>
          <w:rFonts w:asciiTheme="minorHAnsi" w:hAnsiTheme="minorHAnsi"/>
          <w:noProof/>
          <w:color w:val="auto"/>
          <w:sz w:val="24"/>
        </w:rPr>
      </w:pPr>
      <w:hyperlink w:anchor="_Toc236229888" w:history="1">
        <w:r w:rsidRPr="009D79F5">
          <w:rPr>
            <w:rStyle w:val="Hyperlink"/>
            <w:rFonts w:eastAsia="Calibri" w:cs="Calibri"/>
            <w:noProof/>
          </w:rPr>
          <w:t>Article 4: The Nofade Guarantee</w:t>
        </w:r>
        <w:r>
          <w:rPr>
            <w:noProof/>
            <w:webHidden/>
          </w:rPr>
          <w:tab/>
        </w:r>
        <w:r>
          <w:rPr>
            <w:noProof/>
            <w:webHidden/>
          </w:rPr>
          <w:fldChar w:fldCharType="begin"/>
        </w:r>
        <w:r>
          <w:rPr>
            <w:noProof/>
            <w:webHidden/>
          </w:rPr>
          <w:instrText xml:space="preserve"> PAGEREF _Toc236229888 \h </w:instrText>
        </w:r>
        <w:r>
          <w:rPr>
            <w:noProof/>
            <w:webHidden/>
          </w:rPr>
        </w:r>
        <w:r>
          <w:rPr>
            <w:noProof/>
            <w:webHidden/>
          </w:rPr>
          <w:fldChar w:fldCharType="separate"/>
        </w:r>
        <w:r>
          <w:rPr>
            <w:noProof/>
            <w:webHidden/>
          </w:rPr>
          <w:t>12</w:t>
        </w:r>
        <w:r>
          <w:rPr>
            <w:noProof/>
            <w:webHidden/>
          </w:rPr>
          <w:fldChar w:fldCharType="end"/>
        </w:r>
      </w:hyperlink>
    </w:p>
    <w:p w14:paraId="3833E2FC" w14:textId="74CFAEBA" w:rsidR="001F1E7D" w:rsidRDefault="001F1E7D">
      <w:pPr>
        <w:pStyle w:val="TOC2"/>
        <w:rPr>
          <w:rFonts w:asciiTheme="minorHAnsi" w:hAnsiTheme="minorHAnsi"/>
          <w:noProof/>
          <w:color w:val="auto"/>
          <w:sz w:val="24"/>
        </w:rPr>
      </w:pPr>
      <w:hyperlink w:anchor="_Toc236229889" w:history="1">
        <w:r w:rsidRPr="009D79F5">
          <w:rPr>
            <w:rStyle w:val="Hyperlink"/>
            <w:rFonts w:eastAsia="Calibri" w:cs="Calibri"/>
            <w:noProof/>
          </w:rPr>
          <w:t>Article 5: Definitions and Interpretation</w:t>
        </w:r>
        <w:r>
          <w:rPr>
            <w:noProof/>
            <w:webHidden/>
          </w:rPr>
          <w:tab/>
        </w:r>
        <w:r>
          <w:rPr>
            <w:noProof/>
            <w:webHidden/>
          </w:rPr>
          <w:fldChar w:fldCharType="begin"/>
        </w:r>
        <w:r>
          <w:rPr>
            <w:noProof/>
            <w:webHidden/>
          </w:rPr>
          <w:instrText xml:space="preserve"> PAGEREF _Toc236229889 \h </w:instrText>
        </w:r>
        <w:r>
          <w:rPr>
            <w:noProof/>
            <w:webHidden/>
          </w:rPr>
        </w:r>
        <w:r>
          <w:rPr>
            <w:noProof/>
            <w:webHidden/>
          </w:rPr>
          <w:fldChar w:fldCharType="separate"/>
        </w:r>
        <w:r>
          <w:rPr>
            <w:noProof/>
            <w:webHidden/>
          </w:rPr>
          <w:t>13</w:t>
        </w:r>
        <w:r>
          <w:rPr>
            <w:noProof/>
            <w:webHidden/>
          </w:rPr>
          <w:fldChar w:fldCharType="end"/>
        </w:r>
      </w:hyperlink>
    </w:p>
    <w:p w14:paraId="39979DD6" w14:textId="643BFA5A" w:rsidR="001F1E7D" w:rsidRDefault="001F1E7D">
      <w:pPr>
        <w:pStyle w:val="TOC2"/>
        <w:rPr>
          <w:rFonts w:asciiTheme="minorHAnsi" w:hAnsiTheme="minorHAnsi"/>
          <w:noProof/>
          <w:color w:val="auto"/>
          <w:sz w:val="24"/>
        </w:rPr>
      </w:pPr>
      <w:hyperlink w:anchor="_Toc236229890" w:history="1">
        <w:r w:rsidRPr="009D79F5">
          <w:rPr>
            <w:rStyle w:val="Hyperlink"/>
            <w:rFonts w:eastAsia="Calibri" w:cs="Calibri"/>
            <w:noProof/>
          </w:rPr>
          <w:t>Article 6: The Red Lines Register and the Perimeter Test</w:t>
        </w:r>
        <w:r>
          <w:rPr>
            <w:noProof/>
            <w:webHidden/>
          </w:rPr>
          <w:tab/>
        </w:r>
        <w:r>
          <w:rPr>
            <w:noProof/>
            <w:webHidden/>
          </w:rPr>
          <w:fldChar w:fldCharType="begin"/>
        </w:r>
        <w:r>
          <w:rPr>
            <w:noProof/>
            <w:webHidden/>
          </w:rPr>
          <w:instrText xml:space="preserve"> PAGEREF _Toc236229890 \h </w:instrText>
        </w:r>
        <w:r>
          <w:rPr>
            <w:noProof/>
            <w:webHidden/>
          </w:rPr>
        </w:r>
        <w:r>
          <w:rPr>
            <w:noProof/>
            <w:webHidden/>
          </w:rPr>
          <w:fldChar w:fldCharType="separate"/>
        </w:r>
        <w:r>
          <w:rPr>
            <w:noProof/>
            <w:webHidden/>
          </w:rPr>
          <w:t>16</w:t>
        </w:r>
        <w:r>
          <w:rPr>
            <w:noProof/>
            <w:webHidden/>
          </w:rPr>
          <w:fldChar w:fldCharType="end"/>
        </w:r>
      </w:hyperlink>
    </w:p>
    <w:p w14:paraId="088EEEBE" w14:textId="5E08B6F7" w:rsidR="001F1E7D" w:rsidRDefault="001F1E7D">
      <w:pPr>
        <w:pStyle w:val="TOC1"/>
        <w:rPr>
          <w:rFonts w:asciiTheme="minorHAnsi" w:hAnsiTheme="minorHAnsi"/>
          <w:b w:val="0"/>
          <w:noProof/>
          <w:color w:val="auto"/>
          <w:sz w:val="24"/>
        </w:rPr>
      </w:pPr>
      <w:hyperlink w:anchor="_Toc236229891" w:history="1">
        <w:r w:rsidRPr="009D79F5">
          <w:rPr>
            <w:rStyle w:val="Hyperlink"/>
            <w:rFonts w:eastAsia="Calibri" w:cs="Calibri"/>
            <w:noProof/>
          </w:rPr>
          <w:t>Part II: The Three-Corridor Navigation System</w:t>
        </w:r>
        <w:r>
          <w:rPr>
            <w:noProof/>
            <w:webHidden/>
          </w:rPr>
          <w:tab/>
        </w:r>
        <w:r>
          <w:rPr>
            <w:noProof/>
            <w:webHidden/>
          </w:rPr>
          <w:fldChar w:fldCharType="begin"/>
        </w:r>
        <w:r>
          <w:rPr>
            <w:noProof/>
            <w:webHidden/>
          </w:rPr>
          <w:instrText xml:space="preserve"> PAGEREF _Toc236229891 \h </w:instrText>
        </w:r>
        <w:r>
          <w:rPr>
            <w:noProof/>
            <w:webHidden/>
          </w:rPr>
        </w:r>
        <w:r>
          <w:rPr>
            <w:noProof/>
            <w:webHidden/>
          </w:rPr>
          <w:fldChar w:fldCharType="separate"/>
        </w:r>
        <w:r>
          <w:rPr>
            <w:noProof/>
            <w:webHidden/>
          </w:rPr>
          <w:t>18</w:t>
        </w:r>
        <w:r>
          <w:rPr>
            <w:noProof/>
            <w:webHidden/>
          </w:rPr>
          <w:fldChar w:fldCharType="end"/>
        </w:r>
      </w:hyperlink>
    </w:p>
    <w:p w14:paraId="6E6993E3" w14:textId="71EC4E91" w:rsidR="001F1E7D" w:rsidRDefault="001F1E7D">
      <w:pPr>
        <w:pStyle w:val="TOC2"/>
        <w:rPr>
          <w:rFonts w:asciiTheme="minorHAnsi" w:hAnsiTheme="minorHAnsi"/>
          <w:noProof/>
          <w:color w:val="auto"/>
          <w:sz w:val="24"/>
        </w:rPr>
      </w:pPr>
      <w:hyperlink w:anchor="_Toc236229892" w:history="1">
        <w:r w:rsidRPr="009D79F5">
          <w:rPr>
            <w:rStyle w:val="Hyperlink"/>
            <w:rFonts w:eastAsia="Calibri" w:cs="Calibri"/>
            <w:noProof/>
          </w:rPr>
          <w:t>Article 7: The Governance Area and Boundary Coordinates</w:t>
        </w:r>
        <w:r>
          <w:rPr>
            <w:noProof/>
            <w:webHidden/>
          </w:rPr>
          <w:tab/>
        </w:r>
        <w:r>
          <w:rPr>
            <w:noProof/>
            <w:webHidden/>
          </w:rPr>
          <w:fldChar w:fldCharType="begin"/>
        </w:r>
        <w:r>
          <w:rPr>
            <w:noProof/>
            <w:webHidden/>
          </w:rPr>
          <w:instrText xml:space="preserve"> PAGEREF _Toc236229892 \h </w:instrText>
        </w:r>
        <w:r>
          <w:rPr>
            <w:noProof/>
            <w:webHidden/>
          </w:rPr>
        </w:r>
        <w:r>
          <w:rPr>
            <w:noProof/>
            <w:webHidden/>
          </w:rPr>
          <w:fldChar w:fldCharType="separate"/>
        </w:r>
        <w:r>
          <w:rPr>
            <w:noProof/>
            <w:webHidden/>
          </w:rPr>
          <w:t>18</w:t>
        </w:r>
        <w:r>
          <w:rPr>
            <w:noProof/>
            <w:webHidden/>
          </w:rPr>
          <w:fldChar w:fldCharType="end"/>
        </w:r>
      </w:hyperlink>
    </w:p>
    <w:p w14:paraId="635B5363" w14:textId="390B9389" w:rsidR="001F1E7D" w:rsidRDefault="001F1E7D">
      <w:pPr>
        <w:pStyle w:val="TOC2"/>
        <w:rPr>
          <w:rFonts w:asciiTheme="minorHAnsi" w:hAnsiTheme="minorHAnsi"/>
          <w:noProof/>
          <w:color w:val="auto"/>
          <w:sz w:val="24"/>
        </w:rPr>
      </w:pPr>
      <w:hyperlink w:anchor="_Toc236229893" w:history="1">
        <w:r w:rsidRPr="009D79F5">
          <w:rPr>
            <w:rStyle w:val="Hyperlink"/>
            <w:rFonts w:eastAsia="Calibri" w:cs="Calibri"/>
            <w:noProof/>
          </w:rPr>
          <w:t>Article 8: The Three Corridors</w:t>
        </w:r>
        <w:r>
          <w:rPr>
            <w:noProof/>
            <w:webHidden/>
          </w:rPr>
          <w:tab/>
        </w:r>
        <w:r>
          <w:rPr>
            <w:noProof/>
            <w:webHidden/>
          </w:rPr>
          <w:fldChar w:fldCharType="begin"/>
        </w:r>
        <w:r>
          <w:rPr>
            <w:noProof/>
            <w:webHidden/>
          </w:rPr>
          <w:instrText xml:space="preserve"> PAGEREF _Toc236229893 \h </w:instrText>
        </w:r>
        <w:r>
          <w:rPr>
            <w:noProof/>
            <w:webHidden/>
          </w:rPr>
        </w:r>
        <w:r>
          <w:rPr>
            <w:noProof/>
            <w:webHidden/>
          </w:rPr>
          <w:fldChar w:fldCharType="separate"/>
        </w:r>
        <w:r>
          <w:rPr>
            <w:noProof/>
            <w:webHidden/>
          </w:rPr>
          <w:t>19</w:t>
        </w:r>
        <w:r>
          <w:rPr>
            <w:noProof/>
            <w:webHidden/>
          </w:rPr>
          <w:fldChar w:fldCharType="end"/>
        </w:r>
      </w:hyperlink>
    </w:p>
    <w:p w14:paraId="419AFAC5" w14:textId="6E982B36" w:rsidR="001F1E7D" w:rsidRDefault="001F1E7D">
      <w:pPr>
        <w:pStyle w:val="TOC2"/>
        <w:rPr>
          <w:rFonts w:asciiTheme="minorHAnsi" w:hAnsiTheme="minorHAnsi"/>
          <w:noProof/>
          <w:color w:val="auto"/>
          <w:sz w:val="24"/>
        </w:rPr>
      </w:pPr>
      <w:hyperlink w:anchor="_Toc236229894" w:history="1">
        <w:r w:rsidRPr="009D79F5">
          <w:rPr>
            <w:rStyle w:val="Hyperlink"/>
            <w:rFonts w:eastAsia="Calibri" w:cs="Calibri"/>
            <w:noProof/>
          </w:rPr>
          <w:t>Article 9: Vessel Classification and Differentiated Treatment</w:t>
        </w:r>
        <w:r>
          <w:rPr>
            <w:noProof/>
            <w:webHidden/>
          </w:rPr>
          <w:tab/>
        </w:r>
        <w:r>
          <w:rPr>
            <w:noProof/>
            <w:webHidden/>
          </w:rPr>
          <w:fldChar w:fldCharType="begin"/>
        </w:r>
        <w:r>
          <w:rPr>
            <w:noProof/>
            <w:webHidden/>
          </w:rPr>
          <w:instrText xml:space="preserve"> PAGEREF _Toc236229894 \h </w:instrText>
        </w:r>
        <w:r>
          <w:rPr>
            <w:noProof/>
            <w:webHidden/>
          </w:rPr>
        </w:r>
        <w:r>
          <w:rPr>
            <w:noProof/>
            <w:webHidden/>
          </w:rPr>
          <w:fldChar w:fldCharType="separate"/>
        </w:r>
        <w:r>
          <w:rPr>
            <w:noProof/>
            <w:webHidden/>
          </w:rPr>
          <w:t>22</w:t>
        </w:r>
        <w:r>
          <w:rPr>
            <w:noProof/>
            <w:webHidden/>
          </w:rPr>
          <w:fldChar w:fldCharType="end"/>
        </w:r>
      </w:hyperlink>
    </w:p>
    <w:p w14:paraId="7193306E" w14:textId="5222AE85" w:rsidR="001F1E7D" w:rsidRDefault="001F1E7D">
      <w:pPr>
        <w:pStyle w:val="TOC2"/>
        <w:rPr>
          <w:rFonts w:asciiTheme="minorHAnsi" w:hAnsiTheme="minorHAnsi"/>
          <w:noProof/>
          <w:color w:val="auto"/>
          <w:sz w:val="24"/>
        </w:rPr>
      </w:pPr>
      <w:hyperlink w:anchor="_Toc236229895" w:history="1">
        <w:r w:rsidRPr="009D79F5">
          <w:rPr>
            <w:rStyle w:val="Hyperlink"/>
            <w:rFonts w:eastAsia="Calibri" w:cs="Calibri"/>
            <w:noProof/>
          </w:rPr>
          <w:t>Article 10: Safe Passage and the Non-Interdiction Protocol</w:t>
        </w:r>
        <w:r>
          <w:rPr>
            <w:noProof/>
            <w:webHidden/>
          </w:rPr>
          <w:tab/>
        </w:r>
        <w:r>
          <w:rPr>
            <w:noProof/>
            <w:webHidden/>
          </w:rPr>
          <w:fldChar w:fldCharType="begin"/>
        </w:r>
        <w:r>
          <w:rPr>
            <w:noProof/>
            <w:webHidden/>
          </w:rPr>
          <w:instrText xml:space="preserve"> PAGEREF _Toc236229895 \h </w:instrText>
        </w:r>
        <w:r>
          <w:rPr>
            <w:noProof/>
            <w:webHidden/>
          </w:rPr>
        </w:r>
        <w:r>
          <w:rPr>
            <w:noProof/>
            <w:webHidden/>
          </w:rPr>
          <w:fldChar w:fldCharType="separate"/>
        </w:r>
        <w:r>
          <w:rPr>
            <w:noProof/>
            <w:webHidden/>
          </w:rPr>
          <w:t>25</w:t>
        </w:r>
        <w:r>
          <w:rPr>
            <w:noProof/>
            <w:webHidden/>
          </w:rPr>
          <w:fldChar w:fldCharType="end"/>
        </w:r>
      </w:hyperlink>
    </w:p>
    <w:p w14:paraId="36B5D623" w14:textId="3ED4A543" w:rsidR="001F1E7D" w:rsidRDefault="001F1E7D">
      <w:pPr>
        <w:pStyle w:val="TOC2"/>
        <w:rPr>
          <w:rFonts w:asciiTheme="minorHAnsi" w:hAnsiTheme="minorHAnsi"/>
          <w:noProof/>
          <w:color w:val="auto"/>
          <w:sz w:val="24"/>
        </w:rPr>
      </w:pPr>
      <w:hyperlink w:anchor="_Toc236229896" w:history="1">
        <w:r w:rsidRPr="009D79F5">
          <w:rPr>
            <w:rStyle w:val="Hyperlink"/>
            <w:rFonts w:eastAsia="Calibri" w:cs="Calibri"/>
            <w:noProof/>
          </w:rPr>
          <w:t>Article 11: Traffic Management, Flow States, and the Open Water Bulletin</w:t>
        </w:r>
        <w:r>
          <w:rPr>
            <w:noProof/>
            <w:webHidden/>
          </w:rPr>
          <w:tab/>
        </w:r>
        <w:r>
          <w:rPr>
            <w:noProof/>
            <w:webHidden/>
          </w:rPr>
          <w:fldChar w:fldCharType="begin"/>
        </w:r>
        <w:r>
          <w:rPr>
            <w:noProof/>
            <w:webHidden/>
          </w:rPr>
          <w:instrText xml:space="preserve"> PAGEREF _Toc236229896 \h </w:instrText>
        </w:r>
        <w:r>
          <w:rPr>
            <w:noProof/>
            <w:webHidden/>
          </w:rPr>
        </w:r>
        <w:r>
          <w:rPr>
            <w:noProof/>
            <w:webHidden/>
          </w:rPr>
          <w:fldChar w:fldCharType="separate"/>
        </w:r>
        <w:r>
          <w:rPr>
            <w:noProof/>
            <w:webHidden/>
          </w:rPr>
          <w:t>26</w:t>
        </w:r>
        <w:r>
          <w:rPr>
            <w:noProof/>
            <w:webHidden/>
          </w:rPr>
          <w:fldChar w:fldCharType="end"/>
        </w:r>
      </w:hyperlink>
    </w:p>
    <w:p w14:paraId="78E4BF06" w14:textId="45877CF2" w:rsidR="001F1E7D" w:rsidRDefault="001F1E7D">
      <w:pPr>
        <w:pStyle w:val="TOC2"/>
        <w:rPr>
          <w:rFonts w:asciiTheme="minorHAnsi" w:hAnsiTheme="minorHAnsi"/>
          <w:noProof/>
          <w:color w:val="auto"/>
          <w:sz w:val="24"/>
        </w:rPr>
      </w:pPr>
      <w:hyperlink w:anchor="_Toc236229897" w:history="1">
        <w:r w:rsidRPr="009D79F5">
          <w:rPr>
            <w:rStyle w:val="Hyperlink"/>
            <w:rFonts w:eastAsia="Calibri" w:cs="Calibri"/>
            <w:noProof/>
          </w:rPr>
          <w:t>Article 12: Hazard Survey, Mines, and the Reopening Sequence</w:t>
        </w:r>
        <w:r>
          <w:rPr>
            <w:noProof/>
            <w:webHidden/>
          </w:rPr>
          <w:tab/>
        </w:r>
        <w:r>
          <w:rPr>
            <w:noProof/>
            <w:webHidden/>
          </w:rPr>
          <w:fldChar w:fldCharType="begin"/>
        </w:r>
        <w:r>
          <w:rPr>
            <w:noProof/>
            <w:webHidden/>
          </w:rPr>
          <w:instrText xml:space="preserve"> PAGEREF _Toc236229897 \h </w:instrText>
        </w:r>
        <w:r>
          <w:rPr>
            <w:noProof/>
            <w:webHidden/>
          </w:rPr>
        </w:r>
        <w:r>
          <w:rPr>
            <w:noProof/>
            <w:webHidden/>
          </w:rPr>
          <w:fldChar w:fldCharType="separate"/>
        </w:r>
        <w:r>
          <w:rPr>
            <w:noProof/>
            <w:webHidden/>
          </w:rPr>
          <w:t>28</w:t>
        </w:r>
        <w:r>
          <w:rPr>
            <w:noProof/>
            <w:webHidden/>
          </w:rPr>
          <w:fldChar w:fldCharType="end"/>
        </w:r>
      </w:hyperlink>
    </w:p>
    <w:p w14:paraId="7A813FDD" w14:textId="65FCBCA6" w:rsidR="001F1E7D" w:rsidRDefault="001F1E7D">
      <w:pPr>
        <w:pStyle w:val="TOC1"/>
        <w:rPr>
          <w:rFonts w:asciiTheme="minorHAnsi" w:hAnsiTheme="minorHAnsi"/>
          <w:b w:val="0"/>
          <w:noProof/>
          <w:color w:val="auto"/>
          <w:sz w:val="24"/>
        </w:rPr>
      </w:pPr>
      <w:hyperlink w:anchor="_Toc236229898" w:history="1">
        <w:r w:rsidRPr="009D79F5">
          <w:rPr>
            <w:rStyle w:val="Hyperlink"/>
            <w:rFonts w:eastAsia="Calibri" w:cs="Calibri"/>
            <w:noProof/>
          </w:rPr>
          <w:t>Part III: Institutional Architecture</w:t>
        </w:r>
        <w:r>
          <w:rPr>
            <w:noProof/>
            <w:webHidden/>
          </w:rPr>
          <w:tab/>
        </w:r>
        <w:r>
          <w:rPr>
            <w:noProof/>
            <w:webHidden/>
          </w:rPr>
          <w:fldChar w:fldCharType="begin"/>
        </w:r>
        <w:r>
          <w:rPr>
            <w:noProof/>
            <w:webHidden/>
          </w:rPr>
          <w:instrText xml:space="preserve"> PAGEREF _Toc236229898 \h </w:instrText>
        </w:r>
        <w:r>
          <w:rPr>
            <w:noProof/>
            <w:webHidden/>
          </w:rPr>
        </w:r>
        <w:r>
          <w:rPr>
            <w:noProof/>
            <w:webHidden/>
          </w:rPr>
          <w:fldChar w:fldCharType="separate"/>
        </w:r>
        <w:r>
          <w:rPr>
            <w:noProof/>
            <w:webHidden/>
          </w:rPr>
          <w:t>30</w:t>
        </w:r>
        <w:r>
          <w:rPr>
            <w:noProof/>
            <w:webHidden/>
          </w:rPr>
          <w:fldChar w:fldCharType="end"/>
        </w:r>
      </w:hyperlink>
    </w:p>
    <w:p w14:paraId="4B7BF6B3" w14:textId="025BEB90" w:rsidR="001F1E7D" w:rsidRDefault="001F1E7D">
      <w:pPr>
        <w:pStyle w:val="TOC2"/>
        <w:rPr>
          <w:rFonts w:asciiTheme="minorHAnsi" w:hAnsiTheme="minorHAnsi"/>
          <w:noProof/>
          <w:color w:val="auto"/>
          <w:sz w:val="24"/>
        </w:rPr>
      </w:pPr>
      <w:hyperlink w:anchor="_Toc236229899" w:history="1">
        <w:r w:rsidRPr="009D79F5">
          <w:rPr>
            <w:rStyle w:val="Hyperlink"/>
            <w:rFonts w:eastAsia="Calibri" w:cs="Calibri"/>
            <w:noProof/>
          </w:rPr>
          <w:t>Article 13: The Stillwater Council</w:t>
        </w:r>
        <w:r>
          <w:rPr>
            <w:noProof/>
            <w:webHidden/>
          </w:rPr>
          <w:tab/>
        </w:r>
        <w:r>
          <w:rPr>
            <w:noProof/>
            <w:webHidden/>
          </w:rPr>
          <w:fldChar w:fldCharType="begin"/>
        </w:r>
        <w:r>
          <w:rPr>
            <w:noProof/>
            <w:webHidden/>
          </w:rPr>
          <w:instrText xml:space="preserve"> PAGEREF _Toc236229899 \h </w:instrText>
        </w:r>
        <w:r>
          <w:rPr>
            <w:noProof/>
            <w:webHidden/>
          </w:rPr>
        </w:r>
        <w:r>
          <w:rPr>
            <w:noProof/>
            <w:webHidden/>
          </w:rPr>
          <w:fldChar w:fldCharType="separate"/>
        </w:r>
        <w:r>
          <w:rPr>
            <w:noProof/>
            <w:webHidden/>
          </w:rPr>
          <w:t>30</w:t>
        </w:r>
        <w:r>
          <w:rPr>
            <w:noProof/>
            <w:webHidden/>
          </w:rPr>
          <w:fldChar w:fldCharType="end"/>
        </w:r>
      </w:hyperlink>
    </w:p>
    <w:p w14:paraId="6DB3FCC7" w14:textId="178BB3CE" w:rsidR="001F1E7D" w:rsidRDefault="001F1E7D">
      <w:pPr>
        <w:pStyle w:val="TOC2"/>
        <w:rPr>
          <w:rFonts w:asciiTheme="minorHAnsi" w:hAnsiTheme="minorHAnsi"/>
          <w:noProof/>
          <w:color w:val="auto"/>
          <w:sz w:val="24"/>
        </w:rPr>
      </w:pPr>
      <w:hyperlink w:anchor="_Toc236229900" w:history="1">
        <w:r w:rsidRPr="009D79F5">
          <w:rPr>
            <w:rStyle w:val="Hyperlink"/>
            <w:rFonts w:eastAsia="Calibri" w:cs="Calibri"/>
            <w:noProof/>
          </w:rPr>
          <w:t>Article 14: The Meridian Operations Center</w:t>
        </w:r>
        <w:r>
          <w:rPr>
            <w:noProof/>
            <w:webHidden/>
          </w:rPr>
          <w:tab/>
        </w:r>
        <w:r>
          <w:rPr>
            <w:noProof/>
            <w:webHidden/>
          </w:rPr>
          <w:fldChar w:fldCharType="begin"/>
        </w:r>
        <w:r>
          <w:rPr>
            <w:noProof/>
            <w:webHidden/>
          </w:rPr>
          <w:instrText xml:space="preserve"> PAGEREF _Toc236229900 \h </w:instrText>
        </w:r>
        <w:r>
          <w:rPr>
            <w:noProof/>
            <w:webHidden/>
          </w:rPr>
        </w:r>
        <w:r>
          <w:rPr>
            <w:noProof/>
            <w:webHidden/>
          </w:rPr>
          <w:fldChar w:fldCharType="separate"/>
        </w:r>
        <w:r>
          <w:rPr>
            <w:noProof/>
            <w:webHidden/>
          </w:rPr>
          <w:t>31</w:t>
        </w:r>
        <w:r>
          <w:rPr>
            <w:noProof/>
            <w:webHidden/>
          </w:rPr>
          <w:fldChar w:fldCharType="end"/>
        </w:r>
      </w:hyperlink>
    </w:p>
    <w:p w14:paraId="2CF550A3" w14:textId="1D7B0EBB" w:rsidR="001F1E7D" w:rsidRDefault="001F1E7D">
      <w:pPr>
        <w:pStyle w:val="TOC2"/>
        <w:rPr>
          <w:rFonts w:asciiTheme="minorHAnsi" w:hAnsiTheme="minorHAnsi"/>
          <w:noProof/>
          <w:color w:val="auto"/>
          <w:sz w:val="24"/>
        </w:rPr>
      </w:pPr>
      <w:hyperlink w:anchor="_Toc236229901" w:history="1">
        <w:r w:rsidRPr="009D79F5">
          <w:rPr>
            <w:rStyle w:val="Hyperlink"/>
            <w:rFonts w:eastAsia="Calibri" w:cs="Calibri"/>
            <w:noProof/>
          </w:rPr>
          <w:t>Article 14A: Human Factors and Watch Standards</w:t>
        </w:r>
        <w:r>
          <w:rPr>
            <w:noProof/>
            <w:webHidden/>
          </w:rPr>
          <w:tab/>
        </w:r>
        <w:r>
          <w:rPr>
            <w:noProof/>
            <w:webHidden/>
          </w:rPr>
          <w:fldChar w:fldCharType="begin"/>
        </w:r>
        <w:r>
          <w:rPr>
            <w:noProof/>
            <w:webHidden/>
          </w:rPr>
          <w:instrText xml:space="preserve"> PAGEREF _Toc236229901 \h </w:instrText>
        </w:r>
        <w:r>
          <w:rPr>
            <w:noProof/>
            <w:webHidden/>
          </w:rPr>
        </w:r>
        <w:r>
          <w:rPr>
            <w:noProof/>
            <w:webHidden/>
          </w:rPr>
          <w:fldChar w:fldCharType="separate"/>
        </w:r>
        <w:r>
          <w:rPr>
            <w:noProof/>
            <w:webHidden/>
          </w:rPr>
          <w:t>32</w:t>
        </w:r>
        <w:r>
          <w:rPr>
            <w:noProof/>
            <w:webHidden/>
          </w:rPr>
          <w:fldChar w:fldCharType="end"/>
        </w:r>
      </w:hyperlink>
    </w:p>
    <w:p w14:paraId="5A2337E2" w14:textId="760118ED" w:rsidR="001F1E7D" w:rsidRDefault="001F1E7D">
      <w:pPr>
        <w:pStyle w:val="TOC2"/>
        <w:rPr>
          <w:rFonts w:asciiTheme="minorHAnsi" w:hAnsiTheme="minorHAnsi"/>
          <w:noProof/>
          <w:color w:val="auto"/>
          <w:sz w:val="24"/>
        </w:rPr>
      </w:pPr>
      <w:hyperlink w:anchor="_Toc236229902" w:history="1">
        <w:r w:rsidRPr="009D79F5">
          <w:rPr>
            <w:rStyle w:val="Hyperlink"/>
            <w:rFonts w:eastAsia="Calibri" w:cs="Calibri"/>
            <w:noProof/>
          </w:rPr>
          <w:t>Article 15: The Neutral Keel Office</w:t>
        </w:r>
        <w:r>
          <w:rPr>
            <w:noProof/>
            <w:webHidden/>
          </w:rPr>
          <w:tab/>
        </w:r>
        <w:r>
          <w:rPr>
            <w:noProof/>
            <w:webHidden/>
          </w:rPr>
          <w:fldChar w:fldCharType="begin"/>
        </w:r>
        <w:r>
          <w:rPr>
            <w:noProof/>
            <w:webHidden/>
          </w:rPr>
          <w:instrText xml:space="preserve"> PAGEREF _Toc236229902 \h </w:instrText>
        </w:r>
        <w:r>
          <w:rPr>
            <w:noProof/>
            <w:webHidden/>
          </w:rPr>
        </w:r>
        <w:r>
          <w:rPr>
            <w:noProof/>
            <w:webHidden/>
          </w:rPr>
          <w:fldChar w:fldCharType="separate"/>
        </w:r>
        <w:r>
          <w:rPr>
            <w:noProof/>
            <w:webHidden/>
          </w:rPr>
          <w:t>33</w:t>
        </w:r>
        <w:r>
          <w:rPr>
            <w:noProof/>
            <w:webHidden/>
          </w:rPr>
          <w:fldChar w:fldCharType="end"/>
        </w:r>
      </w:hyperlink>
    </w:p>
    <w:p w14:paraId="1423BB8F" w14:textId="09A56D2C" w:rsidR="001F1E7D" w:rsidRDefault="001F1E7D">
      <w:pPr>
        <w:pStyle w:val="TOC2"/>
        <w:rPr>
          <w:rFonts w:asciiTheme="minorHAnsi" w:hAnsiTheme="minorHAnsi"/>
          <w:noProof/>
          <w:color w:val="auto"/>
          <w:sz w:val="24"/>
        </w:rPr>
      </w:pPr>
      <w:hyperlink w:anchor="_Toc236229903" w:history="1">
        <w:r w:rsidRPr="009D79F5">
          <w:rPr>
            <w:rStyle w:val="Hyperlink"/>
            <w:rFonts w:eastAsia="Calibri" w:cs="Calibri"/>
            <w:noProof/>
          </w:rPr>
          <w:t>Article 16: The Technical and Standards Committee</w:t>
        </w:r>
        <w:r>
          <w:rPr>
            <w:noProof/>
            <w:webHidden/>
          </w:rPr>
          <w:tab/>
        </w:r>
        <w:r>
          <w:rPr>
            <w:noProof/>
            <w:webHidden/>
          </w:rPr>
          <w:fldChar w:fldCharType="begin"/>
        </w:r>
        <w:r>
          <w:rPr>
            <w:noProof/>
            <w:webHidden/>
          </w:rPr>
          <w:instrText xml:space="preserve"> PAGEREF _Toc236229903 \h </w:instrText>
        </w:r>
        <w:r>
          <w:rPr>
            <w:noProof/>
            <w:webHidden/>
          </w:rPr>
        </w:r>
        <w:r>
          <w:rPr>
            <w:noProof/>
            <w:webHidden/>
          </w:rPr>
          <w:fldChar w:fldCharType="separate"/>
        </w:r>
        <w:r>
          <w:rPr>
            <w:noProof/>
            <w:webHidden/>
          </w:rPr>
          <w:t>35</w:t>
        </w:r>
        <w:r>
          <w:rPr>
            <w:noProof/>
            <w:webHidden/>
          </w:rPr>
          <w:fldChar w:fldCharType="end"/>
        </w:r>
      </w:hyperlink>
    </w:p>
    <w:p w14:paraId="39DF2A5A" w14:textId="57E5DA49" w:rsidR="001F1E7D" w:rsidRDefault="001F1E7D">
      <w:pPr>
        <w:pStyle w:val="TOC2"/>
        <w:rPr>
          <w:rFonts w:asciiTheme="minorHAnsi" w:hAnsiTheme="minorHAnsi"/>
          <w:noProof/>
          <w:color w:val="auto"/>
          <w:sz w:val="24"/>
        </w:rPr>
      </w:pPr>
      <w:hyperlink w:anchor="_Toc236229904" w:history="1">
        <w:r w:rsidRPr="009D79F5">
          <w:rPr>
            <w:rStyle w:val="Hyperlink"/>
            <w:rFonts w:eastAsia="Calibri" w:cs="Calibri"/>
            <w:noProof/>
          </w:rPr>
          <w:t>Article 17: The Guarantor and Facilitation Panel</w:t>
        </w:r>
        <w:r>
          <w:rPr>
            <w:noProof/>
            <w:webHidden/>
          </w:rPr>
          <w:tab/>
        </w:r>
        <w:r>
          <w:rPr>
            <w:noProof/>
            <w:webHidden/>
          </w:rPr>
          <w:fldChar w:fldCharType="begin"/>
        </w:r>
        <w:r>
          <w:rPr>
            <w:noProof/>
            <w:webHidden/>
          </w:rPr>
          <w:instrText xml:space="preserve"> PAGEREF _Toc236229904 \h </w:instrText>
        </w:r>
        <w:r>
          <w:rPr>
            <w:noProof/>
            <w:webHidden/>
          </w:rPr>
        </w:r>
        <w:r>
          <w:rPr>
            <w:noProof/>
            <w:webHidden/>
          </w:rPr>
          <w:fldChar w:fldCharType="separate"/>
        </w:r>
        <w:r>
          <w:rPr>
            <w:noProof/>
            <w:webHidden/>
          </w:rPr>
          <w:t>35</w:t>
        </w:r>
        <w:r>
          <w:rPr>
            <w:noProof/>
            <w:webHidden/>
          </w:rPr>
          <w:fldChar w:fldCharType="end"/>
        </w:r>
      </w:hyperlink>
    </w:p>
    <w:p w14:paraId="41688A86" w14:textId="57307B11" w:rsidR="001F1E7D" w:rsidRDefault="001F1E7D">
      <w:pPr>
        <w:pStyle w:val="TOC2"/>
        <w:rPr>
          <w:rFonts w:asciiTheme="minorHAnsi" w:hAnsiTheme="minorHAnsi"/>
          <w:noProof/>
          <w:color w:val="auto"/>
          <w:sz w:val="24"/>
        </w:rPr>
      </w:pPr>
      <w:hyperlink w:anchor="_Toc236229905" w:history="1">
        <w:r w:rsidRPr="009D79F5">
          <w:rPr>
            <w:rStyle w:val="Hyperlink"/>
            <w:rFonts w:eastAsia="Calibri" w:cs="Calibri"/>
            <w:noProof/>
          </w:rPr>
          <w:t>Article 18: The Independent Assurance Council</w:t>
        </w:r>
        <w:r>
          <w:rPr>
            <w:noProof/>
            <w:webHidden/>
          </w:rPr>
          <w:tab/>
        </w:r>
        <w:r>
          <w:rPr>
            <w:noProof/>
            <w:webHidden/>
          </w:rPr>
          <w:fldChar w:fldCharType="begin"/>
        </w:r>
        <w:r>
          <w:rPr>
            <w:noProof/>
            <w:webHidden/>
          </w:rPr>
          <w:instrText xml:space="preserve"> PAGEREF _Toc236229905 \h </w:instrText>
        </w:r>
        <w:r>
          <w:rPr>
            <w:noProof/>
            <w:webHidden/>
          </w:rPr>
        </w:r>
        <w:r>
          <w:rPr>
            <w:noProof/>
            <w:webHidden/>
          </w:rPr>
          <w:fldChar w:fldCharType="separate"/>
        </w:r>
        <w:r>
          <w:rPr>
            <w:noProof/>
            <w:webHidden/>
          </w:rPr>
          <w:t>36</w:t>
        </w:r>
        <w:r>
          <w:rPr>
            <w:noProof/>
            <w:webHidden/>
          </w:rPr>
          <w:fldChar w:fldCharType="end"/>
        </w:r>
      </w:hyperlink>
    </w:p>
    <w:p w14:paraId="629709A0" w14:textId="3DA62C41" w:rsidR="001F1E7D" w:rsidRDefault="001F1E7D">
      <w:pPr>
        <w:pStyle w:val="TOC2"/>
        <w:rPr>
          <w:rFonts w:asciiTheme="minorHAnsi" w:hAnsiTheme="minorHAnsi"/>
          <w:noProof/>
          <w:color w:val="auto"/>
          <w:sz w:val="24"/>
        </w:rPr>
      </w:pPr>
      <w:hyperlink w:anchor="_Toc236229906" w:history="1">
        <w:r w:rsidRPr="009D79F5">
          <w:rPr>
            <w:rStyle w:val="Hyperlink"/>
            <w:rFonts w:eastAsia="Calibri" w:cs="Calibri"/>
            <w:noProof/>
          </w:rPr>
          <w:t>Article 19: Observer States and Stakeholder Participation</w:t>
        </w:r>
        <w:r>
          <w:rPr>
            <w:noProof/>
            <w:webHidden/>
          </w:rPr>
          <w:tab/>
        </w:r>
        <w:r>
          <w:rPr>
            <w:noProof/>
            <w:webHidden/>
          </w:rPr>
          <w:fldChar w:fldCharType="begin"/>
        </w:r>
        <w:r>
          <w:rPr>
            <w:noProof/>
            <w:webHidden/>
          </w:rPr>
          <w:instrText xml:space="preserve"> PAGEREF _Toc236229906 \h </w:instrText>
        </w:r>
        <w:r>
          <w:rPr>
            <w:noProof/>
            <w:webHidden/>
          </w:rPr>
        </w:r>
        <w:r>
          <w:rPr>
            <w:noProof/>
            <w:webHidden/>
          </w:rPr>
          <w:fldChar w:fldCharType="separate"/>
        </w:r>
        <w:r>
          <w:rPr>
            <w:noProof/>
            <w:webHidden/>
          </w:rPr>
          <w:t>36</w:t>
        </w:r>
        <w:r>
          <w:rPr>
            <w:noProof/>
            <w:webHidden/>
          </w:rPr>
          <w:fldChar w:fldCharType="end"/>
        </w:r>
      </w:hyperlink>
    </w:p>
    <w:p w14:paraId="57591BE3" w14:textId="37415459" w:rsidR="001F1E7D" w:rsidRDefault="001F1E7D">
      <w:pPr>
        <w:pStyle w:val="TOC2"/>
        <w:rPr>
          <w:rFonts w:asciiTheme="minorHAnsi" w:hAnsiTheme="minorHAnsi"/>
          <w:noProof/>
          <w:color w:val="auto"/>
          <w:sz w:val="24"/>
        </w:rPr>
      </w:pPr>
      <w:hyperlink w:anchor="_Toc236229907" w:history="1">
        <w:r w:rsidRPr="009D79F5">
          <w:rPr>
            <w:rStyle w:val="Hyperlink"/>
            <w:rFonts w:eastAsia="Calibri" w:cs="Calibri"/>
            <w:noProof/>
          </w:rPr>
          <w:t>Article 19A: Security Assurance of the Endorsing Stakeholder</w:t>
        </w:r>
        <w:r>
          <w:rPr>
            <w:noProof/>
            <w:webHidden/>
          </w:rPr>
          <w:tab/>
        </w:r>
        <w:r>
          <w:rPr>
            <w:noProof/>
            <w:webHidden/>
          </w:rPr>
          <w:fldChar w:fldCharType="begin"/>
        </w:r>
        <w:r>
          <w:rPr>
            <w:noProof/>
            <w:webHidden/>
          </w:rPr>
          <w:instrText xml:space="preserve"> PAGEREF _Toc236229907 \h </w:instrText>
        </w:r>
        <w:r>
          <w:rPr>
            <w:noProof/>
            <w:webHidden/>
          </w:rPr>
        </w:r>
        <w:r>
          <w:rPr>
            <w:noProof/>
            <w:webHidden/>
          </w:rPr>
          <w:fldChar w:fldCharType="separate"/>
        </w:r>
        <w:r>
          <w:rPr>
            <w:noProof/>
            <w:webHidden/>
          </w:rPr>
          <w:t>38</w:t>
        </w:r>
        <w:r>
          <w:rPr>
            <w:noProof/>
            <w:webHidden/>
          </w:rPr>
          <w:fldChar w:fldCharType="end"/>
        </w:r>
      </w:hyperlink>
    </w:p>
    <w:p w14:paraId="108FA85D" w14:textId="1DD26702" w:rsidR="001F1E7D" w:rsidRDefault="001F1E7D">
      <w:pPr>
        <w:pStyle w:val="TOC2"/>
        <w:rPr>
          <w:rFonts w:asciiTheme="minorHAnsi" w:hAnsiTheme="minorHAnsi"/>
          <w:noProof/>
          <w:color w:val="auto"/>
          <w:sz w:val="24"/>
        </w:rPr>
      </w:pPr>
      <w:hyperlink w:anchor="_Toc236229908" w:history="1">
        <w:r w:rsidRPr="009D79F5">
          <w:rPr>
            <w:rStyle w:val="Hyperlink"/>
            <w:rFonts w:eastAsia="Calibri" w:cs="Calibri"/>
            <w:noProof/>
          </w:rPr>
          <w:t>Article 20: Decision Rules</w:t>
        </w:r>
        <w:r>
          <w:rPr>
            <w:noProof/>
            <w:webHidden/>
          </w:rPr>
          <w:tab/>
        </w:r>
        <w:r>
          <w:rPr>
            <w:noProof/>
            <w:webHidden/>
          </w:rPr>
          <w:fldChar w:fldCharType="begin"/>
        </w:r>
        <w:r>
          <w:rPr>
            <w:noProof/>
            <w:webHidden/>
          </w:rPr>
          <w:instrText xml:space="preserve"> PAGEREF _Toc236229908 \h </w:instrText>
        </w:r>
        <w:r>
          <w:rPr>
            <w:noProof/>
            <w:webHidden/>
          </w:rPr>
        </w:r>
        <w:r>
          <w:rPr>
            <w:noProof/>
            <w:webHidden/>
          </w:rPr>
          <w:fldChar w:fldCharType="separate"/>
        </w:r>
        <w:r>
          <w:rPr>
            <w:noProof/>
            <w:webHidden/>
          </w:rPr>
          <w:t>38</w:t>
        </w:r>
        <w:r>
          <w:rPr>
            <w:noProof/>
            <w:webHidden/>
          </w:rPr>
          <w:fldChar w:fldCharType="end"/>
        </w:r>
      </w:hyperlink>
    </w:p>
    <w:p w14:paraId="723AA38A" w14:textId="764AB8B7" w:rsidR="001F1E7D" w:rsidRDefault="001F1E7D">
      <w:pPr>
        <w:pStyle w:val="TOC1"/>
        <w:rPr>
          <w:rFonts w:asciiTheme="minorHAnsi" w:hAnsiTheme="minorHAnsi"/>
          <w:b w:val="0"/>
          <w:noProof/>
          <w:color w:val="auto"/>
          <w:sz w:val="24"/>
        </w:rPr>
      </w:pPr>
      <w:hyperlink w:anchor="_Toc236229909" w:history="1">
        <w:r w:rsidRPr="009D79F5">
          <w:rPr>
            <w:rStyle w:val="Hyperlink"/>
            <w:rFonts w:eastAsia="Calibri" w:cs="Calibri"/>
            <w:noProof/>
          </w:rPr>
          <w:t>Part IV: The Financial Architecture: The Settlement of the Toll Question</w:t>
        </w:r>
        <w:r>
          <w:rPr>
            <w:noProof/>
            <w:webHidden/>
          </w:rPr>
          <w:tab/>
        </w:r>
        <w:r>
          <w:rPr>
            <w:noProof/>
            <w:webHidden/>
          </w:rPr>
          <w:fldChar w:fldCharType="begin"/>
        </w:r>
        <w:r>
          <w:rPr>
            <w:noProof/>
            <w:webHidden/>
          </w:rPr>
          <w:instrText xml:space="preserve"> PAGEREF _Toc236229909 \h </w:instrText>
        </w:r>
        <w:r>
          <w:rPr>
            <w:noProof/>
            <w:webHidden/>
          </w:rPr>
        </w:r>
        <w:r>
          <w:rPr>
            <w:noProof/>
            <w:webHidden/>
          </w:rPr>
          <w:fldChar w:fldCharType="separate"/>
        </w:r>
        <w:r>
          <w:rPr>
            <w:noProof/>
            <w:webHidden/>
          </w:rPr>
          <w:t>40</w:t>
        </w:r>
        <w:r>
          <w:rPr>
            <w:noProof/>
            <w:webHidden/>
          </w:rPr>
          <w:fldChar w:fldCharType="end"/>
        </w:r>
      </w:hyperlink>
    </w:p>
    <w:p w14:paraId="4EA0E855" w14:textId="4938D827" w:rsidR="001F1E7D" w:rsidRDefault="001F1E7D">
      <w:pPr>
        <w:pStyle w:val="TOC2"/>
        <w:rPr>
          <w:rFonts w:asciiTheme="minorHAnsi" w:hAnsiTheme="minorHAnsi"/>
          <w:noProof/>
          <w:color w:val="auto"/>
          <w:sz w:val="24"/>
        </w:rPr>
      </w:pPr>
      <w:hyperlink w:anchor="_Toc236229910" w:history="1">
        <w:r w:rsidRPr="009D79F5">
          <w:rPr>
            <w:rStyle w:val="Hyperlink"/>
            <w:rFonts w:eastAsia="Calibri" w:cs="Calibri"/>
            <w:noProof/>
          </w:rPr>
          <w:t>Article 21: The Zero-Toll Rule</w:t>
        </w:r>
        <w:r>
          <w:rPr>
            <w:noProof/>
            <w:webHidden/>
          </w:rPr>
          <w:tab/>
        </w:r>
        <w:r>
          <w:rPr>
            <w:noProof/>
            <w:webHidden/>
          </w:rPr>
          <w:fldChar w:fldCharType="begin"/>
        </w:r>
        <w:r>
          <w:rPr>
            <w:noProof/>
            <w:webHidden/>
          </w:rPr>
          <w:instrText xml:space="preserve"> PAGEREF _Toc236229910 \h </w:instrText>
        </w:r>
        <w:r>
          <w:rPr>
            <w:noProof/>
            <w:webHidden/>
          </w:rPr>
        </w:r>
        <w:r>
          <w:rPr>
            <w:noProof/>
            <w:webHidden/>
          </w:rPr>
          <w:fldChar w:fldCharType="separate"/>
        </w:r>
        <w:r>
          <w:rPr>
            <w:noProof/>
            <w:webHidden/>
          </w:rPr>
          <w:t>40</w:t>
        </w:r>
        <w:r>
          <w:rPr>
            <w:noProof/>
            <w:webHidden/>
          </w:rPr>
          <w:fldChar w:fldCharType="end"/>
        </w:r>
      </w:hyperlink>
    </w:p>
    <w:p w14:paraId="0DFDE0D2" w14:textId="532F8DFA" w:rsidR="001F1E7D" w:rsidRDefault="001F1E7D">
      <w:pPr>
        <w:pStyle w:val="TOC2"/>
        <w:rPr>
          <w:rFonts w:asciiTheme="minorHAnsi" w:hAnsiTheme="minorHAnsi"/>
          <w:noProof/>
          <w:color w:val="auto"/>
          <w:sz w:val="24"/>
        </w:rPr>
      </w:pPr>
      <w:hyperlink w:anchor="_Toc236229911" w:history="1">
        <w:r w:rsidRPr="009D79F5">
          <w:rPr>
            <w:rStyle w:val="Hyperlink"/>
            <w:rFonts w:eastAsia="Calibri" w:cs="Calibri"/>
            <w:noProof/>
          </w:rPr>
          <w:t>Article 21A: The Fee Mechanism: The Maritime Service Reimbursement Agreement</w:t>
        </w:r>
        <w:r>
          <w:rPr>
            <w:noProof/>
            <w:webHidden/>
          </w:rPr>
          <w:tab/>
        </w:r>
        <w:r>
          <w:rPr>
            <w:noProof/>
            <w:webHidden/>
          </w:rPr>
          <w:fldChar w:fldCharType="begin"/>
        </w:r>
        <w:r>
          <w:rPr>
            <w:noProof/>
            <w:webHidden/>
          </w:rPr>
          <w:instrText xml:space="preserve"> PAGEREF _Toc236229911 \h </w:instrText>
        </w:r>
        <w:r>
          <w:rPr>
            <w:noProof/>
            <w:webHidden/>
          </w:rPr>
        </w:r>
        <w:r>
          <w:rPr>
            <w:noProof/>
            <w:webHidden/>
          </w:rPr>
          <w:fldChar w:fldCharType="separate"/>
        </w:r>
        <w:r>
          <w:rPr>
            <w:noProof/>
            <w:webHidden/>
          </w:rPr>
          <w:t>41</w:t>
        </w:r>
        <w:r>
          <w:rPr>
            <w:noProof/>
            <w:webHidden/>
          </w:rPr>
          <w:fldChar w:fldCharType="end"/>
        </w:r>
      </w:hyperlink>
    </w:p>
    <w:p w14:paraId="5FA686E5" w14:textId="1445B85A" w:rsidR="001F1E7D" w:rsidRDefault="001F1E7D">
      <w:pPr>
        <w:pStyle w:val="TOC2"/>
        <w:rPr>
          <w:rFonts w:asciiTheme="minorHAnsi" w:hAnsiTheme="minorHAnsi"/>
          <w:noProof/>
          <w:color w:val="auto"/>
          <w:sz w:val="24"/>
        </w:rPr>
      </w:pPr>
      <w:hyperlink w:anchor="_Toc236229912" w:history="1">
        <w:r w:rsidRPr="009D79F5">
          <w:rPr>
            <w:rStyle w:val="Hyperlink"/>
            <w:rFonts w:eastAsia="Calibri" w:cs="Calibri"/>
            <w:noProof/>
          </w:rPr>
          <w:t>Article 21B: The Fee Mechanism: The Strait Sustainability Levy</w:t>
        </w:r>
        <w:r>
          <w:rPr>
            <w:noProof/>
            <w:webHidden/>
          </w:rPr>
          <w:tab/>
        </w:r>
        <w:r>
          <w:rPr>
            <w:noProof/>
            <w:webHidden/>
          </w:rPr>
          <w:fldChar w:fldCharType="begin"/>
        </w:r>
        <w:r>
          <w:rPr>
            <w:noProof/>
            <w:webHidden/>
          </w:rPr>
          <w:instrText xml:space="preserve"> PAGEREF _Toc236229912 \h </w:instrText>
        </w:r>
        <w:r>
          <w:rPr>
            <w:noProof/>
            <w:webHidden/>
          </w:rPr>
        </w:r>
        <w:r>
          <w:rPr>
            <w:noProof/>
            <w:webHidden/>
          </w:rPr>
          <w:fldChar w:fldCharType="separate"/>
        </w:r>
        <w:r>
          <w:rPr>
            <w:noProof/>
            <w:webHidden/>
          </w:rPr>
          <w:t>41</w:t>
        </w:r>
        <w:r>
          <w:rPr>
            <w:noProof/>
            <w:webHidden/>
          </w:rPr>
          <w:fldChar w:fldCharType="end"/>
        </w:r>
      </w:hyperlink>
    </w:p>
    <w:p w14:paraId="1291D849" w14:textId="03DBDFAF" w:rsidR="001F1E7D" w:rsidRDefault="001F1E7D">
      <w:pPr>
        <w:pStyle w:val="TOC2"/>
        <w:rPr>
          <w:rFonts w:asciiTheme="minorHAnsi" w:hAnsiTheme="minorHAnsi"/>
          <w:noProof/>
          <w:color w:val="auto"/>
          <w:sz w:val="24"/>
        </w:rPr>
      </w:pPr>
      <w:hyperlink w:anchor="_Toc236229913" w:history="1">
        <w:r w:rsidRPr="009D79F5">
          <w:rPr>
            <w:rStyle w:val="Hyperlink"/>
            <w:rFonts w:eastAsia="Calibri" w:cs="Calibri"/>
            <w:noProof/>
          </w:rPr>
          <w:t>Article 21C: The Fee Mechanism: The Security and Environmental Premium Adjustment</w:t>
        </w:r>
        <w:r>
          <w:rPr>
            <w:noProof/>
            <w:webHidden/>
          </w:rPr>
          <w:tab/>
        </w:r>
        <w:r>
          <w:rPr>
            <w:noProof/>
            <w:webHidden/>
          </w:rPr>
          <w:fldChar w:fldCharType="begin"/>
        </w:r>
        <w:r>
          <w:rPr>
            <w:noProof/>
            <w:webHidden/>
          </w:rPr>
          <w:instrText xml:space="preserve"> PAGEREF _Toc236229913 \h </w:instrText>
        </w:r>
        <w:r>
          <w:rPr>
            <w:noProof/>
            <w:webHidden/>
          </w:rPr>
        </w:r>
        <w:r>
          <w:rPr>
            <w:noProof/>
            <w:webHidden/>
          </w:rPr>
          <w:fldChar w:fldCharType="separate"/>
        </w:r>
        <w:r>
          <w:rPr>
            <w:noProof/>
            <w:webHidden/>
          </w:rPr>
          <w:t>42</w:t>
        </w:r>
        <w:r>
          <w:rPr>
            <w:noProof/>
            <w:webHidden/>
          </w:rPr>
          <w:fldChar w:fldCharType="end"/>
        </w:r>
      </w:hyperlink>
    </w:p>
    <w:p w14:paraId="00231AE0" w14:textId="7BF950A4" w:rsidR="001F1E7D" w:rsidRDefault="001F1E7D">
      <w:pPr>
        <w:pStyle w:val="TOC2"/>
        <w:rPr>
          <w:rFonts w:asciiTheme="minorHAnsi" w:hAnsiTheme="minorHAnsi"/>
          <w:noProof/>
          <w:color w:val="auto"/>
          <w:sz w:val="24"/>
        </w:rPr>
      </w:pPr>
      <w:hyperlink w:anchor="_Toc236229914" w:history="1">
        <w:r w:rsidRPr="009D79F5">
          <w:rPr>
            <w:rStyle w:val="Hyperlink"/>
            <w:rFonts w:eastAsia="Calibri" w:cs="Calibri"/>
            <w:noProof/>
          </w:rPr>
          <w:t>Article 22: The Transit Services Fund</w:t>
        </w:r>
        <w:r>
          <w:rPr>
            <w:noProof/>
            <w:webHidden/>
          </w:rPr>
          <w:tab/>
        </w:r>
        <w:r>
          <w:rPr>
            <w:noProof/>
            <w:webHidden/>
          </w:rPr>
          <w:fldChar w:fldCharType="begin"/>
        </w:r>
        <w:r>
          <w:rPr>
            <w:noProof/>
            <w:webHidden/>
          </w:rPr>
          <w:instrText xml:space="preserve"> PAGEREF _Toc236229914 \h </w:instrText>
        </w:r>
        <w:r>
          <w:rPr>
            <w:noProof/>
            <w:webHidden/>
          </w:rPr>
        </w:r>
        <w:r>
          <w:rPr>
            <w:noProof/>
            <w:webHidden/>
          </w:rPr>
          <w:fldChar w:fldCharType="separate"/>
        </w:r>
        <w:r>
          <w:rPr>
            <w:noProof/>
            <w:webHidden/>
          </w:rPr>
          <w:t>43</w:t>
        </w:r>
        <w:r>
          <w:rPr>
            <w:noProof/>
            <w:webHidden/>
          </w:rPr>
          <w:fldChar w:fldCharType="end"/>
        </w:r>
      </w:hyperlink>
    </w:p>
    <w:p w14:paraId="5DCAB93F" w14:textId="21B829E3" w:rsidR="001F1E7D" w:rsidRDefault="001F1E7D">
      <w:pPr>
        <w:pStyle w:val="TOC2"/>
        <w:rPr>
          <w:rFonts w:asciiTheme="minorHAnsi" w:hAnsiTheme="minorHAnsi"/>
          <w:noProof/>
          <w:color w:val="auto"/>
          <w:sz w:val="24"/>
        </w:rPr>
      </w:pPr>
      <w:hyperlink w:anchor="_Toc236229915" w:history="1">
        <w:r w:rsidRPr="009D79F5">
          <w:rPr>
            <w:rStyle w:val="Hyperlink"/>
            <w:rFonts w:eastAsia="Calibri" w:cs="Calibri"/>
            <w:noProof/>
          </w:rPr>
          <w:t>Article 23: The Verified Services Catalog and Reimbursement</w:t>
        </w:r>
        <w:r>
          <w:rPr>
            <w:noProof/>
            <w:webHidden/>
          </w:rPr>
          <w:tab/>
        </w:r>
        <w:r>
          <w:rPr>
            <w:noProof/>
            <w:webHidden/>
          </w:rPr>
          <w:fldChar w:fldCharType="begin"/>
        </w:r>
        <w:r>
          <w:rPr>
            <w:noProof/>
            <w:webHidden/>
          </w:rPr>
          <w:instrText xml:space="preserve"> PAGEREF _Toc236229915 \h </w:instrText>
        </w:r>
        <w:r>
          <w:rPr>
            <w:noProof/>
            <w:webHidden/>
          </w:rPr>
        </w:r>
        <w:r>
          <w:rPr>
            <w:noProof/>
            <w:webHidden/>
          </w:rPr>
          <w:fldChar w:fldCharType="separate"/>
        </w:r>
        <w:r>
          <w:rPr>
            <w:noProof/>
            <w:webHidden/>
          </w:rPr>
          <w:t>45</w:t>
        </w:r>
        <w:r>
          <w:rPr>
            <w:noProof/>
            <w:webHidden/>
          </w:rPr>
          <w:fldChar w:fldCharType="end"/>
        </w:r>
      </w:hyperlink>
    </w:p>
    <w:p w14:paraId="453196BB" w14:textId="731C251B" w:rsidR="001F1E7D" w:rsidRDefault="001F1E7D">
      <w:pPr>
        <w:pStyle w:val="TOC2"/>
        <w:rPr>
          <w:rFonts w:asciiTheme="minorHAnsi" w:hAnsiTheme="minorHAnsi"/>
          <w:noProof/>
          <w:color w:val="auto"/>
          <w:sz w:val="24"/>
        </w:rPr>
      </w:pPr>
      <w:hyperlink w:anchor="_Toc236229916" w:history="1">
        <w:r w:rsidRPr="009D79F5">
          <w:rPr>
            <w:rStyle w:val="Hyperlink"/>
            <w:rFonts w:eastAsia="Calibri" w:cs="Calibri"/>
            <w:noProof/>
          </w:rPr>
          <w:t>Article 24: The Assurance Registry and the Route Assurance Data Service</w:t>
        </w:r>
        <w:r>
          <w:rPr>
            <w:noProof/>
            <w:webHidden/>
          </w:rPr>
          <w:tab/>
        </w:r>
        <w:r>
          <w:rPr>
            <w:noProof/>
            <w:webHidden/>
          </w:rPr>
          <w:fldChar w:fldCharType="begin"/>
        </w:r>
        <w:r>
          <w:rPr>
            <w:noProof/>
            <w:webHidden/>
          </w:rPr>
          <w:instrText xml:space="preserve"> PAGEREF _Toc236229916 \h </w:instrText>
        </w:r>
        <w:r>
          <w:rPr>
            <w:noProof/>
            <w:webHidden/>
          </w:rPr>
        </w:r>
        <w:r>
          <w:rPr>
            <w:noProof/>
            <w:webHidden/>
          </w:rPr>
          <w:fldChar w:fldCharType="separate"/>
        </w:r>
        <w:r>
          <w:rPr>
            <w:noProof/>
            <w:webHidden/>
          </w:rPr>
          <w:t>46</w:t>
        </w:r>
        <w:r>
          <w:rPr>
            <w:noProof/>
            <w:webHidden/>
          </w:rPr>
          <w:fldChar w:fldCharType="end"/>
        </w:r>
      </w:hyperlink>
    </w:p>
    <w:p w14:paraId="1A705AEE" w14:textId="394026FB" w:rsidR="001F1E7D" w:rsidRDefault="001F1E7D">
      <w:pPr>
        <w:pStyle w:val="TOC2"/>
        <w:rPr>
          <w:rFonts w:asciiTheme="minorHAnsi" w:hAnsiTheme="minorHAnsi"/>
          <w:noProof/>
          <w:color w:val="auto"/>
          <w:sz w:val="24"/>
        </w:rPr>
      </w:pPr>
      <w:hyperlink w:anchor="_Toc236229917" w:history="1">
        <w:r w:rsidRPr="009D79F5">
          <w:rPr>
            <w:rStyle w:val="Hyperlink"/>
            <w:rFonts w:eastAsia="Calibri" w:cs="Calibri"/>
            <w:noProof/>
          </w:rPr>
          <w:t>Article 25: Budget, Audit, and the Sanctions-Compliance Firewall</w:t>
        </w:r>
        <w:r>
          <w:rPr>
            <w:noProof/>
            <w:webHidden/>
          </w:rPr>
          <w:tab/>
        </w:r>
        <w:r>
          <w:rPr>
            <w:noProof/>
            <w:webHidden/>
          </w:rPr>
          <w:fldChar w:fldCharType="begin"/>
        </w:r>
        <w:r>
          <w:rPr>
            <w:noProof/>
            <w:webHidden/>
          </w:rPr>
          <w:instrText xml:space="preserve"> PAGEREF _Toc236229917 \h </w:instrText>
        </w:r>
        <w:r>
          <w:rPr>
            <w:noProof/>
            <w:webHidden/>
          </w:rPr>
        </w:r>
        <w:r>
          <w:rPr>
            <w:noProof/>
            <w:webHidden/>
          </w:rPr>
          <w:fldChar w:fldCharType="separate"/>
        </w:r>
        <w:r>
          <w:rPr>
            <w:noProof/>
            <w:webHidden/>
          </w:rPr>
          <w:t>47</w:t>
        </w:r>
        <w:r>
          <w:rPr>
            <w:noProof/>
            <w:webHidden/>
          </w:rPr>
          <w:fldChar w:fldCharType="end"/>
        </w:r>
      </w:hyperlink>
    </w:p>
    <w:p w14:paraId="635D0B84" w14:textId="2319ED1F" w:rsidR="001F1E7D" w:rsidRDefault="001F1E7D">
      <w:pPr>
        <w:pStyle w:val="TOC1"/>
        <w:rPr>
          <w:rFonts w:asciiTheme="minorHAnsi" w:hAnsiTheme="minorHAnsi"/>
          <w:b w:val="0"/>
          <w:noProof/>
          <w:color w:val="auto"/>
          <w:sz w:val="24"/>
        </w:rPr>
      </w:pPr>
      <w:hyperlink w:anchor="_Toc236229918" w:history="1">
        <w:r w:rsidRPr="009D79F5">
          <w:rPr>
            <w:rStyle w:val="Hyperlink"/>
            <w:rFonts w:eastAsia="Calibri" w:cs="Calibri"/>
            <w:noProof/>
          </w:rPr>
          <w:t>Part V: Safety, Security, and Environmental Protection</w:t>
        </w:r>
        <w:r>
          <w:rPr>
            <w:noProof/>
            <w:webHidden/>
          </w:rPr>
          <w:tab/>
        </w:r>
        <w:r>
          <w:rPr>
            <w:noProof/>
            <w:webHidden/>
          </w:rPr>
          <w:fldChar w:fldCharType="begin"/>
        </w:r>
        <w:r>
          <w:rPr>
            <w:noProof/>
            <w:webHidden/>
          </w:rPr>
          <w:instrText xml:space="preserve"> PAGEREF _Toc236229918 \h </w:instrText>
        </w:r>
        <w:r>
          <w:rPr>
            <w:noProof/>
            <w:webHidden/>
          </w:rPr>
        </w:r>
        <w:r>
          <w:rPr>
            <w:noProof/>
            <w:webHidden/>
          </w:rPr>
          <w:fldChar w:fldCharType="separate"/>
        </w:r>
        <w:r>
          <w:rPr>
            <w:noProof/>
            <w:webHidden/>
          </w:rPr>
          <w:t>49</w:t>
        </w:r>
        <w:r>
          <w:rPr>
            <w:noProof/>
            <w:webHidden/>
          </w:rPr>
          <w:fldChar w:fldCharType="end"/>
        </w:r>
      </w:hyperlink>
    </w:p>
    <w:p w14:paraId="038FA37E" w14:textId="0CEDCDE6" w:rsidR="001F1E7D" w:rsidRDefault="001F1E7D">
      <w:pPr>
        <w:pStyle w:val="TOC2"/>
        <w:rPr>
          <w:rFonts w:asciiTheme="minorHAnsi" w:hAnsiTheme="minorHAnsi"/>
          <w:noProof/>
          <w:color w:val="auto"/>
          <w:sz w:val="24"/>
        </w:rPr>
      </w:pPr>
      <w:hyperlink w:anchor="_Toc236229919" w:history="1">
        <w:r w:rsidRPr="009D79F5">
          <w:rPr>
            <w:rStyle w:val="Hyperlink"/>
            <w:rFonts w:eastAsia="Calibri" w:cs="Calibri"/>
            <w:noProof/>
          </w:rPr>
          <w:t>Article 26: Verification Philosophy: The Human Anchor Method</w:t>
        </w:r>
        <w:r>
          <w:rPr>
            <w:noProof/>
            <w:webHidden/>
          </w:rPr>
          <w:tab/>
        </w:r>
        <w:r>
          <w:rPr>
            <w:noProof/>
            <w:webHidden/>
          </w:rPr>
          <w:fldChar w:fldCharType="begin"/>
        </w:r>
        <w:r>
          <w:rPr>
            <w:noProof/>
            <w:webHidden/>
          </w:rPr>
          <w:instrText xml:space="preserve"> PAGEREF _Toc236229919 \h </w:instrText>
        </w:r>
        <w:r>
          <w:rPr>
            <w:noProof/>
            <w:webHidden/>
          </w:rPr>
        </w:r>
        <w:r>
          <w:rPr>
            <w:noProof/>
            <w:webHidden/>
          </w:rPr>
          <w:fldChar w:fldCharType="separate"/>
        </w:r>
        <w:r>
          <w:rPr>
            <w:noProof/>
            <w:webHidden/>
          </w:rPr>
          <w:t>49</w:t>
        </w:r>
        <w:r>
          <w:rPr>
            <w:noProof/>
            <w:webHidden/>
          </w:rPr>
          <w:fldChar w:fldCharType="end"/>
        </w:r>
      </w:hyperlink>
    </w:p>
    <w:p w14:paraId="387FD8C3" w14:textId="28D1F3DA" w:rsidR="001F1E7D" w:rsidRDefault="001F1E7D">
      <w:pPr>
        <w:pStyle w:val="TOC2"/>
        <w:rPr>
          <w:rFonts w:asciiTheme="minorHAnsi" w:hAnsiTheme="minorHAnsi"/>
          <w:noProof/>
          <w:color w:val="auto"/>
          <w:sz w:val="24"/>
        </w:rPr>
      </w:pPr>
      <w:hyperlink w:anchor="_Toc236229920" w:history="1">
        <w:r w:rsidRPr="009D79F5">
          <w:rPr>
            <w:rStyle w:val="Hyperlink"/>
            <w:rFonts w:eastAsia="Calibri" w:cs="Calibri"/>
            <w:noProof/>
          </w:rPr>
          <w:t>Article 26A: Cybersecurity, Authentication, and Data Integrity</w:t>
        </w:r>
        <w:r>
          <w:rPr>
            <w:noProof/>
            <w:webHidden/>
          </w:rPr>
          <w:tab/>
        </w:r>
        <w:r>
          <w:rPr>
            <w:noProof/>
            <w:webHidden/>
          </w:rPr>
          <w:fldChar w:fldCharType="begin"/>
        </w:r>
        <w:r>
          <w:rPr>
            <w:noProof/>
            <w:webHidden/>
          </w:rPr>
          <w:instrText xml:space="preserve"> PAGEREF _Toc236229920 \h </w:instrText>
        </w:r>
        <w:r>
          <w:rPr>
            <w:noProof/>
            <w:webHidden/>
          </w:rPr>
        </w:r>
        <w:r>
          <w:rPr>
            <w:noProof/>
            <w:webHidden/>
          </w:rPr>
          <w:fldChar w:fldCharType="separate"/>
        </w:r>
        <w:r>
          <w:rPr>
            <w:noProof/>
            <w:webHidden/>
          </w:rPr>
          <w:t>50</w:t>
        </w:r>
        <w:r>
          <w:rPr>
            <w:noProof/>
            <w:webHidden/>
          </w:rPr>
          <w:fldChar w:fldCharType="end"/>
        </w:r>
      </w:hyperlink>
    </w:p>
    <w:p w14:paraId="1BAB8F54" w14:textId="1397A958" w:rsidR="001F1E7D" w:rsidRDefault="001F1E7D">
      <w:pPr>
        <w:pStyle w:val="TOC2"/>
        <w:rPr>
          <w:rFonts w:asciiTheme="minorHAnsi" w:hAnsiTheme="minorHAnsi"/>
          <w:noProof/>
          <w:color w:val="auto"/>
          <w:sz w:val="24"/>
        </w:rPr>
      </w:pPr>
      <w:hyperlink w:anchor="_Toc236229921" w:history="1">
        <w:r w:rsidRPr="009D79F5">
          <w:rPr>
            <w:rStyle w:val="Hyperlink"/>
            <w:rFonts w:eastAsia="Calibri" w:cs="Calibri"/>
            <w:noProof/>
          </w:rPr>
          <w:t>Article 27: Naval De-confliction and the Standoff Geometry</w:t>
        </w:r>
        <w:r>
          <w:rPr>
            <w:noProof/>
            <w:webHidden/>
          </w:rPr>
          <w:tab/>
        </w:r>
        <w:r>
          <w:rPr>
            <w:noProof/>
            <w:webHidden/>
          </w:rPr>
          <w:fldChar w:fldCharType="begin"/>
        </w:r>
        <w:r>
          <w:rPr>
            <w:noProof/>
            <w:webHidden/>
          </w:rPr>
          <w:instrText xml:space="preserve"> PAGEREF _Toc236229921 \h </w:instrText>
        </w:r>
        <w:r>
          <w:rPr>
            <w:noProof/>
            <w:webHidden/>
          </w:rPr>
        </w:r>
        <w:r>
          <w:rPr>
            <w:noProof/>
            <w:webHidden/>
          </w:rPr>
          <w:fldChar w:fldCharType="separate"/>
        </w:r>
        <w:r>
          <w:rPr>
            <w:noProof/>
            <w:webHidden/>
          </w:rPr>
          <w:t>51</w:t>
        </w:r>
        <w:r>
          <w:rPr>
            <w:noProof/>
            <w:webHidden/>
          </w:rPr>
          <w:fldChar w:fldCharType="end"/>
        </w:r>
      </w:hyperlink>
    </w:p>
    <w:p w14:paraId="1FA63EDE" w14:textId="3F4BE9D7" w:rsidR="001F1E7D" w:rsidRDefault="001F1E7D">
      <w:pPr>
        <w:pStyle w:val="TOC2"/>
        <w:rPr>
          <w:rFonts w:asciiTheme="minorHAnsi" w:hAnsiTheme="minorHAnsi"/>
          <w:noProof/>
          <w:color w:val="auto"/>
          <w:sz w:val="24"/>
        </w:rPr>
      </w:pPr>
      <w:hyperlink w:anchor="_Toc236229922" w:history="1">
        <w:r w:rsidRPr="009D79F5">
          <w:rPr>
            <w:rStyle w:val="Hyperlink"/>
            <w:rFonts w:eastAsia="Calibri" w:cs="Calibri"/>
            <w:noProof/>
          </w:rPr>
          <w:t>Article 27A: Regional Naval Cooperation Framework</w:t>
        </w:r>
        <w:r>
          <w:rPr>
            <w:noProof/>
            <w:webHidden/>
          </w:rPr>
          <w:tab/>
        </w:r>
        <w:r>
          <w:rPr>
            <w:noProof/>
            <w:webHidden/>
          </w:rPr>
          <w:fldChar w:fldCharType="begin"/>
        </w:r>
        <w:r>
          <w:rPr>
            <w:noProof/>
            <w:webHidden/>
          </w:rPr>
          <w:instrText xml:space="preserve"> PAGEREF _Toc236229922 \h </w:instrText>
        </w:r>
        <w:r>
          <w:rPr>
            <w:noProof/>
            <w:webHidden/>
          </w:rPr>
        </w:r>
        <w:r>
          <w:rPr>
            <w:noProof/>
            <w:webHidden/>
          </w:rPr>
          <w:fldChar w:fldCharType="separate"/>
        </w:r>
        <w:r>
          <w:rPr>
            <w:noProof/>
            <w:webHidden/>
          </w:rPr>
          <w:t>52</w:t>
        </w:r>
        <w:r>
          <w:rPr>
            <w:noProof/>
            <w:webHidden/>
          </w:rPr>
          <w:fldChar w:fldCharType="end"/>
        </w:r>
      </w:hyperlink>
    </w:p>
    <w:p w14:paraId="47C68AB6" w14:textId="3FFFF039" w:rsidR="001F1E7D" w:rsidRDefault="001F1E7D">
      <w:pPr>
        <w:pStyle w:val="TOC2"/>
        <w:rPr>
          <w:rFonts w:asciiTheme="minorHAnsi" w:hAnsiTheme="minorHAnsi"/>
          <w:noProof/>
          <w:color w:val="auto"/>
          <w:sz w:val="24"/>
        </w:rPr>
      </w:pPr>
      <w:hyperlink w:anchor="_Toc236229923" w:history="1">
        <w:r w:rsidRPr="009D79F5">
          <w:rPr>
            <w:rStyle w:val="Hyperlink"/>
            <w:rFonts w:eastAsia="Calibri" w:cs="Calibri"/>
            <w:noProof/>
          </w:rPr>
          <w:t>Article 28: Mishap and Incident Management</w:t>
        </w:r>
        <w:r>
          <w:rPr>
            <w:noProof/>
            <w:webHidden/>
          </w:rPr>
          <w:tab/>
        </w:r>
        <w:r>
          <w:rPr>
            <w:noProof/>
            <w:webHidden/>
          </w:rPr>
          <w:fldChar w:fldCharType="begin"/>
        </w:r>
        <w:r>
          <w:rPr>
            <w:noProof/>
            <w:webHidden/>
          </w:rPr>
          <w:instrText xml:space="preserve"> PAGEREF _Toc236229923 \h </w:instrText>
        </w:r>
        <w:r>
          <w:rPr>
            <w:noProof/>
            <w:webHidden/>
          </w:rPr>
        </w:r>
        <w:r>
          <w:rPr>
            <w:noProof/>
            <w:webHidden/>
          </w:rPr>
          <w:fldChar w:fldCharType="separate"/>
        </w:r>
        <w:r>
          <w:rPr>
            <w:noProof/>
            <w:webHidden/>
          </w:rPr>
          <w:t>53</w:t>
        </w:r>
        <w:r>
          <w:rPr>
            <w:noProof/>
            <w:webHidden/>
          </w:rPr>
          <w:fldChar w:fldCharType="end"/>
        </w:r>
      </w:hyperlink>
    </w:p>
    <w:p w14:paraId="26C44D92" w14:textId="64020399" w:rsidR="001F1E7D" w:rsidRDefault="001F1E7D">
      <w:pPr>
        <w:pStyle w:val="TOC2"/>
        <w:rPr>
          <w:rFonts w:asciiTheme="minorHAnsi" w:hAnsiTheme="minorHAnsi"/>
          <w:noProof/>
          <w:color w:val="auto"/>
          <w:sz w:val="24"/>
        </w:rPr>
      </w:pPr>
      <w:hyperlink w:anchor="_Toc236229924" w:history="1">
        <w:r w:rsidRPr="009D79F5">
          <w:rPr>
            <w:rStyle w:val="Hyperlink"/>
            <w:rFonts w:eastAsia="Calibri" w:cs="Calibri"/>
            <w:noProof/>
          </w:rPr>
          <w:t>Article 29: Search and Rescue</w:t>
        </w:r>
        <w:r>
          <w:rPr>
            <w:noProof/>
            <w:webHidden/>
          </w:rPr>
          <w:tab/>
        </w:r>
        <w:r>
          <w:rPr>
            <w:noProof/>
            <w:webHidden/>
          </w:rPr>
          <w:fldChar w:fldCharType="begin"/>
        </w:r>
        <w:r>
          <w:rPr>
            <w:noProof/>
            <w:webHidden/>
          </w:rPr>
          <w:instrText xml:space="preserve"> PAGEREF _Toc236229924 \h </w:instrText>
        </w:r>
        <w:r>
          <w:rPr>
            <w:noProof/>
            <w:webHidden/>
          </w:rPr>
        </w:r>
        <w:r>
          <w:rPr>
            <w:noProof/>
            <w:webHidden/>
          </w:rPr>
          <w:fldChar w:fldCharType="separate"/>
        </w:r>
        <w:r>
          <w:rPr>
            <w:noProof/>
            <w:webHidden/>
          </w:rPr>
          <w:t>54</w:t>
        </w:r>
        <w:r>
          <w:rPr>
            <w:noProof/>
            <w:webHidden/>
          </w:rPr>
          <w:fldChar w:fldCharType="end"/>
        </w:r>
      </w:hyperlink>
    </w:p>
    <w:p w14:paraId="53E0B1A1" w14:textId="06DBD69D" w:rsidR="001F1E7D" w:rsidRDefault="001F1E7D">
      <w:pPr>
        <w:pStyle w:val="TOC2"/>
        <w:rPr>
          <w:rFonts w:asciiTheme="minorHAnsi" w:hAnsiTheme="minorHAnsi"/>
          <w:noProof/>
          <w:color w:val="auto"/>
          <w:sz w:val="24"/>
        </w:rPr>
      </w:pPr>
      <w:hyperlink w:anchor="_Toc236229925" w:history="1">
        <w:r w:rsidRPr="009D79F5">
          <w:rPr>
            <w:rStyle w:val="Hyperlink"/>
            <w:rFonts w:eastAsia="Calibri" w:cs="Calibri"/>
            <w:noProof/>
          </w:rPr>
          <w:t>Article 30: Environmental Protection</w:t>
        </w:r>
        <w:r>
          <w:rPr>
            <w:noProof/>
            <w:webHidden/>
          </w:rPr>
          <w:tab/>
        </w:r>
        <w:r>
          <w:rPr>
            <w:noProof/>
            <w:webHidden/>
          </w:rPr>
          <w:fldChar w:fldCharType="begin"/>
        </w:r>
        <w:r>
          <w:rPr>
            <w:noProof/>
            <w:webHidden/>
          </w:rPr>
          <w:instrText xml:space="preserve"> PAGEREF _Toc236229925 \h </w:instrText>
        </w:r>
        <w:r>
          <w:rPr>
            <w:noProof/>
            <w:webHidden/>
          </w:rPr>
        </w:r>
        <w:r>
          <w:rPr>
            <w:noProof/>
            <w:webHidden/>
          </w:rPr>
          <w:fldChar w:fldCharType="separate"/>
        </w:r>
        <w:r>
          <w:rPr>
            <w:noProof/>
            <w:webHidden/>
          </w:rPr>
          <w:t>54</w:t>
        </w:r>
        <w:r>
          <w:rPr>
            <w:noProof/>
            <w:webHidden/>
          </w:rPr>
          <w:fldChar w:fldCharType="end"/>
        </w:r>
      </w:hyperlink>
    </w:p>
    <w:p w14:paraId="6E0B544A" w14:textId="34196D42" w:rsidR="001F1E7D" w:rsidRDefault="001F1E7D">
      <w:pPr>
        <w:pStyle w:val="TOC1"/>
        <w:rPr>
          <w:rFonts w:asciiTheme="minorHAnsi" w:hAnsiTheme="minorHAnsi"/>
          <w:b w:val="0"/>
          <w:noProof/>
          <w:color w:val="auto"/>
          <w:sz w:val="24"/>
        </w:rPr>
      </w:pPr>
      <w:hyperlink w:anchor="_Toc236229926" w:history="1">
        <w:r w:rsidRPr="009D79F5">
          <w:rPr>
            <w:rStyle w:val="Hyperlink"/>
            <w:rFonts w:eastAsia="Calibri" w:cs="Calibri"/>
            <w:noProof/>
          </w:rPr>
          <w:t>Part VI: Compliance, Accountability, and Dispute Resolution</w:t>
        </w:r>
        <w:r>
          <w:rPr>
            <w:noProof/>
            <w:webHidden/>
          </w:rPr>
          <w:tab/>
        </w:r>
        <w:r>
          <w:rPr>
            <w:noProof/>
            <w:webHidden/>
          </w:rPr>
          <w:fldChar w:fldCharType="begin"/>
        </w:r>
        <w:r>
          <w:rPr>
            <w:noProof/>
            <w:webHidden/>
          </w:rPr>
          <w:instrText xml:space="preserve"> PAGEREF _Toc236229926 \h </w:instrText>
        </w:r>
        <w:r>
          <w:rPr>
            <w:noProof/>
            <w:webHidden/>
          </w:rPr>
        </w:r>
        <w:r>
          <w:rPr>
            <w:noProof/>
            <w:webHidden/>
          </w:rPr>
          <w:fldChar w:fldCharType="separate"/>
        </w:r>
        <w:r>
          <w:rPr>
            <w:noProof/>
            <w:webHidden/>
          </w:rPr>
          <w:t>56</w:t>
        </w:r>
        <w:r>
          <w:rPr>
            <w:noProof/>
            <w:webHidden/>
          </w:rPr>
          <w:fldChar w:fldCharType="end"/>
        </w:r>
      </w:hyperlink>
    </w:p>
    <w:p w14:paraId="43AD7CD0" w14:textId="534E1D33" w:rsidR="001F1E7D" w:rsidRDefault="001F1E7D">
      <w:pPr>
        <w:pStyle w:val="TOC2"/>
        <w:rPr>
          <w:rFonts w:asciiTheme="minorHAnsi" w:hAnsiTheme="minorHAnsi"/>
          <w:noProof/>
          <w:color w:val="auto"/>
          <w:sz w:val="24"/>
        </w:rPr>
      </w:pPr>
      <w:hyperlink w:anchor="_Toc236229927" w:history="1">
        <w:r w:rsidRPr="009D79F5">
          <w:rPr>
            <w:rStyle w:val="Hyperlink"/>
            <w:rFonts w:eastAsia="Calibri" w:cs="Calibri"/>
            <w:noProof/>
          </w:rPr>
          <w:t>Article 31: The Compliance Engine</w:t>
        </w:r>
        <w:r>
          <w:rPr>
            <w:noProof/>
            <w:webHidden/>
          </w:rPr>
          <w:tab/>
        </w:r>
        <w:r>
          <w:rPr>
            <w:noProof/>
            <w:webHidden/>
          </w:rPr>
          <w:fldChar w:fldCharType="begin"/>
        </w:r>
        <w:r>
          <w:rPr>
            <w:noProof/>
            <w:webHidden/>
          </w:rPr>
          <w:instrText xml:space="preserve"> PAGEREF _Toc236229927 \h </w:instrText>
        </w:r>
        <w:r>
          <w:rPr>
            <w:noProof/>
            <w:webHidden/>
          </w:rPr>
        </w:r>
        <w:r>
          <w:rPr>
            <w:noProof/>
            <w:webHidden/>
          </w:rPr>
          <w:fldChar w:fldCharType="separate"/>
        </w:r>
        <w:r>
          <w:rPr>
            <w:noProof/>
            <w:webHidden/>
          </w:rPr>
          <w:t>56</w:t>
        </w:r>
        <w:r>
          <w:rPr>
            <w:noProof/>
            <w:webHidden/>
          </w:rPr>
          <w:fldChar w:fldCharType="end"/>
        </w:r>
      </w:hyperlink>
    </w:p>
    <w:p w14:paraId="719A20FC" w14:textId="34ECDC94" w:rsidR="001F1E7D" w:rsidRDefault="001F1E7D">
      <w:pPr>
        <w:pStyle w:val="TOC2"/>
        <w:rPr>
          <w:rFonts w:asciiTheme="minorHAnsi" w:hAnsiTheme="minorHAnsi"/>
          <w:noProof/>
          <w:color w:val="auto"/>
          <w:sz w:val="24"/>
        </w:rPr>
      </w:pPr>
      <w:hyperlink w:anchor="_Toc236229928" w:history="1">
        <w:r w:rsidRPr="009D79F5">
          <w:rPr>
            <w:rStyle w:val="Hyperlink"/>
            <w:rFonts w:eastAsia="Calibri" w:cs="Calibri"/>
            <w:noProof/>
          </w:rPr>
          <w:t>Article 32: The Stillwater Pause</w:t>
        </w:r>
        <w:r>
          <w:rPr>
            <w:noProof/>
            <w:webHidden/>
          </w:rPr>
          <w:tab/>
        </w:r>
        <w:r>
          <w:rPr>
            <w:noProof/>
            <w:webHidden/>
          </w:rPr>
          <w:fldChar w:fldCharType="begin"/>
        </w:r>
        <w:r>
          <w:rPr>
            <w:noProof/>
            <w:webHidden/>
          </w:rPr>
          <w:instrText xml:space="preserve"> PAGEREF _Toc236229928 \h </w:instrText>
        </w:r>
        <w:r>
          <w:rPr>
            <w:noProof/>
            <w:webHidden/>
          </w:rPr>
        </w:r>
        <w:r>
          <w:rPr>
            <w:noProof/>
            <w:webHidden/>
          </w:rPr>
          <w:fldChar w:fldCharType="separate"/>
        </w:r>
        <w:r>
          <w:rPr>
            <w:noProof/>
            <w:webHidden/>
          </w:rPr>
          <w:t>58</w:t>
        </w:r>
        <w:r>
          <w:rPr>
            <w:noProof/>
            <w:webHidden/>
          </w:rPr>
          <w:fldChar w:fldCharType="end"/>
        </w:r>
      </w:hyperlink>
    </w:p>
    <w:p w14:paraId="40F05331" w14:textId="3783730E" w:rsidR="001F1E7D" w:rsidRDefault="001F1E7D">
      <w:pPr>
        <w:pStyle w:val="TOC2"/>
        <w:rPr>
          <w:rFonts w:asciiTheme="minorHAnsi" w:hAnsiTheme="minorHAnsi"/>
          <w:noProof/>
          <w:color w:val="auto"/>
          <w:sz w:val="24"/>
        </w:rPr>
      </w:pPr>
      <w:hyperlink w:anchor="_Toc236229929" w:history="1">
        <w:r w:rsidRPr="009D79F5">
          <w:rPr>
            <w:rStyle w:val="Hyperlink"/>
            <w:rFonts w:eastAsia="Calibri" w:cs="Calibri"/>
            <w:noProof/>
          </w:rPr>
          <w:t>Article 33: The Reciprocity Ledger and Standing Levels</w:t>
        </w:r>
        <w:r>
          <w:rPr>
            <w:noProof/>
            <w:webHidden/>
          </w:rPr>
          <w:tab/>
        </w:r>
        <w:r>
          <w:rPr>
            <w:noProof/>
            <w:webHidden/>
          </w:rPr>
          <w:fldChar w:fldCharType="begin"/>
        </w:r>
        <w:r>
          <w:rPr>
            <w:noProof/>
            <w:webHidden/>
          </w:rPr>
          <w:instrText xml:space="preserve"> PAGEREF _Toc236229929 \h </w:instrText>
        </w:r>
        <w:r>
          <w:rPr>
            <w:noProof/>
            <w:webHidden/>
          </w:rPr>
        </w:r>
        <w:r>
          <w:rPr>
            <w:noProof/>
            <w:webHidden/>
          </w:rPr>
          <w:fldChar w:fldCharType="separate"/>
        </w:r>
        <w:r>
          <w:rPr>
            <w:noProof/>
            <w:webHidden/>
          </w:rPr>
          <w:t>59</w:t>
        </w:r>
        <w:r>
          <w:rPr>
            <w:noProof/>
            <w:webHidden/>
          </w:rPr>
          <w:fldChar w:fldCharType="end"/>
        </w:r>
      </w:hyperlink>
    </w:p>
    <w:p w14:paraId="5EB44B27" w14:textId="148A2316" w:rsidR="001F1E7D" w:rsidRDefault="001F1E7D">
      <w:pPr>
        <w:pStyle w:val="TOC2"/>
        <w:rPr>
          <w:rFonts w:asciiTheme="minorHAnsi" w:hAnsiTheme="minorHAnsi"/>
          <w:noProof/>
          <w:color w:val="auto"/>
          <w:sz w:val="24"/>
        </w:rPr>
      </w:pPr>
      <w:hyperlink w:anchor="_Toc236229930" w:history="1">
        <w:r w:rsidRPr="009D79F5">
          <w:rPr>
            <w:rStyle w:val="Hyperlink"/>
            <w:rFonts w:eastAsia="Calibri" w:cs="Calibri"/>
            <w:noProof/>
          </w:rPr>
          <w:t>Article 34: Substantiated Claims and the Performance Bond</w:t>
        </w:r>
        <w:r>
          <w:rPr>
            <w:noProof/>
            <w:webHidden/>
          </w:rPr>
          <w:tab/>
        </w:r>
        <w:r>
          <w:rPr>
            <w:noProof/>
            <w:webHidden/>
          </w:rPr>
          <w:fldChar w:fldCharType="begin"/>
        </w:r>
        <w:r>
          <w:rPr>
            <w:noProof/>
            <w:webHidden/>
          </w:rPr>
          <w:instrText xml:space="preserve"> PAGEREF _Toc236229930 \h </w:instrText>
        </w:r>
        <w:r>
          <w:rPr>
            <w:noProof/>
            <w:webHidden/>
          </w:rPr>
        </w:r>
        <w:r>
          <w:rPr>
            <w:noProof/>
            <w:webHidden/>
          </w:rPr>
          <w:fldChar w:fldCharType="separate"/>
        </w:r>
        <w:r>
          <w:rPr>
            <w:noProof/>
            <w:webHidden/>
          </w:rPr>
          <w:t>59</w:t>
        </w:r>
        <w:r>
          <w:rPr>
            <w:noProof/>
            <w:webHidden/>
          </w:rPr>
          <w:fldChar w:fldCharType="end"/>
        </w:r>
      </w:hyperlink>
    </w:p>
    <w:p w14:paraId="45B3F487" w14:textId="0A231F1D" w:rsidR="001F1E7D" w:rsidRDefault="001F1E7D">
      <w:pPr>
        <w:pStyle w:val="TOC2"/>
        <w:rPr>
          <w:rFonts w:asciiTheme="minorHAnsi" w:hAnsiTheme="minorHAnsi"/>
          <w:noProof/>
          <w:color w:val="auto"/>
          <w:sz w:val="24"/>
        </w:rPr>
      </w:pPr>
      <w:hyperlink w:anchor="_Toc236229931" w:history="1">
        <w:r w:rsidRPr="009D79F5">
          <w:rPr>
            <w:rStyle w:val="Hyperlink"/>
            <w:rFonts w:eastAsia="Calibri" w:cs="Calibri"/>
            <w:noProof/>
          </w:rPr>
          <w:t>Article 35: Dispute Resolution</w:t>
        </w:r>
        <w:r>
          <w:rPr>
            <w:noProof/>
            <w:webHidden/>
          </w:rPr>
          <w:tab/>
        </w:r>
        <w:r>
          <w:rPr>
            <w:noProof/>
            <w:webHidden/>
          </w:rPr>
          <w:fldChar w:fldCharType="begin"/>
        </w:r>
        <w:r>
          <w:rPr>
            <w:noProof/>
            <w:webHidden/>
          </w:rPr>
          <w:instrText xml:space="preserve"> PAGEREF _Toc236229931 \h </w:instrText>
        </w:r>
        <w:r>
          <w:rPr>
            <w:noProof/>
            <w:webHidden/>
          </w:rPr>
        </w:r>
        <w:r>
          <w:rPr>
            <w:noProof/>
            <w:webHidden/>
          </w:rPr>
          <w:fldChar w:fldCharType="separate"/>
        </w:r>
        <w:r>
          <w:rPr>
            <w:noProof/>
            <w:webHidden/>
          </w:rPr>
          <w:t>60</w:t>
        </w:r>
        <w:r>
          <w:rPr>
            <w:noProof/>
            <w:webHidden/>
          </w:rPr>
          <w:fldChar w:fldCharType="end"/>
        </w:r>
      </w:hyperlink>
    </w:p>
    <w:p w14:paraId="23B8C552" w14:textId="7BDBFF00" w:rsidR="001F1E7D" w:rsidRDefault="001F1E7D">
      <w:pPr>
        <w:pStyle w:val="TOC2"/>
        <w:rPr>
          <w:rFonts w:asciiTheme="minorHAnsi" w:hAnsiTheme="minorHAnsi"/>
          <w:noProof/>
          <w:color w:val="auto"/>
          <w:sz w:val="24"/>
        </w:rPr>
      </w:pPr>
      <w:hyperlink w:anchor="_Toc236229932" w:history="1">
        <w:r w:rsidRPr="009D79F5">
          <w:rPr>
            <w:rStyle w:val="Hyperlink"/>
            <w:rFonts w:eastAsia="Calibri" w:cs="Calibri"/>
            <w:noProof/>
          </w:rPr>
          <w:t>Article 36: The Protection Covenant</w:t>
        </w:r>
        <w:r>
          <w:rPr>
            <w:noProof/>
            <w:webHidden/>
          </w:rPr>
          <w:tab/>
        </w:r>
        <w:r>
          <w:rPr>
            <w:noProof/>
            <w:webHidden/>
          </w:rPr>
          <w:fldChar w:fldCharType="begin"/>
        </w:r>
        <w:r>
          <w:rPr>
            <w:noProof/>
            <w:webHidden/>
          </w:rPr>
          <w:instrText xml:space="preserve"> PAGEREF _Toc236229932 \h </w:instrText>
        </w:r>
        <w:r>
          <w:rPr>
            <w:noProof/>
            <w:webHidden/>
          </w:rPr>
        </w:r>
        <w:r>
          <w:rPr>
            <w:noProof/>
            <w:webHidden/>
          </w:rPr>
          <w:fldChar w:fldCharType="separate"/>
        </w:r>
        <w:r>
          <w:rPr>
            <w:noProof/>
            <w:webHidden/>
          </w:rPr>
          <w:t>62</w:t>
        </w:r>
        <w:r>
          <w:rPr>
            <w:noProof/>
            <w:webHidden/>
          </w:rPr>
          <w:fldChar w:fldCharType="end"/>
        </w:r>
      </w:hyperlink>
    </w:p>
    <w:p w14:paraId="0276B24F" w14:textId="48D19EEB" w:rsidR="001F1E7D" w:rsidRDefault="001F1E7D">
      <w:pPr>
        <w:pStyle w:val="TOC1"/>
        <w:rPr>
          <w:rFonts w:asciiTheme="minorHAnsi" w:hAnsiTheme="minorHAnsi"/>
          <w:b w:val="0"/>
          <w:noProof/>
          <w:color w:val="auto"/>
          <w:sz w:val="24"/>
        </w:rPr>
      </w:pPr>
      <w:hyperlink w:anchor="_Toc236229933" w:history="1">
        <w:r w:rsidRPr="009D79F5">
          <w:rPr>
            <w:rStyle w:val="Hyperlink"/>
            <w:rFonts w:eastAsia="Calibri" w:cs="Calibri"/>
            <w:noProof/>
          </w:rPr>
          <w:t>Part VII: Continuity, Resilience, Accession, and Final Provisions</w:t>
        </w:r>
        <w:r>
          <w:rPr>
            <w:noProof/>
            <w:webHidden/>
          </w:rPr>
          <w:tab/>
        </w:r>
        <w:r>
          <w:rPr>
            <w:noProof/>
            <w:webHidden/>
          </w:rPr>
          <w:fldChar w:fldCharType="begin"/>
        </w:r>
        <w:r>
          <w:rPr>
            <w:noProof/>
            <w:webHidden/>
          </w:rPr>
          <w:instrText xml:space="preserve"> PAGEREF _Toc236229933 \h </w:instrText>
        </w:r>
        <w:r>
          <w:rPr>
            <w:noProof/>
            <w:webHidden/>
          </w:rPr>
        </w:r>
        <w:r>
          <w:rPr>
            <w:noProof/>
            <w:webHidden/>
          </w:rPr>
          <w:fldChar w:fldCharType="separate"/>
        </w:r>
        <w:r>
          <w:rPr>
            <w:noProof/>
            <w:webHidden/>
          </w:rPr>
          <w:t>64</w:t>
        </w:r>
        <w:r>
          <w:rPr>
            <w:noProof/>
            <w:webHidden/>
          </w:rPr>
          <w:fldChar w:fldCharType="end"/>
        </w:r>
      </w:hyperlink>
    </w:p>
    <w:p w14:paraId="1EA33A2C" w14:textId="6DE1C912" w:rsidR="001F1E7D" w:rsidRDefault="001F1E7D">
      <w:pPr>
        <w:pStyle w:val="TOC2"/>
        <w:rPr>
          <w:rFonts w:asciiTheme="minorHAnsi" w:hAnsiTheme="minorHAnsi"/>
          <w:noProof/>
          <w:color w:val="auto"/>
          <w:sz w:val="24"/>
        </w:rPr>
      </w:pPr>
      <w:hyperlink w:anchor="_Toc236229934" w:history="1">
        <w:r w:rsidRPr="009D79F5">
          <w:rPr>
            <w:rStyle w:val="Hyperlink"/>
            <w:rFonts w:eastAsia="Calibri" w:cs="Calibri"/>
            <w:noProof/>
          </w:rPr>
          <w:t>Article 37: Phased Activation and Implementation</w:t>
        </w:r>
        <w:r>
          <w:rPr>
            <w:noProof/>
            <w:webHidden/>
          </w:rPr>
          <w:tab/>
        </w:r>
        <w:r>
          <w:rPr>
            <w:noProof/>
            <w:webHidden/>
          </w:rPr>
          <w:fldChar w:fldCharType="begin"/>
        </w:r>
        <w:r>
          <w:rPr>
            <w:noProof/>
            <w:webHidden/>
          </w:rPr>
          <w:instrText xml:space="preserve"> PAGEREF _Toc236229934 \h </w:instrText>
        </w:r>
        <w:r>
          <w:rPr>
            <w:noProof/>
            <w:webHidden/>
          </w:rPr>
        </w:r>
        <w:r>
          <w:rPr>
            <w:noProof/>
            <w:webHidden/>
          </w:rPr>
          <w:fldChar w:fldCharType="separate"/>
        </w:r>
        <w:r>
          <w:rPr>
            <w:noProof/>
            <w:webHidden/>
          </w:rPr>
          <w:t>64</w:t>
        </w:r>
        <w:r>
          <w:rPr>
            <w:noProof/>
            <w:webHidden/>
          </w:rPr>
          <w:fldChar w:fldCharType="end"/>
        </w:r>
      </w:hyperlink>
    </w:p>
    <w:p w14:paraId="76FB69AC" w14:textId="32BE2827" w:rsidR="001F1E7D" w:rsidRDefault="001F1E7D">
      <w:pPr>
        <w:pStyle w:val="TOC2"/>
        <w:rPr>
          <w:rFonts w:asciiTheme="minorHAnsi" w:hAnsiTheme="minorHAnsi"/>
          <w:noProof/>
          <w:color w:val="auto"/>
          <w:sz w:val="24"/>
        </w:rPr>
      </w:pPr>
      <w:hyperlink w:anchor="_Toc236229935" w:history="1">
        <w:r w:rsidRPr="009D79F5">
          <w:rPr>
            <w:rStyle w:val="Hyperlink"/>
            <w:rFonts w:eastAsia="Calibri" w:cs="Calibri"/>
            <w:noProof/>
          </w:rPr>
          <w:t>Article 38: Accession, Liaison, and the Multilateral Expansion Path</w:t>
        </w:r>
        <w:r>
          <w:rPr>
            <w:noProof/>
            <w:webHidden/>
          </w:rPr>
          <w:tab/>
        </w:r>
        <w:r>
          <w:rPr>
            <w:noProof/>
            <w:webHidden/>
          </w:rPr>
          <w:fldChar w:fldCharType="begin"/>
        </w:r>
        <w:r>
          <w:rPr>
            <w:noProof/>
            <w:webHidden/>
          </w:rPr>
          <w:instrText xml:space="preserve"> PAGEREF _Toc236229935 \h </w:instrText>
        </w:r>
        <w:r>
          <w:rPr>
            <w:noProof/>
            <w:webHidden/>
          </w:rPr>
        </w:r>
        <w:r>
          <w:rPr>
            <w:noProof/>
            <w:webHidden/>
          </w:rPr>
          <w:fldChar w:fldCharType="separate"/>
        </w:r>
        <w:r>
          <w:rPr>
            <w:noProof/>
            <w:webHidden/>
          </w:rPr>
          <w:t>65</w:t>
        </w:r>
        <w:r>
          <w:rPr>
            <w:noProof/>
            <w:webHidden/>
          </w:rPr>
          <w:fldChar w:fldCharType="end"/>
        </w:r>
      </w:hyperlink>
    </w:p>
    <w:p w14:paraId="2611EB77" w14:textId="4A444E75" w:rsidR="001F1E7D" w:rsidRDefault="001F1E7D">
      <w:pPr>
        <w:pStyle w:val="TOC2"/>
        <w:rPr>
          <w:rFonts w:asciiTheme="minorHAnsi" w:hAnsiTheme="minorHAnsi"/>
          <w:noProof/>
          <w:color w:val="auto"/>
          <w:sz w:val="24"/>
        </w:rPr>
      </w:pPr>
      <w:hyperlink w:anchor="_Toc236229936" w:history="1">
        <w:r w:rsidRPr="009D79F5">
          <w:rPr>
            <w:rStyle w:val="Hyperlink"/>
            <w:rFonts w:eastAsia="Calibri" w:cs="Calibri"/>
            <w:noProof/>
          </w:rPr>
          <w:t>Article 39: Amendment and Review</w:t>
        </w:r>
        <w:r>
          <w:rPr>
            <w:noProof/>
            <w:webHidden/>
          </w:rPr>
          <w:tab/>
        </w:r>
        <w:r>
          <w:rPr>
            <w:noProof/>
            <w:webHidden/>
          </w:rPr>
          <w:fldChar w:fldCharType="begin"/>
        </w:r>
        <w:r>
          <w:rPr>
            <w:noProof/>
            <w:webHidden/>
          </w:rPr>
          <w:instrText xml:space="preserve"> PAGEREF _Toc236229936 \h </w:instrText>
        </w:r>
        <w:r>
          <w:rPr>
            <w:noProof/>
            <w:webHidden/>
          </w:rPr>
        </w:r>
        <w:r>
          <w:rPr>
            <w:noProof/>
            <w:webHidden/>
          </w:rPr>
          <w:fldChar w:fldCharType="separate"/>
        </w:r>
        <w:r>
          <w:rPr>
            <w:noProof/>
            <w:webHidden/>
          </w:rPr>
          <w:t>66</w:t>
        </w:r>
        <w:r>
          <w:rPr>
            <w:noProof/>
            <w:webHidden/>
          </w:rPr>
          <w:fldChar w:fldCharType="end"/>
        </w:r>
      </w:hyperlink>
    </w:p>
    <w:p w14:paraId="1882F100" w14:textId="6911A0AE" w:rsidR="001F1E7D" w:rsidRDefault="001F1E7D">
      <w:pPr>
        <w:pStyle w:val="TOC2"/>
        <w:rPr>
          <w:rFonts w:asciiTheme="minorHAnsi" w:hAnsiTheme="minorHAnsi"/>
          <w:noProof/>
          <w:color w:val="auto"/>
          <w:sz w:val="24"/>
        </w:rPr>
      </w:pPr>
      <w:hyperlink w:anchor="_Toc236229937" w:history="1">
        <w:r w:rsidRPr="009D79F5">
          <w:rPr>
            <w:rStyle w:val="Hyperlink"/>
            <w:rFonts w:eastAsia="Calibri" w:cs="Calibri"/>
            <w:noProof/>
          </w:rPr>
          <w:t>Article 40: Transition, Succession, Withdrawal, and Reconstitution</w:t>
        </w:r>
        <w:r>
          <w:rPr>
            <w:noProof/>
            <w:webHidden/>
          </w:rPr>
          <w:tab/>
        </w:r>
        <w:r>
          <w:rPr>
            <w:noProof/>
            <w:webHidden/>
          </w:rPr>
          <w:fldChar w:fldCharType="begin"/>
        </w:r>
        <w:r>
          <w:rPr>
            <w:noProof/>
            <w:webHidden/>
          </w:rPr>
          <w:instrText xml:space="preserve"> PAGEREF _Toc236229937 \h </w:instrText>
        </w:r>
        <w:r>
          <w:rPr>
            <w:noProof/>
            <w:webHidden/>
          </w:rPr>
        </w:r>
        <w:r>
          <w:rPr>
            <w:noProof/>
            <w:webHidden/>
          </w:rPr>
          <w:fldChar w:fldCharType="separate"/>
        </w:r>
        <w:r>
          <w:rPr>
            <w:noProof/>
            <w:webHidden/>
          </w:rPr>
          <w:t>67</w:t>
        </w:r>
        <w:r>
          <w:rPr>
            <w:noProof/>
            <w:webHidden/>
          </w:rPr>
          <w:fldChar w:fldCharType="end"/>
        </w:r>
      </w:hyperlink>
    </w:p>
    <w:p w14:paraId="72644C63" w14:textId="22D00C74" w:rsidR="001F1E7D" w:rsidRDefault="001F1E7D">
      <w:pPr>
        <w:pStyle w:val="TOC2"/>
        <w:rPr>
          <w:rFonts w:asciiTheme="minorHAnsi" w:hAnsiTheme="minorHAnsi"/>
          <w:noProof/>
          <w:color w:val="auto"/>
          <w:sz w:val="24"/>
        </w:rPr>
      </w:pPr>
      <w:hyperlink w:anchor="_Toc236229938" w:history="1">
        <w:r w:rsidRPr="009D79F5">
          <w:rPr>
            <w:rStyle w:val="Hyperlink"/>
            <w:rFonts w:ascii="Consolas" w:eastAsia="Consolas" w:hAnsi="Consolas" w:cs="Consolas"/>
            <w:noProof/>
          </w:rPr>
          <w:t>Article 41: Final Provisions</w:t>
        </w:r>
        <w:r>
          <w:rPr>
            <w:noProof/>
            <w:webHidden/>
          </w:rPr>
          <w:tab/>
        </w:r>
        <w:r>
          <w:rPr>
            <w:noProof/>
            <w:webHidden/>
          </w:rPr>
          <w:fldChar w:fldCharType="begin"/>
        </w:r>
        <w:r>
          <w:rPr>
            <w:noProof/>
            <w:webHidden/>
          </w:rPr>
          <w:instrText xml:space="preserve"> PAGEREF _Toc236229938 \h </w:instrText>
        </w:r>
        <w:r>
          <w:rPr>
            <w:noProof/>
            <w:webHidden/>
          </w:rPr>
        </w:r>
        <w:r>
          <w:rPr>
            <w:noProof/>
            <w:webHidden/>
          </w:rPr>
          <w:fldChar w:fldCharType="separate"/>
        </w:r>
        <w:r>
          <w:rPr>
            <w:noProof/>
            <w:webHidden/>
          </w:rPr>
          <w:t>68</w:t>
        </w:r>
        <w:r>
          <w:rPr>
            <w:noProof/>
            <w:webHidden/>
          </w:rPr>
          <w:fldChar w:fldCharType="end"/>
        </w:r>
      </w:hyperlink>
    </w:p>
    <w:p w14:paraId="0CD3656F" w14:textId="53A9AF6A" w:rsidR="001F1E7D" w:rsidRDefault="001F1E7D">
      <w:pPr>
        <w:pStyle w:val="TOC2"/>
        <w:rPr>
          <w:rFonts w:asciiTheme="minorHAnsi" w:hAnsiTheme="minorHAnsi"/>
          <w:noProof/>
          <w:color w:val="auto"/>
          <w:sz w:val="24"/>
        </w:rPr>
      </w:pPr>
      <w:hyperlink w:anchor="_Toc236229939" w:history="1">
        <w:r w:rsidRPr="009D79F5">
          <w:rPr>
            <w:rStyle w:val="Hyperlink"/>
            <w:rFonts w:ascii="Consolas" w:eastAsia="Consolas" w:hAnsi="Consolas" w:cs="Consolas"/>
            <w:noProof/>
          </w:rPr>
          <w:t>Article 42: Continuity During Institutional Failure</w:t>
        </w:r>
        <w:r>
          <w:rPr>
            <w:noProof/>
            <w:webHidden/>
          </w:rPr>
          <w:tab/>
        </w:r>
        <w:r>
          <w:rPr>
            <w:noProof/>
            <w:webHidden/>
          </w:rPr>
          <w:fldChar w:fldCharType="begin"/>
        </w:r>
        <w:r>
          <w:rPr>
            <w:noProof/>
            <w:webHidden/>
          </w:rPr>
          <w:instrText xml:space="preserve"> PAGEREF _Toc236229939 \h </w:instrText>
        </w:r>
        <w:r>
          <w:rPr>
            <w:noProof/>
            <w:webHidden/>
          </w:rPr>
        </w:r>
        <w:r>
          <w:rPr>
            <w:noProof/>
            <w:webHidden/>
          </w:rPr>
          <w:fldChar w:fldCharType="separate"/>
        </w:r>
        <w:r>
          <w:rPr>
            <w:noProof/>
            <w:webHidden/>
          </w:rPr>
          <w:t>70</w:t>
        </w:r>
        <w:r>
          <w:rPr>
            <w:noProof/>
            <w:webHidden/>
          </w:rPr>
          <w:fldChar w:fldCharType="end"/>
        </w:r>
      </w:hyperlink>
    </w:p>
    <w:p w14:paraId="24E7035B" w14:textId="435DD2C9" w:rsidR="001F1E7D" w:rsidRDefault="001F1E7D">
      <w:pPr>
        <w:pStyle w:val="TOC2"/>
        <w:rPr>
          <w:rFonts w:asciiTheme="minorHAnsi" w:hAnsiTheme="minorHAnsi"/>
          <w:noProof/>
          <w:color w:val="auto"/>
          <w:sz w:val="24"/>
        </w:rPr>
      </w:pPr>
      <w:hyperlink w:anchor="_Toc236229940" w:history="1">
        <w:r w:rsidRPr="009D79F5">
          <w:rPr>
            <w:rStyle w:val="Hyperlink"/>
            <w:rFonts w:ascii="Consolas" w:eastAsia="Consolas" w:hAnsi="Consolas" w:cs="Consolas"/>
            <w:noProof/>
          </w:rPr>
          <w:t>Article 43: Future Technologies and Technological Neutrality</w:t>
        </w:r>
        <w:r>
          <w:rPr>
            <w:noProof/>
            <w:webHidden/>
          </w:rPr>
          <w:tab/>
        </w:r>
        <w:r>
          <w:rPr>
            <w:noProof/>
            <w:webHidden/>
          </w:rPr>
          <w:fldChar w:fldCharType="begin"/>
        </w:r>
        <w:r>
          <w:rPr>
            <w:noProof/>
            <w:webHidden/>
          </w:rPr>
          <w:instrText xml:space="preserve"> PAGEREF _Toc236229940 \h </w:instrText>
        </w:r>
        <w:r>
          <w:rPr>
            <w:noProof/>
            <w:webHidden/>
          </w:rPr>
        </w:r>
        <w:r>
          <w:rPr>
            <w:noProof/>
            <w:webHidden/>
          </w:rPr>
          <w:fldChar w:fldCharType="separate"/>
        </w:r>
        <w:r>
          <w:rPr>
            <w:noProof/>
            <w:webHidden/>
          </w:rPr>
          <w:t>71</w:t>
        </w:r>
        <w:r>
          <w:rPr>
            <w:noProof/>
            <w:webHidden/>
          </w:rPr>
          <w:fldChar w:fldCharType="end"/>
        </w:r>
      </w:hyperlink>
    </w:p>
    <w:p w14:paraId="4D787E18" w14:textId="2EE3BF66" w:rsidR="001F1E7D" w:rsidRDefault="001F1E7D">
      <w:pPr>
        <w:pStyle w:val="TOC2"/>
        <w:rPr>
          <w:rFonts w:asciiTheme="minorHAnsi" w:hAnsiTheme="minorHAnsi"/>
          <w:noProof/>
          <w:color w:val="auto"/>
          <w:sz w:val="24"/>
        </w:rPr>
      </w:pPr>
      <w:hyperlink w:anchor="_Toc236229941" w:history="1">
        <w:r w:rsidRPr="009D79F5">
          <w:rPr>
            <w:rStyle w:val="Hyperlink"/>
            <w:rFonts w:ascii="Consolas" w:eastAsia="Consolas" w:hAnsi="Consolas" w:cs="Consolas"/>
            <w:noProof/>
          </w:rPr>
          <w:t>Article 44: Institutional Succession and Organizational Continuity</w:t>
        </w:r>
        <w:r>
          <w:rPr>
            <w:noProof/>
            <w:webHidden/>
          </w:rPr>
          <w:tab/>
        </w:r>
        <w:r>
          <w:rPr>
            <w:noProof/>
            <w:webHidden/>
          </w:rPr>
          <w:fldChar w:fldCharType="begin"/>
        </w:r>
        <w:r>
          <w:rPr>
            <w:noProof/>
            <w:webHidden/>
          </w:rPr>
          <w:instrText xml:space="preserve"> PAGEREF _Toc236229941 \h </w:instrText>
        </w:r>
        <w:r>
          <w:rPr>
            <w:noProof/>
            <w:webHidden/>
          </w:rPr>
        </w:r>
        <w:r>
          <w:rPr>
            <w:noProof/>
            <w:webHidden/>
          </w:rPr>
          <w:fldChar w:fldCharType="separate"/>
        </w:r>
        <w:r>
          <w:rPr>
            <w:noProof/>
            <w:webHidden/>
          </w:rPr>
          <w:t>72</w:t>
        </w:r>
        <w:r>
          <w:rPr>
            <w:noProof/>
            <w:webHidden/>
          </w:rPr>
          <w:fldChar w:fldCharType="end"/>
        </w:r>
      </w:hyperlink>
    </w:p>
    <w:p w14:paraId="228A35DD" w14:textId="17C319CE" w:rsidR="001F1E7D" w:rsidRDefault="001F1E7D">
      <w:pPr>
        <w:pStyle w:val="TOC1"/>
        <w:rPr>
          <w:rFonts w:asciiTheme="minorHAnsi" w:hAnsiTheme="minorHAnsi"/>
          <w:b w:val="0"/>
          <w:noProof/>
          <w:color w:val="auto"/>
          <w:sz w:val="24"/>
        </w:rPr>
      </w:pPr>
      <w:hyperlink w:anchor="_Toc236229942" w:history="1">
        <w:r w:rsidRPr="009D79F5">
          <w:rPr>
            <w:rStyle w:val="Hyperlink"/>
            <w:rFonts w:eastAsia="Calibri" w:cs="Calibri"/>
            <w:noProof/>
          </w:rPr>
          <w:t>Annex A: Corridor Coordinates and Geometry Registry</w:t>
        </w:r>
        <w:r>
          <w:rPr>
            <w:noProof/>
            <w:webHidden/>
          </w:rPr>
          <w:tab/>
        </w:r>
        <w:r>
          <w:rPr>
            <w:noProof/>
            <w:webHidden/>
          </w:rPr>
          <w:fldChar w:fldCharType="begin"/>
        </w:r>
        <w:r>
          <w:rPr>
            <w:noProof/>
            <w:webHidden/>
          </w:rPr>
          <w:instrText xml:space="preserve"> PAGEREF _Toc236229942 \h </w:instrText>
        </w:r>
        <w:r>
          <w:rPr>
            <w:noProof/>
            <w:webHidden/>
          </w:rPr>
        </w:r>
        <w:r>
          <w:rPr>
            <w:noProof/>
            <w:webHidden/>
          </w:rPr>
          <w:fldChar w:fldCharType="separate"/>
        </w:r>
        <w:r>
          <w:rPr>
            <w:noProof/>
            <w:webHidden/>
          </w:rPr>
          <w:t>73</w:t>
        </w:r>
        <w:r>
          <w:rPr>
            <w:noProof/>
            <w:webHidden/>
          </w:rPr>
          <w:fldChar w:fldCharType="end"/>
        </w:r>
      </w:hyperlink>
    </w:p>
    <w:p w14:paraId="2B411C47" w14:textId="4E9207D0" w:rsidR="001F1E7D" w:rsidRDefault="001F1E7D">
      <w:pPr>
        <w:pStyle w:val="TOC1"/>
        <w:rPr>
          <w:rFonts w:asciiTheme="minorHAnsi" w:hAnsiTheme="minorHAnsi"/>
          <w:b w:val="0"/>
          <w:noProof/>
          <w:color w:val="auto"/>
          <w:sz w:val="24"/>
        </w:rPr>
      </w:pPr>
      <w:hyperlink w:anchor="_Toc236229943" w:history="1">
        <w:r w:rsidRPr="009D79F5">
          <w:rPr>
            <w:rStyle w:val="Hyperlink"/>
            <w:rFonts w:eastAsia="Calibri" w:cs="Calibri"/>
            <w:noProof/>
          </w:rPr>
          <w:t>Annex B: Vessel Classification and Treatment Matrix</w:t>
        </w:r>
        <w:r>
          <w:rPr>
            <w:noProof/>
            <w:webHidden/>
          </w:rPr>
          <w:tab/>
        </w:r>
        <w:r>
          <w:rPr>
            <w:noProof/>
            <w:webHidden/>
          </w:rPr>
          <w:fldChar w:fldCharType="begin"/>
        </w:r>
        <w:r>
          <w:rPr>
            <w:noProof/>
            <w:webHidden/>
          </w:rPr>
          <w:instrText xml:space="preserve"> PAGEREF _Toc236229943 \h </w:instrText>
        </w:r>
        <w:r>
          <w:rPr>
            <w:noProof/>
            <w:webHidden/>
          </w:rPr>
        </w:r>
        <w:r>
          <w:rPr>
            <w:noProof/>
            <w:webHidden/>
          </w:rPr>
          <w:fldChar w:fldCharType="separate"/>
        </w:r>
        <w:r>
          <w:rPr>
            <w:noProof/>
            <w:webHidden/>
          </w:rPr>
          <w:t>76</w:t>
        </w:r>
        <w:r>
          <w:rPr>
            <w:noProof/>
            <w:webHidden/>
          </w:rPr>
          <w:fldChar w:fldCharType="end"/>
        </w:r>
      </w:hyperlink>
    </w:p>
    <w:p w14:paraId="7BE6A415" w14:textId="3EACEE6E" w:rsidR="001F1E7D" w:rsidRDefault="001F1E7D">
      <w:pPr>
        <w:pStyle w:val="TOC1"/>
        <w:rPr>
          <w:rFonts w:asciiTheme="minorHAnsi" w:hAnsiTheme="minorHAnsi"/>
          <w:b w:val="0"/>
          <w:noProof/>
          <w:color w:val="auto"/>
          <w:sz w:val="24"/>
        </w:rPr>
      </w:pPr>
      <w:hyperlink w:anchor="_Toc236229944" w:history="1">
        <w:r w:rsidRPr="009D79F5">
          <w:rPr>
            <w:rStyle w:val="Hyperlink"/>
            <w:rFonts w:eastAsia="Calibri" w:cs="Calibri"/>
            <w:noProof/>
          </w:rPr>
          <w:t>Annex C: Transit Services Fund Charter</w:t>
        </w:r>
        <w:r>
          <w:rPr>
            <w:noProof/>
            <w:webHidden/>
          </w:rPr>
          <w:tab/>
        </w:r>
        <w:r>
          <w:rPr>
            <w:noProof/>
            <w:webHidden/>
          </w:rPr>
          <w:fldChar w:fldCharType="begin"/>
        </w:r>
        <w:r>
          <w:rPr>
            <w:noProof/>
            <w:webHidden/>
          </w:rPr>
          <w:instrText xml:space="preserve"> PAGEREF _Toc236229944 \h </w:instrText>
        </w:r>
        <w:r>
          <w:rPr>
            <w:noProof/>
            <w:webHidden/>
          </w:rPr>
        </w:r>
        <w:r>
          <w:rPr>
            <w:noProof/>
            <w:webHidden/>
          </w:rPr>
          <w:fldChar w:fldCharType="separate"/>
        </w:r>
        <w:r>
          <w:rPr>
            <w:noProof/>
            <w:webHidden/>
          </w:rPr>
          <w:t>78</w:t>
        </w:r>
        <w:r>
          <w:rPr>
            <w:noProof/>
            <w:webHidden/>
          </w:rPr>
          <w:fldChar w:fldCharType="end"/>
        </w:r>
      </w:hyperlink>
    </w:p>
    <w:p w14:paraId="5A31C718" w14:textId="44137BF4" w:rsidR="001F1E7D" w:rsidRDefault="001F1E7D">
      <w:pPr>
        <w:pStyle w:val="TOC1"/>
        <w:rPr>
          <w:rFonts w:asciiTheme="minorHAnsi" w:hAnsiTheme="minorHAnsi"/>
          <w:b w:val="0"/>
          <w:noProof/>
          <w:color w:val="auto"/>
          <w:sz w:val="24"/>
        </w:rPr>
      </w:pPr>
      <w:hyperlink w:anchor="_Toc236229945" w:history="1">
        <w:r w:rsidRPr="009D79F5">
          <w:rPr>
            <w:rStyle w:val="Hyperlink"/>
            <w:rFonts w:eastAsia="Calibri" w:cs="Calibri"/>
            <w:noProof/>
          </w:rPr>
          <w:t>Annex D: Point Schedule for Verified Deviations</w:t>
        </w:r>
        <w:r>
          <w:rPr>
            <w:noProof/>
            <w:webHidden/>
          </w:rPr>
          <w:tab/>
        </w:r>
        <w:r>
          <w:rPr>
            <w:noProof/>
            <w:webHidden/>
          </w:rPr>
          <w:fldChar w:fldCharType="begin"/>
        </w:r>
        <w:r>
          <w:rPr>
            <w:noProof/>
            <w:webHidden/>
          </w:rPr>
          <w:instrText xml:space="preserve"> PAGEREF _Toc236229945 \h </w:instrText>
        </w:r>
        <w:r>
          <w:rPr>
            <w:noProof/>
            <w:webHidden/>
          </w:rPr>
        </w:r>
        <w:r>
          <w:rPr>
            <w:noProof/>
            <w:webHidden/>
          </w:rPr>
          <w:fldChar w:fldCharType="separate"/>
        </w:r>
        <w:r>
          <w:rPr>
            <w:noProof/>
            <w:webHidden/>
          </w:rPr>
          <w:t>81</w:t>
        </w:r>
        <w:r>
          <w:rPr>
            <w:noProof/>
            <w:webHidden/>
          </w:rPr>
          <w:fldChar w:fldCharType="end"/>
        </w:r>
      </w:hyperlink>
    </w:p>
    <w:p w14:paraId="42AFBB29" w14:textId="6C175349" w:rsidR="001F1E7D" w:rsidRDefault="001F1E7D">
      <w:pPr>
        <w:pStyle w:val="TOC1"/>
        <w:rPr>
          <w:rFonts w:asciiTheme="minorHAnsi" w:hAnsiTheme="minorHAnsi"/>
          <w:b w:val="0"/>
          <w:noProof/>
          <w:color w:val="auto"/>
          <w:sz w:val="24"/>
        </w:rPr>
      </w:pPr>
      <w:hyperlink w:anchor="_Toc236229946" w:history="1">
        <w:r w:rsidRPr="009D79F5">
          <w:rPr>
            <w:rStyle w:val="Hyperlink"/>
            <w:rFonts w:eastAsia="Calibri" w:cs="Calibri"/>
            <w:noProof/>
          </w:rPr>
          <w:t>Annex E: Graduated Response and Restoration Operating Rules</w:t>
        </w:r>
        <w:r>
          <w:rPr>
            <w:noProof/>
            <w:webHidden/>
          </w:rPr>
          <w:tab/>
        </w:r>
        <w:r>
          <w:rPr>
            <w:noProof/>
            <w:webHidden/>
          </w:rPr>
          <w:fldChar w:fldCharType="begin"/>
        </w:r>
        <w:r>
          <w:rPr>
            <w:noProof/>
            <w:webHidden/>
          </w:rPr>
          <w:instrText xml:space="preserve"> PAGEREF _Toc236229946 \h </w:instrText>
        </w:r>
        <w:r>
          <w:rPr>
            <w:noProof/>
            <w:webHidden/>
          </w:rPr>
        </w:r>
        <w:r>
          <w:rPr>
            <w:noProof/>
            <w:webHidden/>
          </w:rPr>
          <w:fldChar w:fldCharType="separate"/>
        </w:r>
        <w:r>
          <w:rPr>
            <w:noProof/>
            <w:webHidden/>
          </w:rPr>
          <w:t>82</w:t>
        </w:r>
        <w:r>
          <w:rPr>
            <w:noProof/>
            <w:webHidden/>
          </w:rPr>
          <w:fldChar w:fldCharType="end"/>
        </w:r>
      </w:hyperlink>
    </w:p>
    <w:p w14:paraId="6AABECC2" w14:textId="7FDED651" w:rsidR="001F1E7D" w:rsidRDefault="001F1E7D">
      <w:pPr>
        <w:pStyle w:val="TOC1"/>
        <w:rPr>
          <w:rFonts w:asciiTheme="minorHAnsi" w:hAnsiTheme="minorHAnsi"/>
          <w:b w:val="0"/>
          <w:noProof/>
          <w:color w:val="auto"/>
          <w:sz w:val="24"/>
        </w:rPr>
      </w:pPr>
      <w:hyperlink w:anchor="_Toc236229947" w:history="1">
        <w:r w:rsidRPr="009D79F5">
          <w:rPr>
            <w:rStyle w:val="Hyperlink"/>
            <w:rFonts w:eastAsia="Calibri" w:cs="Calibri"/>
            <w:noProof/>
          </w:rPr>
          <w:t>Annex F: Communications, VHF Plan, Hotline, and De-confliction Protocols</w:t>
        </w:r>
        <w:r>
          <w:rPr>
            <w:noProof/>
            <w:webHidden/>
          </w:rPr>
          <w:tab/>
        </w:r>
        <w:r>
          <w:rPr>
            <w:noProof/>
            <w:webHidden/>
          </w:rPr>
          <w:fldChar w:fldCharType="begin"/>
        </w:r>
        <w:r>
          <w:rPr>
            <w:noProof/>
            <w:webHidden/>
          </w:rPr>
          <w:instrText xml:space="preserve"> PAGEREF _Toc236229947 \h </w:instrText>
        </w:r>
        <w:r>
          <w:rPr>
            <w:noProof/>
            <w:webHidden/>
          </w:rPr>
        </w:r>
        <w:r>
          <w:rPr>
            <w:noProof/>
            <w:webHidden/>
          </w:rPr>
          <w:fldChar w:fldCharType="separate"/>
        </w:r>
        <w:r>
          <w:rPr>
            <w:noProof/>
            <w:webHidden/>
          </w:rPr>
          <w:t>83</w:t>
        </w:r>
        <w:r>
          <w:rPr>
            <w:noProof/>
            <w:webHidden/>
          </w:rPr>
          <w:fldChar w:fldCharType="end"/>
        </w:r>
      </w:hyperlink>
    </w:p>
    <w:p w14:paraId="60A6B8A6" w14:textId="44697845" w:rsidR="001F1E7D" w:rsidRDefault="001F1E7D">
      <w:pPr>
        <w:pStyle w:val="TOC1"/>
        <w:rPr>
          <w:rFonts w:asciiTheme="minorHAnsi" w:hAnsiTheme="minorHAnsi"/>
          <w:b w:val="0"/>
          <w:noProof/>
          <w:color w:val="auto"/>
          <w:sz w:val="24"/>
        </w:rPr>
      </w:pPr>
      <w:hyperlink w:anchor="_Toc236229948" w:history="1">
        <w:r w:rsidRPr="009D79F5">
          <w:rPr>
            <w:rStyle w:val="Hyperlink"/>
            <w:rFonts w:eastAsia="Calibri" w:cs="Calibri"/>
            <w:i/>
            <w:noProof/>
          </w:rPr>
          <w:t>Annex G: Verification Methods Manual</w:t>
        </w:r>
        <w:r>
          <w:rPr>
            <w:noProof/>
            <w:webHidden/>
          </w:rPr>
          <w:tab/>
        </w:r>
        <w:r>
          <w:rPr>
            <w:noProof/>
            <w:webHidden/>
          </w:rPr>
          <w:fldChar w:fldCharType="begin"/>
        </w:r>
        <w:r>
          <w:rPr>
            <w:noProof/>
            <w:webHidden/>
          </w:rPr>
          <w:instrText xml:space="preserve"> PAGEREF _Toc236229948 \h </w:instrText>
        </w:r>
        <w:r>
          <w:rPr>
            <w:noProof/>
            <w:webHidden/>
          </w:rPr>
        </w:r>
        <w:r>
          <w:rPr>
            <w:noProof/>
            <w:webHidden/>
          </w:rPr>
          <w:fldChar w:fldCharType="separate"/>
        </w:r>
        <w:r>
          <w:rPr>
            <w:noProof/>
            <w:webHidden/>
          </w:rPr>
          <w:t>84</w:t>
        </w:r>
        <w:r>
          <w:rPr>
            <w:noProof/>
            <w:webHidden/>
          </w:rPr>
          <w:fldChar w:fldCharType="end"/>
        </w:r>
      </w:hyperlink>
    </w:p>
    <w:p w14:paraId="7706A0E7" w14:textId="7FFDDFA1" w:rsidR="001F1E7D" w:rsidRDefault="001F1E7D">
      <w:pPr>
        <w:pStyle w:val="TOC1"/>
        <w:rPr>
          <w:rFonts w:asciiTheme="minorHAnsi" w:hAnsiTheme="minorHAnsi"/>
          <w:b w:val="0"/>
          <w:noProof/>
          <w:color w:val="auto"/>
          <w:sz w:val="24"/>
        </w:rPr>
      </w:pPr>
      <w:hyperlink w:anchor="_Toc236229949" w:history="1">
        <w:r w:rsidRPr="009D79F5">
          <w:rPr>
            <w:rStyle w:val="Hyperlink"/>
            <w:rFonts w:eastAsia="Calibri" w:cs="Calibri"/>
            <w:i/>
            <w:noProof/>
          </w:rPr>
          <w:t>Annex H: Notification Formats and Model Forms</w:t>
        </w:r>
        <w:r>
          <w:rPr>
            <w:noProof/>
            <w:webHidden/>
          </w:rPr>
          <w:tab/>
        </w:r>
        <w:r>
          <w:rPr>
            <w:noProof/>
            <w:webHidden/>
          </w:rPr>
          <w:fldChar w:fldCharType="begin"/>
        </w:r>
        <w:r>
          <w:rPr>
            <w:noProof/>
            <w:webHidden/>
          </w:rPr>
          <w:instrText xml:space="preserve"> PAGEREF _Toc236229949 \h </w:instrText>
        </w:r>
        <w:r>
          <w:rPr>
            <w:noProof/>
            <w:webHidden/>
          </w:rPr>
        </w:r>
        <w:r>
          <w:rPr>
            <w:noProof/>
            <w:webHidden/>
          </w:rPr>
          <w:fldChar w:fldCharType="separate"/>
        </w:r>
        <w:r>
          <w:rPr>
            <w:noProof/>
            <w:webHidden/>
          </w:rPr>
          <w:t>85</w:t>
        </w:r>
        <w:r>
          <w:rPr>
            <w:noProof/>
            <w:webHidden/>
          </w:rPr>
          <w:fldChar w:fldCharType="end"/>
        </w:r>
      </w:hyperlink>
    </w:p>
    <w:p w14:paraId="5457ADA3" w14:textId="4991557F" w:rsidR="001F1E7D" w:rsidRDefault="001F1E7D">
      <w:pPr>
        <w:pStyle w:val="TOC1"/>
        <w:rPr>
          <w:rFonts w:asciiTheme="minorHAnsi" w:hAnsiTheme="minorHAnsi"/>
          <w:b w:val="0"/>
          <w:noProof/>
          <w:color w:val="auto"/>
          <w:sz w:val="24"/>
        </w:rPr>
      </w:pPr>
      <w:hyperlink w:anchor="_Toc236229950" w:history="1">
        <w:r w:rsidRPr="009D79F5">
          <w:rPr>
            <w:rStyle w:val="Hyperlink"/>
            <w:rFonts w:eastAsia="Calibri" w:cs="Calibri"/>
            <w:i/>
            <w:noProof/>
          </w:rPr>
          <w:t>Annex I: The Red Lines Register (Full Operative Text)</w:t>
        </w:r>
        <w:r>
          <w:rPr>
            <w:noProof/>
            <w:webHidden/>
          </w:rPr>
          <w:tab/>
        </w:r>
        <w:r>
          <w:rPr>
            <w:noProof/>
            <w:webHidden/>
          </w:rPr>
          <w:fldChar w:fldCharType="begin"/>
        </w:r>
        <w:r>
          <w:rPr>
            <w:noProof/>
            <w:webHidden/>
          </w:rPr>
          <w:instrText xml:space="preserve"> PAGEREF _Toc236229950 \h </w:instrText>
        </w:r>
        <w:r>
          <w:rPr>
            <w:noProof/>
            <w:webHidden/>
          </w:rPr>
        </w:r>
        <w:r>
          <w:rPr>
            <w:noProof/>
            <w:webHidden/>
          </w:rPr>
          <w:fldChar w:fldCharType="separate"/>
        </w:r>
        <w:r>
          <w:rPr>
            <w:noProof/>
            <w:webHidden/>
          </w:rPr>
          <w:t>87</w:t>
        </w:r>
        <w:r>
          <w:rPr>
            <w:noProof/>
            <w:webHidden/>
          </w:rPr>
          <w:fldChar w:fldCharType="end"/>
        </w:r>
      </w:hyperlink>
    </w:p>
    <w:p w14:paraId="42AD1976" w14:textId="2A09EE01" w:rsidR="001F1E7D" w:rsidRDefault="001F1E7D">
      <w:pPr>
        <w:pStyle w:val="TOC1"/>
        <w:rPr>
          <w:rFonts w:asciiTheme="minorHAnsi" w:hAnsiTheme="minorHAnsi"/>
          <w:b w:val="0"/>
          <w:noProof/>
          <w:color w:val="auto"/>
          <w:sz w:val="24"/>
        </w:rPr>
      </w:pPr>
      <w:hyperlink w:anchor="_Toc236229951" w:history="1">
        <w:r w:rsidRPr="009D79F5">
          <w:rPr>
            <w:rStyle w:val="Hyperlink"/>
            <w:rFonts w:eastAsia="Calibri" w:cs="Calibri"/>
            <w:i/>
            <w:noProof/>
          </w:rPr>
          <w:t>Annex J: Environmental Standards and Pollution Response Plan</w:t>
        </w:r>
        <w:r>
          <w:rPr>
            <w:noProof/>
            <w:webHidden/>
          </w:rPr>
          <w:tab/>
        </w:r>
        <w:r>
          <w:rPr>
            <w:noProof/>
            <w:webHidden/>
          </w:rPr>
          <w:fldChar w:fldCharType="begin"/>
        </w:r>
        <w:r>
          <w:rPr>
            <w:noProof/>
            <w:webHidden/>
          </w:rPr>
          <w:instrText xml:space="preserve"> PAGEREF _Toc236229951 \h </w:instrText>
        </w:r>
        <w:r>
          <w:rPr>
            <w:noProof/>
            <w:webHidden/>
          </w:rPr>
        </w:r>
        <w:r>
          <w:rPr>
            <w:noProof/>
            <w:webHidden/>
          </w:rPr>
          <w:fldChar w:fldCharType="separate"/>
        </w:r>
        <w:r>
          <w:rPr>
            <w:noProof/>
            <w:webHidden/>
          </w:rPr>
          <w:t>90</w:t>
        </w:r>
        <w:r>
          <w:rPr>
            <w:noProof/>
            <w:webHidden/>
          </w:rPr>
          <w:fldChar w:fldCharType="end"/>
        </w:r>
      </w:hyperlink>
    </w:p>
    <w:p w14:paraId="05B69624" w14:textId="42B77870" w:rsidR="001F1E7D" w:rsidRDefault="001F1E7D">
      <w:pPr>
        <w:pStyle w:val="TOC1"/>
        <w:rPr>
          <w:rFonts w:asciiTheme="minorHAnsi" w:hAnsiTheme="minorHAnsi"/>
          <w:b w:val="0"/>
          <w:noProof/>
          <w:color w:val="auto"/>
          <w:sz w:val="24"/>
        </w:rPr>
      </w:pPr>
      <w:hyperlink w:anchor="_Toc236229952" w:history="1">
        <w:r w:rsidRPr="009D79F5">
          <w:rPr>
            <w:rStyle w:val="Hyperlink"/>
            <w:rFonts w:eastAsia="Calibri" w:cs="Calibri"/>
            <w:i/>
            <w:noProof/>
          </w:rPr>
          <w:t>Annex K: Search and Rescue Operations Plan</w:t>
        </w:r>
        <w:r>
          <w:rPr>
            <w:noProof/>
            <w:webHidden/>
          </w:rPr>
          <w:tab/>
        </w:r>
        <w:r>
          <w:rPr>
            <w:noProof/>
            <w:webHidden/>
          </w:rPr>
          <w:fldChar w:fldCharType="begin"/>
        </w:r>
        <w:r>
          <w:rPr>
            <w:noProof/>
            <w:webHidden/>
          </w:rPr>
          <w:instrText xml:space="preserve"> PAGEREF _Toc236229952 \h </w:instrText>
        </w:r>
        <w:r>
          <w:rPr>
            <w:noProof/>
            <w:webHidden/>
          </w:rPr>
        </w:r>
        <w:r>
          <w:rPr>
            <w:noProof/>
            <w:webHidden/>
          </w:rPr>
          <w:fldChar w:fldCharType="separate"/>
        </w:r>
        <w:r>
          <w:rPr>
            <w:noProof/>
            <w:webHidden/>
          </w:rPr>
          <w:t>91</w:t>
        </w:r>
        <w:r>
          <w:rPr>
            <w:noProof/>
            <w:webHidden/>
          </w:rPr>
          <w:fldChar w:fldCharType="end"/>
        </w:r>
      </w:hyperlink>
    </w:p>
    <w:p w14:paraId="48AAA77D" w14:textId="3773CBC7" w:rsidR="001F1E7D" w:rsidRDefault="001F1E7D">
      <w:pPr>
        <w:pStyle w:val="TOC1"/>
        <w:rPr>
          <w:rFonts w:asciiTheme="minorHAnsi" w:hAnsiTheme="minorHAnsi"/>
          <w:b w:val="0"/>
          <w:noProof/>
          <w:color w:val="auto"/>
          <w:sz w:val="24"/>
        </w:rPr>
      </w:pPr>
      <w:hyperlink w:anchor="_Toc236229953" w:history="1">
        <w:r w:rsidRPr="009D79F5">
          <w:rPr>
            <w:rStyle w:val="Hyperlink"/>
            <w:rFonts w:eastAsia="Calibri" w:cs="Calibri"/>
            <w:i/>
            <w:noProof/>
          </w:rPr>
          <w:t>Annex L: Implementation Timeline and Activation Checklists</w:t>
        </w:r>
        <w:r>
          <w:rPr>
            <w:noProof/>
            <w:webHidden/>
          </w:rPr>
          <w:tab/>
        </w:r>
        <w:r>
          <w:rPr>
            <w:noProof/>
            <w:webHidden/>
          </w:rPr>
          <w:fldChar w:fldCharType="begin"/>
        </w:r>
        <w:r>
          <w:rPr>
            <w:noProof/>
            <w:webHidden/>
          </w:rPr>
          <w:instrText xml:space="preserve"> PAGEREF _Toc236229953 \h </w:instrText>
        </w:r>
        <w:r>
          <w:rPr>
            <w:noProof/>
            <w:webHidden/>
          </w:rPr>
        </w:r>
        <w:r>
          <w:rPr>
            <w:noProof/>
            <w:webHidden/>
          </w:rPr>
          <w:fldChar w:fldCharType="separate"/>
        </w:r>
        <w:r>
          <w:rPr>
            <w:noProof/>
            <w:webHidden/>
          </w:rPr>
          <w:t>92</w:t>
        </w:r>
        <w:r>
          <w:rPr>
            <w:noProof/>
            <w:webHidden/>
          </w:rPr>
          <w:fldChar w:fldCharType="end"/>
        </w:r>
      </w:hyperlink>
    </w:p>
    <w:p w14:paraId="55E83A07" w14:textId="49F533C2" w:rsidR="001F1E7D" w:rsidRDefault="001F1E7D">
      <w:pPr>
        <w:pStyle w:val="TOC1"/>
        <w:rPr>
          <w:rFonts w:asciiTheme="minorHAnsi" w:hAnsiTheme="minorHAnsi"/>
          <w:b w:val="0"/>
          <w:noProof/>
          <w:color w:val="auto"/>
          <w:sz w:val="24"/>
        </w:rPr>
      </w:pPr>
      <w:hyperlink w:anchor="_Toc236229954" w:history="1">
        <w:r w:rsidRPr="009D79F5">
          <w:rPr>
            <w:rStyle w:val="Hyperlink"/>
            <w:rFonts w:eastAsia="Calibri" w:cs="Calibri"/>
            <w:noProof/>
          </w:rPr>
          <w:t>Annex M: Accession, Adherence, and Participation Instruments</w:t>
        </w:r>
        <w:r>
          <w:rPr>
            <w:noProof/>
            <w:webHidden/>
          </w:rPr>
          <w:tab/>
        </w:r>
        <w:r>
          <w:rPr>
            <w:noProof/>
            <w:webHidden/>
          </w:rPr>
          <w:fldChar w:fldCharType="begin"/>
        </w:r>
        <w:r>
          <w:rPr>
            <w:noProof/>
            <w:webHidden/>
          </w:rPr>
          <w:instrText xml:space="preserve"> PAGEREF _Toc236229954 \h </w:instrText>
        </w:r>
        <w:r>
          <w:rPr>
            <w:noProof/>
            <w:webHidden/>
          </w:rPr>
        </w:r>
        <w:r>
          <w:rPr>
            <w:noProof/>
            <w:webHidden/>
          </w:rPr>
          <w:fldChar w:fldCharType="separate"/>
        </w:r>
        <w:r>
          <w:rPr>
            <w:noProof/>
            <w:webHidden/>
          </w:rPr>
          <w:t>94</w:t>
        </w:r>
        <w:r>
          <w:rPr>
            <w:noProof/>
            <w:webHidden/>
          </w:rPr>
          <w:fldChar w:fldCharType="end"/>
        </w:r>
      </w:hyperlink>
    </w:p>
    <w:p w14:paraId="490713A8" w14:textId="56FDC24E" w:rsidR="001F1E7D" w:rsidRDefault="001F1E7D">
      <w:pPr>
        <w:pStyle w:val="TOC1"/>
        <w:rPr>
          <w:rFonts w:asciiTheme="minorHAnsi" w:hAnsiTheme="minorHAnsi"/>
          <w:b w:val="0"/>
          <w:noProof/>
          <w:color w:val="auto"/>
          <w:sz w:val="24"/>
        </w:rPr>
      </w:pPr>
      <w:hyperlink w:anchor="_Toc236229955" w:history="1">
        <w:r w:rsidRPr="009D79F5">
          <w:rPr>
            <w:rStyle w:val="Hyperlink"/>
            <w:rFonts w:eastAsia="Calibri" w:cs="Calibri"/>
            <w:noProof/>
          </w:rPr>
          <w:t>Annex N: Glossary and Neutral Terminology Register</w:t>
        </w:r>
        <w:r>
          <w:rPr>
            <w:noProof/>
            <w:webHidden/>
          </w:rPr>
          <w:tab/>
        </w:r>
        <w:r>
          <w:rPr>
            <w:noProof/>
            <w:webHidden/>
          </w:rPr>
          <w:fldChar w:fldCharType="begin"/>
        </w:r>
        <w:r>
          <w:rPr>
            <w:noProof/>
            <w:webHidden/>
          </w:rPr>
          <w:instrText xml:space="preserve"> PAGEREF _Toc236229955 \h </w:instrText>
        </w:r>
        <w:r>
          <w:rPr>
            <w:noProof/>
            <w:webHidden/>
          </w:rPr>
        </w:r>
        <w:r>
          <w:rPr>
            <w:noProof/>
            <w:webHidden/>
          </w:rPr>
          <w:fldChar w:fldCharType="separate"/>
        </w:r>
        <w:r>
          <w:rPr>
            <w:noProof/>
            <w:webHidden/>
          </w:rPr>
          <w:t>95</w:t>
        </w:r>
        <w:r>
          <w:rPr>
            <w:noProof/>
            <w:webHidden/>
          </w:rPr>
          <w:fldChar w:fldCharType="end"/>
        </w:r>
      </w:hyperlink>
    </w:p>
    <w:p w14:paraId="2F89EA33" w14:textId="7BC5BA72" w:rsidR="001F1E7D" w:rsidRDefault="001F1E7D">
      <w:pPr>
        <w:pStyle w:val="TOC1"/>
        <w:rPr>
          <w:rFonts w:asciiTheme="minorHAnsi" w:hAnsiTheme="minorHAnsi"/>
          <w:b w:val="0"/>
          <w:noProof/>
          <w:color w:val="auto"/>
          <w:sz w:val="24"/>
        </w:rPr>
      </w:pPr>
      <w:hyperlink w:anchor="_Toc236229956" w:history="1">
        <w:r w:rsidRPr="009D79F5">
          <w:rPr>
            <w:rStyle w:val="Hyperlink"/>
            <w:rFonts w:eastAsia="Calibri" w:cs="Calibri"/>
            <w:noProof/>
          </w:rPr>
          <w:t>Annex O: Source Frameworks and Provenance Map</w:t>
        </w:r>
        <w:r>
          <w:rPr>
            <w:noProof/>
            <w:webHidden/>
          </w:rPr>
          <w:tab/>
        </w:r>
        <w:r>
          <w:rPr>
            <w:noProof/>
            <w:webHidden/>
          </w:rPr>
          <w:fldChar w:fldCharType="begin"/>
        </w:r>
        <w:r>
          <w:rPr>
            <w:noProof/>
            <w:webHidden/>
          </w:rPr>
          <w:instrText xml:space="preserve"> PAGEREF _Toc236229956 \h </w:instrText>
        </w:r>
        <w:r>
          <w:rPr>
            <w:noProof/>
            <w:webHidden/>
          </w:rPr>
        </w:r>
        <w:r>
          <w:rPr>
            <w:noProof/>
            <w:webHidden/>
          </w:rPr>
          <w:fldChar w:fldCharType="separate"/>
        </w:r>
        <w:r>
          <w:rPr>
            <w:noProof/>
            <w:webHidden/>
          </w:rPr>
          <w:t>96</w:t>
        </w:r>
        <w:r>
          <w:rPr>
            <w:noProof/>
            <w:webHidden/>
          </w:rPr>
          <w:fldChar w:fldCharType="end"/>
        </w:r>
      </w:hyperlink>
    </w:p>
    <w:p w14:paraId="58EA7C05" w14:textId="5AFAA78F" w:rsidR="001F1E7D" w:rsidRDefault="001F1E7D">
      <w:pPr>
        <w:pStyle w:val="TOC1"/>
        <w:rPr>
          <w:rFonts w:asciiTheme="minorHAnsi" w:hAnsiTheme="minorHAnsi"/>
          <w:b w:val="0"/>
          <w:noProof/>
          <w:color w:val="auto"/>
          <w:sz w:val="24"/>
        </w:rPr>
      </w:pPr>
      <w:hyperlink w:anchor="_Toc236229957" w:history="1">
        <w:r w:rsidRPr="009D79F5">
          <w:rPr>
            <w:rStyle w:val="Hyperlink"/>
            <w:rFonts w:eastAsia="Calibri" w:cs="Calibri"/>
            <w:noProof/>
          </w:rPr>
          <w:t>Annex P: Risk Register</w:t>
        </w:r>
        <w:r>
          <w:rPr>
            <w:noProof/>
            <w:webHidden/>
          </w:rPr>
          <w:tab/>
        </w:r>
        <w:r>
          <w:rPr>
            <w:noProof/>
            <w:webHidden/>
          </w:rPr>
          <w:fldChar w:fldCharType="begin"/>
        </w:r>
        <w:r>
          <w:rPr>
            <w:noProof/>
            <w:webHidden/>
          </w:rPr>
          <w:instrText xml:space="preserve"> PAGEREF _Toc236229957 \h </w:instrText>
        </w:r>
        <w:r>
          <w:rPr>
            <w:noProof/>
            <w:webHidden/>
          </w:rPr>
        </w:r>
        <w:r>
          <w:rPr>
            <w:noProof/>
            <w:webHidden/>
          </w:rPr>
          <w:fldChar w:fldCharType="separate"/>
        </w:r>
        <w:r>
          <w:rPr>
            <w:noProof/>
            <w:webHidden/>
          </w:rPr>
          <w:t>98</w:t>
        </w:r>
        <w:r>
          <w:rPr>
            <w:noProof/>
            <w:webHidden/>
          </w:rPr>
          <w:fldChar w:fldCharType="end"/>
        </w:r>
      </w:hyperlink>
    </w:p>
    <w:p w14:paraId="36A4AF52" w14:textId="22637F81" w:rsidR="001F1E7D" w:rsidRDefault="001F1E7D">
      <w:pPr>
        <w:pStyle w:val="TOC1"/>
        <w:rPr>
          <w:rFonts w:asciiTheme="minorHAnsi" w:hAnsiTheme="minorHAnsi"/>
          <w:b w:val="0"/>
          <w:noProof/>
          <w:color w:val="auto"/>
          <w:sz w:val="24"/>
        </w:rPr>
      </w:pPr>
      <w:hyperlink w:anchor="_Toc236229958" w:history="1">
        <w:r w:rsidRPr="009D79F5">
          <w:rPr>
            <w:rStyle w:val="Hyperlink"/>
            <w:rFonts w:eastAsia="Calibri" w:cs="Calibri"/>
            <w:noProof/>
          </w:rPr>
          <w:t>Annex Q: Assumptions Register and Stress-Test Scenarios</w:t>
        </w:r>
        <w:r>
          <w:rPr>
            <w:noProof/>
            <w:webHidden/>
          </w:rPr>
          <w:tab/>
        </w:r>
        <w:r>
          <w:rPr>
            <w:noProof/>
            <w:webHidden/>
          </w:rPr>
          <w:fldChar w:fldCharType="begin"/>
        </w:r>
        <w:r>
          <w:rPr>
            <w:noProof/>
            <w:webHidden/>
          </w:rPr>
          <w:instrText xml:space="preserve"> PAGEREF _Toc236229958 \h </w:instrText>
        </w:r>
        <w:r>
          <w:rPr>
            <w:noProof/>
            <w:webHidden/>
          </w:rPr>
        </w:r>
        <w:r>
          <w:rPr>
            <w:noProof/>
            <w:webHidden/>
          </w:rPr>
          <w:fldChar w:fldCharType="separate"/>
        </w:r>
        <w:r>
          <w:rPr>
            <w:noProof/>
            <w:webHidden/>
          </w:rPr>
          <w:t>100</w:t>
        </w:r>
        <w:r>
          <w:rPr>
            <w:noProof/>
            <w:webHidden/>
          </w:rPr>
          <w:fldChar w:fldCharType="end"/>
        </w:r>
      </w:hyperlink>
    </w:p>
    <w:p w14:paraId="66E6BF05" w14:textId="70D38BFA" w:rsidR="001F1E7D" w:rsidRDefault="001F1E7D">
      <w:pPr>
        <w:pStyle w:val="TOC1"/>
        <w:rPr>
          <w:rFonts w:asciiTheme="minorHAnsi" w:hAnsiTheme="minorHAnsi"/>
          <w:b w:val="0"/>
          <w:noProof/>
          <w:color w:val="auto"/>
          <w:sz w:val="24"/>
        </w:rPr>
      </w:pPr>
      <w:hyperlink w:anchor="_Toc236229959" w:history="1">
        <w:r w:rsidRPr="009D79F5">
          <w:rPr>
            <w:rStyle w:val="Hyperlink"/>
            <w:rFonts w:eastAsia="Calibri" w:cs="Calibri"/>
            <w:noProof/>
          </w:rPr>
          <w:t>Annex R: Performance Metrics and Publication Schedules</w:t>
        </w:r>
        <w:r>
          <w:rPr>
            <w:noProof/>
            <w:webHidden/>
          </w:rPr>
          <w:tab/>
        </w:r>
        <w:r>
          <w:rPr>
            <w:noProof/>
            <w:webHidden/>
          </w:rPr>
          <w:fldChar w:fldCharType="begin"/>
        </w:r>
        <w:r>
          <w:rPr>
            <w:noProof/>
            <w:webHidden/>
          </w:rPr>
          <w:instrText xml:space="preserve"> PAGEREF _Toc236229959 \h </w:instrText>
        </w:r>
        <w:r>
          <w:rPr>
            <w:noProof/>
            <w:webHidden/>
          </w:rPr>
        </w:r>
        <w:r>
          <w:rPr>
            <w:noProof/>
            <w:webHidden/>
          </w:rPr>
          <w:fldChar w:fldCharType="separate"/>
        </w:r>
        <w:r>
          <w:rPr>
            <w:noProof/>
            <w:webHidden/>
          </w:rPr>
          <w:t>103</w:t>
        </w:r>
        <w:r>
          <w:rPr>
            <w:noProof/>
            <w:webHidden/>
          </w:rPr>
          <w:fldChar w:fldCharType="end"/>
        </w:r>
      </w:hyperlink>
    </w:p>
    <w:p w14:paraId="3D3B01AD" w14:textId="701234F6" w:rsidR="001F1E7D" w:rsidRDefault="001F1E7D">
      <w:pPr>
        <w:pStyle w:val="TOC1"/>
        <w:rPr>
          <w:rFonts w:asciiTheme="minorHAnsi" w:hAnsiTheme="minorHAnsi"/>
          <w:b w:val="0"/>
          <w:noProof/>
          <w:color w:val="auto"/>
          <w:sz w:val="24"/>
        </w:rPr>
      </w:pPr>
      <w:hyperlink w:anchor="_Toc236229960" w:history="1">
        <w:r w:rsidRPr="009D79F5">
          <w:rPr>
            <w:rStyle w:val="Hyperlink"/>
            <w:rFonts w:eastAsia="Calibri" w:cs="Calibri"/>
            <w:noProof/>
          </w:rPr>
          <w:t>Annex S: Implementation Maturity Levels and Worked Examples</w:t>
        </w:r>
        <w:r>
          <w:rPr>
            <w:noProof/>
            <w:webHidden/>
          </w:rPr>
          <w:tab/>
        </w:r>
        <w:r>
          <w:rPr>
            <w:noProof/>
            <w:webHidden/>
          </w:rPr>
          <w:fldChar w:fldCharType="begin"/>
        </w:r>
        <w:r>
          <w:rPr>
            <w:noProof/>
            <w:webHidden/>
          </w:rPr>
          <w:instrText xml:space="preserve"> PAGEREF _Toc236229960 \h </w:instrText>
        </w:r>
        <w:r>
          <w:rPr>
            <w:noProof/>
            <w:webHidden/>
          </w:rPr>
        </w:r>
        <w:r>
          <w:rPr>
            <w:noProof/>
            <w:webHidden/>
          </w:rPr>
          <w:fldChar w:fldCharType="separate"/>
        </w:r>
        <w:r>
          <w:rPr>
            <w:noProof/>
            <w:webHidden/>
          </w:rPr>
          <w:t>105</w:t>
        </w:r>
        <w:r>
          <w:rPr>
            <w:noProof/>
            <w:webHidden/>
          </w:rPr>
          <w:fldChar w:fldCharType="end"/>
        </w:r>
      </w:hyperlink>
    </w:p>
    <w:p w14:paraId="1BBC220A" w14:textId="1D77D2E4" w:rsidR="001F1E7D" w:rsidRDefault="001F1E7D">
      <w:pPr>
        <w:pStyle w:val="TOC1"/>
        <w:rPr>
          <w:rFonts w:asciiTheme="minorHAnsi" w:hAnsiTheme="minorHAnsi"/>
          <w:b w:val="0"/>
          <w:noProof/>
          <w:color w:val="auto"/>
          <w:sz w:val="24"/>
        </w:rPr>
      </w:pPr>
      <w:hyperlink w:anchor="_Toc236229961" w:history="1">
        <w:r w:rsidRPr="009D79F5">
          <w:rPr>
            <w:rStyle w:val="Hyperlink"/>
            <w:rFonts w:eastAsia="Calibri" w:cs="Calibri"/>
            <w:noProof/>
          </w:rPr>
          <w:t>Annex T: Architectural Principles: The Engineering Manual</w:t>
        </w:r>
        <w:r>
          <w:rPr>
            <w:noProof/>
            <w:webHidden/>
          </w:rPr>
          <w:tab/>
        </w:r>
        <w:r>
          <w:rPr>
            <w:noProof/>
            <w:webHidden/>
          </w:rPr>
          <w:fldChar w:fldCharType="begin"/>
        </w:r>
        <w:r>
          <w:rPr>
            <w:noProof/>
            <w:webHidden/>
          </w:rPr>
          <w:instrText xml:space="preserve"> PAGEREF _Toc236229961 \h </w:instrText>
        </w:r>
        <w:r>
          <w:rPr>
            <w:noProof/>
            <w:webHidden/>
          </w:rPr>
        </w:r>
        <w:r>
          <w:rPr>
            <w:noProof/>
            <w:webHidden/>
          </w:rPr>
          <w:fldChar w:fldCharType="separate"/>
        </w:r>
        <w:r>
          <w:rPr>
            <w:noProof/>
            <w:webHidden/>
          </w:rPr>
          <w:t>107</w:t>
        </w:r>
        <w:r>
          <w:rPr>
            <w:noProof/>
            <w:webHidden/>
          </w:rPr>
          <w:fldChar w:fldCharType="end"/>
        </w:r>
      </w:hyperlink>
    </w:p>
    <w:p w14:paraId="1B72AB75" w14:textId="3B7DF87A" w:rsidR="001F1E7D" w:rsidRDefault="001F1E7D">
      <w:pPr>
        <w:pStyle w:val="TOC1"/>
        <w:rPr>
          <w:rFonts w:asciiTheme="minorHAnsi" w:hAnsiTheme="minorHAnsi"/>
          <w:b w:val="0"/>
          <w:noProof/>
          <w:color w:val="auto"/>
          <w:sz w:val="24"/>
        </w:rPr>
      </w:pPr>
      <w:hyperlink w:anchor="_Toc236229962" w:history="1">
        <w:r w:rsidRPr="009D79F5">
          <w:rPr>
            <w:rStyle w:val="Hyperlink"/>
            <w:rFonts w:eastAsia="Calibri" w:cs="Calibri"/>
            <w:i/>
            <w:noProof/>
          </w:rPr>
          <w:t>Annex U: Transition and Integration of National Structures</w:t>
        </w:r>
        <w:r>
          <w:rPr>
            <w:noProof/>
            <w:webHidden/>
          </w:rPr>
          <w:tab/>
        </w:r>
        <w:r>
          <w:rPr>
            <w:noProof/>
            <w:webHidden/>
          </w:rPr>
          <w:fldChar w:fldCharType="begin"/>
        </w:r>
        <w:r>
          <w:rPr>
            <w:noProof/>
            <w:webHidden/>
          </w:rPr>
          <w:instrText xml:space="preserve"> PAGEREF _Toc236229962 \h </w:instrText>
        </w:r>
        <w:r>
          <w:rPr>
            <w:noProof/>
            <w:webHidden/>
          </w:rPr>
        </w:r>
        <w:r>
          <w:rPr>
            <w:noProof/>
            <w:webHidden/>
          </w:rPr>
          <w:fldChar w:fldCharType="separate"/>
        </w:r>
        <w:r>
          <w:rPr>
            <w:noProof/>
            <w:webHidden/>
          </w:rPr>
          <w:t>110</w:t>
        </w:r>
        <w:r>
          <w:rPr>
            <w:noProof/>
            <w:webHidden/>
          </w:rPr>
          <w:fldChar w:fldCharType="end"/>
        </w:r>
      </w:hyperlink>
    </w:p>
    <w:p w14:paraId="61EE213C" w14:textId="19286878" w:rsidR="00DA7972" w:rsidRDefault="00000000">
      <w:r>
        <w:fldChar w:fldCharType="end"/>
      </w:r>
    </w:p>
    <w:p w14:paraId="077DD29E" w14:textId="77777777" w:rsidR="00DA7972" w:rsidRDefault="00DA7972">
      <w:pPr>
        <w:sectPr w:rsidR="00DA7972">
          <w:headerReference w:type="default" r:id="rId6"/>
          <w:footerReference w:type="default" r:id="rId7"/>
          <w:pgSz w:w="11906" w:h="16838"/>
          <w:pgMar w:top="1440" w:right="1440" w:bottom="1440" w:left="1440" w:header="720" w:footer="720" w:gutter="0"/>
          <w:pgNumType w:start="1"/>
          <w:cols w:space="720"/>
        </w:sectPr>
      </w:pPr>
    </w:p>
    <w:p w14:paraId="0105A662" w14:textId="77777777" w:rsidR="00DA7972" w:rsidRDefault="00000000">
      <w:pPr>
        <w:pStyle w:val="Heading1"/>
      </w:pPr>
      <w:bookmarkStart w:id="0" w:name="_Toc236229881"/>
      <w:r>
        <w:rPr>
          <w:rFonts w:eastAsia="Calibri" w:cs="Calibri"/>
          <w:szCs w:val="32"/>
        </w:rPr>
        <w:lastRenderedPageBreak/>
        <w:t>Document Control</w:t>
      </w:r>
      <w:bookmarkEnd w:id="0"/>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2"/>
        <w:gridCol w:w="6154"/>
      </w:tblGrid>
      <w:tr w:rsidR="00DA7972" w14:paraId="5985D146" w14:textId="77777777">
        <w:trPr>
          <w:tblHeader/>
        </w:trPr>
        <w:tc>
          <w:tcPr>
            <w:tcW w:w="3000" w:type="dxa"/>
            <w:tcBorders>
              <w:bottom w:val="single" w:sz="6" w:space="0" w:color="546E7A"/>
            </w:tcBorders>
            <w:shd w:val="clear" w:color="auto" w:fill="E4E9EC"/>
          </w:tcPr>
          <w:p w14:paraId="50CCACCE" w14:textId="77777777" w:rsidR="00DA7972" w:rsidRDefault="00000000">
            <w:pPr>
              <w:spacing w:after="0" w:line="260" w:lineRule="auto"/>
              <w:jc w:val="left"/>
            </w:pPr>
            <w:r>
              <w:rPr>
                <w:rFonts w:ascii="Calibri" w:eastAsia="Calibri" w:hAnsi="Calibri" w:cs="Calibri"/>
                <w:b/>
                <w:color w:val="37474F"/>
                <w:sz w:val="19"/>
                <w:szCs w:val="19"/>
              </w:rPr>
              <w:t>Field</w:t>
            </w:r>
          </w:p>
        </w:tc>
        <w:tc>
          <w:tcPr>
            <w:tcW w:w="6010" w:type="dxa"/>
            <w:tcBorders>
              <w:bottom w:val="single" w:sz="6" w:space="0" w:color="546E7A"/>
            </w:tcBorders>
            <w:shd w:val="clear" w:color="auto" w:fill="E4E9EC"/>
          </w:tcPr>
          <w:p w14:paraId="570E454F" w14:textId="77777777" w:rsidR="00DA7972" w:rsidRDefault="00000000">
            <w:pPr>
              <w:spacing w:after="0" w:line="260" w:lineRule="auto"/>
              <w:jc w:val="left"/>
            </w:pPr>
            <w:r>
              <w:rPr>
                <w:rFonts w:ascii="Calibri" w:eastAsia="Calibri" w:hAnsi="Calibri" w:cs="Calibri"/>
                <w:b/>
                <w:color w:val="37474F"/>
                <w:sz w:val="19"/>
                <w:szCs w:val="19"/>
              </w:rPr>
              <w:t>Entry</w:t>
            </w:r>
          </w:p>
        </w:tc>
      </w:tr>
      <w:tr w:rsidR="00DA7972" w14:paraId="46559DF4" w14:textId="77777777">
        <w:tc>
          <w:tcPr>
            <w:tcW w:w="3000" w:type="dxa"/>
          </w:tcPr>
          <w:p w14:paraId="7DBA41A5" w14:textId="77777777" w:rsidR="00DA7972" w:rsidRDefault="00000000">
            <w:pPr>
              <w:spacing w:after="0" w:line="260" w:lineRule="auto"/>
              <w:jc w:val="left"/>
            </w:pPr>
            <w:r>
              <w:rPr>
                <w:rFonts w:ascii="Calibri" w:eastAsia="Calibri" w:hAnsi="Calibri" w:cs="Calibri"/>
                <w:sz w:val="19"/>
                <w:szCs w:val="19"/>
              </w:rPr>
              <w:t>Instrument</w:t>
            </w:r>
          </w:p>
        </w:tc>
        <w:tc>
          <w:tcPr>
            <w:tcW w:w="6010" w:type="dxa"/>
          </w:tcPr>
          <w:p w14:paraId="6D754143" w14:textId="77777777" w:rsidR="00DA7972" w:rsidRDefault="00000000">
            <w:pPr>
              <w:spacing w:after="0" w:line="260" w:lineRule="auto"/>
              <w:jc w:val="left"/>
            </w:pPr>
            <w:r>
              <w:rPr>
                <w:rFonts w:ascii="Calibri" w:eastAsia="Calibri" w:hAnsi="Calibri" w:cs="Calibri"/>
                <w:sz w:val="19"/>
                <w:szCs w:val="19"/>
              </w:rPr>
              <w:t>The Stillwater Accord: A Multilateral Framework for the Governance, Safety, and Transit of the Strait of Hormuz, Version 2.2</w:t>
            </w:r>
          </w:p>
        </w:tc>
      </w:tr>
      <w:tr w:rsidR="00DA7972" w14:paraId="046D6941" w14:textId="77777777">
        <w:tc>
          <w:tcPr>
            <w:tcW w:w="3000" w:type="dxa"/>
          </w:tcPr>
          <w:p w14:paraId="5D9961CC" w14:textId="77777777" w:rsidR="00DA7972" w:rsidRDefault="00000000">
            <w:pPr>
              <w:spacing w:after="0" w:line="260" w:lineRule="auto"/>
              <w:jc w:val="left"/>
            </w:pPr>
            <w:r>
              <w:rPr>
                <w:rFonts w:ascii="Calibri" w:eastAsia="Calibri" w:hAnsi="Calibri" w:cs="Calibri"/>
                <w:sz w:val="19"/>
                <w:szCs w:val="19"/>
              </w:rPr>
              <w:t>Short title</w:t>
            </w:r>
          </w:p>
        </w:tc>
        <w:tc>
          <w:tcPr>
            <w:tcW w:w="6010" w:type="dxa"/>
          </w:tcPr>
          <w:p w14:paraId="6049A5E0" w14:textId="77777777" w:rsidR="00DA7972" w:rsidRDefault="00000000">
            <w:pPr>
              <w:spacing w:after="0" w:line="260" w:lineRule="auto"/>
              <w:jc w:val="left"/>
            </w:pPr>
            <w:r>
              <w:rPr>
                <w:rFonts w:ascii="Calibri" w:eastAsia="Calibri" w:hAnsi="Calibri" w:cs="Calibri"/>
                <w:sz w:val="19"/>
                <w:szCs w:val="19"/>
              </w:rPr>
              <w:t>The Stillwater Accord (the Accord)</w:t>
            </w:r>
          </w:p>
        </w:tc>
      </w:tr>
      <w:tr w:rsidR="00DA7972" w14:paraId="2F8E8408" w14:textId="77777777">
        <w:tc>
          <w:tcPr>
            <w:tcW w:w="3000" w:type="dxa"/>
          </w:tcPr>
          <w:p w14:paraId="746BA526" w14:textId="77777777" w:rsidR="00DA7972" w:rsidRDefault="00000000">
            <w:pPr>
              <w:spacing w:after="0" w:line="260" w:lineRule="auto"/>
              <w:jc w:val="left"/>
            </w:pPr>
            <w:r>
              <w:rPr>
                <w:rFonts w:ascii="Calibri" w:eastAsia="Calibri" w:hAnsi="Calibri" w:cs="Calibri"/>
                <w:sz w:val="19"/>
                <w:szCs w:val="19"/>
              </w:rPr>
              <w:t>Status</w:t>
            </w:r>
          </w:p>
        </w:tc>
        <w:tc>
          <w:tcPr>
            <w:tcW w:w="6010" w:type="dxa"/>
          </w:tcPr>
          <w:p w14:paraId="60AB8808" w14:textId="77777777" w:rsidR="00DA7972" w:rsidRDefault="00000000">
            <w:pPr>
              <w:spacing w:after="0" w:line="260" w:lineRule="auto"/>
              <w:jc w:val="left"/>
            </w:pPr>
            <w:r>
              <w:rPr>
                <w:rFonts w:ascii="Calibri" w:eastAsia="Calibri" w:hAnsi="Calibri" w:cs="Calibri"/>
                <w:sz w:val="19"/>
                <w:szCs w:val="19"/>
              </w:rPr>
              <w:t>Negotiating draft for authorized participants; text adheres to the Immutable Present-Tense Matrix</w:t>
            </w:r>
          </w:p>
        </w:tc>
      </w:tr>
      <w:tr w:rsidR="00DA7972" w14:paraId="5D67A4B2" w14:textId="77777777">
        <w:tc>
          <w:tcPr>
            <w:tcW w:w="3000" w:type="dxa"/>
          </w:tcPr>
          <w:p w14:paraId="096BFAAE" w14:textId="77777777" w:rsidR="00DA7972" w:rsidRDefault="00000000">
            <w:pPr>
              <w:spacing w:after="0" w:line="260" w:lineRule="auto"/>
              <w:jc w:val="left"/>
            </w:pPr>
            <w:r>
              <w:rPr>
                <w:rFonts w:ascii="Calibri" w:eastAsia="Calibri" w:hAnsi="Calibri" w:cs="Calibri"/>
                <w:sz w:val="19"/>
                <w:szCs w:val="19"/>
              </w:rPr>
              <w:t>Date</w:t>
            </w:r>
          </w:p>
        </w:tc>
        <w:tc>
          <w:tcPr>
            <w:tcW w:w="6010" w:type="dxa"/>
          </w:tcPr>
          <w:p w14:paraId="0E7C9B8A" w14:textId="77777777" w:rsidR="00DA7972" w:rsidRDefault="00000000">
            <w:pPr>
              <w:spacing w:after="0" w:line="260" w:lineRule="auto"/>
              <w:jc w:val="left"/>
            </w:pPr>
            <w:r>
              <w:rPr>
                <w:rFonts w:ascii="Calibri" w:eastAsia="Calibri" w:hAnsi="Calibri" w:cs="Calibri"/>
                <w:sz w:val="19"/>
                <w:szCs w:val="19"/>
              </w:rPr>
              <w:t>July 2026</w:t>
            </w:r>
          </w:p>
        </w:tc>
      </w:tr>
      <w:tr w:rsidR="00DA7972" w14:paraId="7F5BBE8E" w14:textId="77777777">
        <w:tc>
          <w:tcPr>
            <w:tcW w:w="3000" w:type="dxa"/>
          </w:tcPr>
          <w:p w14:paraId="6C2616E7" w14:textId="77777777" w:rsidR="00DA7972" w:rsidRDefault="00000000">
            <w:pPr>
              <w:spacing w:after="0" w:line="260" w:lineRule="auto"/>
              <w:jc w:val="left"/>
            </w:pPr>
            <w:r>
              <w:rPr>
                <w:rFonts w:ascii="Calibri" w:eastAsia="Calibri" w:hAnsi="Calibri" w:cs="Calibri"/>
                <w:sz w:val="19"/>
                <w:szCs w:val="19"/>
              </w:rPr>
              <w:t>Anchor instrument</w:t>
            </w:r>
          </w:p>
        </w:tc>
        <w:tc>
          <w:tcPr>
            <w:tcW w:w="6010" w:type="dxa"/>
          </w:tcPr>
          <w:p w14:paraId="0C499EBF" w14:textId="77777777" w:rsidR="00DA7972" w:rsidRDefault="00000000">
            <w:pPr>
              <w:spacing w:after="0" w:line="260" w:lineRule="auto"/>
              <w:jc w:val="left"/>
            </w:pPr>
            <w:r>
              <w:rPr>
                <w:rFonts w:ascii="Calibri" w:eastAsia="Calibri" w:hAnsi="Calibri" w:cs="Calibri"/>
                <w:sz w:val="19"/>
                <w:szCs w:val="19"/>
              </w:rPr>
              <w:t>The Islamabad Memorandum of Understanding between the United States of America and the Islamic Republic of Iran, 17 June 2026 (the MOU)</w:t>
            </w:r>
          </w:p>
        </w:tc>
      </w:tr>
      <w:tr w:rsidR="00DA7972" w14:paraId="30390F25" w14:textId="77777777">
        <w:tc>
          <w:tcPr>
            <w:tcW w:w="3000" w:type="dxa"/>
          </w:tcPr>
          <w:p w14:paraId="7DAA3E20" w14:textId="77777777" w:rsidR="00DA7972" w:rsidRDefault="00000000">
            <w:pPr>
              <w:spacing w:after="0" w:line="260" w:lineRule="auto"/>
              <w:jc w:val="left"/>
            </w:pPr>
            <w:r>
              <w:rPr>
                <w:rFonts w:ascii="Calibri" w:eastAsia="Calibri" w:hAnsi="Calibri" w:cs="Calibri"/>
                <w:sz w:val="19"/>
                <w:szCs w:val="19"/>
              </w:rPr>
              <w:t>Founding Members (the Tripod)</w:t>
            </w:r>
          </w:p>
        </w:tc>
        <w:tc>
          <w:tcPr>
            <w:tcW w:w="6010" w:type="dxa"/>
          </w:tcPr>
          <w:p w14:paraId="071E4B3D" w14:textId="77777777" w:rsidR="00DA7972" w:rsidRDefault="00000000">
            <w:pPr>
              <w:spacing w:after="0" w:line="260" w:lineRule="auto"/>
              <w:jc w:val="left"/>
            </w:pPr>
            <w:r>
              <w:rPr>
                <w:rFonts w:ascii="Calibri" w:eastAsia="Calibri" w:hAnsi="Calibri" w:cs="Calibri"/>
                <w:sz w:val="19"/>
                <w:szCs w:val="19"/>
              </w:rPr>
              <w:t>The Islamic Republic of Iran, the Sultanate of Oman, and the United Arab Emirates; entry into force upon ratification by all three (Article 41.1)</w:t>
            </w:r>
          </w:p>
        </w:tc>
      </w:tr>
      <w:tr w:rsidR="00DA7972" w14:paraId="6383B081" w14:textId="77777777">
        <w:tc>
          <w:tcPr>
            <w:tcW w:w="3000" w:type="dxa"/>
          </w:tcPr>
          <w:p w14:paraId="1806C9D2" w14:textId="77777777" w:rsidR="00DA7972" w:rsidRDefault="00000000">
            <w:pPr>
              <w:spacing w:after="0" w:line="260" w:lineRule="auto"/>
              <w:jc w:val="left"/>
            </w:pPr>
            <w:r>
              <w:rPr>
                <w:rFonts w:ascii="Calibri" w:eastAsia="Calibri" w:hAnsi="Calibri" w:cs="Calibri"/>
                <w:sz w:val="19"/>
                <w:szCs w:val="19"/>
              </w:rPr>
              <w:t>Mediator of Record</w:t>
            </w:r>
          </w:p>
        </w:tc>
        <w:tc>
          <w:tcPr>
            <w:tcW w:w="6010" w:type="dxa"/>
          </w:tcPr>
          <w:p w14:paraId="57794CC9" w14:textId="77777777" w:rsidR="00DA7972" w:rsidRDefault="00000000">
            <w:pPr>
              <w:spacing w:after="0" w:line="260" w:lineRule="auto"/>
              <w:jc w:val="left"/>
            </w:pPr>
            <w:r>
              <w:rPr>
                <w:rFonts w:ascii="Calibri" w:eastAsia="Calibri" w:hAnsi="Calibri" w:cs="Calibri"/>
                <w:sz w:val="19"/>
                <w:szCs w:val="19"/>
              </w:rPr>
              <w:t>The Sultanate of Oman</w:t>
            </w:r>
          </w:p>
        </w:tc>
      </w:tr>
      <w:tr w:rsidR="00DA7972" w14:paraId="565E9EB7" w14:textId="77777777">
        <w:tc>
          <w:tcPr>
            <w:tcW w:w="3000" w:type="dxa"/>
          </w:tcPr>
          <w:p w14:paraId="4E173DDF" w14:textId="77777777" w:rsidR="00DA7972" w:rsidRDefault="00000000">
            <w:pPr>
              <w:spacing w:after="0" w:line="260" w:lineRule="auto"/>
              <w:jc w:val="left"/>
            </w:pPr>
            <w:r>
              <w:rPr>
                <w:rFonts w:ascii="Calibri" w:eastAsia="Calibri" w:hAnsi="Calibri" w:cs="Calibri"/>
                <w:sz w:val="19"/>
                <w:szCs w:val="19"/>
              </w:rPr>
              <w:t>Neutral Administrator</w:t>
            </w:r>
          </w:p>
        </w:tc>
        <w:tc>
          <w:tcPr>
            <w:tcW w:w="6010" w:type="dxa"/>
          </w:tcPr>
          <w:p w14:paraId="6CAD7B43" w14:textId="77777777" w:rsidR="00DA7972" w:rsidRDefault="00000000">
            <w:pPr>
              <w:spacing w:after="0" w:line="260" w:lineRule="auto"/>
              <w:jc w:val="left"/>
            </w:pPr>
            <w:r>
              <w:rPr>
                <w:rFonts w:ascii="Calibri" w:eastAsia="Calibri" w:hAnsi="Calibri" w:cs="Calibri"/>
                <w:sz w:val="19"/>
                <w:szCs w:val="19"/>
              </w:rPr>
              <w:t>The Swiss Confederation</w:t>
            </w:r>
          </w:p>
        </w:tc>
      </w:tr>
      <w:tr w:rsidR="00DA7972" w14:paraId="4A1AB49D" w14:textId="77777777">
        <w:tc>
          <w:tcPr>
            <w:tcW w:w="3000" w:type="dxa"/>
          </w:tcPr>
          <w:p w14:paraId="06FBC98C" w14:textId="77777777" w:rsidR="00DA7972" w:rsidRDefault="00000000">
            <w:pPr>
              <w:spacing w:after="0" w:line="260" w:lineRule="auto"/>
              <w:jc w:val="left"/>
            </w:pPr>
            <w:r>
              <w:rPr>
                <w:rFonts w:ascii="Calibri" w:eastAsia="Calibri" w:hAnsi="Calibri" w:cs="Calibri"/>
                <w:sz w:val="19"/>
                <w:szCs w:val="19"/>
              </w:rPr>
              <w:t>Supporting facilitators</w:t>
            </w:r>
          </w:p>
        </w:tc>
        <w:tc>
          <w:tcPr>
            <w:tcW w:w="6010" w:type="dxa"/>
          </w:tcPr>
          <w:p w14:paraId="046FA507" w14:textId="77777777" w:rsidR="00DA7972" w:rsidRDefault="00000000">
            <w:pPr>
              <w:spacing w:after="0" w:line="260" w:lineRule="auto"/>
              <w:jc w:val="left"/>
            </w:pPr>
            <w:r>
              <w:rPr>
                <w:rFonts w:ascii="Calibri" w:eastAsia="Calibri" w:hAnsi="Calibri" w:cs="Calibri"/>
                <w:sz w:val="19"/>
                <w:szCs w:val="19"/>
              </w:rPr>
              <w:t>The State of Qatar and the Islamic Republic of Pakistan</w:t>
            </w:r>
          </w:p>
        </w:tc>
      </w:tr>
      <w:tr w:rsidR="00DA7972" w14:paraId="646CA281" w14:textId="77777777">
        <w:tc>
          <w:tcPr>
            <w:tcW w:w="3000" w:type="dxa"/>
          </w:tcPr>
          <w:p w14:paraId="7D8FD847" w14:textId="77777777" w:rsidR="00DA7972" w:rsidRDefault="00000000">
            <w:pPr>
              <w:spacing w:after="0" w:line="260" w:lineRule="auto"/>
              <w:jc w:val="left"/>
            </w:pPr>
            <w:r>
              <w:rPr>
                <w:rFonts w:ascii="Calibri" w:eastAsia="Calibri" w:hAnsi="Calibri" w:cs="Calibri"/>
                <w:sz w:val="19"/>
                <w:szCs w:val="19"/>
              </w:rPr>
              <w:t>Technical interface</w:t>
            </w:r>
          </w:p>
        </w:tc>
        <w:tc>
          <w:tcPr>
            <w:tcW w:w="6010" w:type="dxa"/>
          </w:tcPr>
          <w:p w14:paraId="1269158E" w14:textId="77777777" w:rsidR="00DA7972" w:rsidRDefault="00000000">
            <w:pPr>
              <w:spacing w:after="0" w:line="260" w:lineRule="auto"/>
              <w:jc w:val="left"/>
            </w:pPr>
            <w:r>
              <w:rPr>
                <w:rFonts w:ascii="Calibri" w:eastAsia="Calibri" w:hAnsi="Calibri" w:cs="Calibri"/>
                <w:sz w:val="19"/>
                <w:szCs w:val="19"/>
              </w:rPr>
              <w:t>The International Maritime Organization (IMO); the International Hydrographic Organization (IHO); the International Atomic Energy Agency (IAEA) for the safeguards interface of Article 41</w:t>
            </w:r>
          </w:p>
        </w:tc>
      </w:tr>
      <w:tr w:rsidR="00DA7972" w14:paraId="230BB95A" w14:textId="77777777">
        <w:tc>
          <w:tcPr>
            <w:tcW w:w="3000" w:type="dxa"/>
          </w:tcPr>
          <w:p w14:paraId="36A3185D" w14:textId="77777777" w:rsidR="00DA7972" w:rsidRDefault="00000000">
            <w:pPr>
              <w:spacing w:after="0" w:line="260" w:lineRule="auto"/>
              <w:jc w:val="left"/>
            </w:pPr>
            <w:r>
              <w:rPr>
                <w:rFonts w:ascii="Calibri" w:eastAsia="Calibri" w:hAnsi="Calibri" w:cs="Calibri"/>
                <w:sz w:val="19"/>
                <w:szCs w:val="19"/>
              </w:rPr>
              <w:t>Seat</w:t>
            </w:r>
          </w:p>
        </w:tc>
        <w:tc>
          <w:tcPr>
            <w:tcW w:w="6010" w:type="dxa"/>
          </w:tcPr>
          <w:p w14:paraId="29EA7809" w14:textId="77777777" w:rsidR="00DA7972" w:rsidRDefault="00000000">
            <w:pPr>
              <w:spacing w:after="0" w:line="260" w:lineRule="auto"/>
              <w:jc w:val="left"/>
            </w:pPr>
            <w:r>
              <w:rPr>
                <w:rFonts w:ascii="Calibri" w:eastAsia="Calibri" w:hAnsi="Calibri" w:cs="Calibri"/>
                <w:sz w:val="19"/>
                <w:szCs w:val="19"/>
              </w:rPr>
              <w:t>The Meridian Operations Center, Muscat, with a mirror facility of equal rank in Bandar Abbas</w:t>
            </w:r>
          </w:p>
        </w:tc>
      </w:tr>
      <w:tr w:rsidR="00DA7972" w14:paraId="6683D317" w14:textId="77777777">
        <w:tc>
          <w:tcPr>
            <w:tcW w:w="3000" w:type="dxa"/>
          </w:tcPr>
          <w:p w14:paraId="13D2817F" w14:textId="77777777" w:rsidR="00DA7972" w:rsidRDefault="00000000">
            <w:pPr>
              <w:spacing w:after="0" w:line="260" w:lineRule="auto"/>
              <w:jc w:val="left"/>
            </w:pPr>
            <w:r>
              <w:rPr>
                <w:rFonts w:ascii="Calibri" w:eastAsia="Calibri" w:hAnsi="Calibri" w:cs="Calibri"/>
                <w:sz w:val="19"/>
                <w:szCs w:val="19"/>
              </w:rPr>
              <w:t>Depositary</w:t>
            </w:r>
          </w:p>
        </w:tc>
        <w:tc>
          <w:tcPr>
            <w:tcW w:w="6010" w:type="dxa"/>
          </w:tcPr>
          <w:p w14:paraId="0DBEA9C6" w14:textId="77777777" w:rsidR="00DA7972" w:rsidRDefault="00000000">
            <w:pPr>
              <w:spacing w:after="0" w:line="260" w:lineRule="auto"/>
              <w:jc w:val="left"/>
            </w:pPr>
            <w:r>
              <w:rPr>
                <w:rFonts w:ascii="Calibri" w:eastAsia="Calibri" w:hAnsi="Calibri" w:cs="Calibri"/>
                <w:sz w:val="19"/>
                <w:szCs w:val="19"/>
              </w:rPr>
              <w:t>The Sultanate of Oman, Ministry of Foreign Affairs, Muscat</w:t>
            </w:r>
          </w:p>
        </w:tc>
      </w:tr>
      <w:tr w:rsidR="00DA7972" w14:paraId="1056B960" w14:textId="77777777">
        <w:tc>
          <w:tcPr>
            <w:tcW w:w="3000" w:type="dxa"/>
          </w:tcPr>
          <w:p w14:paraId="6A46021A" w14:textId="77777777" w:rsidR="00DA7972" w:rsidRDefault="00000000">
            <w:pPr>
              <w:spacing w:after="0" w:line="260" w:lineRule="auto"/>
              <w:jc w:val="left"/>
            </w:pPr>
            <w:r>
              <w:rPr>
                <w:rFonts w:ascii="Calibri" w:eastAsia="Calibri" w:hAnsi="Calibri" w:cs="Calibri"/>
                <w:sz w:val="19"/>
                <w:szCs w:val="19"/>
              </w:rPr>
              <w:t>Languages</w:t>
            </w:r>
          </w:p>
        </w:tc>
        <w:tc>
          <w:tcPr>
            <w:tcW w:w="6010" w:type="dxa"/>
          </w:tcPr>
          <w:p w14:paraId="1ACB9D1A" w14:textId="77777777" w:rsidR="00DA7972" w:rsidRDefault="00000000">
            <w:pPr>
              <w:spacing w:after="0" w:line="260" w:lineRule="auto"/>
              <w:jc w:val="left"/>
            </w:pPr>
            <w:r>
              <w:rPr>
                <w:rFonts w:ascii="Calibri" w:eastAsia="Calibri" w:hAnsi="Calibri" w:cs="Calibri"/>
                <w:sz w:val="19"/>
                <w:szCs w:val="19"/>
              </w:rPr>
              <w:t>Persian, Arabic, and English; the three texts carry equal authority</w:t>
            </w:r>
          </w:p>
        </w:tc>
      </w:tr>
      <w:tr w:rsidR="00DA7972" w14:paraId="6430D4AC" w14:textId="77777777">
        <w:tc>
          <w:tcPr>
            <w:tcW w:w="3000" w:type="dxa"/>
          </w:tcPr>
          <w:p w14:paraId="6A1263ED" w14:textId="77777777" w:rsidR="00DA7972" w:rsidRDefault="00000000">
            <w:pPr>
              <w:spacing w:after="0" w:line="260" w:lineRule="auto"/>
              <w:jc w:val="left"/>
            </w:pPr>
            <w:r>
              <w:rPr>
                <w:rFonts w:ascii="Calibri" w:eastAsia="Calibri" w:hAnsi="Calibri" w:cs="Calibri"/>
                <w:sz w:val="19"/>
                <w:szCs w:val="19"/>
              </w:rPr>
              <w:t>Continuity rule</w:t>
            </w:r>
          </w:p>
        </w:tc>
        <w:tc>
          <w:tcPr>
            <w:tcW w:w="6010" w:type="dxa"/>
          </w:tcPr>
          <w:p w14:paraId="5E9062F2" w14:textId="77777777" w:rsidR="00DA7972" w:rsidRDefault="00000000">
            <w:pPr>
              <w:spacing w:after="0" w:line="260" w:lineRule="auto"/>
              <w:jc w:val="left"/>
            </w:pPr>
            <w:r>
              <w:rPr>
                <w:rFonts w:ascii="Calibri" w:eastAsia="Calibri" w:hAnsi="Calibri" w:cs="Calibri"/>
                <w:sz w:val="19"/>
                <w:szCs w:val="19"/>
              </w:rPr>
              <w:t>The Nofade Guarantee (Article 4): no provision expires, lapses, or dissolves by the passage of time alone</w:t>
            </w:r>
          </w:p>
        </w:tc>
      </w:tr>
    </w:tbl>
    <w:p w14:paraId="405BC6DE" w14:textId="77777777" w:rsidR="00DA7972" w:rsidRDefault="00DA7972">
      <w:pPr>
        <w:spacing w:after="60"/>
      </w:pPr>
    </w:p>
    <w:tbl>
      <w:tblPr>
        <w:tblW w:w="5000" w:type="pct"/>
        <w:tblInd w:w="200" w:type="dxa"/>
        <w:tblBorders>
          <w:top w:val="single" w:sz="2" w:space="0" w:color="B0BEC5"/>
          <w:left w:val="single" w:sz="18" w:space="0" w:color="37474F"/>
          <w:bottom w:val="single" w:sz="2" w:space="0" w:color="B0BEC5"/>
          <w:right w:val="single" w:sz="2" w:space="0" w:color="B0BEC5"/>
        </w:tblBorders>
        <w:tblCellMar>
          <w:top w:w="140" w:type="dxa"/>
          <w:left w:w="200" w:type="dxa"/>
          <w:bottom w:w="140" w:type="dxa"/>
          <w:right w:w="160" w:type="dxa"/>
        </w:tblCellMar>
        <w:tblLook w:val="04A0" w:firstRow="1" w:lastRow="0" w:firstColumn="1" w:lastColumn="0" w:noHBand="0" w:noVBand="1"/>
      </w:tblPr>
      <w:tblGrid>
        <w:gridCol w:w="9386"/>
      </w:tblGrid>
      <w:tr w:rsidR="00DA7972" w14:paraId="53D388A3" w14:textId="77777777">
        <w:tc>
          <w:tcPr>
            <w:tcW w:w="9010" w:type="dxa"/>
            <w:shd w:val="clear" w:color="auto" w:fill="ECEFF1"/>
          </w:tcPr>
          <w:p w14:paraId="1BE8FA35" w14:textId="77777777" w:rsidR="00DA7972" w:rsidRDefault="00000000">
            <w:pPr>
              <w:spacing w:after="0"/>
            </w:pPr>
            <w:r>
              <w:rPr>
                <w:rFonts w:eastAsia="Georgia" w:cs="Georgia"/>
                <w:i/>
                <w:szCs w:val="21"/>
              </w:rPr>
              <w:t>Drafting discipline note. Every provision of this Accord adheres to the Immutable Present-Tense Matrix: sovereign active present-tense drafting; mutual-architecture framing in which every constraint attaches to the shared design and never to one Party's restraint for another's benefit; automatic logic triggers stated as immediate operational realities; no command vocabulary, no discretionary softeners, no passive placeholders, and no floating background imagery. The Nofade Guarantee of Article 4 stands first among equals: nothing in this instrument fades, lapses, or dissolves by the passage of time alone. Verified performance banks permanently. Renewal occurs by silence; change occurs by joint written instrument; exit is a deliberate, notified, time-buffered sovereign act, never a drift.</w:t>
            </w:r>
          </w:p>
        </w:tc>
      </w:tr>
    </w:tbl>
    <w:p w14:paraId="752DB6B2" w14:textId="77777777" w:rsidR="00DA7972" w:rsidRDefault="00000000">
      <w:r>
        <w:rPr>
          <w:rFonts w:eastAsia="Georgia" w:cs="Georgia"/>
          <w:szCs w:val="21"/>
        </w:rPr>
        <w:t>This instrument contains a main body of fifty Articles organized in seven Parts, followed by twenty-one operative Annexes (Annex A through Annex U). The Annexes form an integral part of this instrument and bind the Parties to the same extent as the Articles. A reference to an Article includes the Annexes that the Article designates as operative for that Article.</w:t>
      </w:r>
    </w:p>
    <w:p w14:paraId="75C6B090" w14:textId="77777777" w:rsidR="00DA7972" w:rsidRDefault="00000000">
      <w:pPr>
        <w:pStyle w:val="Heading1"/>
      </w:pPr>
      <w:bookmarkStart w:id="1" w:name="_Toc236229882"/>
      <w:r>
        <w:rPr>
          <w:rFonts w:eastAsia="Calibri" w:cs="Calibri"/>
          <w:szCs w:val="32"/>
        </w:rPr>
        <w:lastRenderedPageBreak/>
        <w:t>The Stillwater Declaration of Principles</w:t>
      </w:r>
      <w:bookmarkEnd w:id="1"/>
    </w:p>
    <w:p w14:paraId="627085B6" w14:textId="77777777" w:rsidR="00DA7972" w:rsidRDefault="00000000">
      <w:r>
        <w:rPr>
          <w:rFonts w:eastAsia="Georgia" w:cs="Georgia"/>
          <w:szCs w:val="21"/>
        </w:rPr>
        <w:t>Before the articles, the Parties state what this Accord protects, in one place and in plain terms. The fourteen lines below constitute the Red Lines Register of Annex I in summary form. Every organ, every officer, and every reader of this Accord holds this page as the measure of the system: a measure that touches one of these lines proceeds only in the exact form the corresponding safeguard permits, and a measure that crosses one of these lines fails.</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2"/>
        <w:gridCol w:w="6154"/>
      </w:tblGrid>
      <w:tr w:rsidR="00DA7972" w14:paraId="35BE5F50" w14:textId="77777777">
        <w:trPr>
          <w:tblHeader/>
        </w:trPr>
        <w:tc>
          <w:tcPr>
            <w:tcW w:w="3000" w:type="dxa"/>
            <w:tcBorders>
              <w:bottom w:val="single" w:sz="6" w:space="0" w:color="546E7A"/>
            </w:tcBorders>
            <w:shd w:val="clear" w:color="auto" w:fill="E4E9EC"/>
          </w:tcPr>
          <w:p w14:paraId="11C68BA2" w14:textId="77777777" w:rsidR="00DA7972" w:rsidRDefault="00000000">
            <w:pPr>
              <w:spacing w:after="0" w:line="260" w:lineRule="auto"/>
              <w:jc w:val="left"/>
            </w:pPr>
            <w:r>
              <w:rPr>
                <w:rFonts w:ascii="Calibri" w:eastAsia="Calibri" w:hAnsi="Calibri" w:cs="Calibri"/>
                <w:b/>
                <w:color w:val="37474F"/>
                <w:sz w:val="19"/>
                <w:szCs w:val="19"/>
              </w:rPr>
              <w:t>Ref</w:t>
            </w:r>
          </w:p>
        </w:tc>
        <w:tc>
          <w:tcPr>
            <w:tcW w:w="6010" w:type="dxa"/>
            <w:tcBorders>
              <w:bottom w:val="single" w:sz="6" w:space="0" w:color="546E7A"/>
            </w:tcBorders>
            <w:shd w:val="clear" w:color="auto" w:fill="E4E9EC"/>
          </w:tcPr>
          <w:p w14:paraId="08E78AA4" w14:textId="77777777" w:rsidR="00DA7972" w:rsidRDefault="00000000">
            <w:pPr>
              <w:spacing w:after="0" w:line="260" w:lineRule="auto"/>
              <w:jc w:val="left"/>
            </w:pPr>
            <w:r>
              <w:rPr>
                <w:rFonts w:ascii="Calibri" w:eastAsia="Calibri" w:hAnsi="Calibri" w:cs="Calibri"/>
                <w:b/>
                <w:color w:val="37474F"/>
                <w:sz w:val="19"/>
                <w:szCs w:val="19"/>
              </w:rPr>
              <w:t>Principle</w:t>
            </w:r>
          </w:p>
        </w:tc>
      </w:tr>
      <w:tr w:rsidR="00DA7972" w14:paraId="36C17E84" w14:textId="77777777">
        <w:tc>
          <w:tcPr>
            <w:tcW w:w="3000" w:type="dxa"/>
          </w:tcPr>
          <w:p w14:paraId="635B6091" w14:textId="77777777" w:rsidR="00DA7972" w:rsidRDefault="00000000">
            <w:pPr>
              <w:spacing w:after="0" w:line="260" w:lineRule="auto"/>
              <w:jc w:val="left"/>
            </w:pPr>
            <w:r>
              <w:rPr>
                <w:rFonts w:ascii="Calibri" w:eastAsia="Calibri" w:hAnsi="Calibri" w:cs="Calibri"/>
                <w:sz w:val="19"/>
                <w:szCs w:val="19"/>
              </w:rPr>
              <w:t>RL-1</w:t>
            </w:r>
          </w:p>
        </w:tc>
        <w:tc>
          <w:tcPr>
            <w:tcW w:w="6010" w:type="dxa"/>
          </w:tcPr>
          <w:p w14:paraId="43949914" w14:textId="77777777" w:rsidR="00DA7972" w:rsidRDefault="00000000">
            <w:pPr>
              <w:spacing w:after="0" w:line="260" w:lineRule="auto"/>
              <w:jc w:val="left"/>
            </w:pPr>
            <w:r>
              <w:rPr>
                <w:rFonts w:ascii="Calibri" w:eastAsia="Calibri" w:hAnsi="Calibri" w:cs="Calibri"/>
                <w:sz w:val="19"/>
                <w:szCs w:val="19"/>
              </w:rPr>
              <w:t>Transit carries no charge, in any corridor, for any vessel, ever.</w:t>
            </w:r>
          </w:p>
        </w:tc>
      </w:tr>
      <w:tr w:rsidR="00DA7972" w14:paraId="5C831688" w14:textId="77777777">
        <w:tc>
          <w:tcPr>
            <w:tcW w:w="3000" w:type="dxa"/>
          </w:tcPr>
          <w:p w14:paraId="381F5729" w14:textId="77777777" w:rsidR="00DA7972" w:rsidRDefault="00000000">
            <w:pPr>
              <w:spacing w:after="0" w:line="260" w:lineRule="auto"/>
              <w:jc w:val="left"/>
            </w:pPr>
            <w:r>
              <w:rPr>
                <w:rFonts w:ascii="Calibri" w:eastAsia="Calibri" w:hAnsi="Calibri" w:cs="Calibri"/>
                <w:sz w:val="19"/>
                <w:szCs w:val="19"/>
              </w:rPr>
              <w:t>RL-2</w:t>
            </w:r>
          </w:p>
        </w:tc>
        <w:tc>
          <w:tcPr>
            <w:tcW w:w="6010" w:type="dxa"/>
          </w:tcPr>
          <w:p w14:paraId="255F8521" w14:textId="77777777" w:rsidR="00DA7972" w:rsidRDefault="00000000">
            <w:pPr>
              <w:spacing w:after="0" w:line="260" w:lineRule="auto"/>
              <w:jc w:val="left"/>
            </w:pPr>
            <w:r>
              <w:rPr>
                <w:rFonts w:ascii="Calibri" w:eastAsia="Calibri" w:hAnsi="Calibri" w:cs="Calibri"/>
                <w:sz w:val="19"/>
                <w:szCs w:val="19"/>
              </w:rPr>
              <w:t>The Southern Guarantee Corridor transits unconditionally, without any notification layer.</w:t>
            </w:r>
          </w:p>
        </w:tc>
      </w:tr>
      <w:tr w:rsidR="00DA7972" w14:paraId="30F41AB6" w14:textId="77777777">
        <w:tc>
          <w:tcPr>
            <w:tcW w:w="3000" w:type="dxa"/>
          </w:tcPr>
          <w:p w14:paraId="2C044D8D" w14:textId="77777777" w:rsidR="00DA7972" w:rsidRDefault="00000000">
            <w:pPr>
              <w:spacing w:after="0" w:line="260" w:lineRule="auto"/>
              <w:jc w:val="left"/>
            </w:pPr>
            <w:r>
              <w:rPr>
                <w:rFonts w:ascii="Calibri" w:eastAsia="Calibri" w:hAnsi="Calibri" w:cs="Calibri"/>
                <w:sz w:val="19"/>
                <w:szCs w:val="19"/>
              </w:rPr>
              <w:t>RL-3</w:t>
            </w:r>
          </w:p>
        </w:tc>
        <w:tc>
          <w:tcPr>
            <w:tcW w:w="6010" w:type="dxa"/>
          </w:tcPr>
          <w:p w14:paraId="3C1FF483" w14:textId="77777777" w:rsidR="00DA7972" w:rsidRDefault="00000000">
            <w:pPr>
              <w:spacing w:after="0" w:line="260" w:lineRule="auto"/>
              <w:jc w:val="left"/>
            </w:pPr>
            <w:r>
              <w:rPr>
                <w:rFonts w:ascii="Calibri" w:eastAsia="Calibri" w:hAnsi="Calibri" w:cs="Calibri"/>
                <w:sz w:val="19"/>
                <w:szCs w:val="19"/>
              </w:rPr>
              <w:t>The northern littoral holds a recognized, formal, continuous management role.</w:t>
            </w:r>
          </w:p>
        </w:tc>
      </w:tr>
      <w:tr w:rsidR="00DA7972" w14:paraId="43620BF9" w14:textId="77777777">
        <w:tc>
          <w:tcPr>
            <w:tcW w:w="3000" w:type="dxa"/>
          </w:tcPr>
          <w:p w14:paraId="1FB178C8" w14:textId="77777777" w:rsidR="00DA7972" w:rsidRDefault="00000000">
            <w:pPr>
              <w:spacing w:after="0" w:line="260" w:lineRule="auto"/>
              <w:jc w:val="left"/>
            </w:pPr>
            <w:r>
              <w:rPr>
                <w:rFonts w:ascii="Calibri" w:eastAsia="Calibri" w:hAnsi="Calibri" w:cs="Calibri"/>
                <w:sz w:val="19"/>
                <w:szCs w:val="19"/>
              </w:rPr>
              <w:t>RL-4</w:t>
            </w:r>
          </w:p>
        </w:tc>
        <w:tc>
          <w:tcPr>
            <w:tcW w:w="6010" w:type="dxa"/>
          </w:tcPr>
          <w:p w14:paraId="76736120" w14:textId="77777777" w:rsidR="00DA7972" w:rsidRDefault="00000000">
            <w:pPr>
              <w:spacing w:after="0" w:line="260" w:lineRule="auto"/>
              <w:jc w:val="left"/>
            </w:pPr>
            <w:r>
              <w:rPr>
                <w:rFonts w:ascii="Calibri" w:eastAsia="Calibri" w:hAnsi="Calibri" w:cs="Calibri"/>
                <w:sz w:val="19"/>
                <w:szCs w:val="19"/>
              </w:rPr>
              <w:t>No permission regime operates anywhere in this Accord.</w:t>
            </w:r>
          </w:p>
        </w:tc>
      </w:tr>
      <w:tr w:rsidR="00DA7972" w14:paraId="6D849A25" w14:textId="77777777">
        <w:tc>
          <w:tcPr>
            <w:tcW w:w="3000" w:type="dxa"/>
          </w:tcPr>
          <w:p w14:paraId="23723955" w14:textId="77777777" w:rsidR="00DA7972" w:rsidRDefault="00000000">
            <w:pPr>
              <w:spacing w:after="0" w:line="260" w:lineRule="auto"/>
              <w:jc w:val="left"/>
            </w:pPr>
            <w:r>
              <w:rPr>
                <w:rFonts w:ascii="Calibri" w:eastAsia="Calibri" w:hAnsi="Calibri" w:cs="Calibri"/>
                <w:sz w:val="19"/>
                <w:szCs w:val="19"/>
              </w:rPr>
              <w:t>RL-5</w:t>
            </w:r>
          </w:p>
        </w:tc>
        <w:tc>
          <w:tcPr>
            <w:tcW w:w="6010" w:type="dxa"/>
          </w:tcPr>
          <w:p w14:paraId="700E3E9A" w14:textId="77777777" w:rsidR="00DA7972" w:rsidRDefault="00000000">
            <w:pPr>
              <w:spacing w:after="0" w:line="260" w:lineRule="auto"/>
              <w:jc w:val="left"/>
            </w:pPr>
            <w:r>
              <w:rPr>
                <w:rFonts w:ascii="Calibri" w:eastAsia="Calibri" w:hAnsi="Calibri" w:cs="Calibri"/>
                <w:sz w:val="19"/>
                <w:szCs w:val="19"/>
              </w:rPr>
              <w:t>No boarding, diversion, seizure, or inspection occurs inside a corridor.</w:t>
            </w:r>
          </w:p>
        </w:tc>
      </w:tr>
      <w:tr w:rsidR="00DA7972" w14:paraId="55CD381A" w14:textId="77777777">
        <w:tc>
          <w:tcPr>
            <w:tcW w:w="3000" w:type="dxa"/>
          </w:tcPr>
          <w:p w14:paraId="131A758E" w14:textId="77777777" w:rsidR="00DA7972" w:rsidRDefault="00000000">
            <w:pPr>
              <w:spacing w:after="0" w:line="260" w:lineRule="auto"/>
              <w:jc w:val="left"/>
            </w:pPr>
            <w:r>
              <w:rPr>
                <w:rFonts w:ascii="Calibri" w:eastAsia="Calibri" w:hAnsi="Calibri" w:cs="Calibri"/>
                <w:sz w:val="19"/>
                <w:szCs w:val="19"/>
              </w:rPr>
              <w:t>RL-6</w:t>
            </w:r>
          </w:p>
        </w:tc>
        <w:tc>
          <w:tcPr>
            <w:tcW w:w="6010" w:type="dxa"/>
          </w:tcPr>
          <w:p w14:paraId="791C82A7" w14:textId="77777777" w:rsidR="00DA7972" w:rsidRDefault="00000000">
            <w:pPr>
              <w:spacing w:after="0" w:line="260" w:lineRule="auto"/>
              <w:jc w:val="left"/>
            </w:pPr>
            <w:r>
              <w:rPr>
                <w:rFonts w:ascii="Calibri" w:eastAsia="Calibri" w:hAnsi="Calibri" w:cs="Calibri"/>
                <w:sz w:val="19"/>
                <w:szCs w:val="19"/>
              </w:rPr>
              <w:t>The Accord's operational bodies remain civilian, always.</w:t>
            </w:r>
          </w:p>
        </w:tc>
      </w:tr>
      <w:tr w:rsidR="00DA7972" w14:paraId="2456E404" w14:textId="77777777">
        <w:tc>
          <w:tcPr>
            <w:tcW w:w="3000" w:type="dxa"/>
          </w:tcPr>
          <w:p w14:paraId="3CEE2BF7" w14:textId="77777777" w:rsidR="00DA7972" w:rsidRDefault="00000000">
            <w:pPr>
              <w:spacing w:after="0" w:line="260" w:lineRule="auto"/>
              <w:jc w:val="left"/>
            </w:pPr>
            <w:r>
              <w:rPr>
                <w:rFonts w:ascii="Calibri" w:eastAsia="Calibri" w:hAnsi="Calibri" w:cs="Calibri"/>
                <w:sz w:val="19"/>
                <w:szCs w:val="19"/>
              </w:rPr>
              <w:t>RL-7</w:t>
            </w:r>
          </w:p>
        </w:tc>
        <w:tc>
          <w:tcPr>
            <w:tcW w:w="6010" w:type="dxa"/>
          </w:tcPr>
          <w:p w14:paraId="18197980" w14:textId="77777777" w:rsidR="00DA7972" w:rsidRDefault="00000000">
            <w:pPr>
              <w:spacing w:after="0" w:line="260" w:lineRule="auto"/>
              <w:jc w:val="left"/>
            </w:pPr>
            <w:r>
              <w:rPr>
                <w:rFonts w:ascii="Calibri" w:eastAsia="Calibri" w:hAnsi="Calibri" w:cs="Calibri"/>
                <w:sz w:val="19"/>
                <w:szCs w:val="19"/>
              </w:rPr>
              <w:t>No shipper or operator pays any Party directly for anything.</w:t>
            </w:r>
          </w:p>
        </w:tc>
      </w:tr>
      <w:tr w:rsidR="00DA7972" w14:paraId="09BF41C5" w14:textId="77777777">
        <w:tc>
          <w:tcPr>
            <w:tcW w:w="3000" w:type="dxa"/>
          </w:tcPr>
          <w:p w14:paraId="34762FFE" w14:textId="77777777" w:rsidR="00DA7972" w:rsidRDefault="00000000">
            <w:pPr>
              <w:spacing w:after="0" w:line="260" w:lineRule="auto"/>
              <w:jc w:val="left"/>
            </w:pPr>
            <w:r>
              <w:rPr>
                <w:rFonts w:ascii="Calibri" w:eastAsia="Calibri" w:hAnsi="Calibri" w:cs="Calibri"/>
                <w:sz w:val="19"/>
                <w:szCs w:val="19"/>
              </w:rPr>
              <w:t>RL-8</w:t>
            </w:r>
          </w:p>
        </w:tc>
        <w:tc>
          <w:tcPr>
            <w:tcW w:w="6010" w:type="dxa"/>
          </w:tcPr>
          <w:p w14:paraId="351BE224" w14:textId="77777777" w:rsidR="00DA7972" w:rsidRDefault="00000000">
            <w:pPr>
              <w:spacing w:after="0" w:line="260" w:lineRule="auto"/>
              <w:jc w:val="left"/>
            </w:pPr>
            <w:r>
              <w:rPr>
                <w:rFonts w:ascii="Calibri" w:eastAsia="Calibri" w:hAnsi="Calibri" w:cs="Calibri"/>
                <w:sz w:val="19"/>
                <w:szCs w:val="19"/>
              </w:rPr>
              <w:t>Each Party's sovereignty over its own waters stands intact.</w:t>
            </w:r>
          </w:p>
        </w:tc>
      </w:tr>
      <w:tr w:rsidR="00DA7972" w14:paraId="56F5C189" w14:textId="77777777">
        <w:tc>
          <w:tcPr>
            <w:tcW w:w="3000" w:type="dxa"/>
          </w:tcPr>
          <w:p w14:paraId="094AC902" w14:textId="77777777" w:rsidR="00DA7972" w:rsidRDefault="00000000">
            <w:pPr>
              <w:spacing w:after="0" w:line="260" w:lineRule="auto"/>
              <w:jc w:val="left"/>
            </w:pPr>
            <w:r>
              <w:rPr>
                <w:rFonts w:ascii="Calibri" w:eastAsia="Calibri" w:hAnsi="Calibri" w:cs="Calibri"/>
                <w:sz w:val="19"/>
                <w:szCs w:val="19"/>
              </w:rPr>
              <w:t>RL-9</w:t>
            </w:r>
          </w:p>
        </w:tc>
        <w:tc>
          <w:tcPr>
            <w:tcW w:w="6010" w:type="dxa"/>
          </w:tcPr>
          <w:p w14:paraId="150E0C2C" w14:textId="77777777" w:rsidR="00DA7972" w:rsidRDefault="00000000">
            <w:pPr>
              <w:spacing w:after="0" w:line="260" w:lineRule="auto"/>
              <w:jc w:val="left"/>
            </w:pPr>
            <w:r>
              <w:rPr>
                <w:rFonts w:ascii="Calibri" w:eastAsia="Calibri" w:hAnsi="Calibri" w:cs="Calibri"/>
                <w:sz w:val="19"/>
                <w:szCs w:val="19"/>
              </w:rPr>
              <w:t>No commitment expires, lapses, or dilutes by time, silence, or routine.</w:t>
            </w:r>
          </w:p>
        </w:tc>
      </w:tr>
      <w:tr w:rsidR="00DA7972" w14:paraId="7DCCB777" w14:textId="77777777">
        <w:tc>
          <w:tcPr>
            <w:tcW w:w="3000" w:type="dxa"/>
          </w:tcPr>
          <w:p w14:paraId="2D0E7E89" w14:textId="77777777" w:rsidR="00DA7972" w:rsidRDefault="00000000">
            <w:pPr>
              <w:spacing w:after="0" w:line="260" w:lineRule="auto"/>
              <w:jc w:val="left"/>
            </w:pPr>
            <w:r>
              <w:rPr>
                <w:rFonts w:ascii="Calibri" w:eastAsia="Calibri" w:hAnsi="Calibri" w:cs="Calibri"/>
                <w:sz w:val="19"/>
                <w:szCs w:val="19"/>
              </w:rPr>
              <w:t>RL-10</w:t>
            </w:r>
          </w:p>
        </w:tc>
        <w:tc>
          <w:tcPr>
            <w:tcW w:w="6010" w:type="dxa"/>
          </w:tcPr>
          <w:p w14:paraId="2019187A" w14:textId="77777777" w:rsidR="00DA7972" w:rsidRDefault="00000000">
            <w:pPr>
              <w:spacing w:after="0" w:line="260" w:lineRule="auto"/>
              <w:jc w:val="left"/>
            </w:pPr>
            <w:r>
              <w:rPr>
                <w:rFonts w:ascii="Calibri" w:eastAsia="Calibri" w:hAnsi="Calibri" w:cs="Calibri"/>
                <w:sz w:val="19"/>
                <w:szCs w:val="19"/>
              </w:rPr>
              <w:t>Humanitarian traffic moves in every flow state, dispute, pause, and transition.</w:t>
            </w:r>
          </w:p>
        </w:tc>
      </w:tr>
      <w:tr w:rsidR="00DA7972" w14:paraId="1A665865" w14:textId="77777777">
        <w:tc>
          <w:tcPr>
            <w:tcW w:w="3000" w:type="dxa"/>
          </w:tcPr>
          <w:p w14:paraId="31A74472" w14:textId="77777777" w:rsidR="00DA7972" w:rsidRDefault="00000000">
            <w:pPr>
              <w:spacing w:after="0" w:line="260" w:lineRule="auto"/>
              <w:jc w:val="left"/>
            </w:pPr>
            <w:r>
              <w:rPr>
                <w:rFonts w:ascii="Calibri" w:eastAsia="Calibri" w:hAnsi="Calibri" w:cs="Calibri"/>
                <w:sz w:val="19"/>
                <w:szCs w:val="19"/>
              </w:rPr>
              <w:t>RL-11</w:t>
            </w:r>
          </w:p>
        </w:tc>
        <w:tc>
          <w:tcPr>
            <w:tcW w:w="6010" w:type="dxa"/>
          </w:tcPr>
          <w:p w14:paraId="78F998C3" w14:textId="77777777" w:rsidR="00DA7972" w:rsidRDefault="00000000">
            <w:pPr>
              <w:spacing w:after="0" w:line="260" w:lineRule="auto"/>
              <w:jc w:val="left"/>
            </w:pPr>
            <w:r>
              <w:rPr>
                <w:rFonts w:ascii="Calibri" w:eastAsia="Calibri" w:hAnsi="Calibri" w:cs="Calibri"/>
                <w:sz w:val="19"/>
                <w:szCs w:val="19"/>
              </w:rPr>
              <w:t>No finding of fact rests on a single input.</w:t>
            </w:r>
          </w:p>
        </w:tc>
      </w:tr>
      <w:tr w:rsidR="00DA7972" w14:paraId="3208C9E3" w14:textId="77777777">
        <w:tc>
          <w:tcPr>
            <w:tcW w:w="3000" w:type="dxa"/>
          </w:tcPr>
          <w:p w14:paraId="6359CF5D" w14:textId="77777777" w:rsidR="00DA7972" w:rsidRDefault="00000000">
            <w:pPr>
              <w:spacing w:after="0" w:line="260" w:lineRule="auto"/>
              <w:jc w:val="left"/>
            </w:pPr>
            <w:r>
              <w:rPr>
                <w:rFonts w:ascii="Calibri" w:eastAsia="Calibri" w:hAnsi="Calibri" w:cs="Calibri"/>
                <w:sz w:val="19"/>
                <w:szCs w:val="19"/>
              </w:rPr>
              <w:t>RL-12</w:t>
            </w:r>
          </w:p>
        </w:tc>
        <w:tc>
          <w:tcPr>
            <w:tcW w:w="6010" w:type="dxa"/>
          </w:tcPr>
          <w:p w14:paraId="0775173A" w14:textId="77777777" w:rsidR="00DA7972" w:rsidRDefault="00000000">
            <w:pPr>
              <w:spacing w:after="0" w:line="260" w:lineRule="auto"/>
              <w:jc w:val="left"/>
            </w:pPr>
            <w:r>
              <w:rPr>
                <w:rFonts w:ascii="Calibri" w:eastAsia="Calibri" w:hAnsi="Calibri" w:cs="Calibri"/>
                <w:sz w:val="19"/>
                <w:szCs w:val="19"/>
              </w:rPr>
              <w:t>Accord assets, data, and channels never support kinetic action by any actor.</w:t>
            </w:r>
          </w:p>
        </w:tc>
      </w:tr>
      <w:tr w:rsidR="00DA7972" w14:paraId="5D859551" w14:textId="77777777">
        <w:tc>
          <w:tcPr>
            <w:tcW w:w="3000" w:type="dxa"/>
          </w:tcPr>
          <w:p w14:paraId="1635DDB0" w14:textId="77777777" w:rsidR="00DA7972" w:rsidRDefault="00000000">
            <w:pPr>
              <w:spacing w:after="0" w:line="260" w:lineRule="auto"/>
              <w:jc w:val="left"/>
            </w:pPr>
            <w:r>
              <w:rPr>
                <w:rFonts w:ascii="Calibri" w:eastAsia="Calibri" w:hAnsi="Calibri" w:cs="Calibri"/>
                <w:sz w:val="19"/>
                <w:szCs w:val="19"/>
              </w:rPr>
              <w:t>RL-13</w:t>
            </w:r>
          </w:p>
        </w:tc>
        <w:tc>
          <w:tcPr>
            <w:tcW w:w="6010" w:type="dxa"/>
          </w:tcPr>
          <w:p w14:paraId="2B8662B5" w14:textId="77777777" w:rsidR="00DA7972" w:rsidRDefault="00000000">
            <w:pPr>
              <w:spacing w:after="0" w:line="260" w:lineRule="auto"/>
              <w:jc w:val="left"/>
            </w:pPr>
            <w:r>
              <w:rPr>
                <w:rFonts w:ascii="Calibri" w:eastAsia="Calibri" w:hAnsi="Calibri" w:cs="Calibri"/>
                <w:sz w:val="19"/>
                <w:szCs w:val="19"/>
              </w:rPr>
              <w:t>No single coastal state governs the Strait alone.</w:t>
            </w:r>
          </w:p>
        </w:tc>
      </w:tr>
      <w:tr w:rsidR="00DA7972" w14:paraId="173B123C" w14:textId="77777777">
        <w:tc>
          <w:tcPr>
            <w:tcW w:w="3000" w:type="dxa"/>
          </w:tcPr>
          <w:p w14:paraId="68BE1CEA" w14:textId="77777777" w:rsidR="00DA7972" w:rsidRDefault="00000000">
            <w:pPr>
              <w:spacing w:after="0" w:line="260" w:lineRule="auto"/>
              <w:jc w:val="left"/>
            </w:pPr>
            <w:r>
              <w:rPr>
                <w:rFonts w:ascii="Calibri" w:eastAsia="Calibri" w:hAnsi="Calibri" w:cs="Calibri"/>
                <w:sz w:val="19"/>
                <w:szCs w:val="19"/>
              </w:rPr>
              <w:t>RL-14</w:t>
            </w:r>
          </w:p>
        </w:tc>
        <w:tc>
          <w:tcPr>
            <w:tcW w:w="6010" w:type="dxa"/>
          </w:tcPr>
          <w:p w14:paraId="60682AB4" w14:textId="77777777" w:rsidR="00DA7972" w:rsidRDefault="00000000">
            <w:pPr>
              <w:spacing w:after="0" w:line="260" w:lineRule="auto"/>
              <w:jc w:val="left"/>
            </w:pPr>
            <w:r>
              <w:rPr>
                <w:rFonts w:ascii="Calibri" w:eastAsia="Calibri" w:hAnsi="Calibri" w:cs="Calibri"/>
                <w:sz w:val="19"/>
                <w:szCs w:val="19"/>
              </w:rPr>
              <w:t>No external state or body commands any element of this Accord.</w:t>
            </w:r>
          </w:p>
        </w:tc>
      </w:tr>
    </w:tbl>
    <w:p w14:paraId="50374F47" w14:textId="77777777" w:rsidR="00DA7972" w:rsidRDefault="00DA7972">
      <w:pPr>
        <w:spacing w:after="60"/>
      </w:pPr>
    </w:p>
    <w:p w14:paraId="74E93B92" w14:textId="77777777" w:rsidR="00DA7972" w:rsidRDefault="00000000">
      <w:pPr>
        <w:pStyle w:val="Caption"/>
      </w:pPr>
      <w:r>
        <w:rPr>
          <w:rFonts w:eastAsia="Calibri" w:cs="Calibri"/>
          <w:szCs w:val="18"/>
        </w:rPr>
        <w:t>The Stillwater Declaration of Principles; Annex I carries the full operative text</w:t>
      </w:r>
    </w:p>
    <w:p w14:paraId="329F35A5" w14:textId="77777777" w:rsidR="00DA7972" w:rsidRDefault="00000000">
      <w:r>
        <w:rPr>
          <w:rFonts w:eastAsia="Georgia" w:cs="Georgia"/>
          <w:szCs w:val="21"/>
        </w:rPr>
        <w:t>The architecture holds every line simultaneously, at all times, without exception, and the Nofade Guarantee holds this Declaration as permanently as it holds every other word of this Accord.</w:t>
      </w:r>
    </w:p>
    <w:p w14:paraId="20D9BA1C" w14:textId="77777777" w:rsidR="00DA7972" w:rsidRDefault="00000000">
      <w:pPr>
        <w:pStyle w:val="Heading1"/>
      </w:pPr>
      <w:bookmarkStart w:id="2" w:name="_Toc236229883"/>
      <w:r>
        <w:rPr>
          <w:rFonts w:eastAsia="Calibri" w:cs="Calibri"/>
          <w:szCs w:val="32"/>
        </w:rPr>
        <w:lastRenderedPageBreak/>
        <w:t>Preamble: The Moment of July 2026</w:t>
      </w:r>
      <w:bookmarkEnd w:id="2"/>
    </w:p>
    <w:p w14:paraId="5BC57C5E" w14:textId="77777777" w:rsidR="00DA7972" w:rsidRDefault="00000000">
      <w:r>
        <w:rPr>
          <w:rFonts w:eastAsia="Georgia" w:cs="Georgia"/>
          <w:szCs w:val="21"/>
        </w:rPr>
        <w:t>The Islamic Republic of Iran, the Sultanate of Oman, and the United Arab Emirates, together the Founding Members, joined in this instrument by every Gulf littoral state that accedes under Article 38, and supported by the Mediator of Record, the Neutral Administrator, and the facilitating states,</w:t>
      </w:r>
    </w:p>
    <w:p w14:paraId="424104D4" w14:textId="77777777" w:rsidR="00DA7972" w:rsidRDefault="00000000">
      <w:r>
        <w:rPr>
          <w:rFonts w:eastAsia="Georgia" w:cs="Georgia"/>
          <w:szCs w:val="21"/>
        </w:rPr>
        <w:t>Recalling the crisis of 2026, in which the Strait of Hormuz became a theater of military confrontation, commercial transits fell from a pre-crisis norm of roughly ninety vessels per day to a fraction of that figure, war-risk insurance multiples rose several-fold, and hundreds of vessels lay at anchor awaiting a settlement;</w:t>
      </w:r>
    </w:p>
    <w:p w14:paraId="53631B52" w14:textId="77777777" w:rsidR="00DA7972" w:rsidRDefault="00000000">
      <w:r>
        <w:rPr>
          <w:rFonts w:eastAsia="Georgia" w:cs="Georgia"/>
          <w:szCs w:val="21"/>
        </w:rPr>
        <w:t>Recalling the Islamabad Memorandum of Understanding of 17 June 2026, which declared the termination of military operations, opened a sixty-day window toward comprehensive settlement extendable by mutual consent, and contemplated safe navigation arrangements for the Strait developed through consultation among the coastal states;</w:t>
      </w:r>
    </w:p>
    <w:p w14:paraId="1C1BFE9E" w14:textId="77777777" w:rsidR="00DA7972" w:rsidRDefault="00000000">
      <w:r>
        <w:rPr>
          <w:rFonts w:eastAsia="Georgia" w:cs="Georgia"/>
          <w:szCs w:val="21"/>
        </w:rPr>
        <w:t>Recalling further the general license issued by the United States Department of the Treasury on 23 June 2026, the Joint Hormuz Committee convened in Muscat on 29 June 2026, and the first formal Iran-Oman co-governance meeting of the same month, in which the two strait states began negotiating routing rules, maritime services, and fee mechanisms;</w:t>
      </w:r>
    </w:p>
    <w:p w14:paraId="7903C777" w14:textId="77777777" w:rsidR="00DA7972" w:rsidRDefault="00000000">
      <w:r>
        <w:rPr>
          <w:rFonts w:eastAsia="Georgia" w:cs="Georgia"/>
          <w:szCs w:val="21"/>
        </w:rPr>
        <w:t>Noting that the wider implementation architecture of the MOU assigns sanctions, nuclear, reconstruction, and monitoring questions to dedicated working groups, yet assigns the permanent governance of the Strait to no standing multilateral body, and that this Accord answers that structural gap by giving Hormuz governance a durable institutional home;</w:t>
      </w:r>
    </w:p>
    <w:p w14:paraId="210818CB" w14:textId="77777777" w:rsidR="00DA7972" w:rsidRDefault="00000000">
      <w:r>
        <w:rPr>
          <w:rFonts w:eastAsia="Georgia" w:cs="Georgia"/>
          <w:szCs w:val="21"/>
        </w:rPr>
        <w:t>Recognizing that the Strait of Hormuz carries approximately one fifth of the world's seaborne oil supply and a substantial share of global liquefied natural gas, and that its uninterrupted, toll-free, multilaterally governed operation constitutes a shared interest of the coastal states, the user states, and the international community as a whole;</w:t>
      </w:r>
    </w:p>
    <w:p w14:paraId="4EABE143" w14:textId="77777777" w:rsidR="00DA7972" w:rsidRDefault="00000000">
      <w:r>
        <w:rPr>
          <w:rFonts w:eastAsia="Georgia" w:cs="Georgia"/>
          <w:szCs w:val="21"/>
        </w:rPr>
        <w:t>Affirming that durable maritime order in the Strait does not rest on the restraint of one state for the benefit of another, but on a mutual architecture in which the framework itself carries the obligations, the corridors themselves carry the rules, and the verification systems themselves carry the evidence;</w:t>
      </w:r>
    </w:p>
    <w:p w14:paraId="32EDA60D" w14:textId="77777777" w:rsidR="00DA7972" w:rsidRDefault="00000000">
      <w:r>
        <w:rPr>
          <w:rFonts w:eastAsia="Georgia" w:cs="Georgia"/>
          <w:szCs w:val="21"/>
        </w:rPr>
        <w:t>Determined that this Accord settle the toll question definitively by separating the right of passage, which the architecture holds absolute and free, from the cost of services, which the architecture funds collectively through a dedicated multilateral mechanism;</w:t>
      </w:r>
    </w:p>
    <w:p w14:paraId="62080AFA" w14:textId="77777777" w:rsidR="00DA7972" w:rsidRDefault="00000000">
      <w:r>
        <w:rPr>
          <w:rFonts w:eastAsia="Georgia" w:cs="Georgia"/>
          <w:szCs w:val="21"/>
        </w:rPr>
        <w:t>Determined further that every commitment in this Accord operate in the present tense as a living state of the architecture, that no provision fade or expire by the mere passage of time, that every consequence arrive graduated, proportionate, and reversible, and that no deviation of any kind produce permanent exclusion from the framework;</w:t>
      </w:r>
    </w:p>
    <w:p w14:paraId="6999F2E2" w14:textId="77777777" w:rsidR="00DA7972" w:rsidRDefault="00000000">
      <w:r>
        <w:rPr>
          <w:rFonts w:eastAsia="Georgia" w:cs="Georgia"/>
          <w:szCs w:val="21"/>
        </w:rPr>
        <w:t>Conscious that snapback mechanics kill agreements, that binary collapse dynamics produce binary collapse outcomes, and that this Accord therefore replaces collapse with still water: discretionary benefits pause first, core constraints survive longest, humanitarian protections remain absolute, and restoration stays always available;</w:t>
      </w:r>
    </w:p>
    <w:p w14:paraId="5207AEAD" w14:textId="77777777" w:rsidR="00DA7972" w:rsidRDefault="00000000">
      <w:r>
        <w:rPr>
          <w:rFonts w:eastAsia="Georgia" w:cs="Georgia"/>
          <w:szCs w:val="21"/>
        </w:rPr>
        <w:lastRenderedPageBreak/>
        <w:t>Resolved that the governance of the Strait stand multilateral in structure as well as in spirit, so that no single coastal state carries the burden alone, no single user state holds a veto over order, and every littoral state of the Gulf holds a defined path into the architecture;</w:t>
      </w:r>
    </w:p>
    <w:p w14:paraId="0BC5163E" w14:textId="77777777" w:rsidR="00DA7972" w:rsidRDefault="00000000">
      <w:r>
        <w:rPr>
          <w:rFonts w:eastAsia="Georgia" w:cs="Georgia"/>
          <w:szCs w:val="21"/>
        </w:rPr>
        <w:t>Have agreed as follows.</w:t>
      </w:r>
    </w:p>
    <w:p w14:paraId="22F2F183" w14:textId="77777777" w:rsidR="00DA7972" w:rsidRDefault="00000000">
      <w:pPr>
        <w:pStyle w:val="Heading1"/>
      </w:pPr>
      <w:bookmarkStart w:id="3" w:name="_Toc236229884"/>
      <w:r>
        <w:rPr>
          <w:rFonts w:eastAsia="Calibri" w:cs="Calibri"/>
          <w:szCs w:val="32"/>
        </w:rPr>
        <w:lastRenderedPageBreak/>
        <w:t>Part I: Foundations</w:t>
      </w:r>
      <w:bookmarkEnd w:id="3"/>
    </w:p>
    <w:p w14:paraId="5D27EFC7" w14:textId="77777777" w:rsidR="00DA7972" w:rsidRDefault="00000000">
      <w:pPr>
        <w:pStyle w:val="Heading2"/>
      </w:pPr>
      <w:bookmarkStart w:id="4" w:name="_Toc236229885"/>
      <w:r>
        <w:rPr>
          <w:rFonts w:eastAsia="Calibri" w:cs="Calibri"/>
          <w:szCs w:val="26"/>
        </w:rPr>
        <w:t>Article 1: Establishment, Purpose, and Scope</w:t>
      </w:r>
      <w:bookmarkEnd w:id="4"/>
    </w:p>
    <w:p w14:paraId="6026802E" w14:textId="77777777" w:rsidR="00DA7972" w:rsidRDefault="00000000">
      <w:pPr>
        <w:pStyle w:val="Heading3"/>
      </w:pPr>
      <w:r>
        <w:rPr>
          <w:rFonts w:eastAsia="Calibri" w:cs="Calibri"/>
          <w:szCs w:val="22"/>
        </w:rPr>
        <w:t>1.1 Establishment</w:t>
      </w:r>
    </w:p>
    <w:p w14:paraId="40104B37" w14:textId="77777777" w:rsidR="00DA7972" w:rsidRDefault="00000000">
      <w:r>
        <w:rPr>
          <w:rFonts w:eastAsia="Georgia" w:cs="Georgia"/>
          <w:szCs w:val="21"/>
        </w:rPr>
        <w:t>The Parties establish the Stillwater Accord as the standing multilateral governance system for the Strait of Hormuz. The Accord comprises the institutions of Part III, the corridor system of Part II, the financial architecture of Part IV, the safety and verification system of Part V, the compliance and dispute machinery of Part VI, and the continuity machinery of Part VII. The Accord takes its name from its central restorative mechanism: the Stillwater Pause of Article 32, which converts every crisis into a structured consultation and returns every participant to calm water.</w:t>
      </w:r>
    </w:p>
    <w:p w14:paraId="4C22430A" w14:textId="77777777" w:rsidR="00DA7972" w:rsidRDefault="00000000">
      <w:pPr>
        <w:pStyle w:val="Heading3"/>
      </w:pPr>
      <w:r>
        <w:rPr>
          <w:rFonts w:eastAsia="Calibri" w:cs="Calibri"/>
          <w:szCs w:val="22"/>
        </w:rPr>
        <w:t>1.2 Purpose</w:t>
      </w:r>
    </w:p>
    <w:p w14:paraId="5972AA1A" w14:textId="77777777" w:rsidR="00DA7972" w:rsidRDefault="00000000">
      <w:r>
        <w:rPr>
          <w:rFonts w:eastAsia="Georgia" w:cs="Georgia"/>
          <w:szCs w:val="21"/>
        </w:rPr>
        <w:t>The Accord pursues six purposes, ranked equally:</w:t>
      </w:r>
    </w:p>
    <w:p w14:paraId="1EF48EA0" w14:textId="77777777" w:rsidR="00DA7972" w:rsidRDefault="00000000">
      <w:pPr>
        <w:ind w:left="430"/>
      </w:pPr>
      <w:r>
        <w:rPr>
          <w:rFonts w:eastAsia="Georgia" w:cs="Georgia"/>
          <w:szCs w:val="21"/>
        </w:rPr>
        <w:t>•  Maritime order. The Accord governs transit through the Strait of Hormuz through three defined corridors, a vessel classification system, a zero-toll rule, a non-interdiction protocol, and a naval de-confliction geometry, so that every vessel transits safely, predictably, and free of charge.</w:t>
      </w:r>
    </w:p>
    <w:p w14:paraId="2710482C" w14:textId="77777777" w:rsidR="00DA7972" w:rsidRDefault="00000000">
      <w:pPr>
        <w:ind w:left="430"/>
      </w:pPr>
      <w:r>
        <w:rPr>
          <w:rFonts w:eastAsia="Georgia" w:cs="Georgia"/>
          <w:szCs w:val="21"/>
        </w:rPr>
        <w:t>•  Multilateral stewardship. The Accord seats the Gulf littoral states as co-governors of the waterway, with Iran, Oman, and the United Arab Emirates as Founding Members and a defined accession path for Saudi Arabia, Qatar, Bahrain, Kuwait, and Iraq, so that governance of the Strait reflects the whole of its coastline rather than any single shore.</w:t>
      </w:r>
    </w:p>
    <w:p w14:paraId="36AD94BB" w14:textId="77777777" w:rsidR="00DA7972" w:rsidRDefault="00000000">
      <w:pPr>
        <w:ind w:left="430"/>
      </w:pPr>
      <w:r>
        <w:rPr>
          <w:rFonts w:eastAsia="Georgia" w:cs="Georgia"/>
          <w:szCs w:val="21"/>
        </w:rPr>
        <w:t>•  User-state anchoring. The Accord binds the principal user states, flag states, insurers, and shipping interests to the architecture through observer seats, contribution channels, and published performance data, so that the community that benefits from the Strait underwrites its stability.</w:t>
      </w:r>
    </w:p>
    <w:p w14:paraId="3C2F8E1E" w14:textId="77777777" w:rsidR="00DA7972" w:rsidRDefault="00000000">
      <w:pPr>
        <w:ind w:left="430"/>
      </w:pPr>
      <w:r>
        <w:rPr>
          <w:rFonts w:eastAsia="Georgia" w:cs="Georgia"/>
          <w:szCs w:val="21"/>
        </w:rPr>
        <w:t>•  Verification over trust. The Accord substitutes convergent evidence, human-anchored observation, and a shared operational picture for assertion and suspicion, publishing the same record to every participant at the same time.</w:t>
      </w:r>
    </w:p>
    <w:p w14:paraId="076BF9FB" w14:textId="77777777" w:rsidR="00DA7972" w:rsidRDefault="00000000">
      <w:pPr>
        <w:ind w:left="430"/>
      </w:pPr>
      <w:r>
        <w:rPr>
          <w:rFonts w:eastAsia="Georgia" w:cs="Georgia"/>
          <w:szCs w:val="21"/>
        </w:rPr>
        <w:t>•  Economic normalization. The Accord restores insurance confidence, rebuilds the buyer base, and returns war-risk premiums toward pre-crisis levels through verified performance rather than through declarations.</w:t>
      </w:r>
    </w:p>
    <w:p w14:paraId="5461C6EF" w14:textId="77777777" w:rsidR="00DA7972" w:rsidRDefault="00000000">
      <w:pPr>
        <w:ind w:left="430"/>
      </w:pPr>
      <w:r>
        <w:rPr>
          <w:rFonts w:eastAsia="Georgia" w:cs="Georgia"/>
          <w:szCs w:val="21"/>
        </w:rPr>
        <w:t>•  Durability. The Accord persists through the Nofade Guarantee of Article 4. No clause sunsets. No obligation fades. Every mechanism remains in force until the Parties amend it through the procedure of Article 39.</w:t>
      </w:r>
    </w:p>
    <w:p w14:paraId="461993DE" w14:textId="77777777" w:rsidR="00DA7972" w:rsidRDefault="00000000">
      <w:pPr>
        <w:pStyle w:val="Heading3"/>
      </w:pPr>
      <w:r>
        <w:rPr>
          <w:rFonts w:eastAsia="Calibri" w:cs="Calibri"/>
          <w:szCs w:val="22"/>
        </w:rPr>
        <w:t>1.3 Geographic scope</w:t>
      </w:r>
    </w:p>
    <w:p w14:paraId="5E4A8BB4" w14:textId="77777777" w:rsidR="00DA7972" w:rsidRDefault="00000000">
      <w:r>
        <w:rPr>
          <w:rFonts w:eastAsia="Georgia" w:cs="Georgia"/>
          <w:szCs w:val="21"/>
        </w:rPr>
        <w:t xml:space="preserve">The Accord operates in the Strait of Hormuz Governance Area, defined in Article 7 and Annex A as the waters and superjacent airspace bounded by the meridian 055 degrees 30.0 minutes East at the western approach and the meridian 057 degrees 00.0 minutes East at the eastern approach, together with the designated holding anchorages, precautionary zones, and inshore traffic bands described in Annex A. The Governance Area is an operational construct. It defines </w:t>
      </w:r>
      <w:r>
        <w:rPr>
          <w:rFonts w:eastAsia="Georgia" w:cs="Georgia"/>
          <w:szCs w:val="21"/>
        </w:rPr>
        <w:lastRenderedPageBreak/>
        <w:t>where the rules of the Accord operate. It defines no boundary between states, delimits no maritime zone, and prejudices no entitlement.</w:t>
      </w:r>
    </w:p>
    <w:p w14:paraId="6CDE7358" w14:textId="77777777" w:rsidR="00DA7972" w:rsidRDefault="00000000">
      <w:pPr>
        <w:pStyle w:val="Heading3"/>
      </w:pPr>
      <w:r>
        <w:rPr>
          <w:rFonts w:eastAsia="Calibri" w:cs="Calibri"/>
          <w:szCs w:val="22"/>
        </w:rPr>
        <w:t>1.4 Functional scope</w:t>
      </w:r>
    </w:p>
    <w:p w14:paraId="2CFBF9F2" w14:textId="77777777" w:rsidR="00DA7972" w:rsidRDefault="00000000">
      <w:r>
        <w:rPr>
          <w:rFonts w:eastAsia="Georgia" w:cs="Georgia"/>
          <w:szCs w:val="21"/>
        </w:rPr>
        <w:t>The Accord governs: civilian maritime navigation; corridor geometry and traffic management; vessel classification and transit notification; safety of navigation and incident response; search and rescue coordination; environmental protection and pollution response; the financing of maritime services; naval de-confliction touching civilian transit; verification, compliance, and dispute resolution among the Parties; and the continuity, amendment, and succession of the Accord itself.</w:t>
      </w:r>
    </w:p>
    <w:p w14:paraId="59B07FDF" w14:textId="77777777" w:rsidR="00DA7972" w:rsidRDefault="00000000">
      <w:r>
        <w:rPr>
          <w:rFonts w:eastAsia="Georgia" w:cs="Georgia"/>
          <w:szCs w:val="21"/>
        </w:rPr>
        <w:t>The Accord architecture excludes from its scope: the internal affairs and domestic political arrangements of any Party; the delimitation of maritime boundaries between any states; the cargo policies, trade policies, alliance policies, and sanctions regimes of any state, except as Article 25.4 interfaces with them for the protection of the financial architecture; military alliances and force structure; and any authorization of the use of force, which the architecture excludes absolutely under Article 27.9.</w:t>
      </w:r>
    </w:p>
    <w:p w14:paraId="63266860" w14:textId="77777777" w:rsidR="00DA7972" w:rsidRDefault="00000000">
      <w:pPr>
        <w:pStyle w:val="Heading3"/>
      </w:pPr>
      <w:r>
        <w:rPr>
          <w:rFonts w:eastAsia="Calibri" w:cs="Calibri"/>
          <w:szCs w:val="22"/>
        </w:rPr>
        <w:t>1.5 What this Accord does and does not do</w:t>
      </w:r>
    </w:p>
    <w:tbl>
      <w:tblPr>
        <w:tblW w:w="5000" w:type="pct"/>
        <w:tblInd w:w="200" w:type="dxa"/>
        <w:tblBorders>
          <w:top w:val="single" w:sz="2" w:space="0" w:color="B0BEC5"/>
          <w:left w:val="single" w:sz="18" w:space="0" w:color="37474F"/>
          <w:bottom w:val="single" w:sz="2" w:space="0" w:color="B0BEC5"/>
          <w:right w:val="single" w:sz="2" w:space="0" w:color="B0BEC5"/>
        </w:tblBorders>
        <w:tblCellMar>
          <w:top w:w="140" w:type="dxa"/>
          <w:left w:w="200" w:type="dxa"/>
          <w:bottom w:w="140" w:type="dxa"/>
          <w:right w:w="160" w:type="dxa"/>
        </w:tblCellMar>
        <w:tblLook w:val="04A0" w:firstRow="1" w:lastRow="0" w:firstColumn="1" w:lastColumn="0" w:noHBand="0" w:noVBand="1"/>
      </w:tblPr>
      <w:tblGrid>
        <w:gridCol w:w="9386"/>
      </w:tblGrid>
      <w:tr w:rsidR="00DA7972" w14:paraId="4B3AEE46" w14:textId="77777777">
        <w:tc>
          <w:tcPr>
            <w:tcW w:w="9010" w:type="dxa"/>
            <w:shd w:val="clear" w:color="auto" w:fill="ECEFF1"/>
          </w:tcPr>
          <w:p w14:paraId="537F06F6" w14:textId="77777777" w:rsidR="00DA7972" w:rsidRDefault="00000000">
            <w:pPr>
              <w:spacing w:after="0"/>
            </w:pPr>
            <w:r>
              <w:rPr>
                <w:rFonts w:eastAsia="Georgia" w:cs="Georgia"/>
                <w:i/>
                <w:szCs w:val="21"/>
              </w:rPr>
              <w:t>This Accord establishes a permanent multilateral operating system for the Strait of Hormuz. It keeps passage free, pays for verified services, verifies performance with human-anchored methods, seats every Gulf littoral state in the governance structure, and continues without expiry. This Accord does not create a toll regime, does not grant any Party command over another, does not transfer or dilute sovereignty, does not prejudice boundary positions, does not adjudicate the nuclear file or the sanctions file, and does not authorize the use of force by any actor.</w:t>
            </w:r>
          </w:p>
        </w:tc>
      </w:tr>
    </w:tbl>
    <w:p w14:paraId="2ED3C447" w14:textId="77777777" w:rsidR="00DA7972" w:rsidRDefault="00000000">
      <w:pPr>
        <w:pStyle w:val="Heading2"/>
      </w:pPr>
      <w:bookmarkStart w:id="5" w:name="_Toc236229886"/>
      <w:r>
        <w:rPr>
          <w:rFonts w:eastAsia="Calibri" w:cs="Calibri"/>
          <w:szCs w:val="26"/>
        </w:rPr>
        <w:t>Article 2: Legal Foundations</w:t>
      </w:r>
      <w:bookmarkEnd w:id="5"/>
    </w:p>
    <w:p w14:paraId="0D1DB143" w14:textId="77777777" w:rsidR="00DA7972" w:rsidRDefault="00000000">
      <w:pPr>
        <w:pStyle w:val="Heading3"/>
      </w:pPr>
      <w:r>
        <w:rPr>
          <w:rFonts w:eastAsia="Calibri" w:cs="Calibri"/>
          <w:szCs w:val="22"/>
        </w:rPr>
        <w:t>2.1 Sovereign basis</w:t>
      </w:r>
    </w:p>
    <w:p w14:paraId="4726062B" w14:textId="77777777" w:rsidR="00DA7972" w:rsidRDefault="00000000">
      <w:r>
        <w:rPr>
          <w:rFonts w:eastAsia="Georgia" w:cs="Georgia"/>
          <w:szCs w:val="21"/>
        </w:rPr>
        <w:t>The Accord rests on the sovereignty and sovereign rights of the coastal states over their respective territorial seas in the Strait of Hormuz, and on the customary international law of the sea as reflected in the 1982 United Nations Convention on the Law of the Sea. Oman and the United Arab Emirates apply the Convention as states party. Iran applies the customary rules the Convention reflects, including the regime of transit passage, as a matter of its stated policy and of this Accord. Nothing in this instrument adjudicates, prejudices, or alters the position of any Party on any question of maritime delimitation, and the Accord operates without prejudice to the differing treaty positions of the Parties.</w:t>
      </w:r>
    </w:p>
    <w:p w14:paraId="18C78D9E" w14:textId="77777777" w:rsidR="00DA7972" w:rsidRDefault="00000000">
      <w:pPr>
        <w:pStyle w:val="Heading3"/>
      </w:pPr>
      <w:r>
        <w:rPr>
          <w:rFonts w:eastAsia="Calibri" w:cs="Calibri"/>
          <w:szCs w:val="22"/>
        </w:rPr>
        <w:t>2.2 Transit passage preserved</w:t>
      </w:r>
    </w:p>
    <w:p w14:paraId="3A90B2C0" w14:textId="77777777" w:rsidR="00DA7972" w:rsidRDefault="00000000">
      <w:r>
        <w:rPr>
          <w:rFonts w:eastAsia="Georgia" w:cs="Georgia"/>
          <w:szCs w:val="21"/>
        </w:rPr>
        <w:t xml:space="preserve">The corridor system of Part II implements the regime of transit passage as an organized service architecture. The right of transit passage through the Strait of Hormuz operates continuously and without suspension for the ships and aircraft of all states, in all three corridors, under the rules of this Accord. The architecture excludes any suspension of transit passage for any reason, including </w:t>
      </w:r>
      <w:r>
        <w:rPr>
          <w:rFonts w:eastAsia="Georgia" w:cs="Georgia"/>
          <w:szCs w:val="21"/>
        </w:rPr>
        <w:lastRenderedPageBreak/>
        <w:t>any dispute among the Parties, any incident under investigation, any arrears in the financial system, or any external conflict. A Suspended Flow under Article 11.6 pauses new entries into a defined area only, for a stated period not exceeding seventy-two hours without a Council decision recorded with reasons, and never converts into a closure of the Strait.</w:t>
      </w:r>
    </w:p>
    <w:p w14:paraId="5C264D1C" w14:textId="77777777" w:rsidR="00DA7972" w:rsidRDefault="00000000">
      <w:pPr>
        <w:pStyle w:val="Heading3"/>
      </w:pPr>
      <w:r>
        <w:rPr>
          <w:rFonts w:eastAsia="Calibri" w:cs="Calibri"/>
          <w:szCs w:val="22"/>
        </w:rPr>
        <w:t>2.3 The service-fee distinction</w:t>
      </w:r>
    </w:p>
    <w:p w14:paraId="44691173" w14:textId="77777777" w:rsidR="00DA7972" w:rsidRDefault="00000000">
      <w:r>
        <w:rPr>
          <w:rFonts w:eastAsia="Georgia" w:cs="Georgia"/>
          <w:szCs w:val="21"/>
        </w:rPr>
        <w:t>International law draws a bright line between a charge on passage, which no coastal state levies in a strait used for international navigation, and a charge for specific services rendered, which a coastal state levies on a non-discriminatory basis. The financial architecture of Part IV sits entirely on the service side of that line. Transit itself carries no charge in any corridor, for any vessel, under any circumstances. Services carry documented, audited, pre-published costs, and payment for services flows through an independent multilateral fund, never from a ship to a state as a condition of passage. This distinction answers the fee question that the June 2026 co-governance talks left open: Iran's interest in compensated service delivery and Oman's opposition to transit charges reconcile inside one architecture, because the Fund compensates services while passage stays free.</w:t>
      </w:r>
    </w:p>
    <w:p w14:paraId="0DCF404C" w14:textId="77777777" w:rsidR="00DA7972" w:rsidRDefault="00000000">
      <w:pPr>
        <w:pStyle w:val="Heading3"/>
      </w:pPr>
      <w:r>
        <w:rPr>
          <w:rFonts w:eastAsia="Calibri" w:cs="Calibri"/>
          <w:szCs w:val="22"/>
        </w:rPr>
        <w:t>2.4 Relationship to the Islamabad MOU</w:t>
      </w:r>
    </w:p>
    <w:p w14:paraId="62E25D14" w14:textId="77777777" w:rsidR="00DA7972" w:rsidRDefault="00000000">
      <w:r>
        <w:rPr>
          <w:rFonts w:eastAsia="Georgia" w:cs="Georgia"/>
          <w:szCs w:val="21"/>
        </w:rPr>
        <w:t>The Accord discharges the safe-navigation commitment of the MOU and operates as its maritime implementing instrument for the coastal-state dimension. The Accord binds its Parties independently of the fate of any other instrument: a lapse, breach, or termination of any external agreement touches nothing in this Accord. The Parties design the Accord for attachment to the wider MOU architecture as a complementary governance module, by annex, protocol, or incorporation, at the election of the MOU parties, and Annex M carries the model attachment instruments. Attachment adds political linkage; it adds no obligation beyond the text of this Accord. Upon entry into force, this Accord supersedes and absorbs the maritime provisions of the MOU in full: the corresponding provisions of this Accord replace the MOU's maritime obligations, and the Parties perform those obligations through this Accord alone.</w:t>
      </w:r>
    </w:p>
    <w:p w14:paraId="2119AE52" w14:textId="77777777" w:rsidR="00DA7972" w:rsidRDefault="00000000">
      <w:pPr>
        <w:pStyle w:val="Heading3"/>
      </w:pPr>
      <w:r>
        <w:rPr>
          <w:rFonts w:eastAsia="Calibri" w:cs="Calibri"/>
          <w:szCs w:val="22"/>
        </w:rPr>
        <w:t>2.5 Relationship to the International Maritime Organization</w:t>
      </w:r>
    </w:p>
    <w:p w14:paraId="71414266" w14:textId="77777777" w:rsidR="00DA7972" w:rsidRDefault="00000000">
      <w:r>
        <w:rPr>
          <w:rFonts w:eastAsia="Georgia" w:cs="Georgia"/>
          <w:szCs w:val="21"/>
        </w:rPr>
        <w:t>The Parties build the corridor system upon the traffic separation scheme adopted through the International Maritime Organization for the Strait of Hormuz, notify the corridor geometry of Annex A to the Organization jointly, register the vessel traffic service areas and reporting requirements, and invite the technical participation of the Organization under Article 19. The Accord creates no obligation for the Organization; it extends standing invitations, and each invitation remains open until accepted or declined in writing.</w:t>
      </w:r>
    </w:p>
    <w:p w14:paraId="6F9D2F40" w14:textId="77777777" w:rsidR="00DA7972" w:rsidRDefault="00000000">
      <w:pPr>
        <w:pStyle w:val="Heading3"/>
      </w:pPr>
      <w:r>
        <w:rPr>
          <w:rFonts w:eastAsia="Calibri" w:cs="Calibri"/>
          <w:szCs w:val="22"/>
        </w:rPr>
        <w:t>2.6 Non-prejudice and no precedent</w:t>
      </w:r>
    </w:p>
    <w:p w14:paraId="7C2A8F2D" w14:textId="77777777" w:rsidR="00DA7972" w:rsidRDefault="00000000">
      <w:r>
        <w:rPr>
          <w:rFonts w:eastAsia="Georgia" w:cs="Georgia"/>
          <w:szCs w:val="21"/>
        </w:rPr>
        <w:t>This instrument establishes no legal or political precedent for any other strait, waterway, dispute, or relationship. No act performed under it constitutes recognition of, acquiescence in, or prejudice to: any Party's position on sovereignty over any island, rock, or feature, including but not limited to the islands of Abu Musa and the Tunbs; any Party's position on the legal character of the Strait; the maritime entitlements of any coastal state; or any claim or defense in any other forum. Participation in data collection, corridor coordination, or joint bodies carries no political imputation. Data serves technical verification exclusively.</w:t>
      </w:r>
    </w:p>
    <w:p w14:paraId="07C3A4F7" w14:textId="77777777" w:rsidR="00DA7972" w:rsidRDefault="00000000">
      <w:pPr>
        <w:pStyle w:val="Heading2"/>
      </w:pPr>
      <w:bookmarkStart w:id="6" w:name="_Toc236229887"/>
      <w:r>
        <w:rPr>
          <w:rFonts w:eastAsia="Calibri" w:cs="Calibri"/>
          <w:szCs w:val="26"/>
        </w:rPr>
        <w:lastRenderedPageBreak/>
        <w:t>Article 3: Core Operating Principles</w:t>
      </w:r>
      <w:bookmarkEnd w:id="6"/>
    </w:p>
    <w:p w14:paraId="779C55B1" w14:textId="77777777" w:rsidR="00DA7972" w:rsidRDefault="00000000">
      <w:r>
        <w:rPr>
          <w:rFonts w:eastAsia="Georgia" w:cs="Georgia"/>
          <w:szCs w:val="21"/>
        </w:rPr>
        <w:t>Twelve principles govern the interpretation and operation of every provision of this Accord. Where a provision admits two readings, the reading that serves these principles prevails.</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2"/>
        <w:gridCol w:w="6154"/>
      </w:tblGrid>
      <w:tr w:rsidR="00DA7972" w14:paraId="0D6CB7C4" w14:textId="77777777">
        <w:trPr>
          <w:tblHeader/>
        </w:trPr>
        <w:tc>
          <w:tcPr>
            <w:tcW w:w="3000" w:type="dxa"/>
            <w:tcBorders>
              <w:bottom w:val="single" w:sz="6" w:space="0" w:color="546E7A"/>
            </w:tcBorders>
            <w:shd w:val="clear" w:color="auto" w:fill="E4E9EC"/>
          </w:tcPr>
          <w:p w14:paraId="43906FD2" w14:textId="77777777" w:rsidR="00DA7972" w:rsidRDefault="00000000">
            <w:pPr>
              <w:spacing w:after="0" w:line="260" w:lineRule="auto"/>
              <w:jc w:val="left"/>
            </w:pPr>
            <w:r>
              <w:rPr>
                <w:rFonts w:ascii="Calibri" w:eastAsia="Calibri" w:hAnsi="Calibri" w:cs="Calibri"/>
                <w:b/>
                <w:color w:val="37474F"/>
                <w:sz w:val="19"/>
                <w:szCs w:val="19"/>
              </w:rPr>
              <w:t>Principle</w:t>
            </w:r>
          </w:p>
        </w:tc>
        <w:tc>
          <w:tcPr>
            <w:tcW w:w="6010" w:type="dxa"/>
            <w:tcBorders>
              <w:bottom w:val="single" w:sz="6" w:space="0" w:color="546E7A"/>
            </w:tcBorders>
            <w:shd w:val="clear" w:color="auto" w:fill="E4E9EC"/>
          </w:tcPr>
          <w:p w14:paraId="171EA355" w14:textId="77777777" w:rsidR="00DA7972" w:rsidRDefault="00000000">
            <w:pPr>
              <w:spacing w:after="0" w:line="260" w:lineRule="auto"/>
              <w:jc w:val="left"/>
            </w:pPr>
            <w:r>
              <w:rPr>
                <w:rFonts w:ascii="Calibri" w:eastAsia="Calibri" w:hAnsi="Calibri" w:cs="Calibri"/>
                <w:b/>
                <w:color w:val="37474F"/>
                <w:sz w:val="19"/>
                <w:szCs w:val="19"/>
              </w:rPr>
              <w:t>Operative meaning</w:t>
            </w:r>
          </w:p>
        </w:tc>
      </w:tr>
      <w:tr w:rsidR="00DA7972" w14:paraId="025534CA" w14:textId="77777777">
        <w:tc>
          <w:tcPr>
            <w:tcW w:w="3000" w:type="dxa"/>
          </w:tcPr>
          <w:p w14:paraId="1ED2A369" w14:textId="77777777" w:rsidR="00DA7972" w:rsidRDefault="00000000">
            <w:pPr>
              <w:spacing w:after="0" w:line="260" w:lineRule="auto"/>
              <w:jc w:val="left"/>
            </w:pPr>
            <w:r>
              <w:rPr>
                <w:rFonts w:ascii="Calibri" w:eastAsia="Calibri" w:hAnsi="Calibri" w:cs="Calibri"/>
                <w:sz w:val="19"/>
                <w:szCs w:val="19"/>
              </w:rPr>
              <w:t>1. The Nofade Guarantee</w:t>
            </w:r>
          </w:p>
        </w:tc>
        <w:tc>
          <w:tcPr>
            <w:tcW w:w="6010" w:type="dxa"/>
          </w:tcPr>
          <w:p w14:paraId="11D3B862" w14:textId="77777777" w:rsidR="00DA7972" w:rsidRDefault="00000000">
            <w:pPr>
              <w:spacing w:after="0" w:line="260" w:lineRule="auto"/>
              <w:jc w:val="left"/>
            </w:pPr>
            <w:r>
              <w:rPr>
                <w:rFonts w:ascii="Calibri" w:eastAsia="Calibri" w:hAnsi="Calibri" w:cs="Calibri"/>
                <w:sz w:val="19"/>
                <w:szCs w:val="19"/>
              </w:rPr>
              <w:t>No commitment fades at any date boundary. Continuation forms the default at every review point. Verified performance banks permanently. This principle stands first among equals and governs the interpretation of every other provision.</w:t>
            </w:r>
          </w:p>
        </w:tc>
      </w:tr>
      <w:tr w:rsidR="00DA7972" w14:paraId="0470C8F7" w14:textId="77777777">
        <w:tc>
          <w:tcPr>
            <w:tcW w:w="3000" w:type="dxa"/>
          </w:tcPr>
          <w:p w14:paraId="19D6CACE" w14:textId="77777777" w:rsidR="00DA7972" w:rsidRDefault="00000000">
            <w:pPr>
              <w:spacing w:after="0" w:line="260" w:lineRule="auto"/>
              <w:jc w:val="left"/>
            </w:pPr>
            <w:r>
              <w:rPr>
                <w:rFonts w:ascii="Calibri" w:eastAsia="Calibri" w:hAnsi="Calibri" w:cs="Calibri"/>
                <w:sz w:val="19"/>
                <w:szCs w:val="19"/>
              </w:rPr>
              <w:t>2. Mutual architecture</w:t>
            </w:r>
          </w:p>
        </w:tc>
        <w:tc>
          <w:tcPr>
            <w:tcW w:w="6010" w:type="dxa"/>
          </w:tcPr>
          <w:p w14:paraId="602EF4C3" w14:textId="77777777" w:rsidR="00DA7972" w:rsidRDefault="00000000">
            <w:pPr>
              <w:spacing w:after="0" w:line="260" w:lineRule="auto"/>
              <w:jc w:val="left"/>
            </w:pPr>
            <w:r>
              <w:rPr>
                <w:rFonts w:ascii="Calibri" w:eastAsia="Calibri" w:hAnsi="Calibri" w:cs="Calibri"/>
                <w:sz w:val="19"/>
                <w:szCs w:val="19"/>
              </w:rPr>
              <w:t>Every obligation attaches to the design of the Accord, not to one Party's restraint for another's benefit. All Parties stand bound equally by the same structure.</w:t>
            </w:r>
          </w:p>
        </w:tc>
      </w:tr>
      <w:tr w:rsidR="00DA7972" w14:paraId="593F2E8C" w14:textId="77777777">
        <w:tc>
          <w:tcPr>
            <w:tcW w:w="3000" w:type="dxa"/>
          </w:tcPr>
          <w:p w14:paraId="75DA6353" w14:textId="77777777" w:rsidR="00DA7972" w:rsidRDefault="00000000">
            <w:pPr>
              <w:spacing w:after="0" w:line="260" w:lineRule="auto"/>
              <w:jc w:val="left"/>
            </w:pPr>
            <w:r>
              <w:rPr>
                <w:rFonts w:ascii="Calibri" w:eastAsia="Calibri" w:hAnsi="Calibri" w:cs="Calibri"/>
                <w:sz w:val="19"/>
                <w:szCs w:val="19"/>
              </w:rPr>
              <w:t>3. Multilateral balance</w:t>
            </w:r>
          </w:p>
        </w:tc>
        <w:tc>
          <w:tcPr>
            <w:tcW w:w="6010" w:type="dxa"/>
          </w:tcPr>
          <w:p w14:paraId="56215ED0" w14:textId="77777777" w:rsidR="00DA7972" w:rsidRDefault="00000000">
            <w:pPr>
              <w:spacing w:after="0" w:line="260" w:lineRule="auto"/>
              <w:jc w:val="left"/>
            </w:pPr>
            <w:r>
              <w:rPr>
                <w:rFonts w:ascii="Calibri" w:eastAsia="Calibri" w:hAnsi="Calibri" w:cs="Calibri"/>
                <w:sz w:val="19"/>
                <w:szCs w:val="19"/>
              </w:rPr>
              <w:t>Every institution seats the littoral Parties in defined balance, every voting rule protects the small against the large and the large against the many, and no decision binds a Party whose vote the rules exclude.</w:t>
            </w:r>
          </w:p>
        </w:tc>
      </w:tr>
      <w:tr w:rsidR="00DA7972" w14:paraId="12BBB522" w14:textId="77777777">
        <w:tc>
          <w:tcPr>
            <w:tcW w:w="3000" w:type="dxa"/>
          </w:tcPr>
          <w:p w14:paraId="67E99AA8" w14:textId="77777777" w:rsidR="00DA7972" w:rsidRDefault="00000000">
            <w:pPr>
              <w:spacing w:after="0" w:line="260" w:lineRule="auto"/>
              <w:jc w:val="left"/>
            </w:pPr>
            <w:r>
              <w:rPr>
                <w:rFonts w:ascii="Calibri" w:eastAsia="Calibri" w:hAnsi="Calibri" w:cs="Calibri"/>
                <w:sz w:val="19"/>
                <w:szCs w:val="19"/>
              </w:rPr>
              <w:t>4. Proportionality</w:t>
            </w:r>
          </w:p>
        </w:tc>
        <w:tc>
          <w:tcPr>
            <w:tcW w:w="6010" w:type="dxa"/>
          </w:tcPr>
          <w:p w14:paraId="07DF0B28" w14:textId="77777777" w:rsidR="00DA7972" w:rsidRDefault="00000000">
            <w:pPr>
              <w:spacing w:after="0" w:line="260" w:lineRule="auto"/>
              <w:jc w:val="left"/>
            </w:pPr>
            <w:r>
              <w:rPr>
                <w:rFonts w:ascii="Calibri" w:eastAsia="Calibri" w:hAnsi="Calibri" w:cs="Calibri"/>
                <w:sz w:val="19"/>
                <w:szCs w:val="19"/>
              </w:rPr>
              <w:t>Every consequence matches the severity and duration of the deviation that triggers it. Minor deviations produce minor consequences.</w:t>
            </w:r>
          </w:p>
        </w:tc>
      </w:tr>
      <w:tr w:rsidR="00DA7972" w14:paraId="082C7BCC" w14:textId="77777777">
        <w:tc>
          <w:tcPr>
            <w:tcW w:w="3000" w:type="dxa"/>
          </w:tcPr>
          <w:p w14:paraId="46208449" w14:textId="77777777" w:rsidR="00DA7972" w:rsidRDefault="00000000">
            <w:pPr>
              <w:spacing w:after="0" w:line="260" w:lineRule="auto"/>
              <w:jc w:val="left"/>
            </w:pPr>
            <w:r>
              <w:rPr>
                <w:rFonts w:ascii="Calibri" w:eastAsia="Calibri" w:hAnsi="Calibri" w:cs="Calibri"/>
                <w:sz w:val="19"/>
                <w:szCs w:val="19"/>
              </w:rPr>
              <w:t>5. Restoration</w:t>
            </w:r>
          </w:p>
        </w:tc>
        <w:tc>
          <w:tcPr>
            <w:tcW w:w="6010" w:type="dxa"/>
          </w:tcPr>
          <w:p w14:paraId="687FC16E" w14:textId="77777777" w:rsidR="00DA7972" w:rsidRDefault="00000000">
            <w:pPr>
              <w:spacing w:after="0" w:line="260" w:lineRule="auto"/>
              <w:jc w:val="left"/>
            </w:pPr>
            <w:r>
              <w:rPr>
                <w:rFonts w:ascii="Calibri" w:eastAsia="Calibri" w:hAnsi="Calibri" w:cs="Calibri"/>
                <w:sz w:val="19"/>
                <w:szCs w:val="19"/>
              </w:rPr>
              <w:t>Every consequence carries an automatic, defined restoration pathway. No deviation creates permanent exclusion. Full compliance returns a Party to full standing.</w:t>
            </w:r>
          </w:p>
        </w:tc>
      </w:tr>
      <w:tr w:rsidR="00DA7972" w14:paraId="7F7839EF" w14:textId="77777777">
        <w:tc>
          <w:tcPr>
            <w:tcW w:w="3000" w:type="dxa"/>
          </w:tcPr>
          <w:p w14:paraId="2D95E4A0" w14:textId="77777777" w:rsidR="00DA7972" w:rsidRDefault="00000000">
            <w:pPr>
              <w:spacing w:after="0" w:line="260" w:lineRule="auto"/>
              <w:jc w:val="left"/>
            </w:pPr>
            <w:r>
              <w:rPr>
                <w:rFonts w:ascii="Calibri" w:eastAsia="Calibri" w:hAnsi="Calibri" w:cs="Calibri"/>
                <w:sz w:val="19"/>
                <w:szCs w:val="19"/>
              </w:rPr>
              <w:t>6. Humanitarian absolute</w:t>
            </w:r>
          </w:p>
        </w:tc>
        <w:tc>
          <w:tcPr>
            <w:tcW w:w="6010" w:type="dxa"/>
          </w:tcPr>
          <w:p w14:paraId="6A70ABB5" w14:textId="77777777" w:rsidR="00DA7972" w:rsidRDefault="00000000">
            <w:pPr>
              <w:spacing w:after="0" w:line="260" w:lineRule="auto"/>
              <w:jc w:val="left"/>
            </w:pPr>
            <w:r>
              <w:rPr>
                <w:rFonts w:ascii="Calibri" w:eastAsia="Calibri" w:hAnsi="Calibri" w:cs="Calibri"/>
                <w:sz w:val="19"/>
                <w:szCs w:val="19"/>
              </w:rPr>
              <w:t>No mechanism in this Accord reduces, delays, or conditions flows of food, medicine, medical equipment, relief personnel, or aviation safety payments, under any circumstances.</w:t>
            </w:r>
          </w:p>
        </w:tc>
      </w:tr>
      <w:tr w:rsidR="00DA7972" w14:paraId="47AEC0AC" w14:textId="77777777">
        <w:tc>
          <w:tcPr>
            <w:tcW w:w="3000" w:type="dxa"/>
          </w:tcPr>
          <w:p w14:paraId="42537757" w14:textId="77777777" w:rsidR="00DA7972" w:rsidRDefault="00000000">
            <w:pPr>
              <w:spacing w:after="0" w:line="260" w:lineRule="auto"/>
              <w:jc w:val="left"/>
            </w:pPr>
            <w:r>
              <w:rPr>
                <w:rFonts w:ascii="Calibri" w:eastAsia="Calibri" w:hAnsi="Calibri" w:cs="Calibri"/>
                <w:sz w:val="19"/>
                <w:szCs w:val="19"/>
              </w:rPr>
              <w:t>7. Modularity</w:t>
            </w:r>
          </w:p>
        </w:tc>
        <w:tc>
          <w:tcPr>
            <w:tcW w:w="6010" w:type="dxa"/>
          </w:tcPr>
          <w:p w14:paraId="171625A4" w14:textId="77777777" w:rsidR="00DA7972" w:rsidRDefault="00000000">
            <w:pPr>
              <w:spacing w:after="0" w:line="260" w:lineRule="auto"/>
              <w:jc w:val="left"/>
            </w:pPr>
            <w:r>
              <w:rPr>
                <w:rFonts w:ascii="Calibri" w:eastAsia="Calibri" w:hAnsi="Calibri" w:cs="Calibri"/>
                <w:sz w:val="19"/>
                <w:szCs w:val="19"/>
              </w:rPr>
              <w:t>Each domain of the Accord operates as an independent module. Failure in one module does not cascade into another absent certified spillover under Article 31.8.</w:t>
            </w:r>
          </w:p>
        </w:tc>
      </w:tr>
      <w:tr w:rsidR="00DA7972" w14:paraId="1333CB32" w14:textId="77777777">
        <w:tc>
          <w:tcPr>
            <w:tcW w:w="3000" w:type="dxa"/>
          </w:tcPr>
          <w:p w14:paraId="162253E3" w14:textId="77777777" w:rsidR="00DA7972" w:rsidRDefault="00000000">
            <w:pPr>
              <w:spacing w:after="0" w:line="260" w:lineRule="auto"/>
              <w:jc w:val="left"/>
            </w:pPr>
            <w:r>
              <w:rPr>
                <w:rFonts w:ascii="Calibri" w:eastAsia="Calibri" w:hAnsi="Calibri" w:cs="Calibri"/>
                <w:sz w:val="19"/>
                <w:szCs w:val="19"/>
              </w:rPr>
              <w:t>8. Human judgment above automation</w:t>
            </w:r>
          </w:p>
        </w:tc>
        <w:tc>
          <w:tcPr>
            <w:tcW w:w="6010" w:type="dxa"/>
          </w:tcPr>
          <w:p w14:paraId="3DF8F74B" w14:textId="77777777" w:rsidR="00DA7972" w:rsidRDefault="00000000">
            <w:pPr>
              <w:spacing w:after="0" w:line="260" w:lineRule="auto"/>
              <w:jc w:val="left"/>
            </w:pPr>
            <w:r>
              <w:rPr>
                <w:rFonts w:ascii="Calibri" w:eastAsia="Calibri" w:hAnsi="Calibri" w:cs="Calibri"/>
                <w:sz w:val="19"/>
                <w:szCs w:val="19"/>
              </w:rPr>
              <w:t>Automated systems flag and present evidence. Human officers review, consult, and decide. No automated process classifies an incident, suspends a service, or triggers a consequence.</w:t>
            </w:r>
          </w:p>
        </w:tc>
      </w:tr>
      <w:tr w:rsidR="00DA7972" w14:paraId="3306B360" w14:textId="77777777">
        <w:tc>
          <w:tcPr>
            <w:tcW w:w="3000" w:type="dxa"/>
          </w:tcPr>
          <w:p w14:paraId="4506F390" w14:textId="77777777" w:rsidR="00DA7972" w:rsidRDefault="00000000">
            <w:pPr>
              <w:spacing w:after="0" w:line="260" w:lineRule="auto"/>
              <w:jc w:val="left"/>
            </w:pPr>
            <w:r>
              <w:rPr>
                <w:rFonts w:ascii="Calibri" w:eastAsia="Calibri" w:hAnsi="Calibri" w:cs="Calibri"/>
                <w:sz w:val="19"/>
                <w:szCs w:val="19"/>
              </w:rPr>
              <w:t>9. Structural decoupling of force</w:t>
            </w:r>
          </w:p>
        </w:tc>
        <w:tc>
          <w:tcPr>
            <w:tcW w:w="6010" w:type="dxa"/>
          </w:tcPr>
          <w:p w14:paraId="36BAB035" w14:textId="77777777" w:rsidR="00DA7972" w:rsidRDefault="00000000">
            <w:pPr>
              <w:spacing w:after="0" w:line="260" w:lineRule="auto"/>
              <w:jc w:val="left"/>
            </w:pPr>
            <w:r>
              <w:rPr>
                <w:rFonts w:ascii="Calibri" w:eastAsia="Calibri" w:hAnsi="Calibri" w:cs="Calibri"/>
                <w:sz w:val="19"/>
                <w:szCs w:val="19"/>
              </w:rPr>
              <w:t>No compliance event, of any category, in any domain, authorizes, triggers, or justifies the use of military force. Military decisions rest exclusively with the respective head of government under constitutional procedures.</w:t>
            </w:r>
          </w:p>
        </w:tc>
      </w:tr>
      <w:tr w:rsidR="00DA7972" w14:paraId="188D5E30" w14:textId="77777777">
        <w:tc>
          <w:tcPr>
            <w:tcW w:w="3000" w:type="dxa"/>
          </w:tcPr>
          <w:p w14:paraId="231C46B7" w14:textId="77777777" w:rsidR="00DA7972" w:rsidRDefault="00000000">
            <w:pPr>
              <w:spacing w:after="0" w:line="260" w:lineRule="auto"/>
              <w:jc w:val="left"/>
            </w:pPr>
            <w:r>
              <w:rPr>
                <w:rFonts w:ascii="Calibri" w:eastAsia="Calibri" w:hAnsi="Calibri" w:cs="Calibri"/>
                <w:sz w:val="19"/>
                <w:szCs w:val="19"/>
              </w:rPr>
              <w:t>10. Civilian character</w:t>
            </w:r>
          </w:p>
        </w:tc>
        <w:tc>
          <w:tcPr>
            <w:tcW w:w="6010" w:type="dxa"/>
          </w:tcPr>
          <w:p w14:paraId="0ED18FFC" w14:textId="77777777" w:rsidR="00DA7972" w:rsidRDefault="00000000">
            <w:pPr>
              <w:spacing w:after="0" w:line="260" w:lineRule="auto"/>
              <w:jc w:val="left"/>
            </w:pPr>
            <w:r>
              <w:rPr>
                <w:rFonts w:ascii="Calibri" w:eastAsia="Calibri" w:hAnsi="Calibri" w:cs="Calibri"/>
                <w:sz w:val="19"/>
                <w:szCs w:val="19"/>
              </w:rPr>
              <w:t>The operational bodies of the Accord employ civilian maritime professionals. Military liaison occurs through designated channels at the policy level and never on the watch floor.</w:t>
            </w:r>
          </w:p>
        </w:tc>
      </w:tr>
      <w:tr w:rsidR="00DA7972" w14:paraId="6D9D7DAE" w14:textId="77777777">
        <w:tc>
          <w:tcPr>
            <w:tcW w:w="3000" w:type="dxa"/>
          </w:tcPr>
          <w:p w14:paraId="02630E4A" w14:textId="77777777" w:rsidR="00DA7972" w:rsidRDefault="00000000">
            <w:pPr>
              <w:spacing w:after="0" w:line="260" w:lineRule="auto"/>
              <w:jc w:val="left"/>
            </w:pPr>
            <w:r>
              <w:rPr>
                <w:rFonts w:ascii="Calibri" w:eastAsia="Calibri" w:hAnsi="Calibri" w:cs="Calibri"/>
                <w:sz w:val="19"/>
                <w:szCs w:val="19"/>
              </w:rPr>
              <w:t>11. Transparency over trust</w:t>
            </w:r>
          </w:p>
        </w:tc>
        <w:tc>
          <w:tcPr>
            <w:tcW w:w="6010" w:type="dxa"/>
          </w:tcPr>
          <w:p w14:paraId="2D27DEDD" w14:textId="77777777" w:rsidR="00DA7972" w:rsidRDefault="00000000">
            <w:pPr>
              <w:spacing w:after="0" w:line="260" w:lineRule="auto"/>
              <w:jc w:val="left"/>
            </w:pPr>
            <w:r>
              <w:rPr>
                <w:rFonts w:ascii="Calibri" w:eastAsia="Calibri" w:hAnsi="Calibri" w:cs="Calibri"/>
                <w:sz w:val="19"/>
                <w:szCs w:val="19"/>
              </w:rPr>
              <w:t>The Accord substitutes publication for assurances. Every participant reads the same record at the same time.</w:t>
            </w:r>
          </w:p>
        </w:tc>
      </w:tr>
      <w:tr w:rsidR="00DA7972" w14:paraId="1C87A6DD" w14:textId="77777777">
        <w:tc>
          <w:tcPr>
            <w:tcW w:w="3000" w:type="dxa"/>
          </w:tcPr>
          <w:p w14:paraId="4DEB724C" w14:textId="77777777" w:rsidR="00DA7972" w:rsidRDefault="00000000">
            <w:pPr>
              <w:spacing w:after="0" w:line="260" w:lineRule="auto"/>
              <w:jc w:val="left"/>
            </w:pPr>
            <w:r>
              <w:rPr>
                <w:rFonts w:ascii="Calibri" w:eastAsia="Calibri" w:hAnsi="Calibri" w:cs="Calibri"/>
                <w:sz w:val="19"/>
                <w:szCs w:val="19"/>
              </w:rPr>
              <w:t>12. Cost discipline</w:t>
            </w:r>
          </w:p>
        </w:tc>
        <w:tc>
          <w:tcPr>
            <w:tcW w:w="6010" w:type="dxa"/>
          </w:tcPr>
          <w:p w14:paraId="5C8CB1A3" w14:textId="77777777" w:rsidR="00DA7972" w:rsidRDefault="00000000">
            <w:pPr>
              <w:spacing w:after="0" w:line="260" w:lineRule="auto"/>
              <w:jc w:val="left"/>
            </w:pPr>
            <w:r>
              <w:rPr>
                <w:rFonts w:ascii="Calibri" w:eastAsia="Calibri" w:hAnsi="Calibri" w:cs="Calibri"/>
                <w:sz w:val="19"/>
                <w:szCs w:val="19"/>
              </w:rPr>
              <w:t>The Accord reuses existing infrastructure, schemes, and institutions wherever they serve the mission, and builds new structures only where no existing structure carries the load.</w:t>
            </w:r>
          </w:p>
        </w:tc>
      </w:tr>
    </w:tbl>
    <w:p w14:paraId="1B192E4D" w14:textId="77777777" w:rsidR="00DA7972" w:rsidRDefault="00DA7972">
      <w:pPr>
        <w:spacing w:after="60"/>
      </w:pPr>
    </w:p>
    <w:p w14:paraId="3011F46C" w14:textId="77777777" w:rsidR="00DA7972" w:rsidRDefault="00000000">
      <w:pPr>
        <w:pStyle w:val="Caption"/>
      </w:pPr>
      <w:r>
        <w:rPr>
          <w:rFonts w:eastAsia="Calibri" w:cs="Calibri"/>
          <w:szCs w:val="18"/>
        </w:rPr>
        <w:t>Table 3.1: Core operating principles of the Accord</w:t>
      </w:r>
    </w:p>
    <w:p w14:paraId="3BDAB2C5" w14:textId="77777777" w:rsidR="00DA7972" w:rsidRDefault="00000000">
      <w:pPr>
        <w:pStyle w:val="Heading3"/>
      </w:pPr>
      <w:r>
        <w:rPr>
          <w:rFonts w:eastAsia="Calibri" w:cs="Calibri"/>
          <w:szCs w:val="22"/>
        </w:rPr>
        <w:lastRenderedPageBreak/>
        <w:t>3.1 The political acceptability rule</w:t>
      </w:r>
    </w:p>
    <w:p w14:paraId="5008F9BF" w14:textId="77777777" w:rsidR="00DA7972" w:rsidRDefault="00000000">
      <w:r>
        <w:rPr>
          <w:rFonts w:eastAsia="Georgia" w:cs="Georgia"/>
          <w:szCs w:val="21"/>
        </w:rPr>
        <w:t>Every mechanism in this instrument passes a symmetry test before adoption: the mechanism binds every Party through the same architecture, produces visible benefit for every public, avoids vocabulary of concession or capitulation, and permits each Party to present the Accord domestically as a structure it co-governs rather than an order it obeys. The Stillwater Council reviews every proposed amendment against this rule under Article 39.3.</w:t>
      </w:r>
    </w:p>
    <w:p w14:paraId="0361E77C" w14:textId="77777777" w:rsidR="00DA7972" w:rsidRDefault="00000000">
      <w:pPr>
        <w:pStyle w:val="Heading2"/>
      </w:pPr>
      <w:bookmarkStart w:id="7" w:name="_Toc236229888"/>
      <w:r>
        <w:rPr>
          <w:rFonts w:eastAsia="Calibri" w:cs="Calibri"/>
          <w:szCs w:val="26"/>
        </w:rPr>
        <w:t>Article 4: The Nofade Guarantee</w:t>
      </w:r>
      <w:bookmarkEnd w:id="7"/>
    </w:p>
    <w:p w14:paraId="5DFA4461" w14:textId="77777777" w:rsidR="00DA7972" w:rsidRDefault="00000000">
      <w:pPr>
        <w:pStyle w:val="Heading3"/>
      </w:pPr>
      <w:r>
        <w:rPr>
          <w:rFonts w:eastAsia="Calibri" w:cs="Calibri"/>
          <w:szCs w:val="22"/>
        </w:rPr>
        <w:t>4.1 No sunset</w:t>
      </w:r>
    </w:p>
    <w:p w14:paraId="651E3040" w14:textId="77777777" w:rsidR="00DA7972" w:rsidRDefault="00000000">
      <w:r>
        <w:rPr>
          <w:rFonts w:eastAsia="Georgia" w:cs="Georgia"/>
          <w:szCs w:val="21"/>
        </w:rPr>
        <w:t>The Accord contains no sunset clauses, no silent expirations, and no decaying obligations. It operates on a continuous horizon, by design, because a commitment that expires is a commitment that plans to fail. Every phase boundary, review point, reporting deadline, and certification cycle inside this instrument operates as an administrative rhythm: at every boundary, the operational state carries forward by default, and obligations persist exactly as written until the Parties amend them in writing.</w:t>
      </w:r>
    </w:p>
    <w:p w14:paraId="522E007C" w14:textId="77777777" w:rsidR="00DA7972" w:rsidRDefault="00000000">
      <w:pPr>
        <w:pStyle w:val="Heading3"/>
      </w:pPr>
      <w:r>
        <w:rPr>
          <w:rFonts w:eastAsia="Calibri" w:cs="Calibri"/>
          <w:szCs w:val="22"/>
        </w:rPr>
        <w:t>4.2 No fade of commitments</w:t>
      </w:r>
    </w:p>
    <w:p w14:paraId="49D56AD7" w14:textId="77777777" w:rsidR="00DA7972" w:rsidRDefault="00000000">
      <w:r>
        <w:rPr>
          <w:rFonts w:eastAsia="Georgia" w:cs="Georgia"/>
          <w:szCs w:val="21"/>
        </w:rPr>
        <w:t>Every commitment persists at full strength from activation until the Parties jointly amend it in writing under Article 39. Time never dilutes an obligation; routine never weakens a verification right; political weather never erodes a standing rule. A change of government in any Party changes nothing in this Accord: the obligations attach to the state, and the succession rule of Article 40.2 binds every incoming administration from its first day.</w:t>
      </w:r>
    </w:p>
    <w:p w14:paraId="1B70931F" w14:textId="77777777" w:rsidR="00DA7972" w:rsidRDefault="00000000">
      <w:pPr>
        <w:pStyle w:val="Heading3"/>
      </w:pPr>
      <w:r>
        <w:rPr>
          <w:rFonts w:eastAsia="Calibri" w:cs="Calibri"/>
          <w:szCs w:val="22"/>
        </w:rPr>
        <w:t>4.3 No fade of earned benefits</w:t>
      </w:r>
    </w:p>
    <w:p w14:paraId="48C8DE02" w14:textId="77777777" w:rsidR="00DA7972" w:rsidRDefault="00000000">
      <w:r>
        <w:rPr>
          <w:rFonts w:eastAsia="Georgia" w:cs="Georgia"/>
          <w:szCs w:val="21"/>
        </w:rPr>
        <w:t>Benefits earned through verified compliance persist. No earned benefit lapses through the passage of time, a change of government, or a change of mood. Banked performance survives every review cycle, every suspension, and every transition, and carries forward into every successor instrument. Only the defined step-back of the compliance engine adjusts a benefit, and earn-back always restores it under Article 31.5.</w:t>
      </w:r>
    </w:p>
    <w:p w14:paraId="5CF9D315" w14:textId="77777777" w:rsidR="00DA7972" w:rsidRDefault="00000000">
      <w:pPr>
        <w:pStyle w:val="Heading3"/>
      </w:pPr>
      <w:r>
        <w:rPr>
          <w:rFonts w:eastAsia="Calibri" w:cs="Calibri"/>
          <w:szCs w:val="22"/>
        </w:rPr>
        <w:t>4.4 No fade of verification</w:t>
      </w:r>
    </w:p>
    <w:p w14:paraId="7723BD18" w14:textId="77777777" w:rsidR="00DA7972" w:rsidRDefault="00000000">
      <w:r>
        <w:rPr>
          <w:rFonts w:eastAsia="Georgia" w:cs="Georgia"/>
          <w:szCs w:val="21"/>
        </w:rPr>
        <w:t>Verification intensity never declines by default. The observer presence, the reporting rhythms, the ground-truth patrols, the audit rights, and the data feeds of this Accord continue at full strength for the life of the instrument. Any reduction of verification intensity constitutes an amendment and takes effect only through the joint written instrument of Article 39.2.</w:t>
      </w:r>
    </w:p>
    <w:p w14:paraId="311A3436" w14:textId="77777777" w:rsidR="00DA7972" w:rsidRDefault="00000000">
      <w:pPr>
        <w:pStyle w:val="Heading3"/>
      </w:pPr>
      <w:r>
        <w:rPr>
          <w:rFonts w:eastAsia="Calibri" w:cs="Calibri"/>
          <w:szCs w:val="22"/>
        </w:rPr>
        <w:t>4.5 No fade of the Zero-Toll Rule</w:t>
      </w:r>
    </w:p>
    <w:p w14:paraId="5551C412" w14:textId="77777777" w:rsidR="00DA7972" w:rsidRDefault="00000000">
      <w:r>
        <w:rPr>
          <w:rFonts w:eastAsia="Georgia" w:cs="Georgia"/>
          <w:szCs w:val="21"/>
        </w:rPr>
        <w:t>The Zero-Toll Rule of Article 21 stands permanently. No passage charge arises by inaction, by silence, by custom, by national legislation, or by reinterpretation. Where a Party's domestic law advances a fee measure touching the Strait, the Accord's own rule governs the conduct of that Party within the Governance Area, and Article 21.6 routes the reconciliation.</w:t>
      </w:r>
    </w:p>
    <w:p w14:paraId="3CDBD92E" w14:textId="77777777" w:rsidR="00DA7972" w:rsidRDefault="00000000">
      <w:pPr>
        <w:pStyle w:val="Heading3"/>
      </w:pPr>
      <w:r>
        <w:rPr>
          <w:rFonts w:eastAsia="Calibri" w:cs="Calibri"/>
          <w:szCs w:val="22"/>
        </w:rPr>
        <w:lastRenderedPageBreak/>
        <w:t>4.6 No fade of institutional memory</w:t>
      </w:r>
    </w:p>
    <w:p w14:paraId="5927901A" w14:textId="77777777" w:rsidR="00DA7972" w:rsidRDefault="00000000">
      <w:r>
        <w:rPr>
          <w:rFonts w:eastAsia="Georgia" w:cs="Georgia"/>
          <w:szCs w:val="21"/>
        </w:rPr>
        <w:t>The shared registry and the incident archive never purge. The Accord forgets nothing and forgives through the Good Faith Reset of Article 31.7, which clears operational ledgers without touching the archive. Every certification, every deviation, every restoration, and every lesson remains on the record for the life of the instrument.</w:t>
      </w:r>
    </w:p>
    <w:p w14:paraId="5DD01FD8" w14:textId="77777777" w:rsidR="00DA7972" w:rsidRDefault="00000000">
      <w:pPr>
        <w:pStyle w:val="Heading3"/>
      </w:pPr>
      <w:r>
        <w:rPr>
          <w:rFonts w:eastAsia="Calibri" w:cs="Calibri"/>
          <w:szCs w:val="22"/>
        </w:rPr>
        <w:t>4.7 Renewal by silence and default continuity</w:t>
      </w:r>
    </w:p>
    <w:p w14:paraId="1462789D" w14:textId="77777777" w:rsidR="00DA7972" w:rsidRDefault="00000000">
      <w:r>
        <w:rPr>
          <w:rFonts w:eastAsia="Georgia" w:cs="Georgia"/>
          <w:szCs w:val="21"/>
        </w:rPr>
        <w:t>Renewal occurs by silence: at every review point, continuation proceeds automatically unless a Party tables a written amendment proposal within the review window. Where a decision stalls, the standing procedures of this Accord and its Annexes govern by default. A stalled budget question runs on the previous budget at the same level; a stalled rate question runs on the previous rate; a stalled procedure question runs on the existing annex text. No deadlock suspends, degrades, or re-prices any operation of the corridor system.</w:t>
      </w:r>
    </w:p>
    <w:p w14:paraId="20B9DC07" w14:textId="77777777" w:rsidR="00DA7972" w:rsidRDefault="00000000">
      <w:pPr>
        <w:pStyle w:val="Heading3"/>
      </w:pPr>
      <w:r>
        <w:rPr>
          <w:rFonts w:eastAsia="Calibri" w:cs="Calibri"/>
          <w:szCs w:val="22"/>
        </w:rPr>
        <w:t>4.8 Exit is an act, not a fade</w:t>
      </w:r>
    </w:p>
    <w:p w14:paraId="153ACCD7" w14:textId="77777777" w:rsidR="00DA7972" w:rsidRDefault="00000000">
      <w:r>
        <w:rPr>
          <w:rFonts w:eastAsia="Georgia" w:cs="Georgia"/>
          <w:szCs w:val="21"/>
        </w:rPr>
        <w:t>Withdrawal under Article 40.4 constitutes a deliberate, notified, time-buffered sovereign act executed through the notice ladder, with the corridors operating at full standard throughout. Nothing in this Accord drifts away; everything either persists at full force or changes by joint written instrument.</w:t>
      </w:r>
    </w:p>
    <w:p w14:paraId="0BD114D9" w14:textId="77777777" w:rsidR="00DA7972" w:rsidRDefault="00000000">
      <w:pPr>
        <w:pStyle w:val="Heading2"/>
      </w:pPr>
      <w:bookmarkStart w:id="8" w:name="_Toc236229889"/>
      <w:r>
        <w:rPr>
          <w:rFonts w:eastAsia="Calibri" w:cs="Calibri"/>
          <w:szCs w:val="26"/>
        </w:rPr>
        <w:t>Article 5: Definitions and Interpretation</w:t>
      </w:r>
      <w:bookmarkEnd w:id="8"/>
    </w:p>
    <w:p w14:paraId="6F1979E8" w14:textId="77777777" w:rsidR="00DA7972" w:rsidRDefault="00000000">
      <w:pPr>
        <w:pStyle w:val="Heading3"/>
      </w:pPr>
      <w:r>
        <w:rPr>
          <w:rFonts w:eastAsia="Calibri" w:cs="Calibri"/>
          <w:szCs w:val="22"/>
        </w:rPr>
        <w:t>5.1 Definitions</w:t>
      </w:r>
    </w:p>
    <w:p w14:paraId="3F66B883" w14:textId="77777777" w:rsidR="00DA7972" w:rsidRDefault="00000000">
      <w:r>
        <w:rPr>
          <w:rFonts w:eastAsia="Georgia" w:cs="Georgia"/>
          <w:szCs w:val="21"/>
        </w:rPr>
        <w:t>For the purposes of this Accord, the following terms carry the meanings set forth below. Annex N restates these definitions together with the neutral terminology register of the Accord.</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2"/>
        <w:gridCol w:w="6154"/>
      </w:tblGrid>
      <w:tr w:rsidR="00DA7972" w14:paraId="36F87C2B" w14:textId="77777777">
        <w:trPr>
          <w:tblHeader/>
        </w:trPr>
        <w:tc>
          <w:tcPr>
            <w:tcW w:w="3000" w:type="dxa"/>
            <w:tcBorders>
              <w:bottom w:val="single" w:sz="6" w:space="0" w:color="546E7A"/>
            </w:tcBorders>
            <w:shd w:val="clear" w:color="auto" w:fill="E4E9EC"/>
          </w:tcPr>
          <w:p w14:paraId="62C13D8C" w14:textId="77777777" w:rsidR="00DA7972" w:rsidRDefault="00000000">
            <w:pPr>
              <w:spacing w:after="0" w:line="260" w:lineRule="auto"/>
              <w:jc w:val="left"/>
            </w:pPr>
            <w:r>
              <w:rPr>
                <w:rFonts w:ascii="Calibri" w:eastAsia="Calibri" w:hAnsi="Calibri" w:cs="Calibri"/>
                <w:b/>
                <w:color w:val="37474F"/>
                <w:sz w:val="19"/>
                <w:szCs w:val="19"/>
              </w:rPr>
              <w:t>Term</w:t>
            </w:r>
          </w:p>
        </w:tc>
        <w:tc>
          <w:tcPr>
            <w:tcW w:w="6010" w:type="dxa"/>
            <w:tcBorders>
              <w:bottom w:val="single" w:sz="6" w:space="0" w:color="546E7A"/>
            </w:tcBorders>
            <w:shd w:val="clear" w:color="auto" w:fill="E4E9EC"/>
          </w:tcPr>
          <w:p w14:paraId="2A631A66" w14:textId="77777777" w:rsidR="00DA7972" w:rsidRDefault="00000000">
            <w:pPr>
              <w:spacing w:after="0" w:line="260" w:lineRule="auto"/>
              <w:jc w:val="left"/>
            </w:pPr>
            <w:r>
              <w:rPr>
                <w:rFonts w:ascii="Calibri" w:eastAsia="Calibri" w:hAnsi="Calibri" w:cs="Calibri"/>
                <w:b/>
                <w:color w:val="37474F"/>
                <w:sz w:val="19"/>
                <w:szCs w:val="19"/>
              </w:rPr>
              <w:t>Definition</w:t>
            </w:r>
          </w:p>
        </w:tc>
      </w:tr>
      <w:tr w:rsidR="00DA7972" w14:paraId="51BAA93C" w14:textId="77777777">
        <w:tc>
          <w:tcPr>
            <w:tcW w:w="3000" w:type="dxa"/>
          </w:tcPr>
          <w:p w14:paraId="75C0518A" w14:textId="77777777" w:rsidR="00DA7972" w:rsidRDefault="00000000">
            <w:pPr>
              <w:spacing w:after="0" w:line="260" w:lineRule="auto"/>
              <w:jc w:val="left"/>
            </w:pPr>
            <w:r>
              <w:rPr>
                <w:rFonts w:ascii="Calibri" w:eastAsia="Calibri" w:hAnsi="Calibri" w:cs="Calibri"/>
                <w:sz w:val="19"/>
                <w:szCs w:val="19"/>
              </w:rPr>
              <w:t>Accord</w:t>
            </w:r>
          </w:p>
        </w:tc>
        <w:tc>
          <w:tcPr>
            <w:tcW w:w="6010" w:type="dxa"/>
          </w:tcPr>
          <w:p w14:paraId="6E0505C1" w14:textId="77777777" w:rsidR="00DA7972" w:rsidRDefault="00000000">
            <w:pPr>
              <w:spacing w:after="0" w:line="260" w:lineRule="auto"/>
              <w:jc w:val="left"/>
            </w:pPr>
            <w:r>
              <w:rPr>
                <w:rFonts w:ascii="Calibri" w:eastAsia="Calibri" w:hAnsi="Calibri" w:cs="Calibri"/>
                <w:sz w:val="19"/>
                <w:szCs w:val="19"/>
              </w:rPr>
              <w:t>The Stillwater Accord, comprising the main body and Annexes A through U</w:t>
            </w:r>
          </w:p>
        </w:tc>
      </w:tr>
      <w:tr w:rsidR="00DA7972" w14:paraId="22DFA9BC" w14:textId="77777777">
        <w:tc>
          <w:tcPr>
            <w:tcW w:w="3000" w:type="dxa"/>
          </w:tcPr>
          <w:p w14:paraId="00FB40D6" w14:textId="77777777" w:rsidR="00DA7972" w:rsidRDefault="00000000">
            <w:pPr>
              <w:spacing w:after="0" w:line="260" w:lineRule="auto"/>
              <w:jc w:val="left"/>
            </w:pPr>
            <w:r>
              <w:rPr>
                <w:rFonts w:ascii="Calibri" w:eastAsia="Calibri" w:hAnsi="Calibri" w:cs="Calibri"/>
                <w:sz w:val="19"/>
                <w:szCs w:val="19"/>
              </w:rPr>
              <w:t>Acceding Member</w:t>
            </w:r>
          </w:p>
        </w:tc>
        <w:tc>
          <w:tcPr>
            <w:tcW w:w="6010" w:type="dxa"/>
          </w:tcPr>
          <w:p w14:paraId="41F303A5" w14:textId="77777777" w:rsidR="00DA7972" w:rsidRDefault="00000000">
            <w:pPr>
              <w:spacing w:after="0" w:line="260" w:lineRule="auto"/>
              <w:jc w:val="left"/>
            </w:pPr>
            <w:r>
              <w:rPr>
                <w:rFonts w:ascii="Calibri" w:eastAsia="Calibri" w:hAnsi="Calibri" w:cs="Calibri"/>
                <w:sz w:val="19"/>
                <w:szCs w:val="19"/>
              </w:rPr>
              <w:t>A Gulf littoral state that joins the Accord under Article 38: Saudi Arabia, Qatar, Bahrain, Kuwait, or Iraq</w:t>
            </w:r>
          </w:p>
        </w:tc>
      </w:tr>
      <w:tr w:rsidR="00DA7972" w14:paraId="1EB8B7F1" w14:textId="77777777">
        <w:tc>
          <w:tcPr>
            <w:tcW w:w="3000" w:type="dxa"/>
          </w:tcPr>
          <w:p w14:paraId="797F5999" w14:textId="77777777" w:rsidR="00DA7972" w:rsidRDefault="00000000">
            <w:pPr>
              <w:spacing w:after="0" w:line="260" w:lineRule="auto"/>
              <w:jc w:val="left"/>
            </w:pPr>
            <w:r>
              <w:rPr>
                <w:rFonts w:ascii="Calibri" w:eastAsia="Calibri" w:hAnsi="Calibri" w:cs="Calibri"/>
                <w:sz w:val="19"/>
                <w:szCs w:val="19"/>
              </w:rPr>
              <w:t>Exceptional circumstance</w:t>
            </w:r>
          </w:p>
        </w:tc>
        <w:tc>
          <w:tcPr>
            <w:tcW w:w="6010" w:type="dxa"/>
          </w:tcPr>
          <w:p w14:paraId="259D4DA7" w14:textId="77777777" w:rsidR="00DA7972" w:rsidRDefault="00000000">
            <w:pPr>
              <w:spacing w:after="0" w:line="260" w:lineRule="auto"/>
              <w:jc w:val="left"/>
            </w:pPr>
            <w:r>
              <w:rPr>
                <w:rFonts w:ascii="Calibri" w:eastAsia="Calibri" w:hAnsi="Calibri" w:cs="Calibri"/>
                <w:sz w:val="19"/>
                <w:szCs w:val="19"/>
              </w:rPr>
              <w:t>A condition outside the ordinary operating envelope that the text expressly names: a distress event, a Suspended Flow, a Protected Hold precursor hazard, a certified corridor closure, a degraded-mode activation under Article 26.6, or an institutional failure under Article 42; no other condition qualifies, and the term admits no discretionary extension</w:t>
            </w:r>
          </w:p>
        </w:tc>
      </w:tr>
      <w:tr w:rsidR="00DA7972" w14:paraId="7250B04C" w14:textId="77777777">
        <w:tc>
          <w:tcPr>
            <w:tcW w:w="3000" w:type="dxa"/>
          </w:tcPr>
          <w:p w14:paraId="2F755BD6" w14:textId="77777777" w:rsidR="00DA7972" w:rsidRDefault="00000000">
            <w:pPr>
              <w:spacing w:after="0" w:line="260" w:lineRule="auto"/>
              <w:jc w:val="left"/>
            </w:pPr>
            <w:r>
              <w:rPr>
                <w:rFonts w:ascii="Calibri" w:eastAsia="Calibri" w:hAnsi="Calibri" w:cs="Calibri"/>
                <w:sz w:val="19"/>
                <w:szCs w:val="19"/>
              </w:rPr>
              <w:t>Anchor-and-Verify Protocol</w:t>
            </w:r>
          </w:p>
        </w:tc>
        <w:tc>
          <w:tcPr>
            <w:tcW w:w="6010" w:type="dxa"/>
          </w:tcPr>
          <w:p w14:paraId="4450FEED" w14:textId="77777777" w:rsidR="00DA7972" w:rsidRDefault="00000000">
            <w:pPr>
              <w:spacing w:after="0" w:line="260" w:lineRule="auto"/>
              <w:jc w:val="left"/>
            </w:pPr>
            <w:r>
              <w:rPr>
                <w:rFonts w:ascii="Calibri" w:eastAsia="Calibri" w:hAnsi="Calibri" w:cs="Calibri"/>
                <w:sz w:val="19"/>
                <w:szCs w:val="19"/>
              </w:rPr>
              <w:t>The resolution-at-anchorage procedure of Article 9.5 for vessels with a documented, evidence-backed cargo or documentation question</w:t>
            </w:r>
          </w:p>
        </w:tc>
      </w:tr>
      <w:tr w:rsidR="00DA7972" w14:paraId="10D6809E" w14:textId="77777777">
        <w:tc>
          <w:tcPr>
            <w:tcW w:w="3000" w:type="dxa"/>
          </w:tcPr>
          <w:p w14:paraId="1C884A86" w14:textId="77777777" w:rsidR="00DA7972" w:rsidRDefault="00000000">
            <w:pPr>
              <w:spacing w:after="0" w:line="260" w:lineRule="auto"/>
              <w:jc w:val="left"/>
            </w:pPr>
            <w:r>
              <w:rPr>
                <w:rFonts w:ascii="Calibri" w:eastAsia="Calibri" w:hAnsi="Calibri" w:cs="Calibri"/>
                <w:sz w:val="19"/>
                <w:szCs w:val="19"/>
              </w:rPr>
              <w:t>Assurance Registry</w:t>
            </w:r>
          </w:p>
        </w:tc>
        <w:tc>
          <w:tcPr>
            <w:tcW w:w="6010" w:type="dxa"/>
          </w:tcPr>
          <w:p w14:paraId="339FB459" w14:textId="77777777" w:rsidR="00DA7972" w:rsidRDefault="00000000">
            <w:pPr>
              <w:spacing w:after="0" w:line="260" w:lineRule="auto"/>
              <w:jc w:val="left"/>
            </w:pPr>
            <w:r>
              <w:rPr>
                <w:rFonts w:ascii="Calibri" w:eastAsia="Calibri" w:hAnsi="Calibri" w:cs="Calibri"/>
                <w:sz w:val="19"/>
                <w:szCs w:val="19"/>
              </w:rPr>
              <w:t>The voluntary public listing of participating vessels, operators, insurers, and flag states described in Article 24.2</w:t>
            </w:r>
          </w:p>
        </w:tc>
      </w:tr>
      <w:tr w:rsidR="00DA7972" w14:paraId="2196BB8A" w14:textId="77777777">
        <w:tc>
          <w:tcPr>
            <w:tcW w:w="3000" w:type="dxa"/>
          </w:tcPr>
          <w:p w14:paraId="1010EF6A" w14:textId="77777777" w:rsidR="00DA7972" w:rsidRDefault="00000000">
            <w:pPr>
              <w:spacing w:after="0" w:line="260" w:lineRule="auto"/>
              <w:jc w:val="left"/>
            </w:pPr>
            <w:r>
              <w:rPr>
                <w:rFonts w:ascii="Calibri" w:eastAsia="Calibri" w:hAnsi="Calibri" w:cs="Calibri"/>
                <w:sz w:val="19"/>
                <w:szCs w:val="19"/>
              </w:rPr>
              <w:t>Convergence Standard</w:t>
            </w:r>
          </w:p>
        </w:tc>
        <w:tc>
          <w:tcPr>
            <w:tcW w:w="6010" w:type="dxa"/>
          </w:tcPr>
          <w:p w14:paraId="74BD69F4" w14:textId="77777777" w:rsidR="00DA7972" w:rsidRDefault="00000000">
            <w:pPr>
              <w:spacing w:after="0" w:line="260" w:lineRule="auto"/>
              <w:jc w:val="left"/>
            </w:pPr>
            <w:r>
              <w:rPr>
                <w:rFonts w:ascii="Calibri" w:eastAsia="Calibri" w:hAnsi="Calibri" w:cs="Calibri"/>
                <w:sz w:val="19"/>
                <w:szCs w:val="19"/>
              </w:rPr>
              <w:t>The rule, stated in Article 26.2, under which no verification finding rests on a single input</w:t>
            </w:r>
          </w:p>
        </w:tc>
      </w:tr>
      <w:tr w:rsidR="00DA7972" w14:paraId="2625C21F" w14:textId="77777777">
        <w:tc>
          <w:tcPr>
            <w:tcW w:w="3000" w:type="dxa"/>
          </w:tcPr>
          <w:p w14:paraId="2EA56763" w14:textId="77777777" w:rsidR="00DA7972" w:rsidRDefault="00000000">
            <w:pPr>
              <w:spacing w:after="0" w:line="260" w:lineRule="auto"/>
              <w:jc w:val="left"/>
            </w:pPr>
            <w:r>
              <w:rPr>
                <w:rFonts w:ascii="Calibri" w:eastAsia="Calibri" w:hAnsi="Calibri" w:cs="Calibri"/>
                <w:sz w:val="19"/>
                <w:szCs w:val="19"/>
              </w:rPr>
              <w:t>Corridor One</w:t>
            </w:r>
          </w:p>
        </w:tc>
        <w:tc>
          <w:tcPr>
            <w:tcW w:w="6010" w:type="dxa"/>
          </w:tcPr>
          <w:p w14:paraId="1A7C1B08" w14:textId="77777777" w:rsidR="00DA7972" w:rsidRDefault="00000000">
            <w:pPr>
              <w:spacing w:after="0" w:line="260" w:lineRule="auto"/>
              <w:jc w:val="left"/>
            </w:pPr>
            <w:r>
              <w:rPr>
                <w:rFonts w:ascii="Calibri" w:eastAsia="Calibri" w:hAnsi="Calibri" w:cs="Calibri"/>
                <w:sz w:val="19"/>
                <w:szCs w:val="19"/>
              </w:rPr>
              <w:t>The Southern Guarantee Corridor described in Article 8.2 and Annex A, routed through the territorial sea of Oman</w:t>
            </w:r>
          </w:p>
        </w:tc>
      </w:tr>
      <w:tr w:rsidR="00DA7972" w14:paraId="531198FC" w14:textId="77777777">
        <w:tc>
          <w:tcPr>
            <w:tcW w:w="3000" w:type="dxa"/>
          </w:tcPr>
          <w:p w14:paraId="1194EC4B" w14:textId="77777777" w:rsidR="00DA7972" w:rsidRDefault="00000000">
            <w:pPr>
              <w:spacing w:after="0" w:line="260" w:lineRule="auto"/>
              <w:jc w:val="left"/>
            </w:pPr>
            <w:r>
              <w:rPr>
                <w:rFonts w:ascii="Calibri" w:eastAsia="Calibri" w:hAnsi="Calibri" w:cs="Calibri"/>
                <w:sz w:val="19"/>
                <w:szCs w:val="19"/>
              </w:rPr>
              <w:lastRenderedPageBreak/>
              <w:t>Corridor Two</w:t>
            </w:r>
          </w:p>
        </w:tc>
        <w:tc>
          <w:tcPr>
            <w:tcW w:w="6010" w:type="dxa"/>
          </w:tcPr>
          <w:p w14:paraId="1939A23C" w14:textId="77777777" w:rsidR="00DA7972" w:rsidRDefault="00000000">
            <w:pPr>
              <w:spacing w:after="0" w:line="260" w:lineRule="auto"/>
              <w:jc w:val="left"/>
            </w:pPr>
            <w:r>
              <w:rPr>
                <w:rFonts w:ascii="Calibri" w:eastAsia="Calibri" w:hAnsi="Calibri" w:cs="Calibri"/>
                <w:sz w:val="19"/>
                <w:szCs w:val="19"/>
              </w:rPr>
              <w:t>The Northern Coordination Corridor described in Article 8.3 and Annex A, routed through the territorial sea of Iran</w:t>
            </w:r>
          </w:p>
        </w:tc>
      </w:tr>
      <w:tr w:rsidR="00DA7972" w14:paraId="1892F914" w14:textId="77777777">
        <w:tc>
          <w:tcPr>
            <w:tcW w:w="3000" w:type="dxa"/>
          </w:tcPr>
          <w:p w14:paraId="6526D66F" w14:textId="77777777" w:rsidR="00DA7972" w:rsidRDefault="00000000">
            <w:pPr>
              <w:spacing w:after="0" w:line="260" w:lineRule="auto"/>
              <w:jc w:val="left"/>
            </w:pPr>
            <w:r>
              <w:rPr>
                <w:rFonts w:ascii="Calibri" w:eastAsia="Calibri" w:hAnsi="Calibri" w:cs="Calibri"/>
                <w:b/>
                <w:sz w:val="19"/>
                <w:szCs w:val="19"/>
              </w:rPr>
              <w:t>Corridor Three</w:t>
            </w:r>
          </w:p>
        </w:tc>
        <w:tc>
          <w:tcPr>
            <w:tcW w:w="6010" w:type="dxa"/>
          </w:tcPr>
          <w:p w14:paraId="1DFD46D4" w14:textId="77777777" w:rsidR="00DA7972" w:rsidRDefault="00000000">
            <w:pPr>
              <w:spacing w:after="0" w:line="260" w:lineRule="auto"/>
              <w:jc w:val="left"/>
            </w:pPr>
            <w:r>
              <w:rPr>
                <w:rFonts w:ascii="Calibri" w:eastAsia="Calibri" w:hAnsi="Calibri" w:cs="Calibri"/>
                <w:b/>
                <w:sz w:val="19"/>
                <w:szCs w:val="19"/>
              </w:rPr>
              <w:t>The International Assurance Lane described in Article 8.4 and Annex A, situated in the waters between the territorial seas of Oman and Iran and administered by the Meridian Operations Center</w:t>
            </w:r>
          </w:p>
        </w:tc>
      </w:tr>
      <w:tr w:rsidR="00DA7972" w14:paraId="28E5DE59" w14:textId="77777777">
        <w:tc>
          <w:tcPr>
            <w:tcW w:w="3000" w:type="dxa"/>
          </w:tcPr>
          <w:p w14:paraId="596A215F" w14:textId="77777777" w:rsidR="00DA7972" w:rsidRDefault="00000000">
            <w:pPr>
              <w:spacing w:after="0" w:line="260" w:lineRule="auto"/>
              <w:jc w:val="left"/>
            </w:pPr>
            <w:r>
              <w:rPr>
                <w:rFonts w:ascii="Calibri" w:eastAsia="Calibri" w:hAnsi="Calibri" w:cs="Calibri"/>
                <w:sz w:val="19"/>
                <w:szCs w:val="19"/>
              </w:rPr>
              <w:t>Council or Stillwater Council</w:t>
            </w:r>
          </w:p>
        </w:tc>
        <w:tc>
          <w:tcPr>
            <w:tcW w:w="6010" w:type="dxa"/>
          </w:tcPr>
          <w:p w14:paraId="578F20B0" w14:textId="77777777" w:rsidR="00DA7972" w:rsidRDefault="00000000">
            <w:pPr>
              <w:spacing w:after="0" w:line="260" w:lineRule="auto"/>
              <w:jc w:val="left"/>
            </w:pPr>
            <w:r>
              <w:rPr>
                <w:rFonts w:ascii="Calibri" w:eastAsia="Calibri" w:hAnsi="Calibri" w:cs="Calibri"/>
                <w:sz w:val="19"/>
                <w:szCs w:val="19"/>
              </w:rPr>
              <w:t>The governing council of the Accord described in Article 13</w:t>
            </w:r>
          </w:p>
        </w:tc>
      </w:tr>
      <w:tr w:rsidR="00DA7972" w14:paraId="510210DB" w14:textId="77777777">
        <w:tc>
          <w:tcPr>
            <w:tcW w:w="3000" w:type="dxa"/>
          </w:tcPr>
          <w:p w14:paraId="158FD114" w14:textId="77777777" w:rsidR="00DA7972" w:rsidRDefault="00000000">
            <w:pPr>
              <w:spacing w:after="0" w:line="260" w:lineRule="auto"/>
              <w:jc w:val="left"/>
            </w:pPr>
            <w:r>
              <w:rPr>
                <w:rFonts w:ascii="Calibri" w:eastAsia="Calibri" w:hAnsi="Calibri" w:cs="Calibri"/>
                <w:sz w:val="19"/>
                <w:szCs w:val="19"/>
              </w:rPr>
              <w:t>Flow State</w:t>
            </w:r>
          </w:p>
        </w:tc>
        <w:tc>
          <w:tcPr>
            <w:tcW w:w="6010" w:type="dxa"/>
          </w:tcPr>
          <w:p w14:paraId="4954B073" w14:textId="77777777" w:rsidR="00DA7972" w:rsidRDefault="00000000">
            <w:pPr>
              <w:spacing w:after="0" w:line="260" w:lineRule="auto"/>
              <w:jc w:val="left"/>
            </w:pPr>
            <w:r>
              <w:rPr>
                <w:rFonts w:ascii="Calibri" w:eastAsia="Calibri" w:hAnsi="Calibri" w:cs="Calibri"/>
                <w:sz w:val="19"/>
                <w:szCs w:val="19"/>
              </w:rPr>
              <w:t>The operating condition of a corridor: Free Flow, Managed Flow, or Suspended Flow, per Article 11.6</w:t>
            </w:r>
          </w:p>
        </w:tc>
      </w:tr>
      <w:tr w:rsidR="00DA7972" w14:paraId="778BC619" w14:textId="77777777">
        <w:tc>
          <w:tcPr>
            <w:tcW w:w="3000" w:type="dxa"/>
          </w:tcPr>
          <w:p w14:paraId="574D7CAC" w14:textId="77777777" w:rsidR="00DA7972" w:rsidRDefault="00000000">
            <w:pPr>
              <w:spacing w:after="0" w:line="260" w:lineRule="auto"/>
              <w:jc w:val="left"/>
            </w:pPr>
            <w:r>
              <w:rPr>
                <w:rFonts w:ascii="Calibri" w:eastAsia="Calibri" w:hAnsi="Calibri" w:cs="Calibri"/>
                <w:sz w:val="19"/>
                <w:szCs w:val="19"/>
              </w:rPr>
              <w:t>Founding Member</w:t>
            </w:r>
          </w:p>
        </w:tc>
        <w:tc>
          <w:tcPr>
            <w:tcW w:w="6010" w:type="dxa"/>
          </w:tcPr>
          <w:p w14:paraId="52B4A787" w14:textId="77777777" w:rsidR="00DA7972" w:rsidRDefault="00000000">
            <w:pPr>
              <w:spacing w:after="0" w:line="260" w:lineRule="auto"/>
              <w:jc w:val="left"/>
            </w:pPr>
            <w:r>
              <w:rPr>
                <w:rFonts w:ascii="Calibri" w:eastAsia="Calibri" w:hAnsi="Calibri" w:cs="Calibri"/>
                <w:sz w:val="19"/>
                <w:szCs w:val="19"/>
              </w:rPr>
              <w:t>The Islamic Republic of Iran, the Sultanate of Oman, and the United Arab Emirates, together the Tripod</w:t>
            </w:r>
          </w:p>
        </w:tc>
      </w:tr>
      <w:tr w:rsidR="00DA7972" w14:paraId="2AD76BB7" w14:textId="77777777">
        <w:tc>
          <w:tcPr>
            <w:tcW w:w="3000" w:type="dxa"/>
          </w:tcPr>
          <w:p w14:paraId="483BA80A" w14:textId="77777777" w:rsidR="00DA7972" w:rsidRDefault="00000000">
            <w:pPr>
              <w:spacing w:after="0" w:line="260" w:lineRule="auto"/>
              <w:jc w:val="left"/>
            </w:pPr>
            <w:r>
              <w:rPr>
                <w:rFonts w:ascii="Calibri" w:eastAsia="Calibri" w:hAnsi="Calibri" w:cs="Calibri"/>
                <w:sz w:val="19"/>
                <w:szCs w:val="19"/>
              </w:rPr>
              <w:t>Humanitarian cargo</w:t>
            </w:r>
          </w:p>
        </w:tc>
        <w:tc>
          <w:tcPr>
            <w:tcW w:w="6010" w:type="dxa"/>
          </w:tcPr>
          <w:p w14:paraId="33AA6452" w14:textId="77777777" w:rsidR="00DA7972" w:rsidRDefault="00000000">
            <w:pPr>
              <w:spacing w:after="0" w:line="260" w:lineRule="auto"/>
              <w:jc w:val="left"/>
            </w:pPr>
            <w:r>
              <w:rPr>
                <w:rFonts w:ascii="Calibri" w:eastAsia="Calibri" w:hAnsi="Calibri" w:cs="Calibri"/>
                <w:sz w:val="19"/>
                <w:szCs w:val="19"/>
              </w:rPr>
              <w:t>Food, medicine, medical equipment, and relief supplies consigned to civilian relief, together with the personnel and equipment of established humanitarian agencies, evidenced by a consignment note from such an agency or by the humanitarian marker in field 12 of the transit notice; the Neutral Keel Office verifies the marker on a sample basis, and misuse of the marker classifies as a Material Disruption</w:t>
            </w:r>
          </w:p>
        </w:tc>
      </w:tr>
      <w:tr w:rsidR="00DA7972" w14:paraId="1B258982" w14:textId="77777777">
        <w:tc>
          <w:tcPr>
            <w:tcW w:w="3000" w:type="dxa"/>
          </w:tcPr>
          <w:p w14:paraId="254C21BA" w14:textId="77777777" w:rsidR="00DA7972" w:rsidRDefault="00000000">
            <w:pPr>
              <w:spacing w:after="0" w:line="260" w:lineRule="auto"/>
              <w:jc w:val="left"/>
            </w:pPr>
            <w:r>
              <w:rPr>
                <w:rFonts w:ascii="Calibri" w:eastAsia="Calibri" w:hAnsi="Calibri" w:cs="Calibri"/>
                <w:sz w:val="19"/>
                <w:szCs w:val="19"/>
              </w:rPr>
              <w:t>Governance Area</w:t>
            </w:r>
          </w:p>
        </w:tc>
        <w:tc>
          <w:tcPr>
            <w:tcW w:w="6010" w:type="dxa"/>
          </w:tcPr>
          <w:p w14:paraId="74B692AA" w14:textId="77777777" w:rsidR="00DA7972" w:rsidRDefault="00000000">
            <w:pPr>
              <w:spacing w:after="0" w:line="260" w:lineRule="auto"/>
              <w:jc w:val="left"/>
            </w:pPr>
            <w:r>
              <w:rPr>
                <w:rFonts w:ascii="Calibri" w:eastAsia="Calibri" w:hAnsi="Calibri" w:cs="Calibri"/>
                <w:sz w:val="19"/>
                <w:szCs w:val="19"/>
              </w:rPr>
              <w:t>The maritime and air area bounded by the coordinates in Article 7.2 and Annex A</w:t>
            </w:r>
          </w:p>
        </w:tc>
      </w:tr>
      <w:tr w:rsidR="00DA7972" w14:paraId="5B18984D" w14:textId="77777777">
        <w:tc>
          <w:tcPr>
            <w:tcW w:w="3000" w:type="dxa"/>
          </w:tcPr>
          <w:p w14:paraId="0A18FC8C" w14:textId="77777777" w:rsidR="00DA7972" w:rsidRDefault="00000000">
            <w:pPr>
              <w:spacing w:after="0" w:line="260" w:lineRule="auto"/>
              <w:jc w:val="left"/>
            </w:pPr>
            <w:r>
              <w:rPr>
                <w:rFonts w:ascii="Calibri" w:eastAsia="Calibri" w:hAnsi="Calibri" w:cs="Calibri"/>
                <w:sz w:val="19"/>
                <w:szCs w:val="19"/>
              </w:rPr>
              <w:t>Guarantor and Facilitation Panel</w:t>
            </w:r>
          </w:p>
        </w:tc>
        <w:tc>
          <w:tcPr>
            <w:tcW w:w="6010" w:type="dxa"/>
          </w:tcPr>
          <w:p w14:paraId="7B9D42CC" w14:textId="77777777" w:rsidR="00DA7972" w:rsidRDefault="00000000">
            <w:pPr>
              <w:spacing w:after="0" w:line="260" w:lineRule="auto"/>
              <w:jc w:val="left"/>
            </w:pPr>
            <w:r>
              <w:rPr>
                <w:rFonts w:ascii="Calibri" w:eastAsia="Calibri" w:hAnsi="Calibri" w:cs="Calibri"/>
                <w:sz w:val="19"/>
                <w:szCs w:val="19"/>
              </w:rPr>
              <w:t>The political assurance body described in Article 17</w:t>
            </w:r>
          </w:p>
        </w:tc>
      </w:tr>
      <w:tr w:rsidR="00DA7972" w14:paraId="2F2F037F" w14:textId="77777777">
        <w:tc>
          <w:tcPr>
            <w:tcW w:w="3000" w:type="dxa"/>
          </w:tcPr>
          <w:p w14:paraId="5997961E" w14:textId="77777777" w:rsidR="00DA7972" w:rsidRDefault="00000000">
            <w:pPr>
              <w:spacing w:after="0" w:line="260" w:lineRule="auto"/>
              <w:jc w:val="left"/>
            </w:pPr>
            <w:r>
              <w:rPr>
                <w:rFonts w:ascii="Calibri" w:eastAsia="Calibri" w:hAnsi="Calibri" w:cs="Calibri"/>
                <w:sz w:val="19"/>
                <w:szCs w:val="19"/>
              </w:rPr>
              <w:t>Human Anchor Method</w:t>
            </w:r>
          </w:p>
        </w:tc>
        <w:tc>
          <w:tcPr>
            <w:tcW w:w="6010" w:type="dxa"/>
          </w:tcPr>
          <w:p w14:paraId="2766D611" w14:textId="77777777" w:rsidR="00DA7972" w:rsidRDefault="00000000">
            <w:pPr>
              <w:spacing w:after="0" w:line="260" w:lineRule="auto"/>
              <w:jc w:val="left"/>
            </w:pPr>
            <w:r>
              <w:rPr>
                <w:rFonts w:ascii="Calibri" w:eastAsia="Calibri" w:hAnsi="Calibri" w:cs="Calibri"/>
                <w:sz w:val="19"/>
                <w:szCs w:val="19"/>
              </w:rPr>
              <w:t>The verification philosophy of Article 26</w:t>
            </w:r>
          </w:p>
        </w:tc>
      </w:tr>
      <w:tr w:rsidR="00DA7972" w14:paraId="5E2817AD" w14:textId="77777777">
        <w:tc>
          <w:tcPr>
            <w:tcW w:w="3000" w:type="dxa"/>
          </w:tcPr>
          <w:p w14:paraId="39A5F741" w14:textId="77777777" w:rsidR="00DA7972" w:rsidRDefault="00000000">
            <w:pPr>
              <w:spacing w:after="0" w:line="260" w:lineRule="auto"/>
              <w:jc w:val="left"/>
            </w:pPr>
            <w:r>
              <w:rPr>
                <w:rFonts w:ascii="Calibri" w:eastAsia="Calibri" w:hAnsi="Calibri" w:cs="Calibri"/>
                <w:sz w:val="19"/>
                <w:szCs w:val="19"/>
              </w:rPr>
              <w:t>Independent Assurance Council</w:t>
            </w:r>
          </w:p>
        </w:tc>
        <w:tc>
          <w:tcPr>
            <w:tcW w:w="6010" w:type="dxa"/>
          </w:tcPr>
          <w:p w14:paraId="2F0B4378" w14:textId="77777777" w:rsidR="00DA7972" w:rsidRDefault="00000000">
            <w:pPr>
              <w:spacing w:after="0" w:line="260" w:lineRule="auto"/>
              <w:jc w:val="left"/>
            </w:pPr>
            <w:r>
              <w:rPr>
                <w:rFonts w:ascii="Calibri" w:eastAsia="Calibri" w:hAnsi="Calibri" w:cs="Calibri"/>
                <w:sz w:val="19"/>
                <w:szCs w:val="19"/>
              </w:rPr>
              <w:t>The body of five independent experts without government affiliation described in Article 18</w:t>
            </w:r>
          </w:p>
        </w:tc>
      </w:tr>
      <w:tr w:rsidR="00DA7972" w14:paraId="5197099A" w14:textId="77777777">
        <w:tc>
          <w:tcPr>
            <w:tcW w:w="3000" w:type="dxa"/>
          </w:tcPr>
          <w:p w14:paraId="432133D2" w14:textId="77777777" w:rsidR="00DA7972" w:rsidRDefault="00000000">
            <w:pPr>
              <w:spacing w:after="0" w:line="260" w:lineRule="auto"/>
              <w:jc w:val="left"/>
            </w:pPr>
            <w:r>
              <w:rPr>
                <w:rFonts w:ascii="Calibri" w:eastAsia="Calibri" w:hAnsi="Calibri" w:cs="Calibri"/>
                <w:sz w:val="19"/>
                <w:szCs w:val="19"/>
              </w:rPr>
              <w:t>Littoral Party</w:t>
            </w:r>
          </w:p>
        </w:tc>
        <w:tc>
          <w:tcPr>
            <w:tcW w:w="6010" w:type="dxa"/>
          </w:tcPr>
          <w:p w14:paraId="6BCDCF4F" w14:textId="77777777" w:rsidR="00DA7972" w:rsidRDefault="00000000">
            <w:pPr>
              <w:spacing w:after="0" w:line="260" w:lineRule="auto"/>
              <w:jc w:val="left"/>
            </w:pPr>
            <w:r>
              <w:rPr>
                <w:rFonts w:ascii="Calibri" w:eastAsia="Calibri" w:hAnsi="Calibri" w:cs="Calibri"/>
                <w:sz w:val="19"/>
                <w:szCs w:val="19"/>
              </w:rPr>
              <w:t>A Gulf state with coastline or sovereign waters in or adjacent to the Strait that holds membership under Article 13, whether as a Founding Member or an Acceding Member</w:t>
            </w:r>
          </w:p>
        </w:tc>
      </w:tr>
      <w:tr w:rsidR="00DA7972" w14:paraId="4C570E31" w14:textId="77777777">
        <w:tc>
          <w:tcPr>
            <w:tcW w:w="3000" w:type="dxa"/>
          </w:tcPr>
          <w:p w14:paraId="2A58352F" w14:textId="77777777" w:rsidR="00DA7972" w:rsidRDefault="00000000">
            <w:pPr>
              <w:spacing w:after="0" w:line="260" w:lineRule="auto"/>
              <w:jc w:val="left"/>
            </w:pPr>
            <w:r>
              <w:rPr>
                <w:rFonts w:ascii="Calibri" w:eastAsia="Calibri" w:hAnsi="Calibri" w:cs="Calibri"/>
                <w:sz w:val="19"/>
                <w:szCs w:val="19"/>
              </w:rPr>
              <w:t>Mediator of Record</w:t>
            </w:r>
          </w:p>
        </w:tc>
        <w:tc>
          <w:tcPr>
            <w:tcW w:w="6010" w:type="dxa"/>
          </w:tcPr>
          <w:p w14:paraId="14FD168E" w14:textId="77777777" w:rsidR="00DA7972" w:rsidRDefault="00000000">
            <w:pPr>
              <w:spacing w:after="0" w:line="260" w:lineRule="auto"/>
              <w:jc w:val="left"/>
            </w:pPr>
            <w:r>
              <w:rPr>
                <w:rFonts w:ascii="Calibri" w:eastAsia="Calibri" w:hAnsi="Calibri" w:cs="Calibri"/>
                <w:sz w:val="19"/>
                <w:szCs w:val="19"/>
              </w:rPr>
              <w:t>The Sultanate of Oman</w:t>
            </w:r>
          </w:p>
        </w:tc>
      </w:tr>
      <w:tr w:rsidR="00DA7972" w14:paraId="70B4F217" w14:textId="77777777">
        <w:tc>
          <w:tcPr>
            <w:tcW w:w="3000" w:type="dxa"/>
          </w:tcPr>
          <w:p w14:paraId="42C84804" w14:textId="77777777" w:rsidR="00DA7972" w:rsidRDefault="00000000">
            <w:pPr>
              <w:spacing w:after="0" w:line="260" w:lineRule="auto"/>
              <w:jc w:val="left"/>
            </w:pPr>
            <w:r>
              <w:rPr>
                <w:rFonts w:ascii="Calibri" w:eastAsia="Calibri" w:hAnsi="Calibri" w:cs="Calibri"/>
                <w:sz w:val="19"/>
                <w:szCs w:val="19"/>
              </w:rPr>
              <w:t>Meridian Operations Center (MOC)</w:t>
            </w:r>
          </w:p>
        </w:tc>
        <w:tc>
          <w:tcPr>
            <w:tcW w:w="6010" w:type="dxa"/>
          </w:tcPr>
          <w:p w14:paraId="187F8F9B" w14:textId="77777777" w:rsidR="00DA7972" w:rsidRDefault="00000000">
            <w:pPr>
              <w:spacing w:after="0" w:line="260" w:lineRule="auto"/>
              <w:jc w:val="left"/>
            </w:pPr>
            <w:r>
              <w:rPr>
                <w:rFonts w:ascii="Calibri" w:eastAsia="Calibri" w:hAnsi="Calibri" w:cs="Calibri"/>
                <w:sz w:val="19"/>
                <w:szCs w:val="19"/>
              </w:rPr>
              <w:t>The joint operations center described in Article 14, seated in Muscat with a mirror facility in Bandar Abbas</w:t>
            </w:r>
          </w:p>
        </w:tc>
      </w:tr>
      <w:tr w:rsidR="00DA7972" w14:paraId="04DCE63D" w14:textId="77777777">
        <w:tc>
          <w:tcPr>
            <w:tcW w:w="3000" w:type="dxa"/>
          </w:tcPr>
          <w:p w14:paraId="68B852D1" w14:textId="77777777" w:rsidR="00DA7972" w:rsidRDefault="00000000">
            <w:pPr>
              <w:spacing w:after="0" w:line="260" w:lineRule="auto"/>
              <w:jc w:val="left"/>
            </w:pPr>
            <w:r>
              <w:rPr>
                <w:rFonts w:ascii="Calibri" w:eastAsia="Calibri" w:hAnsi="Calibri" w:cs="Calibri"/>
                <w:sz w:val="19"/>
                <w:szCs w:val="19"/>
              </w:rPr>
              <w:t>MOU</w:t>
            </w:r>
          </w:p>
        </w:tc>
        <w:tc>
          <w:tcPr>
            <w:tcW w:w="6010" w:type="dxa"/>
          </w:tcPr>
          <w:p w14:paraId="024DFC83" w14:textId="77777777" w:rsidR="00DA7972" w:rsidRDefault="00000000">
            <w:pPr>
              <w:spacing w:after="0" w:line="260" w:lineRule="auto"/>
              <w:jc w:val="left"/>
            </w:pPr>
            <w:r>
              <w:rPr>
                <w:rFonts w:ascii="Calibri" w:eastAsia="Calibri" w:hAnsi="Calibri" w:cs="Calibri"/>
                <w:sz w:val="19"/>
                <w:szCs w:val="19"/>
              </w:rPr>
              <w:t>The Islamabad Memorandum of Understanding of 17 June 2026</w:t>
            </w:r>
          </w:p>
        </w:tc>
      </w:tr>
      <w:tr w:rsidR="00DA7972" w14:paraId="3259A33F" w14:textId="77777777">
        <w:tc>
          <w:tcPr>
            <w:tcW w:w="3000" w:type="dxa"/>
          </w:tcPr>
          <w:p w14:paraId="297971EE" w14:textId="77777777" w:rsidR="00DA7972" w:rsidRDefault="00000000">
            <w:pPr>
              <w:spacing w:after="0" w:line="260" w:lineRule="auto"/>
              <w:jc w:val="left"/>
            </w:pPr>
            <w:r>
              <w:rPr>
                <w:rFonts w:ascii="Calibri" w:eastAsia="Calibri" w:hAnsi="Calibri" w:cs="Calibri"/>
                <w:sz w:val="19"/>
                <w:szCs w:val="19"/>
              </w:rPr>
              <w:t>Neutral Administrator</w:t>
            </w:r>
          </w:p>
        </w:tc>
        <w:tc>
          <w:tcPr>
            <w:tcW w:w="6010" w:type="dxa"/>
          </w:tcPr>
          <w:p w14:paraId="331471AC" w14:textId="77777777" w:rsidR="00DA7972" w:rsidRDefault="00000000">
            <w:pPr>
              <w:spacing w:after="0" w:line="260" w:lineRule="auto"/>
              <w:jc w:val="left"/>
            </w:pPr>
            <w:r>
              <w:rPr>
                <w:rFonts w:ascii="Calibri" w:eastAsia="Calibri" w:hAnsi="Calibri" w:cs="Calibri"/>
                <w:sz w:val="19"/>
                <w:szCs w:val="19"/>
              </w:rPr>
              <w:t>The Swiss Confederation, acting through the office described in Article 22.4</w:t>
            </w:r>
          </w:p>
        </w:tc>
      </w:tr>
      <w:tr w:rsidR="00DA7972" w14:paraId="252752F3" w14:textId="77777777">
        <w:tc>
          <w:tcPr>
            <w:tcW w:w="3000" w:type="dxa"/>
          </w:tcPr>
          <w:p w14:paraId="33D87C38" w14:textId="77777777" w:rsidR="00DA7972" w:rsidRDefault="00000000">
            <w:pPr>
              <w:spacing w:after="0" w:line="260" w:lineRule="auto"/>
              <w:jc w:val="left"/>
            </w:pPr>
            <w:r>
              <w:rPr>
                <w:rFonts w:ascii="Calibri" w:eastAsia="Calibri" w:hAnsi="Calibri" w:cs="Calibri"/>
                <w:sz w:val="19"/>
                <w:szCs w:val="19"/>
              </w:rPr>
              <w:t>Neutral Keel Office</w:t>
            </w:r>
          </w:p>
        </w:tc>
        <w:tc>
          <w:tcPr>
            <w:tcW w:w="6010" w:type="dxa"/>
          </w:tcPr>
          <w:p w14:paraId="132247C0" w14:textId="77777777" w:rsidR="00DA7972" w:rsidRDefault="00000000">
            <w:pPr>
              <w:spacing w:after="0" w:line="260" w:lineRule="auto"/>
              <w:jc w:val="left"/>
            </w:pPr>
            <w:r>
              <w:rPr>
                <w:rFonts w:ascii="Calibri" w:eastAsia="Calibri" w:hAnsi="Calibri" w:cs="Calibri"/>
                <w:sz w:val="19"/>
                <w:szCs w:val="19"/>
              </w:rPr>
              <w:t>The standing verification and observer office described in Article 15</w:t>
            </w:r>
          </w:p>
        </w:tc>
      </w:tr>
      <w:tr w:rsidR="00DA7972" w14:paraId="7920709C" w14:textId="77777777">
        <w:tc>
          <w:tcPr>
            <w:tcW w:w="3000" w:type="dxa"/>
          </w:tcPr>
          <w:p w14:paraId="70A60D54" w14:textId="77777777" w:rsidR="00DA7972" w:rsidRDefault="00000000">
            <w:pPr>
              <w:spacing w:after="0" w:line="260" w:lineRule="auto"/>
              <w:jc w:val="left"/>
            </w:pPr>
            <w:r>
              <w:rPr>
                <w:rFonts w:ascii="Calibri" w:eastAsia="Calibri" w:hAnsi="Calibri" w:cs="Calibri"/>
                <w:sz w:val="19"/>
                <w:szCs w:val="19"/>
              </w:rPr>
              <w:t>Nofade Guarantee</w:t>
            </w:r>
          </w:p>
        </w:tc>
        <w:tc>
          <w:tcPr>
            <w:tcW w:w="6010" w:type="dxa"/>
          </w:tcPr>
          <w:p w14:paraId="2D5A37EE" w14:textId="77777777" w:rsidR="00DA7972" w:rsidRDefault="00000000">
            <w:pPr>
              <w:spacing w:after="0" w:line="260" w:lineRule="auto"/>
              <w:jc w:val="left"/>
            </w:pPr>
            <w:r>
              <w:rPr>
                <w:rFonts w:ascii="Calibri" w:eastAsia="Calibri" w:hAnsi="Calibri" w:cs="Calibri"/>
                <w:sz w:val="19"/>
                <w:szCs w:val="19"/>
              </w:rPr>
              <w:t>The continuity rule of Article 4</w:t>
            </w:r>
          </w:p>
        </w:tc>
      </w:tr>
      <w:tr w:rsidR="00DA7972" w14:paraId="1953382E" w14:textId="77777777">
        <w:tc>
          <w:tcPr>
            <w:tcW w:w="3000" w:type="dxa"/>
          </w:tcPr>
          <w:p w14:paraId="6C8D17FD" w14:textId="77777777" w:rsidR="00DA7972" w:rsidRDefault="00000000">
            <w:pPr>
              <w:spacing w:after="0" w:line="260" w:lineRule="auto"/>
              <w:jc w:val="left"/>
            </w:pPr>
            <w:r>
              <w:rPr>
                <w:rFonts w:ascii="Calibri" w:eastAsia="Calibri" w:hAnsi="Calibri" w:cs="Calibri"/>
                <w:sz w:val="19"/>
                <w:szCs w:val="19"/>
              </w:rPr>
              <w:t>Operational disruption</w:t>
            </w:r>
          </w:p>
        </w:tc>
        <w:tc>
          <w:tcPr>
            <w:tcW w:w="6010" w:type="dxa"/>
          </w:tcPr>
          <w:p w14:paraId="7BDE46E8" w14:textId="77777777" w:rsidR="00DA7972" w:rsidRDefault="00000000">
            <w:pPr>
              <w:spacing w:after="0" w:line="260" w:lineRule="auto"/>
              <w:jc w:val="left"/>
            </w:pPr>
            <w:r>
              <w:rPr>
                <w:rFonts w:ascii="Calibri" w:eastAsia="Calibri" w:hAnsi="Calibri" w:cs="Calibri"/>
                <w:sz w:val="19"/>
                <w:szCs w:val="19"/>
              </w:rPr>
              <w:t>An event that measurably degrades corridor operation: a lane closure exceeding 4 hours, a fall below 60 percent of the scheduled daily transit count, an acknowledgment latency exceeding 2 hours system-wide, or a Bulletin publication failure exceeding one cycle; the Center logs every operational disruption with its measured values, and the definition admits no discretionary extension</w:t>
            </w:r>
          </w:p>
        </w:tc>
      </w:tr>
      <w:tr w:rsidR="00DA7972" w14:paraId="29605153" w14:textId="77777777">
        <w:tc>
          <w:tcPr>
            <w:tcW w:w="3000" w:type="dxa"/>
          </w:tcPr>
          <w:p w14:paraId="289F06F7" w14:textId="77777777" w:rsidR="00DA7972" w:rsidRDefault="00000000">
            <w:pPr>
              <w:spacing w:after="0" w:line="260" w:lineRule="auto"/>
              <w:jc w:val="left"/>
            </w:pPr>
            <w:r>
              <w:rPr>
                <w:rFonts w:ascii="Calibri" w:eastAsia="Calibri" w:hAnsi="Calibri" w:cs="Calibri"/>
                <w:sz w:val="19"/>
                <w:szCs w:val="19"/>
              </w:rPr>
              <w:t>Observer State</w:t>
            </w:r>
          </w:p>
        </w:tc>
        <w:tc>
          <w:tcPr>
            <w:tcW w:w="6010" w:type="dxa"/>
          </w:tcPr>
          <w:p w14:paraId="77DB0BCB" w14:textId="77777777" w:rsidR="00DA7972" w:rsidRDefault="00000000">
            <w:pPr>
              <w:spacing w:after="0" w:line="260" w:lineRule="auto"/>
              <w:jc w:val="left"/>
            </w:pPr>
            <w:r>
              <w:rPr>
                <w:rFonts w:ascii="Calibri" w:eastAsia="Calibri" w:hAnsi="Calibri" w:cs="Calibri"/>
                <w:sz w:val="19"/>
                <w:szCs w:val="19"/>
              </w:rPr>
              <w:t>A non-littoral state participating in the Accord under Article 19 without vote</w:t>
            </w:r>
          </w:p>
        </w:tc>
      </w:tr>
      <w:tr w:rsidR="00DA7972" w14:paraId="09396EE5" w14:textId="77777777">
        <w:tc>
          <w:tcPr>
            <w:tcW w:w="3000" w:type="dxa"/>
          </w:tcPr>
          <w:p w14:paraId="6F1CAA40" w14:textId="77777777" w:rsidR="00DA7972" w:rsidRDefault="00000000">
            <w:pPr>
              <w:spacing w:after="0" w:line="260" w:lineRule="auto"/>
              <w:jc w:val="left"/>
            </w:pPr>
            <w:r>
              <w:rPr>
                <w:rFonts w:ascii="Calibri" w:eastAsia="Calibri" w:hAnsi="Calibri" w:cs="Calibri"/>
                <w:sz w:val="19"/>
                <w:szCs w:val="19"/>
              </w:rPr>
              <w:t>Open Water Bulletin</w:t>
            </w:r>
          </w:p>
        </w:tc>
        <w:tc>
          <w:tcPr>
            <w:tcW w:w="6010" w:type="dxa"/>
          </w:tcPr>
          <w:p w14:paraId="39BC55EE" w14:textId="77777777" w:rsidR="00DA7972" w:rsidRDefault="00000000">
            <w:pPr>
              <w:spacing w:after="0" w:line="260" w:lineRule="auto"/>
              <w:jc w:val="left"/>
            </w:pPr>
            <w:r>
              <w:rPr>
                <w:rFonts w:ascii="Calibri" w:eastAsia="Calibri" w:hAnsi="Calibri" w:cs="Calibri"/>
                <w:sz w:val="19"/>
                <w:szCs w:val="19"/>
              </w:rPr>
              <w:t>The public status publication of the Accord described in Article 11.7</w:t>
            </w:r>
          </w:p>
        </w:tc>
      </w:tr>
      <w:tr w:rsidR="00DA7972" w14:paraId="1C0F7823" w14:textId="77777777">
        <w:tc>
          <w:tcPr>
            <w:tcW w:w="3000" w:type="dxa"/>
          </w:tcPr>
          <w:p w14:paraId="7B5FFC16" w14:textId="77777777" w:rsidR="00DA7972" w:rsidRDefault="00000000">
            <w:pPr>
              <w:spacing w:after="0" w:line="260" w:lineRule="auto"/>
              <w:jc w:val="left"/>
            </w:pPr>
            <w:r>
              <w:rPr>
                <w:rFonts w:ascii="Calibri" w:eastAsia="Calibri" w:hAnsi="Calibri" w:cs="Calibri"/>
                <w:sz w:val="19"/>
                <w:szCs w:val="19"/>
              </w:rPr>
              <w:t>Performance Reserve</w:t>
            </w:r>
          </w:p>
        </w:tc>
        <w:tc>
          <w:tcPr>
            <w:tcW w:w="6010" w:type="dxa"/>
          </w:tcPr>
          <w:p w14:paraId="2C56E156" w14:textId="77777777" w:rsidR="00DA7972" w:rsidRDefault="00000000">
            <w:pPr>
              <w:spacing w:after="0" w:line="260" w:lineRule="auto"/>
              <w:jc w:val="left"/>
            </w:pPr>
            <w:r>
              <w:rPr>
                <w:rFonts w:ascii="Calibri" w:eastAsia="Calibri" w:hAnsi="Calibri" w:cs="Calibri"/>
                <w:sz w:val="19"/>
                <w:szCs w:val="19"/>
              </w:rPr>
              <w:t>The banked record of over-compliance described in Article 31.6</w:t>
            </w:r>
          </w:p>
        </w:tc>
      </w:tr>
      <w:tr w:rsidR="00DA7972" w14:paraId="3F69E0BD" w14:textId="77777777">
        <w:tc>
          <w:tcPr>
            <w:tcW w:w="3000" w:type="dxa"/>
          </w:tcPr>
          <w:p w14:paraId="18808CAA" w14:textId="77777777" w:rsidR="00DA7972" w:rsidRDefault="00000000">
            <w:pPr>
              <w:spacing w:after="0" w:line="260" w:lineRule="auto"/>
              <w:jc w:val="left"/>
            </w:pPr>
            <w:r>
              <w:rPr>
                <w:rFonts w:ascii="Calibri" w:eastAsia="Calibri" w:hAnsi="Calibri" w:cs="Calibri"/>
                <w:sz w:val="19"/>
                <w:szCs w:val="19"/>
              </w:rPr>
              <w:lastRenderedPageBreak/>
              <w:t>Suspended Flow</w:t>
            </w:r>
          </w:p>
        </w:tc>
        <w:tc>
          <w:tcPr>
            <w:tcW w:w="6010" w:type="dxa"/>
          </w:tcPr>
          <w:p w14:paraId="16A12735" w14:textId="77777777" w:rsidR="00DA7972" w:rsidRDefault="00000000">
            <w:pPr>
              <w:spacing w:after="0" w:line="260" w:lineRule="auto"/>
              <w:jc w:val="left"/>
            </w:pPr>
            <w:r>
              <w:rPr>
                <w:rFonts w:ascii="Calibri" w:eastAsia="Calibri" w:hAnsi="Calibri" w:cs="Calibri"/>
                <w:sz w:val="19"/>
                <w:szCs w:val="19"/>
              </w:rPr>
              <w:t>The temporary, area-defined, time-limited safety state described in Article 11.6, formerly styled a hold</w:t>
            </w:r>
          </w:p>
        </w:tc>
      </w:tr>
      <w:tr w:rsidR="00DA7972" w14:paraId="25548048" w14:textId="77777777">
        <w:tc>
          <w:tcPr>
            <w:tcW w:w="3000" w:type="dxa"/>
          </w:tcPr>
          <w:p w14:paraId="5BDF8D3F" w14:textId="77777777" w:rsidR="00DA7972" w:rsidRDefault="00000000">
            <w:pPr>
              <w:spacing w:after="0" w:line="260" w:lineRule="auto"/>
              <w:jc w:val="left"/>
            </w:pPr>
            <w:r>
              <w:rPr>
                <w:rFonts w:ascii="Calibri" w:eastAsia="Calibri" w:hAnsi="Calibri" w:cs="Calibri"/>
                <w:sz w:val="19"/>
                <w:szCs w:val="19"/>
              </w:rPr>
              <w:t>Red Line</w:t>
            </w:r>
          </w:p>
        </w:tc>
        <w:tc>
          <w:tcPr>
            <w:tcW w:w="6010" w:type="dxa"/>
          </w:tcPr>
          <w:p w14:paraId="2A3A9AE1" w14:textId="77777777" w:rsidR="00DA7972" w:rsidRDefault="00000000">
            <w:pPr>
              <w:spacing w:after="0" w:line="260" w:lineRule="auto"/>
              <w:jc w:val="left"/>
            </w:pPr>
            <w:r>
              <w:rPr>
                <w:rFonts w:ascii="Calibri" w:eastAsia="Calibri" w:hAnsi="Calibri" w:cs="Calibri"/>
                <w:sz w:val="19"/>
                <w:szCs w:val="19"/>
              </w:rPr>
              <w:t>A boundary condition registered in Annex I whose crossing the architecture structurally prevents</w:t>
            </w:r>
          </w:p>
        </w:tc>
      </w:tr>
      <w:tr w:rsidR="00DA7972" w14:paraId="697DA491" w14:textId="77777777">
        <w:tc>
          <w:tcPr>
            <w:tcW w:w="3000" w:type="dxa"/>
          </w:tcPr>
          <w:p w14:paraId="35CA1C21" w14:textId="77777777" w:rsidR="00DA7972" w:rsidRDefault="00000000">
            <w:pPr>
              <w:spacing w:after="0" w:line="260" w:lineRule="auto"/>
              <w:jc w:val="left"/>
            </w:pPr>
            <w:r>
              <w:rPr>
                <w:rFonts w:ascii="Calibri" w:eastAsia="Calibri" w:hAnsi="Calibri" w:cs="Calibri"/>
                <w:sz w:val="19"/>
                <w:szCs w:val="19"/>
              </w:rPr>
              <w:t>Stillwater Pause</w:t>
            </w:r>
          </w:p>
        </w:tc>
        <w:tc>
          <w:tcPr>
            <w:tcW w:w="6010" w:type="dxa"/>
          </w:tcPr>
          <w:p w14:paraId="25A5ECE4" w14:textId="77777777" w:rsidR="00DA7972" w:rsidRDefault="00000000">
            <w:pPr>
              <w:spacing w:after="0" w:line="260" w:lineRule="auto"/>
              <w:jc w:val="left"/>
            </w:pPr>
            <w:r>
              <w:rPr>
                <w:rFonts w:ascii="Calibri" w:eastAsia="Calibri" w:hAnsi="Calibri" w:cs="Calibri"/>
                <w:sz w:val="19"/>
                <w:szCs w:val="19"/>
              </w:rPr>
              <w:t>The automatic pause-and-consult mechanism of Article 32</w:t>
            </w:r>
          </w:p>
        </w:tc>
      </w:tr>
      <w:tr w:rsidR="00DA7972" w14:paraId="204F1AE8" w14:textId="77777777">
        <w:tc>
          <w:tcPr>
            <w:tcW w:w="3000" w:type="dxa"/>
          </w:tcPr>
          <w:p w14:paraId="141F424B" w14:textId="77777777" w:rsidR="00DA7972" w:rsidRDefault="00000000">
            <w:pPr>
              <w:spacing w:after="0" w:line="260" w:lineRule="auto"/>
              <w:jc w:val="left"/>
            </w:pPr>
            <w:r>
              <w:rPr>
                <w:rFonts w:ascii="Calibri" w:eastAsia="Calibri" w:hAnsi="Calibri" w:cs="Calibri"/>
                <w:sz w:val="19"/>
                <w:szCs w:val="19"/>
              </w:rPr>
              <w:t>Transit Services Fund (TSF)</w:t>
            </w:r>
          </w:p>
        </w:tc>
        <w:tc>
          <w:tcPr>
            <w:tcW w:w="6010" w:type="dxa"/>
          </w:tcPr>
          <w:p w14:paraId="0E3EF524" w14:textId="77777777" w:rsidR="00DA7972" w:rsidRDefault="00000000">
            <w:pPr>
              <w:spacing w:after="0" w:line="260" w:lineRule="auto"/>
              <w:jc w:val="left"/>
            </w:pPr>
            <w:r>
              <w:rPr>
                <w:rFonts w:ascii="Calibri" w:eastAsia="Calibri" w:hAnsi="Calibri" w:cs="Calibri"/>
                <w:sz w:val="19"/>
                <w:szCs w:val="19"/>
              </w:rPr>
              <w:t>The multilateral fund described in Article 22 and Annex C</w:t>
            </w:r>
          </w:p>
        </w:tc>
      </w:tr>
      <w:tr w:rsidR="00DA7972" w14:paraId="37174F06" w14:textId="77777777">
        <w:tc>
          <w:tcPr>
            <w:tcW w:w="3000" w:type="dxa"/>
          </w:tcPr>
          <w:p w14:paraId="15C7EBEF" w14:textId="77777777" w:rsidR="00DA7972" w:rsidRDefault="00000000">
            <w:pPr>
              <w:spacing w:after="0" w:line="260" w:lineRule="auto"/>
              <w:jc w:val="left"/>
            </w:pPr>
            <w:r>
              <w:rPr>
                <w:rFonts w:ascii="Calibri" w:eastAsia="Calibri" w:hAnsi="Calibri" w:cs="Calibri"/>
                <w:sz w:val="19"/>
                <w:szCs w:val="19"/>
              </w:rPr>
              <w:t>Twin Key Rule</w:t>
            </w:r>
          </w:p>
        </w:tc>
        <w:tc>
          <w:tcPr>
            <w:tcW w:w="6010" w:type="dxa"/>
          </w:tcPr>
          <w:p w14:paraId="31B2E566" w14:textId="77777777" w:rsidR="00DA7972" w:rsidRDefault="00000000">
            <w:pPr>
              <w:spacing w:after="0" w:line="260" w:lineRule="auto"/>
              <w:jc w:val="left"/>
            </w:pPr>
            <w:r>
              <w:rPr>
                <w:rFonts w:ascii="Calibri" w:eastAsia="Calibri" w:hAnsi="Calibri" w:cs="Calibri"/>
                <w:sz w:val="19"/>
                <w:szCs w:val="19"/>
              </w:rPr>
              <w:t>The decision rule of Article 20.2 under which specified decisions carry the affirmative vote of Iran and of Oman</w:t>
            </w:r>
          </w:p>
        </w:tc>
      </w:tr>
      <w:tr w:rsidR="00DA7972" w14:paraId="2E8B69E5" w14:textId="77777777">
        <w:tc>
          <w:tcPr>
            <w:tcW w:w="3000" w:type="dxa"/>
          </w:tcPr>
          <w:p w14:paraId="143F7246" w14:textId="77777777" w:rsidR="00DA7972" w:rsidRDefault="00000000">
            <w:pPr>
              <w:spacing w:after="0" w:line="260" w:lineRule="auto"/>
              <w:jc w:val="left"/>
            </w:pPr>
            <w:r>
              <w:rPr>
                <w:rFonts w:ascii="Calibri" w:eastAsia="Calibri" w:hAnsi="Calibri" w:cs="Calibri"/>
                <w:sz w:val="19"/>
                <w:szCs w:val="19"/>
              </w:rPr>
              <w:t>Verified service</w:t>
            </w:r>
          </w:p>
        </w:tc>
        <w:tc>
          <w:tcPr>
            <w:tcW w:w="6010" w:type="dxa"/>
          </w:tcPr>
          <w:p w14:paraId="610F99C8" w14:textId="77777777" w:rsidR="00DA7972" w:rsidRDefault="00000000">
            <w:pPr>
              <w:spacing w:after="0" w:line="260" w:lineRule="auto"/>
              <w:jc w:val="left"/>
            </w:pPr>
            <w:r>
              <w:rPr>
                <w:rFonts w:ascii="Calibri" w:eastAsia="Calibri" w:hAnsi="Calibri" w:cs="Calibri"/>
                <w:sz w:val="19"/>
                <w:szCs w:val="19"/>
              </w:rPr>
              <w:t>A service listed in the Verified Services Catalog and evidenced by a complete service record under Article 23.2: the watch log entry, escorted window record, survey track, or aid-maintenance certificate, countersigned by the delivering state's officer and passing the Neutral Keel Office's quarterly cross-check; a service without a complete record is not a verified service and earns no reimbursement</w:t>
            </w:r>
          </w:p>
        </w:tc>
      </w:tr>
      <w:tr w:rsidR="00DA7972" w14:paraId="52F87F91" w14:textId="77777777">
        <w:tc>
          <w:tcPr>
            <w:tcW w:w="3000" w:type="dxa"/>
          </w:tcPr>
          <w:p w14:paraId="356A40AC" w14:textId="77777777" w:rsidR="00DA7972" w:rsidRDefault="00000000">
            <w:pPr>
              <w:spacing w:after="0" w:line="260" w:lineRule="auto"/>
              <w:jc w:val="left"/>
            </w:pPr>
            <w:r>
              <w:rPr>
                <w:rFonts w:ascii="Calibri" w:eastAsia="Calibri" w:hAnsi="Calibri" w:cs="Calibri"/>
                <w:sz w:val="19"/>
                <w:szCs w:val="19"/>
              </w:rPr>
              <w:t>Zero-Toll Rule</w:t>
            </w:r>
          </w:p>
        </w:tc>
        <w:tc>
          <w:tcPr>
            <w:tcW w:w="6010" w:type="dxa"/>
          </w:tcPr>
          <w:p w14:paraId="483FCF17" w14:textId="77777777" w:rsidR="00DA7972" w:rsidRDefault="00000000">
            <w:pPr>
              <w:spacing w:after="0" w:line="260" w:lineRule="auto"/>
              <w:jc w:val="left"/>
            </w:pPr>
            <w:r>
              <w:rPr>
                <w:rFonts w:ascii="Calibri" w:eastAsia="Calibri" w:hAnsi="Calibri" w:cs="Calibri"/>
                <w:sz w:val="19"/>
                <w:szCs w:val="19"/>
              </w:rPr>
              <w:t>The rule of Article 21.1 under which no charge of any kind attaches to the act of transit</w:t>
            </w:r>
          </w:p>
        </w:tc>
      </w:tr>
    </w:tbl>
    <w:p w14:paraId="2242D231" w14:textId="77777777" w:rsidR="00DA7972" w:rsidRDefault="00DA7972">
      <w:pPr>
        <w:spacing w:after="60"/>
      </w:pPr>
    </w:p>
    <w:p w14:paraId="78866695" w14:textId="77777777" w:rsidR="00DA7972" w:rsidRDefault="00000000">
      <w:pPr>
        <w:pStyle w:val="Caption"/>
      </w:pPr>
      <w:r>
        <w:rPr>
          <w:rFonts w:eastAsia="Calibri" w:cs="Calibri"/>
          <w:szCs w:val="18"/>
        </w:rPr>
        <w:t>Table 5.1: Defined terms</w:t>
      </w:r>
    </w:p>
    <w:p w14:paraId="571A5897" w14:textId="77777777" w:rsidR="00DA7972" w:rsidRDefault="00000000">
      <w:pPr>
        <w:pStyle w:val="Heading3"/>
      </w:pPr>
      <w:r>
        <w:rPr>
          <w:rFonts w:eastAsia="Calibri" w:cs="Calibri"/>
          <w:szCs w:val="22"/>
        </w:rPr>
        <w:t>5.2 Interpretation rules</w:t>
      </w:r>
    </w:p>
    <w:p w14:paraId="28C57971" w14:textId="77777777" w:rsidR="00DA7972" w:rsidRDefault="00000000">
      <w:pPr>
        <w:ind w:left="360"/>
      </w:pPr>
      <w:r>
        <w:rPr>
          <w:rFonts w:eastAsia="Georgia" w:cs="Georgia"/>
          <w:szCs w:val="21"/>
        </w:rPr>
        <w:t>1. Headings serve convenience only and do not affect interpretation.</w:t>
      </w:r>
    </w:p>
    <w:p w14:paraId="3AD09CB2" w14:textId="77777777" w:rsidR="00DA7972" w:rsidRDefault="00000000">
      <w:pPr>
        <w:ind w:left="360"/>
      </w:pPr>
      <w:r>
        <w:rPr>
          <w:rFonts w:eastAsia="Georgia" w:cs="Georgia"/>
          <w:szCs w:val="21"/>
        </w:rPr>
        <w:t>2. The singular includes the plural and vice versa where context permits.</w:t>
      </w:r>
    </w:p>
    <w:p w14:paraId="70183ECA" w14:textId="77777777" w:rsidR="00DA7972" w:rsidRDefault="00000000">
      <w:pPr>
        <w:ind w:left="360"/>
      </w:pPr>
      <w:r>
        <w:rPr>
          <w:rFonts w:eastAsia="Georgia" w:cs="Georgia"/>
          <w:szCs w:val="21"/>
        </w:rPr>
        <w:t>3. A reference to days means calendar days unless the text states working days.</w:t>
      </w:r>
    </w:p>
    <w:p w14:paraId="6D2DBB53" w14:textId="77777777" w:rsidR="00DA7972" w:rsidRDefault="00000000">
      <w:pPr>
        <w:ind w:left="360"/>
      </w:pPr>
      <w:r>
        <w:rPr>
          <w:rFonts w:eastAsia="Georgia" w:cs="Georgia"/>
          <w:szCs w:val="21"/>
        </w:rPr>
        <w:t>4. All times are Coordinated Universal Time (UTC) unless the text states otherwise. The Meridian Operations Center publishes local-time conversions for operational users.</w:t>
      </w:r>
    </w:p>
    <w:p w14:paraId="0E784762" w14:textId="77777777" w:rsidR="00DA7972" w:rsidRDefault="00000000">
      <w:pPr>
        <w:ind w:left="360"/>
      </w:pPr>
      <w:r>
        <w:rPr>
          <w:rFonts w:eastAsia="Georgia" w:cs="Georgia"/>
          <w:szCs w:val="21"/>
        </w:rPr>
        <w:t>5. Coordinates use the World Geodetic System 1984 (WGS-84) datum. Positions in degrees and decimal minutes carry a precision of plus or minus 0.05 nautical miles.</w:t>
      </w:r>
    </w:p>
    <w:p w14:paraId="37572131" w14:textId="77777777" w:rsidR="00DA7972" w:rsidRDefault="00000000">
      <w:pPr>
        <w:ind w:left="360"/>
      </w:pPr>
      <w:r>
        <w:rPr>
          <w:rFonts w:eastAsia="Georgia" w:cs="Georgia"/>
          <w:szCs w:val="21"/>
        </w:rPr>
        <w:t>6. Where this Accord states that an event activates, triggers, pauses, suspends, or restores a mechanism, the mechanism operates automatically at the moment the stated condition exists, without further decision, unless the text expressly assigns a human review step.</w:t>
      </w:r>
    </w:p>
    <w:p w14:paraId="24A11D2F" w14:textId="77777777" w:rsidR="00DA7972" w:rsidRDefault="00000000">
      <w:pPr>
        <w:ind w:left="360"/>
      </w:pPr>
      <w:r>
        <w:rPr>
          <w:rFonts w:eastAsia="Georgia" w:cs="Georgia"/>
          <w:szCs w:val="21"/>
        </w:rPr>
        <w:t>7. In case of conflict between the main body and an Annex, the main body prevails. In case of divergence among the Persian, Arabic, and English texts, the Stillwater Council adopts the shared meaning the negotiators intended and records that meaning in the Council minutes.</w:t>
      </w:r>
    </w:p>
    <w:p w14:paraId="53E95962" w14:textId="77777777" w:rsidR="00DA7972" w:rsidRDefault="00000000">
      <w:pPr>
        <w:ind w:left="360"/>
      </w:pPr>
      <w:r>
        <w:rPr>
          <w:rFonts w:eastAsia="Georgia" w:cs="Georgia"/>
          <w:szCs w:val="21"/>
        </w:rPr>
        <w:t>8. The Nofade Guarantee resolves every doubt about duration in favor of continuity. The mutual-architecture principle resolves every doubt about the incidence of a prohibition in favor of equal application to all Parties.</w:t>
      </w:r>
    </w:p>
    <w:p w14:paraId="3A16DF1E" w14:textId="77777777" w:rsidR="00DA7972" w:rsidRDefault="00000000">
      <w:pPr>
        <w:ind w:left="360"/>
      </w:pPr>
      <w:r>
        <w:rPr>
          <w:rFonts w:eastAsia="Georgia" w:cs="Georgia"/>
          <w:szCs w:val="21"/>
        </w:rPr>
        <w:t>9. The interpretation never defeats the purpose. A reading that hollows out the Zero-Toll Rule, the Non-Interdiction Protocol, the humanitarian absolute, the Nofade Guarantee, or the multilateral balance principle is an incorrect reading.</w:t>
      </w:r>
    </w:p>
    <w:p w14:paraId="1A7A4590" w14:textId="77777777" w:rsidR="00DA7972" w:rsidRDefault="00000000">
      <w:pPr>
        <w:pStyle w:val="Heading2"/>
      </w:pPr>
      <w:bookmarkStart w:id="9" w:name="_Toc236229890"/>
      <w:r>
        <w:rPr>
          <w:rFonts w:eastAsia="Calibri" w:cs="Calibri"/>
          <w:szCs w:val="26"/>
        </w:rPr>
        <w:lastRenderedPageBreak/>
        <w:t>Article 6: The Red Lines Register and the Perimeter Test</w:t>
      </w:r>
      <w:bookmarkEnd w:id="9"/>
    </w:p>
    <w:p w14:paraId="5FCB599C" w14:textId="77777777" w:rsidR="00DA7972" w:rsidRDefault="00000000">
      <w:pPr>
        <w:pStyle w:val="Heading3"/>
      </w:pPr>
      <w:r>
        <w:rPr>
          <w:rFonts w:eastAsia="Calibri" w:cs="Calibri"/>
          <w:szCs w:val="22"/>
        </w:rPr>
        <w:t>6.1 Purpose and method</w:t>
      </w:r>
    </w:p>
    <w:p w14:paraId="1739ADA3" w14:textId="77777777" w:rsidR="00DA7972" w:rsidRDefault="00000000">
      <w:r>
        <w:rPr>
          <w:rFonts w:eastAsia="Georgia" w:cs="Georgia"/>
          <w:szCs w:val="21"/>
        </w:rPr>
        <w:t>The Parties negotiate in the open about everything except the lines each treats as untouchable. The Red Lines Register of Annex I names those lines once, precisely, and the architecture then guards them automatically. Each entry states the line in neutral terms, names the interest it protects, and identifies the architectural safeguard that holds the line without daily political effort. The Register binds the framework, not the negotiators' rhetoric: a public statement outside the Register carries no operative weight inside the Accord.</w:t>
      </w:r>
    </w:p>
    <w:p w14:paraId="1AC6F246" w14:textId="77777777" w:rsidR="00DA7972" w:rsidRDefault="00000000">
      <w:pPr>
        <w:pStyle w:val="Heading3"/>
      </w:pPr>
      <w:r>
        <w:rPr>
          <w:rFonts w:eastAsia="Calibri" w:cs="Calibri"/>
          <w:szCs w:val="22"/>
        </w:rPr>
        <w:t>6.2 The Register in summary</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5"/>
        <w:gridCol w:w="3075"/>
        <w:gridCol w:w="3076"/>
      </w:tblGrid>
      <w:tr w:rsidR="00DA7972" w14:paraId="21A915AC" w14:textId="77777777">
        <w:trPr>
          <w:tblHeader/>
        </w:trPr>
        <w:tc>
          <w:tcPr>
            <w:tcW w:w="3003" w:type="dxa"/>
            <w:tcBorders>
              <w:bottom w:val="single" w:sz="6" w:space="0" w:color="546E7A"/>
            </w:tcBorders>
            <w:shd w:val="clear" w:color="auto" w:fill="E4E9EC"/>
          </w:tcPr>
          <w:p w14:paraId="5D4939C6" w14:textId="77777777" w:rsidR="00DA7972" w:rsidRDefault="00000000">
            <w:pPr>
              <w:spacing w:after="0" w:line="260" w:lineRule="auto"/>
              <w:jc w:val="left"/>
            </w:pPr>
            <w:r>
              <w:rPr>
                <w:rFonts w:ascii="Calibri" w:eastAsia="Calibri" w:hAnsi="Calibri" w:cs="Calibri"/>
                <w:b/>
                <w:color w:val="37474F"/>
                <w:sz w:val="19"/>
                <w:szCs w:val="19"/>
              </w:rPr>
              <w:t>Ref</w:t>
            </w:r>
          </w:p>
        </w:tc>
        <w:tc>
          <w:tcPr>
            <w:tcW w:w="3003" w:type="dxa"/>
            <w:tcBorders>
              <w:bottom w:val="single" w:sz="6" w:space="0" w:color="546E7A"/>
            </w:tcBorders>
            <w:shd w:val="clear" w:color="auto" w:fill="E4E9EC"/>
          </w:tcPr>
          <w:p w14:paraId="5D3A52AB" w14:textId="77777777" w:rsidR="00DA7972" w:rsidRDefault="00000000">
            <w:pPr>
              <w:spacing w:after="0" w:line="260" w:lineRule="auto"/>
              <w:jc w:val="left"/>
            </w:pPr>
            <w:r>
              <w:rPr>
                <w:rFonts w:ascii="Calibri" w:eastAsia="Calibri" w:hAnsi="Calibri" w:cs="Calibri"/>
                <w:b/>
                <w:color w:val="37474F"/>
                <w:sz w:val="19"/>
                <w:szCs w:val="19"/>
              </w:rPr>
              <w:t>Line (summary)</w:t>
            </w:r>
          </w:p>
        </w:tc>
        <w:tc>
          <w:tcPr>
            <w:tcW w:w="3004" w:type="dxa"/>
            <w:tcBorders>
              <w:bottom w:val="single" w:sz="6" w:space="0" w:color="546E7A"/>
            </w:tcBorders>
            <w:shd w:val="clear" w:color="auto" w:fill="E4E9EC"/>
          </w:tcPr>
          <w:p w14:paraId="21825FFC" w14:textId="77777777" w:rsidR="00DA7972" w:rsidRDefault="00000000">
            <w:pPr>
              <w:spacing w:after="0" w:line="260" w:lineRule="auto"/>
              <w:jc w:val="left"/>
            </w:pPr>
            <w:r>
              <w:rPr>
                <w:rFonts w:ascii="Calibri" w:eastAsia="Calibri" w:hAnsi="Calibri" w:cs="Calibri"/>
                <w:b/>
                <w:color w:val="37474F"/>
                <w:sz w:val="19"/>
                <w:szCs w:val="19"/>
              </w:rPr>
              <w:t>Architectural safeguard</w:t>
            </w:r>
          </w:p>
        </w:tc>
      </w:tr>
      <w:tr w:rsidR="00DA7972" w14:paraId="797D067E" w14:textId="77777777">
        <w:tc>
          <w:tcPr>
            <w:tcW w:w="3003" w:type="dxa"/>
          </w:tcPr>
          <w:p w14:paraId="6EB13A21" w14:textId="77777777" w:rsidR="00DA7972" w:rsidRDefault="00000000">
            <w:pPr>
              <w:spacing w:after="0" w:line="260" w:lineRule="auto"/>
              <w:jc w:val="left"/>
            </w:pPr>
            <w:r>
              <w:rPr>
                <w:rFonts w:ascii="Calibri" w:eastAsia="Calibri" w:hAnsi="Calibri" w:cs="Calibri"/>
                <w:sz w:val="19"/>
                <w:szCs w:val="19"/>
              </w:rPr>
              <w:t>RL-1</w:t>
            </w:r>
          </w:p>
        </w:tc>
        <w:tc>
          <w:tcPr>
            <w:tcW w:w="3003" w:type="dxa"/>
          </w:tcPr>
          <w:p w14:paraId="200FEB3E" w14:textId="77777777" w:rsidR="00DA7972" w:rsidRDefault="00000000">
            <w:pPr>
              <w:spacing w:after="0" w:line="260" w:lineRule="auto"/>
              <w:jc w:val="left"/>
            </w:pPr>
            <w:r>
              <w:rPr>
                <w:rFonts w:ascii="Calibri" w:eastAsia="Calibri" w:hAnsi="Calibri" w:cs="Calibri"/>
                <w:sz w:val="19"/>
                <w:szCs w:val="19"/>
              </w:rPr>
              <w:t>No charge of any kind attaches to the act of transit</w:t>
            </w:r>
          </w:p>
        </w:tc>
        <w:tc>
          <w:tcPr>
            <w:tcW w:w="3004" w:type="dxa"/>
          </w:tcPr>
          <w:p w14:paraId="1DC068B1" w14:textId="77777777" w:rsidR="00DA7972" w:rsidRDefault="00000000">
            <w:pPr>
              <w:spacing w:after="0" w:line="260" w:lineRule="auto"/>
              <w:jc w:val="left"/>
            </w:pPr>
            <w:r>
              <w:rPr>
                <w:rFonts w:ascii="Calibri" w:eastAsia="Calibri" w:hAnsi="Calibri" w:cs="Calibri"/>
                <w:sz w:val="19"/>
                <w:szCs w:val="19"/>
              </w:rPr>
              <w:t>Zero-Toll Rule, Article 21</w:t>
            </w:r>
          </w:p>
        </w:tc>
      </w:tr>
      <w:tr w:rsidR="00DA7972" w14:paraId="6F553D4C" w14:textId="77777777">
        <w:tc>
          <w:tcPr>
            <w:tcW w:w="3003" w:type="dxa"/>
          </w:tcPr>
          <w:p w14:paraId="4C6F18D1" w14:textId="77777777" w:rsidR="00DA7972" w:rsidRDefault="00000000">
            <w:pPr>
              <w:spacing w:after="0" w:line="260" w:lineRule="auto"/>
              <w:jc w:val="left"/>
            </w:pPr>
            <w:r>
              <w:rPr>
                <w:rFonts w:ascii="Calibri" w:eastAsia="Calibri" w:hAnsi="Calibri" w:cs="Calibri"/>
                <w:sz w:val="19"/>
                <w:szCs w:val="19"/>
              </w:rPr>
              <w:t>RL-2</w:t>
            </w:r>
          </w:p>
        </w:tc>
        <w:tc>
          <w:tcPr>
            <w:tcW w:w="3003" w:type="dxa"/>
          </w:tcPr>
          <w:p w14:paraId="5D17EC4E" w14:textId="77777777" w:rsidR="00DA7972" w:rsidRDefault="00000000">
            <w:pPr>
              <w:spacing w:after="0" w:line="260" w:lineRule="auto"/>
              <w:jc w:val="left"/>
            </w:pPr>
            <w:r>
              <w:rPr>
                <w:rFonts w:ascii="Calibri" w:eastAsia="Calibri" w:hAnsi="Calibri" w:cs="Calibri"/>
                <w:sz w:val="19"/>
                <w:szCs w:val="19"/>
              </w:rPr>
              <w:t>The Southern Guarantee Corridor transits unconditionally</w:t>
            </w:r>
          </w:p>
        </w:tc>
        <w:tc>
          <w:tcPr>
            <w:tcW w:w="3004" w:type="dxa"/>
          </w:tcPr>
          <w:p w14:paraId="79D15921" w14:textId="77777777" w:rsidR="00DA7972" w:rsidRDefault="00000000">
            <w:pPr>
              <w:spacing w:after="0" w:line="260" w:lineRule="auto"/>
              <w:jc w:val="left"/>
            </w:pPr>
            <w:r>
              <w:rPr>
                <w:rFonts w:ascii="Calibri" w:eastAsia="Calibri" w:hAnsi="Calibri" w:cs="Calibri"/>
                <w:sz w:val="19"/>
                <w:szCs w:val="19"/>
              </w:rPr>
              <w:t>Article 8.2; no notification layer</w:t>
            </w:r>
          </w:p>
        </w:tc>
      </w:tr>
      <w:tr w:rsidR="00DA7972" w14:paraId="71DBD23C" w14:textId="77777777">
        <w:tc>
          <w:tcPr>
            <w:tcW w:w="3003" w:type="dxa"/>
          </w:tcPr>
          <w:p w14:paraId="341D859F" w14:textId="77777777" w:rsidR="00DA7972" w:rsidRDefault="00000000">
            <w:pPr>
              <w:spacing w:after="0" w:line="260" w:lineRule="auto"/>
              <w:jc w:val="left"/>
            </w:pPr>
            <w:r>
              <w:rPr>
                <w:rFonts w:ascii="Calibri" w:eastAsia="Calibri" w:hAnsi="Calibri" w:cs="Calibri"/>
                <w:sz w:val="19"/>
                <w:szCs w:val="19"/>
              </w:rPr>
              <w:t>RL-3</w:t>
            </w:r>
          </w:p>
        </w:tc>
        <w:tc>
          <w:tcPr>
            <w:tcW w:w="3003" w:type="dxa"/>
          </w:tcPr>
          <w:p w14:paraId="6B9BE5B9" w14:textId="77777777" w:rsidR="00DA7972" w:rsidRDefault="00000000">
            <w:pPr>
              <w:spacing w:after="0" w:line="260" w:lineRule="auto"/>
              <w:jc w:val="left"/>
            </w:pPr>
            <w:r>
              <w:rPr>
                <w:rFonts w:ascii="Calibri" w:eastAsia="Calibri" w:hAnsi="Calibri" w:cs="Calibri"/>
                <w:sz w:val="19"/>
                <w:szCs w:val="19"/>
              </w:rPr>
              <w:t>The northern littoral holds a recognized, formal management role</w:t>
            </w:r>
          </w:p>
        </w:tc>
        <w:tc>
          <w:tcPr>
            <w:tcW w:w="3004" w:type="dxa"/>
          </w:tcPr>
          <w:p w14:paraId="56C8D68D" w14:textId="77777777" w:rsidR="00DA7972" w:rsidRDefault="00000000">
            <w:pPr>
              <w:spacing w:after="0" w:line="260" w:lineRule="auto"/>
              <w:jc w:val="left"/>
            </w:pPr>
            <w:r>
              <w:rPr>
                <w:rFonts w:ascii="Calibri" w:eastAsia="Calibri" w:hAnsi="Calibri" w:cs="Calibri"/>
                <w:sz w:val="19"/>
                <w:szCs w:val="19"/>
              </w:rPr>
              <w:t>Article 8.4; co-equal seats everywhere</w:t>
            </w:r>
          </w:p>
        </w:tc>
      </w:tr>
      <w:tr w:rsidR="00DA7972" w14:paraId="35D35486" w14:textId="77777777">
        <w:tc>
          <w:tcPr>
            <w:tcW w:w="3003" w:type="dxa"/>
          </w:tcPr>
          <w:p w14:paraId="191D4109" w14:textId="77777777" w:rsidR="00DA7972" w:rsidRDefault="00000000">
            <w:pPr>
              <w:spacing w:after="0" w:line="260" w:lineRule="auto"/>
              <w:jc w:val="left"/>
            </w:pPr>
            <w:r>
              <w:rPr>
                <w:rFonts w:ascii="Calibri" w:eastAsia="Calibri" w:hAnsi="Calibri" w:cs="Calibri"/>
                <w:sz w:val="19"/>
                <w:szCs w:val="19"/>
              </w:rPr>
              <w:t>RL-4</w:t>
            </w:r>
          </w:p>
        </w:tc>
        <w:tc>
          <w:tcPr>
            <w:tcW w:w="3003" w:type="dxa"/>
          </w:tcPr>
          <w:p w14:paraId="1254A5DA" w14:textId="77777777" w:rsidR="00DA7972" w:rsidRDefault="00000000">
            <w:pPr>
              <w:spacing w:after="0" w:line="260" w:lineRule="auto"/>
              <w:jc w:val="left"/>
            </w:pPr>
            <w:r>
              <w:rPr>
                <w:rFonts w:ascii="Calibri" w:eastAsia="Calibri" w:hAnsi="Calibri" w:cs="Calibri"/>
                <w:sz w:val="19"/>
                <w:szCs w:val="19"/>
              </w:rPr>
              <w:t>No permission regime operates anywhere in the Accord</w:t>
            </w:r>
          </w:p>
        </w:tc>
        <w:tc>
          <w:tcPr>
            <w:tcW w:w="3004" w:type="dxa"/>
          </w:tcPr>
          <w:p w14:paraId="546B5CC8" w14:textId="77777777" w:rsidR="00DA7972" w:rsidRDefault="00000000">
            <w:pPr>
              <w:spacing w:after="0" w:line="260" w:lineRule="auto"/>
              <w:jc w:val="left"/>
            </w:pPr>
            <w:r>
              <w:rPr>
                <w:rFonts w:ascii="Calibri" w:eastAsia="Calibri" w:hAnsi="Calibri" w:cs="Calibri"/>
                <w:sz w:val="19"/>
                <w:szCs w:val="19"/>
              </w:rPr>
              <w:t>Notification-only rule, Article 8.3</w:t>
            </w:r>
          </w:p>
        </w:tc>
      </w:tr>
      <w:tr w:rsidR="00DA7972" w14:paraId="2406C3DE" w14:textId="77777777">
        <w:tc>
          <w:tcPr>
            <w:tcW w:w="3003" w:type="dxa"/>
          </w:tcPr>
          <w:p w14:paraId="075E79CA" w14:textId="77777777" w:rsidR="00DA7972" w:rsidRDefault="00000000">
            <w:pPr>
              <w:spacing w:after="0" w:line="260" w:lineRule="auto"/>
              <w:jc w:val="left"/>
            </w:pPr>
            <w:r>
              <w:rPr>
                <w:rFonts w:ascii="Calibri" w:eastAsia="Calibri" w:hAnsi="Calibri" w:cs="Calibri"/>
                <w:sz w:val="19"/>
                <w:szCs w:val="19"/>
              </w:rPr>
              <w:t>RL-5</w:t>
            </w:r>
          </w:p>
        </w:tc>
        <w:tc>
          <w:tcPr>
            <w:tcW w:w="3003" w:type="dxa"/>
          </w:tcPr>
          <w:p w14:paraId="4E72FD71" w14:textId="77777777" w:rsidR="00DA7972" w:rsidRDefault="00000000">
            <w:pPr>
              <w:spacing w:after="0" w:line="260" w:lineRule="auto"/>
              <w:jc w:val="left"/>
            </w:pPr>
            <w:r>
              <w:rPr>
                <w:rFonts w:ascii="Calibri" w:eastAsia="Calibri" w:hAnsi="Calibri" w:cs="Calibri"/>
                <w:sz w:val="19"/>
                <w:szCs w:val="19"/>
              </w:rPr>
              <w:t>No boarding, diversion, seizure, or inspection occurs inside a corridor</w:t>
            </w:r>
          </w:p>
        </w:tc>
        <w:tc>
          <w:tcPr>
            <w:tcW w:w="3004" w:type="dxa"/>
          </w:tcPr>
          <w:p w14:paraId="2C71C7B2" w14:textId="77777777" w:rsidR="00DA7972" w:rsidRDefault="00000000">
            <w:pPr>
              <w:spacing w:after="0" w:line="260" w:lineRule="auto"/>
              <w:jc w:val="left"/>
            </w:pPr>
            <w:r>
              <w:rPr>
                <w:rFonts w:ascii="Calibri" w:eastAsia="Calibri" w:hAnsi="Calibri" w:cs="Calibri"/>
                <w:sz w:val="19"/>
                <w:szCs w:val="19"/>
              </w:rPr>
              <w:t>Non-Interdiction Protocol, Article 10.2</w:t>
            </w:r>
          </w:p>
        </w:tc>
      </w:tr>
      <w:tr w:rsidR="00DA7972" w14:paraId="1A7722DC" w14:textId="77777777">
        <w:tc>
          <w:tcPr>
            <w:tcW w:w="3003" w:type="dxa"/>
          </w:tcPr>
          <w:p w14:paraId="3294EB13" w14:textId="77777777" w:rsidR="00DA7972" w:rsidRDefault="00000000">
            <w:pPr>
              <w:spacing w:after="0" w:line="260" w:lineRule="auto"/>
              <w:jc w:val="left"/>
            </w:pPr>
            <w:r>
              <w:rPr>
                <w:rFonts w:ascii="Calibri" w:eastAsia="Calibri" w:hAnsi="Calibri" w:cs="Calibri"/>
                <w:sz w:val="19"/>
                <w:szCs w:val="19"/>
              </w:rPr>
              <w:t>RL-6</w:t>
            </w:r>
          </w:p>
        </w:tc>
        <w:tc>
          <w:tcPr>
            <w:tcW w:w="3003" w:type="dxa"/>
          </w:tcPr>
          <w:p w14:paraId="160B0010" w14:textId="77777777" w:rsidR="00DA7972" w:rsidRDefault="00000000">
            <w:pPr>
              <w:spacing w:after="0" w:line="260" w:lineRule="auto"/>
              <w:jc w:val="left"/>
            </w:pPr>
            <w:r>
              <w:rPr>
                <w:rFonts w:ascii="Calibri" w:eastAsia="Calibri" w:hAnsi="Calibri" w:cs="Calibri"/>
                <w:sz w:val="19"/>
                <w:szCs w:val="19"/>
              </w:rPr>
              <w:t>Operational bodies of the Accord remain civilian</w:t>
            </w:r>
          </w:p>
        </w:tc>
        <w:tc>
          <w:tcPr>
            <w:tcW w:w="3004" w:type="dxa"/>
          </w:tcPr>
          <w:p w14:paraId="3F0E1637" w14:textId="77777777" w:rsidR="00DA7972" w:rsidRDefault="00000000">
            <w:pPr>
              <w:spacing w:after="0" w:line="260" w:lineRule="auto"/>
              <w:jc w:val="left"/>
            </w:pPr>
            <w:r>
              <w:rPr>
                <w:rFonts w:ascii="Calibri" w:eastAsia="Calibri" w:hAnsi="Calibri" w:cs="Calibri"/>
                <w:sz w:val="19"/>
                <w:szCs w:val="19"/>
              </w:rPr>
              <w:t>Civilian Character Clause, Article 14.6</w:t>
            </w:r>
          </w:p>
        </w:tc>
      </w:tr>
      <w:tr w:rsidR="00DA7972" w14:paraId="79E6FF58" w14:textId="77777777">
        <w:tc>
          <w:tcPr>
            <w:tcW w:w="3003" w:type="dxa"/>
          </w:tcPr>
          <w:p w14:paraId="67811475" w14:textId="77777777" w:rsidR="00DA7972" w:rsidRDefault="00000000">
            <w:pPr>
              <w:spacing w:after="0" w:line="260" w:lineRule="auto"/>
              <w:jc w:val="left"/>
            </w:pPr>
            <w:r>
              <w:rPr>
                <w:rFonts w:ascii="Calibri" w:eastAsia="Calibri" w:hAnsi="Calibri" w:cs="Calibri"/>
                <w:sz w:val="19"/>
                <w:szCs w:val="19"/>
              </w:rPr>
              <w:t>RL-7</w:t>
            </w:r>
          </w:p>
        </w:tc>
        <w:tc>
          <w:tcPr>
            <w:tcW w:w="3003" w:type="dxa"/>
          </w:tcPr>
          <w:p w14:paraId="5DFAB1BB" w14:textId="77777777" w:rsidR="00DA7972" w:rsidRDefault="00000000">
            <w:pPr>
              <w:spacing w:after="0" w:line="260" w:lineRule="auto"/>
              <w:jc w:val="left"/>
            </w:pPr>
            <w:r>
              <w:rPr>
                <w:rFonts w:ascii="Calibri" w:eastAsia="Calibri" w:hAnsi="Calibri" w:cs="Calibri"/>
                <w:sz w:val="19"/>
                <w:szCs w:val="19"/>
              </w:rPr>
              <w:t>No shipper pays any Party directly for anything</w:t>
            </w:r>
          </w:p>
        </w:tc>
        <w:tc>
          <w:tcPr>
            <w:tcW w:w="3004" w:type="dxa"/>
          </w:tcPr>
          <w:p w14:paraId="75813BFB" w14:textId="77777777" w:rsidR="00DA7972" w:rsidRDefault="00000000">
            <w:pPr>
              <w:spacing w:after="0" w:line="260" w:lineRule="auto"/>
              <w:jc w:val="left"/>
            </w:pPr>
            <w:r>
              <w:rPr>
                <w:rFonts w:ascii="Calibri" w:eastAsia="Calibri" w:hAnsi="Calibri" w:cs="Calibri"/>
                <w:sz w:val="19"/>
                <w:szCs w:val="19"/>
              </w:rPr>
              <w:t>Sanctions-Compliance Firewall, Article 25.4</w:t>
            </w:r>
          </w:p>
        </w:tc>
      </w:tr>
      <w:tr w:rsidR="00DA7972" w14:paraId="1211986A" w14:textId="77777777">
        <w:tc>
          <w:tcPr>
            <w:tcW w:w="3003" w:type="dxa"/>
          </w:tcPr>
          <w:p w14:paraId="2DDEDA37" w14:textId="77777777" w:rsidR="00DA7972" w:rsidRDefault="00000000">
            <w:pPr>
              <w:spacing w:after="0" w:line="260" w:lineRule="auto"/>
              <w:jc w:val="left"/>
            </w:pPr>
            <w:r>
              <w:rPr>
                <w:rFonts w:ascii="Calibri" w:eastAsia="Calibri" w:hAnsi="Calibri" w:cs="Calibri"/>
                <w:sz w:val="19"/>
                <w:szCs w:val="19"/>
              </w:rPr>
              <w:t>RL-8</w:t>
            </w:r>
          </w:p>
        </w:tc>
        <w:tc>
          <w:tcPr>
            <w:tcW w:w="3003" w:type="dxa"/>
          </w:tcPr>
          <w:p w14:paraId="59664493" w14:textId="77777777" w:rsidR="00DA7972" w:rsidRDefault="00000000">
            <w:pPr>
              <w:spacing w:after="0" w:line="260" w:lineRule="auto"/>
              <w:jc w:val="left"/>
            </w:pPr>
            <w:r>
              <w:rPr>
                <w:rFonts w:ascii="Calibri" w:eastAsia="Calibri" w:hAnsi="Calibri" w:cs="Calibri"/>
                <w:sz w:val="19"/>
                <w:szCs w:val="19"/>
              </w:rPr>
              <w:t>Each Party's sovereignty over its own waters stands intact</w:t>
            </w:r>
          </w:p>
        </w:tc>
        <w:tc>
          <w:tcPr>
            <w:tcW w:w="3004" w:type="dxa"/>
          </w:tcPr>
          <w:p w14:paraId="43619804" w14:textId="77777777" w:rsidR="00DA7972" w:rsidRDefault="00000000">
            <w:pPr>
              <w:spacing w:after="0" w:line="260" w:lineRule="auto"/>
              <w:jc w:val="left"/>
            </w:pPr>
            <w:r>
              <w:rPr>
                <w:rFonts w:ascii="Calibri" w:eastAsia="Calibri" w:hAnsi="Calibri" w:cs="Calibri"/>
                <w:sz w:val="19"/>
                <w:szCs w:val="19"/>
              </w:rPr>
              <w:t>Articles 1.3, 2.6; the no-prejudice rule</w:t>
            </w:r>
          </w:p>
        </w:tc>
      </w:tr>
      <w:tr w:rsidR="00DA7972" w14:paraId="0D3852F2" w14:textId="77777777">
        <w:tc>
          <w:tcPr>
            <w:tcW w:w="3003" w:type="dxa"/>
          </w:tcPr>
          <w:p w14:paraId="4810CE82" w14:textId="77777777" w:rsidR="00DA7972" w:rsidRDefault="00000000">
            <w:pPr>
              <w:spacing w:after="0" w:line="260" w:lineRule="auto"/>
              <w:jc w:val="left"/>
            </w:pPr>
            <w:r>
              <w:rPr>
                <w:rFonts w:ascii="Calibri" w:eastAsia="Calibri" w:hAnsi="Calibri" w:cs="Calibri"/>
                <w:sz w:val="19"/>
                <w:szCs w:val="19"/>
              </w:rPr>
              <w:t>RL-9</w:t>
            </w:r>
          </w:p>
        </w:tc>
        <w:tc>
          <w:tcPr>
            <w:tcW w:w="3003" w:type="dxa"/>
          </w:tcPr>
          <w:p w14:paraId="47CF2D50" w14:textId="77777777" w:rsidR="00DA7972" w:rsidRDefault="00000000">
            <w:pPr>
              <w:spacing w:after="0" w:line="260" w:lineRule="auto"/>
              <w:jc w:val="left"/>
            </w:pPr>
            <w:r>
              <w:rPr>
                <w:rFonts w:ascii="Calibri" w:eastAsia="Calibri" w:hAnsi="Calibri" w:cs="Calibri"/>
                <w:sz w:val="19"/>
                <w:szCs w:val="19"/>
              </w:rPr>
              <w:t>No commitment expires silently</w:t>
            </w:r>
          </w:p>
        </w:tc>
        <w:tc>
          <w:tcPr>
            <w:tcW w:w="3004" w:type="dxa"/>
          </w:tcPr>
          <w:p w14:paraId="720A38F7" w14:textId="77777777" w:rsidR="00DA7972" w:rsidRDefault="00000000">
            <w:pPr>
              <w:spacing w:after="0" w:line="260" w:lineRule="auto"/>
              <w:jc w:val="left"/>
            </w:pPr>
            <w:r>
              <w:rPr>
                <w:rFonts w:ascii="Calibri" w:eastAsia="Calibri" w:hAnsi="Calibri" w:cs="Calibri"/>
                <w:sz w:val="19"/>
                <w:szCs w:val="19"/>
              </w:rPr>
              <w:t>Nofade Guarantee, Article 4</w:t>
            </w:r>
          </w:p>
        </w:tc>
      </w:tr>
      <w:tr w:rsidR="00DA7972" w14:paraId="5D9BE1BE" w14:textId="77777777">
        <w:tc>
          <w:tcPr>
            <w:tcW w:w="3003" w:type="dxa"/>
          </w:tcPr>
          <w:p w14:paraId="44D2C117" w14:textId="77777777" w:rsidR="00DA7972" w:rsidRDefault="00000000">
            <w:pPr>
              <w:spacing w:after="0" w:line="260" w:lineRule="auto"/>
              <w:jc w:val="left"/>
            </w:pPr>
            <w:r>
              <w:rPr>
                <w:rFonts w:ascii="Calibri" w:eastAsia="Calibri" w:hAnsi="Calibri" w:cs="Calibri"/>
                <w:sz w:val="19"/>
                <w:szCs w:val="19"/>
              </w:rPr>
              <w:t>RL-10</w:t>
            </w:r>
          </w:p>
        </w:tc>
        <w:tc>
          <w:tcPr>
            <w:tcW w:w="3003" w:type="dxa"/>
          </w:tcPr>
          <w:p w14:paraId="64466B84" w14:textId="77777777" w:rsidR="00DA7972" w:rsidRDefault="00000000">
            <w:pPr>
              <w:spacing w:after="0" w:line="260" w:lineRule="auto"/>
              <w:jc w:val="left"/>
            </w:pPr>
            <w:r>
              <w:rPr>
                <w:rFonts w:ascii="Calibri" w:eastAsia="Calibri" w:hAnsi="Calibri" w:cs="Calibri"/>
                <w:sz w:val="19"/>
                <w:szCs w:val="19"/>
              </w:rPr>
              <w:t>Humanitarian traffic moves in every flow state</w:t>
            </w:r>
          </w:p>
        </w:tc>
        <w:tc>
          <w:tcPr>
            <w:tcW w:w="3004" w:type="dxa"/>
          </w:tcPr>
          <w:p w14:paraId="7C9790D3" w14:textId="77777777" w:rsidR="00DA7972" w:rsidRDefault="00000000">
            <w:pPr>
              <w:spacing w:after="0" w:line="260" w:lineRule="auto"/>
              <w:jc w:val="left"/>
            </w:pPr>
            <w:r>
              <w:rPr>
                <w:rFonts w:ascii="Calibri" w:eastAsia="Calibri" w:hAnsi="Calibri" w:cs="Calibri"/>
                <w:sz w:val="19"/>
                <w:szCs w:val="19"/>
              </w:rPr>
              <w:t>Humanitarian absolute, Articles 3 and 31.4</w:t>
            </w:r>
          </w:p>
        </w:tc>
      </w:tr>
      <w:tr w:rsidR="00DA7972" w14:paraId="12A932EB" w14:textId="77777777">
        <w:tc>
          <w:tcPr>
            <w:tcW w:w="3003" w:type="dxa"/>
          </w:tcPr>
          <w:p w14:paraId="40300FDD" w14:textId="77777777" w:rsidR="00DA7972" w:rsidRDefault="00000000">
            <w:pPr>
              <w:spacing w:after="0" w:line="260" w:lineRule="auto"/>
              <w:jc w:val="left"/>
            </w:pPr>
            <w:r>
              <w:rPr>
                <w:rFonts w:ascii="Calibri" w:eastAsia="Calibri" w:hAnsi="Calibri" w:cs="Calibri"/>
                <w:sz w:val="19"/>
                <w:szCs w:val="19"/>
              </w:rPr>
              <w:t>RL-11</w:t>
            </w:r>
          </w:p>
        </w:tc>
        <w:tc>
          <w:tcPr>
            <w:tcW w:w="3003" w:type="dxa"/>
          </w:tcPr>
          <w:p w14:paraId="0EDD62F6" w14:textId="77777777" w:rsidR="00DA7972" w:rsidRDefault="00000000">
            <w:pPr>
              <w:spacing w:after="0" w:line="260" w:lineRule="auto"/>
              <w:jc w:val="left"/>
            </w:pPr>
            <w:r>
              <w:rPr>
                <w:rFonts w:ascii="Calibri" w:eastAsia="Calibri" w:hAnsi="Calibri" w:cs="Calibri"/>
                <w:sz w:val="19"/>
                <w:szCs w:val="19"/>
              </w:rPr>
              <w:t>Verification never humiliates: findings rest on two independent inputs</w:t>
            </w:r>
          </w:p>
        </w:tc>
        <w:tc>
          <w:tcPr>
            <w:tcW w:w="3004" w:type="dxa"/>
          </w:tcPr>
          <w:p w14:paraId="5E2A2A64" w14:textId="77777777" w:rsidR="00DA7972" w:rsidRDefault="00000000">
            <w:pPr>
              <w:spacing w:after="0" w:line="260" w:lineRule="auto"/>
              <w:jc w:val="left"/>
            </w:pPr>
            <w:r>
              <w:rPr>
                <w:rFonts w:ascii="Calibri" w:eastAsia="Calibri" w:hAnsi="Calibri" w:cs="Calibri"/>
                <w:sz w:val="19"/>
                <w:szCs w:val="19"/>
              </w:rPr>
              <w:t>Convergence Standard, Article 26.2</w:t>
            </w:r>
          </w:p>
        </w:tc>
      </w:tr>
      <w:tr w:rsidR="00DA7972" w14:paraId="4646BB3F" w14:textId="77777777">
        <w:tc>
          <w:tcPr>
            <w:tcW w:w="3003" w:type="dxa"/>
          </w:tcPr>
          <w:p w14:paraId="00132D21" w14:textId="77777777" w:rsidR="00DA7972" w:rsidRDefault="00000000">
            <w:pPr>
              <w:spacing w:after="0" w:line="260" w:lineRule="auto"/>
              <w:jc w:val="left"/>
            </w:pPr>
            <w:r>
              <w:rPr>
                <w:rFonts w:ascii="Calibri" w:eastAsia="Calibri" w:hAnsi="Calibri" w:cs="Calibri"/>
                <w:sz w:val="19"/>
                <w:szCs w:val="19"/>
              </w:rPr>
              <w:t>RL-12</w:t>
            </w:r>
          </w:p>
        </w:tc>
        <w:tc>
          <w:tcPr>
            <w:tcW w:w="3003" w:type="dxa"/>
          </w:tcPr>
          <w:p w14:paraId="7AB6F099" w14:textId="77777777" w:rsidR="00DA7972" w:rsidRDefault="00000000">
            <w:pPr>
              <w:spacing w:after="0" w:line="260" w:lineRule="auto"/>
              <w:jc w:val="left"/>
            </w:pPr>
            <w:r>
              <w:rPr>
                <w:rFonts w:ascii="Calibri" w:eastAsia="Calibri" w:hAnsi="Calibri" w:cs="Calibri"/>
                <w:sz w:val="19"/>
                <w:szCs w:val="19"/>
              </w:rPr>
              <w:t>Accord assets never support kinetic action by any actor</w:t>
            </w:r>
          </w:p>
        </w:tc>
        <w:tc>
          <w:tcPr>
            <w:tcW w:w="3004" w:type="dxa"/>
          </w:tcPr>
          <w:p w14:paraId="573924D4" w14:textId="77777777" w:rsidR="00DA7972" w:rsidRDefault="00000000">
            <w:pPr>
              <w:spacing w:after="0" w:line="260" w:lineRule="auto"/>
              <w:jc w:val="left"/>
            </w:pPr>
            <w:r>
              <w:rPr>
                <w:rFonts w:ascii="Calibri" w:eastAsia="Calibri" w:hAnsi="Calibri" w:cs="Calibri"/>
                <w:sz w:val="19"/>
                <w:szCs w:val="19"/>
              </w:rPr>
              <w:t>Article 27.9; the asset-use rule</w:t>
            </w:r>
          </w:p>
        </w:tc>
      </w:tr>
      <w:tr w:rsidR="00DA7972" w14:paraId="2940A9D2" w14:textId="77777777">
        <w:tc>
          <w:tcPr>
            <w:tcW w:w="3003" w:type="dxa"/>
          </w:tcPr>
          <w:p w14:paraId="228A3EC0" w14:textId="77777777" w:rsidR="00DA7972" w:rsidRDefault="00000000">
            <w:pPr>
              <w:spacing w:after="0" w:line="260" w:lineRule="auto"/>
              <w:jc w:val="left"/>
            </w:pPr>
            <w:r>
              <w:rPr>
                <w:rFonts w:ascii="Calibri" w:eastAsia="Calibri" w:hAnsi="Calibri" w:cs="Calibri"/>
                <w:sz w:val="19"/>
                <w:szCs w:val="19"/>
              </w:rPr>
              <w:t>RL-13</w:t>
            </w:r>
          </w:p>
        </w:tc>
        <w:tc>
          <w:tcPr>
            <w:tcW w:w="3003" w:type="dxa"/>
          </w:tcPr>
          <w:p w14:paraId="2C95FD94" w14:textId="77777777" w:rsidR="00DA7972" w:rsidRDefault="00000000">
            <w:pPr>
              <w:spacing w:after="0" w:line="260" w:lineRule="auto"/>
              <w:jc w:val="left"/>
            </w:pPr>
            <w:r>
              <w:rPr>
                <w:rFonts w:ascii="Calibri" w:eastAsia="Calibri" w:hAnsi="Calibri" w:cs="Calibri"/>
                <w:sz w:val="19"/>
                <w:szCs w:val="19"/>
              </w:rPr>
              <w:t>Governance stands multilateral: no single coastal state governs alone</w:t>
            </w:r>
          </w:p>
        </w:tc>
        <w:tc>
          <w:tcPr>
            <w:tcW w:w="3004" w:type="dxa"/>
          </w:tcPr>
          <w:p w14:paraId="112DE897" w14:textId="77777777" w:rsidR="00DA7972" w:rsidRDefault="00000000">
            <w:pPr>
              <w:spacing w:after="0" w:line="260" w:lineRule="auto"/>
              <w:jc w:val="left"/>
            </w:pPr>
            <w:r>
              <w:rPr>
                <w:rFonts w:ascii="Calibri" w:eastAsia="Calibri" w:hAnsi="Calibri" w:cs="Calibri"/>
                <w:sz w:val="19"/>
                <w:szCs w:val="19"/>
              </w:rPr>
              <w:t>Council composition and voting, Articles 13 and 20</w:t>
            </w:r>
          </w:p>
        </w:tc>
      </w:tr>
      <w:tr w:rsidR="00DA7972" w14:paraId="23319183" w14:textId="77777777">
        <w:tc>
          <w:tcPr>
            <w:tcW w:w="3003" w:type="dxa"/>
          </w:tcPr>
          <w:p w14:paraId="30BFA346" w14:textId="77777777" w:rsidR="00DA7972" w:rsidRDefault="00000000">
            <w:pPr>
              <w:spacing w:after="0" w:line="260" w:lineRule="auto"/>
              <w:jc w:val="left"/>
            </w:pPr>
            <w:r>
              <w:rPr>
                <w:rFonts w:ascii="Calibri" w:eastAsia="Calibri" w:hAnsi="Calibri" w:cs="Calibri"/>
                <w:sz w:val="19"/>
                <w:szCs w:val="19"/>
              </w:rPr>
              <w:t>RL-14</w:t>
            </w:r>
          </w:p>
        </w:tc>
        <w:tc>
          <w:tcPr>
            <w:tcW w:w="3003" w:type="dxa"/>
          </w:tcPr>
          <w:p w14:paraId="42E780EE" w14:textId="77777777" w:rsidR="00DA7972" w:rsidRDefault="00000000">
            <w:pPr>
              <w:spacing w:after="0" w:line="260" w:lineRule="auto"/>
              <w:jc w:val="left"/>
            </w:pPr>
            <w:r>
              <w:rPr>
                <w:rFonts w:ascii="Calibri" w:eastAsia="Calibri" w:hAnsi="Calibri" w:cs="Calibri"/>
                <w:sz w:val="19"/>
                <w:szCs w:val="19"/>
              </w:rPr>
              <w:t>No external state commands any element of the Accord</w:t>
            </w:r>
          </w:p>
        </w:tc>
        <w:tc>
          <w:tcPr>
            <w:tcW w:w="3004" w:type="dxa"/>
          </w:tcPr>
          <w:p w14:paraId="464A15C2" w14:textId="77777777" w:rsidR="00DA7972" w:rsidRDefault="00000000">
            <w:pPr>
              <w:spacing w:after="0" w:line="260" w:lineRule="auto"/>
              <w:jc w:val="left"/>
            </w:pPr>
            <w:r>
              <w:rPr>
                <w:rFonts w:ascii="Calibri" w:eastAsia="Calibri" w:hAnsi="Calibri" w:cs="Calibri"/>
                <w:sz w:val="19"/>
                <w:szCs w:val="19"/>
              </w:rPr>
              <w:t>Article 19.6</w:t>
            </w:r>
          </w:p>
        </w:tc>
      </w:tr>
    </w:tbl>
    <w:p w14:paraId="3FA826DB" w14:textId="77777777" w:rsidR="00DA7972" w:rsidRDefault="00DA7972">
      <w:pPr>
        <w:spacing w:after="60"/>
      </w:pPr>
    </w:p>
    <w:p w14:paraId="30E7785A" w14:textId="77777777" w:rsidR="00DA7972" w:rsidRDefault="00000000">
      <w:pPr>
        <w:pStyle w:val="Caption"/>
      </w:pPr>
      <w:r>
        <w:rPr>
          <w:rFonts w:eastAsia="Calibri" w:cs="Calibri"/>
          <w:szCs w:val="18"/>
        </w:rPr>
        <w:t>Table 6.1: The Red Lines Register in summary; Annex I carries the full operative text</w:t>
      </w:r>
    </w:p>
    <w:p w14:paraId="3B00D18A" w14:textId="77777777" w:rsidR="00DA7972" w:rsidRDefault="00000000">
      <w:pPr>
        <w:pStyle w:val="Heading3"/>
      </w:pPr>
      <w:r>
        <w:rPr>
          <w:rFonts w:eastAsia="Calibri" w:cs="Calibri"/>
          <w:szCs w:val="22"/>
        </w:rPr>
        <w:lastRenderedPageBreak/>
        <w:t>6.3 The Perimeter Test</w:t>
      </w:r>
    </w:p>
    <w:p w14:paraId="2973617E" w14:textId="77777777" w:rsidR="00DA7972" w:rsidRDefault="00000000">
      <w:r>
        <w:rPr>
          <w:rFonts w:eastAsia="Georgia" w:cs="Georgia"/>
          <w:szCs w:val="21"/>
        </w:rPr>
        <w:t>Before the Stillwater Council adopts any measure, the legal desk of the Meridian Operations Center screens the measure against every entry of the Register. The screening takes the form of a short written Perimeter Test, appended to the measure in the Council record. A measure that touches a Register line proceeds only in the exact form the corresponding safeguard permits. A measure that crosses a Register line fails, and the failure appears in the record with reasons. The Neutral Keel Office receives every Perimeter Test and reports annually on the integrity of the Register.</w:t>
      </w:r>
    </w:p>
    <w:p w14:paraId="4A6FE7C1" w14:textId="77777777" w:rsidR="00DA7972" w:rsidRDefault="00000000">
      <w:pPr>
        <w:pStyle w:val="Heading3"/>
      </w:pPr>
      <w:r>
        <w:rPr>
          <w:rFonts w:eastAsia="Calibri" w:cs="Calibri"/>
          <w:szCs w:val="22"/>
        </w:rPr>
        <w:t>6.4 No trading of Red Lines</w:t>
      </w:r>
    </w:p>
    <w:p w14:paraId="421AADCE" w14:textId="77777777" w:rsidR="00DA7972" w:rsidRDefault="00000000">
      <w:r>
        <w:rPr>
          <w:rFonts w:eastAsia="Georgia" w:cs="Georgia"/>
          <w:szCs w:val="21"/>
        </w:rPr>
        <w:t>The Parties do not trade Register entries against one another. The architecture holds every line simultaneously, and a breach response under Article 31 never suspends a Register entry. Amendment of the Register itself follows the elevated rule of Article 39.2: consensus of all Littoral Parties plus ratification by each of them.</w:t>
      </w:r>
    </w:p>
    <w:p w14:paraId="148A97BF" w14:textId="77777777" w:rsidR="00DA7972" w:rsidRDefault="00000000">
      <w:pPr>
        <w:pStyle w:val="Heading3"/>
      </w:pPr>
      <w:r>
        <w:rPr>
          <w:rFonts w:eastAsia="Calibri" w:cs="Calibri"/>
          <w:szCs w:val="22"/>
        </w:rPr>
        <w:t>6.5 Red Line Consultation</w:t>
      </w:r>
    </w:p>
    <w:p w14:paraId="23EC410C" w14:textId="77777777" w:rsidR="00DA7972" w:rsidRDefault="00000000">
      <w:r>
        <w:rPr>
          <w:rFonts w:eastAsia="Georgia" w:cs="Georgia"/>
          <w:szCs w:val="21"/>
        </w:rPr>
        <w:t>A Party that perceives a Red Line under pressure activates a Red Line Consultation before any other response. The consultation convenes within 24 hours. The architecture freezes the relevant mechanism for 72 hours while the consultation proceeds, under the Stillwater Pause of Article 32, except for the humanitarian absolute and the distress-priority obligations, which never freeze.</w:t>
      </w:r>
    </w:p>
    <w:tbl>
      <w:tblPr>
        <w:tblW w:w="5000" w:type="pct"/>
        <w:tblInd w:w="200" w:type="dxa"/>
        <w:tblBorders>
          <w:top w:val="single" w:sz="2" w:space="0" w:color="B0BEC5"/>
          <w:left w:val="single" w:sz="18" w:space="0" w:color="37474F"/>
          <w:bottom w:val="single" w:sz="2" w:space="0" w:color="B0BEC5"/>
          <w:right w:val="single" w:sz="2" w:space="0" w:color="B0BEC5"/>
        </w:tblBorders>
        <w:tblCellMar>
          <w:top w:w="140" w:type="dxa"/>
          <w:left w:w="200" w:type="dxa"/>
          <w:bottom w:w="140" w:type="dxa"/>
          <w:right w:w="160" w:type="dxa"/>
        </w:tblCellMar>
        <w:tblLook w:val="04A0" w:firstRow="1" w:lastRow="0" w:firstColumn="1" w:lastColumn="0" w:noHBand="0" w:noVBand="1"/>
      </w:tblPr>
      <w:tblGrid>
        <w:gridCol w:w="9386"/>
      </w:tblGrid>
      <w:tr w:rsidR="00DA7972" w14:paraId="376D9C67" w14:textId="77777777">
        <w:tc>
          <w:tcPr>
            <w:tcW w:w="9010" w:type="dxa"/>
            <w:shd w:val="clear" w:color="auto" w:fill="ECEFF1"/>
          </w:tcPr>
          <w:p w14:paraId="398827DA" w14:textId="77777777" w:rsidR="00DA7972" w:rsidRDefault="00000000">
            <w:pPr>
              <w:spacing w:after="0"/>
            </w:pPr>
            <w:r>
              <w:rPr>
                <w:rFonts w:eastAsia="Georgia" w:cs="Georgia"/>
                <w:i/>
                <w:szCs w:val="21"/>
              </w:rPr>
              <w:t>Design rationale for the Red Lines architecture. The Parties adopt this structure because previous bilateral arrangements proved vulnerable to asymmetric political pressure: every earlier framework hid its breaking points inside diplomatic language, and every hidden breaking point became the target of the next crisis. Naming the lines once, in the open, and assigning each line an automatic safeguard converts political vulnerability into architectural property. The Register ends the daily negotiation of fundamentals, and the Perimeter Test keeps every later measure honest against the founding bargain.</w:t>
            </w:r>
          </w:p>
        </w:tc>
      </w:tr>
    </w:tbl>
    <w:p w14:paraId="0315FCD4" w14:textId="77777777" w:rsidR="00DA7972" w:rsidRDefault="00000000">
      <w:pPr>
        <w:pStyle w:val="Heading1"/>
      </w:pPr>
      <w:bookmarkStart w:id="10" w:name="_Toc236229891"/>
      <w:r>
        <w:rPr>
          <w:rFonts w:eastAsia="Calibri" w:cs="Calibri"/>
          <w:szCs w:val="32"/>
        </w:rPr>
        <w:lastRenderedPageBreak/>
        <w:t>Part II: The Three-Corridor Navigation System</w:t>
      </w:r>
      <w:bookmarkEnd w:id="10"/>
    </w:p>
    <w:p w14:paraId="7D910995" w14:textId="77777777" w:rsidR="00DA7972" w:rsidRDefault="00000000">
      <w:pPr>
        <w:pStyle w:val="Heading2"/>
      </w:pPr>
      <w:bookmarkStart w:id="11" w:name="_Toc236229892"/>
      <w:r>
        <w:rPr>
          <w:rFonts w:eastAsia="Calibri" w:cs="Calibri"/>
          <w:szCs w:val="26"/>
        </w:rPr>
        <w:t>Article 7: The Governance Area and Boundary Coordinates</w:t>
      </w:r>
      <w:bookmarkEnd w:id="11"/>
    </w:p>
    <w:p w14:paraId="40299EA7" w14:textId="77777777" w:rsidR="00DA7972" w:rsidRDefault="00000000">
      <w:pPr>
        <w:pStyle w:val="Heading3"/>
      </w:pPr>
      <w:r>
        <w:rPr>
          <w:rFonts w:eastAsia="Calibri" w:cs="Calibri"/>
          <w:szCs w:val="22"/>
        </w:rPr>
        <w:t>7.1 Establishment</w:t>
      </w:r>
    </w:p>
    <w:p w14:paraId="17B85173" w14:textId="77777777" w:rsidR="00DA7972" w:rsidRDefault="00000000">
      <w:r>
        <w:rPr>
          <w:rFonts w:eastAsia="Georgia" w:cs="Georgia"/>
          <w:szCs w:val="21"/>
        </w:rPr>
        <w:t>The Parties establish the Governance Area as the geographic frame within which the corridor rules, the de-confliction geometry, and the operations of the Meridian Operations Center apply. The Governance Area is an operational construct. It defines where the rules of the Accord operate. It defines no boundary between states, delimits no maritime zone, and prejudices no entitlement, consistent with Article 2.6.</w:t>
      </w:r>
    </w:p>
    <w:p w14:paraId="15196805" w14:textId="77777777" w:rsidR="00DA7972" w:rsidRDefault="00000000">
      <w:pPr>
        <w:pStyle w:val="Heading3"/>
      </w:pPr>
      <w:r>
        <w:rPr>
          <w:rFonts w:eastAsia="Calibri" w:cs="Calibri"/>
          <w:szCs w:val="22"/>
        </w:rPr>
        <w:t>7.2 Outer boundary</w:t>
      </w:r>
    </w:p>
    <w:p w14:paraId="0AB846FC" w14:textId="77777777" w:rsidR="00DA7972" w:rsidRDefault="00000000">
      <w:r>
        <w:rPr>
          <w:rFonts w:eastAsia="Georgia" w:cs="Georgia"/>
          <w:szCs w:val="21"/>
        </w:rPr>
        <w:t>The Governance Area comprises the waters and superjacent airspace bounded by the following lines, all positions on the WGS-84 datum:</w:t>
      </w:r>
    </w:p>
    <w:p w14:paraId="5A87E9BE" w14:textId="77777777" w:rsidR="00DA7972" w:rsidRDefault="00000000">
      <w:pPr>
        <w:ind w:left="430"/>
      </w:pPr>
      <w:r>
        <w:rPr>
          <w:rFonts w:eastAsia="Georgia" w:cs="Georgia"/>
          <w:szCs w:val="21"/>
        </w:rPr>
        <w:t>•  Eastern boundary: the meridian 057 degrees 00.0 minutes East, from the coast of the Musandam Peninsula to the coast of Iran.</w:t>
      </w:r>
    </w:p>
    <w:p w14:paraId="2B1F00B5" w14:textId="77777777" w:rsidR="00DA7972" w:rsidRDefault="00000000">
      <w:pPr>
        <w:ind w:left="430"/>
      </w:pPr>
      <w:r>
        <w:rPr>
          <w:rFonts w:eastAsia="Georgia" w:cs="Georgia"/>
          <w:szCs w:val="21"/>
        </w:rPr>
        <w:t>•  Western boundary: the meridian 055 degrees 30.0 minutes East, from the coast of the Musandam Peninsula to the coast of Iran.</w:t>
      </w:r>
    </w:p>
    <w:p w14:paraId="5F6ADBB2" w14:textId="77777777" w:rsidR="00DA7972" w:rsidRDefault="00000000">
      <w:pPr>
        <w:ind w:left="430"/>
      </w:pPr>
      <w:r>
        <w:rPr>
          <w:rFonts w:eastAsia="Georgia" w:cs="Georgia"/>
          <w:szCs w:val="21"/>
        </w:rPr>
        <w:t>•  Northern boundary: the coastline of the Islamic Republic of Iran, including the islands of Qeshm, Hormuz, Larak, and Hengam, and the territorial sea generated therefrom.</w:t>
      </w:r>
    </w:p>
    <w:p w14:paraId="217B217E" w14:textId="77777777" w:rsidR="00DA7972" w:rsidRDefault="00000000">
      <w:pPr>
        <w:ind w:left="430"/>
      </w:pPr>
      <w:r>
        <w:rPr>
          <w:rFonts w:eastAsia="Georgia" w:cs="Georgia"/>
          <w:szCs w:val="21"/>
        </w:rPr>
        <w:t>•  Southern boundary: the coastline of the Musandam Peninsula of the Sultanate of Oman and the United Arab Emirates, and the territorial sea generated therefrom.</w:t>
      </w:r>
    </w:p>
    <w:p w14:paraId="0BC0B2D9" w14:textId="77777777" w:rsidR="00DA7972" w:rsidRDefault="00000000">
      <w:r>
        <w:rPr>
          <w:rFonts w:eastAsia="Georgia" w:cs="Georgia"/>
          <w:szCs w:val="21"/>
        </w:rPr>
        <w:t>Annex A, Table A.1 states the precise polygon of the Governance Area as twelve boundary vertices. The Meridian Operations Center publishes the chartlet derived from those vertices as the official reference chart of the Accord, in harmony with the traffic separation scheme adopted through the International Maritime Organization.</w:t>
      </w:r>
    </w:p>
    <w:p w14:paraId="7A99DAA9" w14:textId="77777777" w:rsidR="00DA7972" w:rsidRDefault="00000000">
      <w:pPr>
        <w:pStyle w:val="Heading3"/>
      </w:pPr>
      <w:r>
        <w:rPr>
          <w:rFonts w:eastAsia="Calibri" w:cs="Calibri"/>
          <w:szCs w:val="22"/>
        </w:rPr>
        <w:t>7.3 Internal reference lines</w:t>
      </w:r>
    </w:p>
    <w:p w14:paraId="7B668F8F" w14:textId="77777777" w:rsidR="00DA7972" w:rsidRDefault="00000000">
      <w:r>
        <w:rPr>
          <w:rFonts w:eastAsia="Georgia" w:cs="Georgia"/>
          <w:szCs w:val="21"/>
        </w:rPr>
        <w:t>Within the Governance Area, the Accord designates: (a) the three corridor centerlines and corridor limit lines of Article 8; (b) the two Separation Belts between the corridors; (c) two precautionary zones at the eastern and western approaches; (d) the holding anchorages listed in Annex A, Table A.7; (e) the inshore local craft bands reserved for Class F vessels; and (f) the standoff reference lines of Article 27. Each line appears in Annex A as a coordinate series. A line's function is operational and regulatory. No line asserts, derogates, or modifies sovereignty or sovereign rights.</w:t>
      </w:r>
    </w:p>
    <w:p w14:paraId="289E5F0E" w14:textId="77777777" w:rsidR="00DA7972" w:rsidRDefault="00000000">
      <w:pPr>
        <w:pStyle w:val="Heading3"/>
      </w:pPr>
      <w:r>
        <w:rPr>
          <w:rFonts w:eastAsia="Calibri" w:cs="Calibri"/>
          <w:szCs w:val="22"/>
        </w:rPr>
        <w:t>7.4 Chart custody and amendment</w:t>
      </w:r>
    </w:p>
    <w:p w14:paraId="5EB16A89" w14:textId="77777777" w:rsidR="00DA7972" w:rsidRDefault="00000000">
      <w:r>
        <w:rPr>
          <w:rFonts w:eastAsia="Georgia" w:cs="Georgia"/>
          <w:szCs w:val="21"/>
        </w:rPr>
        <w:t xml:space="preserve">The Neutral Administrator holds the master coordinate register. The Meridian Operations Center maintains the working charts. A coordinate change takes effect only through: (a) a written proposal by the Technical and Standards Committee confirming navigational safety; (b) consultation with the International Maritime Organization and the International Hydrographic </w:t>
      </w:r>
      <w:r>
        <w:rPr>
          <w:rFonts w:eastAsia="Georgia" w:cs="Georgia"/>
          <w:szCs w:val="21"/>
        </w:rPr>
        <w:lastRenderedPageBreak/>
        <w:t>Organization where the change touches an adopted routing measure; (c) a decision of the Stillwater Council under the Twin Key Rule; and (d) publication with 30 days of notice to the maritime community, except where an immediate safety risk justifies 72 hours of notice. Under the Nofade Guarantee, an adjustment accumulates into the registry without resetting any certification, and the registry carries a full audit trail of every change.</w:t>
      </w:r>
    </w:p>
    <w:p w14:paraId="5750EA6D" w14:textId="77777777" w:rsidR="00DA7972" w:rsidRDefault="00000000">
      <w:pPr>
        <w:pStyle w:val="Heading2"/>
      </w:pPr>
      <w:bookmarkStart w:id="12" w:name="_Toc236229893"/>
      <w:r>
        <w:rPr>
          <w:rFonts w:eastAsia="Calibri" w:cs="Calibri"/>
          <w:szCs w:val="26"/>
        </w:rPr>
        <w:t>Article 8: The Three Corridors</w:t>
      </w:r>
      <w:bookmarkEnd w:id="12"/>
    </w:p>
    <w:p w14:paraId="563E3D93" w14:textId="77777777" w:rsidR="00DA7972" w:rsidRDefault="00000000">
      <w:pPr>
        <w:pStyle w:val="Heading3"/>
      </w:pPr>
      <w:r>
        <w:rPr>
          <w:rFonts w:eastAsia="Calibri" w:cs="Calibri"/>
          <w:szCs w:val="22"/>
        </w:rPr>
        <w:t>8.1 The three-corridor system</w:t>
      </w:r>
    </w:p>
    <w:p w14:paraId="2CCD1269" w14:textId="77777777" w:rsidR="00DA7972" w:rsidRDefault="00000000">
      <w:r>
        <w:rPr>
          <w:rFonts w:eastAsia="Georgia" w:cs="Georgia"/>
          <w:szCs w:val="21"/>
        </w:rPr>
        <w:t>Transit through the Strait operates through three corridors. The tripartite structure honors three truths in one geography: transit through an international waterway stands free of charge and free of condition; the Sultanate of Oman holds sovereign rights and a recognized coastal management role in its own waters; and the Islamic Republic of Iran holds sovereign rights and a recognized coastal management role in its own waters. Corridor One operates on free navigation. Corridor Two operates on prior notification without tolls. Corridor Three, the International Assurance Lane, operates as the co-managed middle ground between the two coastal corridors under Article 8.4. All three corridors operate under the Zero-Toll Rule and the Non-Interdiction Protocol without exception. A vessel's flag, ownership, cargo origin, destination, or insurer does not determine its corridor eligibility. Purpose and class determine treatment, per Article 9.</w:t>
      </w:r>
    </w:p>
    <w:p w14:paraId="52481019" w14:textId="77777777" w:rsidR="00DA7972" w:rsidRDefault="00000000">
      <w:pPr>
        <w:pBdr>
          <w:left w:val="single" w:sz="8" w:space="6" w:color="B0BEC5"/>
        </w:pBdr>
        <w:spacing w:before="40"/>
        <w:ind w:left="360"/>
      </w:pPr>
      <w:r>
        <w:rPr>
          <w:rFonts w:ascii="Calibri" w:eastAsia="Calibri" w:hAnsi="Calibri" w:cs="Calibri"/>
          <w:i/>
          <w:color w:val="78909C"/>
          <w:sz w:val="18"/>
          <w:szCs w:val="18"/>
        </w:rPr>
        <w:t>See also Articles 9, 11, and 21, and Annexes A and B.</w:t>
      </w:r>
    </w:p>
    <w:p w14:paraId="319E73A3" w14:textId="77777777" w:rsidR="00DA7972" w:rsidRDefault="00000000">
      <w:pPr>
        <w:pStyle w:val="Heading3"/>
      </w:pPr>
      <w:r>
        <w:rPr>
          <w:rFonts w:eastAsia="Calibri" w:cs="Calibri"/>
          <w:szCs w:val="22"/>
        </w:rPr>
        <w:t>8.2 Corridor One: the Southern Guarantee Corridor</w:t>
      </w:r>
    </w:p>
    <w:p w14:paraId="26C704EA" w14:textId="77777777" w:rsidR="00DA7972" w:rsidRDefault="00000000">
      <w:r>
        <w:rPr>
          <w:rFonts w:eastAsia="Georgia" w:cs="Georgia"/>
          <w:szCs w:val="21"/>
        </w:rPr>
        <w:t>Corridor One follows the established traffic separation scheme through the territorial sea of Oman off the Musandam Peninsula. Its centerline runs from waypoint S-1 (26 degrees 38.0 minutes North, 056 degrees 52.0 minutes East) in the Gulf of Oman to waypoint S-6 (26 degrees 24.0 minutes North, 055 degrees 38.0 minutes East) in the Gulf, with inbound and outbound lanes of 2.0 nautical miles width separated by a 1.0 nautical mile separation zone. Annex A, Table A.2 states the full waypoint schedule.</w:t>
      </w:r>
    </w:p>
    <w:tbl>
      <w:tblPr>
        <w:tblW w:w="5000" w:type="pct"/>
        <w:tblInd w:w="200" w:type="dxa"/>
        <w:tblBorders>
          <w:top w:val="single" w:sz="4" w:space="0" w:color="B0BEC5"/>
          <w:left w:val="single" w:sz="4" w:space="0" w:color="B0BEC5"/>
          <w:bottom w:val="single" w:sz="4" w:space="0" w:color="B0BEC5"/>
          <w:right w:val="single" w:sz="4" w:space="0" w:color="B0BEC5"/>
        </w:tblBorders>
        <w:tblCellMar>
          <w:top w:w="120" w:type="dxa"/>
          <w:left w:w="200" w:type="dxa"/>
          <w:bottom w:w="120" w:type="dxa"/>
          <w:right w:w="200" w:type="dxa"/>
        </w:tblCellMar>
        <w:tblLook w:val="04A0" w:firstRow="1" w:lastRow="0" w:firstColumn="1" w:lastColumn="0" w:noHBand="0" w:noVBand="1"/>
      </w:tblPr>
      <w:tblGrid>
        <w:gridCol w:w="9426"/>
      </w:tblGrid>
      <w:tr w:rsidR="00DA7972" w14:paraId="1C9BDE27" w14:textId="77777777">
        <w:tc>
          <w:tcPr>
            <w:tcW w:w="9010" w:type="dxa"/>
            <w:shd w:val="clear" w:color="auto" w:fill="F4F6F7"/>
          </w:tcPr>
          <w:p w14:paraId="3C145089" w14:textId="77777777" w:rsidR="00DA7972" w:rsidRDefault="00000000">
            <w:pPr>
              <w:jc w:val="center"/>
            </w:pPr>
            <w:r>
              <w:rPr>
                <w:rFonts w:ascii="Calibri" w:eastAsia="Calibri" w:hAnsi="Calibri" w:cs="Calibri"/>
                <w:b/>
                <w:color w:val="37474F"/>
                <w:sz w:val="19"/>
                <w:szCs w:val="19"/>
              </w:rPr>
              <w:t>Notification and transit flow: the twelve-field notice, the thirty-minute acknowledgment, and the corridor system</w:t>
            </w:r>
          </w:p>
          <w:p w14:paraId="72627534" w14:textId="77777777" w:rsidR="00DA7972" w:rsidRDefault="00000000">
            <w:pPr>
              <w:spacing w:after="60" w:line="260" w:lineRule="auto"/>
              <w:jc w:val="center"/>
            </w:pPr>
            <w:r>
              <w:rPr>
                <w:rFonts w:ascii="Consolas" w:eastAsia="Consolas" w:hAnsi="Consolas" w:cs="Consolas"/>
                <w:sz w:val="18"/>
                <w:szCs w:val="18"/>
              </w:rPr>
              <w:t>Operator files 12-field notice  --&gt;  Meridian notification desk</w:t>
            </w:r>
          </w:p>
          <w:p w14:paraId="46373923" w14:textId="77777777" w:rsidR="00DA7972" w:rsidRDefault="00000000">
            <w:pPr>
              <w:spacing w:after="60" w:line="260" w:lineRule="auto"/>
              <w:jc w:val="center"/>
            </w:pPr>
            <w:r>
              <w:rPr>
                <w:rFonts w:ascii="Consolas" w:eastAsia="Consolas" w:hAnsi="Consolas" w:cs="Consolas"/>
                <w:sz w:val="18"/>
                <w:szCs w:val="18"/>
              </w:rPr>
              <w:t xml:space="preserve">                         |</w:t>
            </w:r>
          </w:p>
          <w:p w14:paraId="4F97C742" w14:textId="77777777" w:rsidR="00DA7972" w:rsidRDefault="00000000">
            <w:pPr>
              <w:spacing w:after="60" w:line="260" w:lineRule="auto"/>
              <w:jc w:val="center"/>
            </w:pPr>
            <w:r>
              <w:rPr>
                <w:rFonts w:ascii="Consolas" w:eastAsia="Consolas" w:hAnsi="Consolas" w:cs="Consolas"/>
                <w:sz w:val="18"/>
                <w:szCs w:val="18"/>
              </w:rPr>
              <w:t xml:space="preserve">         +-----------------+-----------------+</w:t>
            </w:r>
          </w:p>
          <w:p w14:paraId="0CC41D20" w14:textId="77777777" w:rsidR="00DA7972" w:rsidRDefault="00000000">
            <w:pPr>
              <w:spacing w:after="60" w:line="260" w:lineRule="auto"/>
              <w:jc w:val="center"/>
            </w:pPr>
            <w:r>
              <w:rPr>
                <w:rFonts w:ascii="Consolas" w:eastAsia="Consolas" w:hAnsi="Consolas" w:cs="Consolas"/>
                <w:sz w:val="18"/>
                <w:szCs w:val="18"/>
              </w:rPr>
              <w:t xml:space="preserve">         v                                   v</w:t>
            </w:r>
          </w:p>
          <w:p w14:paraId="5A9E088D" w14:textId="77777777" w:rsidR="00DA7972" w:rsidRDefault="00000000">
            <w:pPr>
              <w:spacing w:after="60" w:line="260" w:lineRule="auto"/>
              <w:jc w:val="center"/>
            </w:pPr>
            <w:r>
              <w:rPr>
                <w:rFonts w:ascii="Consolas" w:eastAsia="Consolas" w:hAnsi="Consolas" w:cs="Consolas"/>
                <w:sz w:val="18"/>
                <w:szCs w:val="18"/>
              </w:rPr>
              <w:t>Desk acknowledges in 30 min       Silence past 30 min</w:t>
            </w:r>
          </w:p>
          <w:p w14:paraId="7BBADE56" w14:textId="77777777" w:rsidR="00DA7972" w:rsidRDefault="00000000">
            <w:pPr>
              <w:spacing w:after="60" w:line="260" w:lineRule="auto"/>
              <w:jc w:val="center"/>
            </w:pPr>
            <w:r>
              <w:rPr>
                <w:rFonts w:ascii="Consolas" w:eastAsia="Consolas" w:hAnsi="Consolas" w:cs="Consolas"/>
                <w:sz w:val="18"/>
                <w:szCs w:val="18"/>
              </w:rPr>
              <w:t>(administrative, never            = acknowledgment by default</w:t>
            </w:r>
          </w:p>
          <w:p w14:paraId="4AF096A2" w14:textId="77777777" w:rsidR="00DA7972" w:rsidRDefault="00000000">
            <w:pPr>
              <w:spacing w:after="60" w:line="260" w:lineRule="auto"/>
              <w:jc w:val="center"/>
            </w:pPr>
            <w:r>
              <w:rPr>
                <w:rFonts w:ascii="Consolas" w:eastAsia="Consolas" w:hAnsi="Consolas" w:cs="Consolas"/>
                <w:sz w:val="18"/>
                <w:szCs w:val="18"/>
              </w:rPr>
              <w:t xml:space="preserve"> permissive)                      (Article 8.3)</w:t>
            </w:r>
          </w:p>
          <w:p w14:paraId="0ACF9567" w14:textId="77777777" w:rsidR="00DA7972" w:rsidRDefault="00000000">
            <w:pPr>
              <w:spacing w:after="60" w:line="260" w:lineRule="auto"/>
              <w:jc w:val="center"/>
            </w:pPr>
            <w:r>
              <w:rPr>
                <w:rFonts w:ascii="Consolas" w:eastAsia="Consolas" w:hAnsi="Consolas" w:cs="Consolas"/>
                <w:sz w:val="18"/>
                <w:szCs w:val="18"/>
              </w:rPr>
              <w:t xml:space="preserve">         |                                   |</w:t>
            </w:r>
          </w:p>
          <w:p w14:paraId="58A34E02" w14:textId="77777777" w:rsidR="00DA7972" w:rsidRDefault="00000000">
            <w:pPr>
              <w:spacing w:after="60" w:line="260" w:lineRule="auto"/>
              <w:jc w:val="center"/>
            </w:pPr>
            <w:r>
              <w:rPr>
                <w:rFonts w:ascii="Consolas" w:eastAsia="Consolas" w:hAnsi="Consolas" w:cs="Consolas"/>
                <w:sz w:val="18"/>
                <w:szCs w:val="18"/>
              </w:rPr>
              <w:t xml:space="preserve">         +-----------------+-----------------+</w:t>
            </w:r>
          </w:p>
          <w:p w14:paraId="0BF48868" w14:textId="77777777" w:rsidR="00DA7972" w:rsidRDefault="00000000">
            <w:pPr>
              <w:spacing w:after="60" w:line="260" w:lineRule="auto"/>
              <w:jc w:val="center"/>
            </w:pPr>
            <w:r>
              <w:rPr>
                <w:rFonts w:ascii="Consolas" w:eastAsia="Consolas" w:hAnsi="Consolas" w:cs="Consolas"/>
                <w:sz w:val="18"/>
                <w:szCs w:val="18"/>
              </w:rPr>
              <w:t xml:space="preserve">                           v</w:t>
            </w:r>
          </w:p>
          <w:p w14:paraId="3F21C3EA" w14:textId="77777777" w:rsidR="00DA7972" w:rsidRDefault="00000000">
            <w:pPr>
              <w:spacing w:after="60" w:line="260" w:lineRule="auto"/>
              <w:jc w:val="center"/>
            </w:pPr>
            <w:r>
              <w:rPr>
                <w:rFonts w:ascii="Consolas" w:eastAsia="Consolas" w:hAnsi="Consolas" w:cs="Consolas"/>
                <w:sz w:val="18"/>
                <w:szCs w:val="18"/>
              </w:rPr>
              <w:t xml:space="preserve">              Vessel transits corridor</w:t>
            </w:r>
          </w:p>
          <w:p w14:paraId="0D65C273" w14:textId="77777777" w:rsidR="00DA7972" w:rsidRDefault="00000000">
            <w:pPr>
              <w:spacing w:after="60" w:line="260" w:lineRule="auto"/>
              <w:jc w:val="center"/>
            </w:pPr>
            <w:r>
              <w:rPr>
                <w:rFonts w:ascii="Consolas" w:eastAsia="Consolas" w:hAnsi="Consolas" w:cs="Consolas"/>
                <w:sz w:val="18"/>
                <w:szCs w:val="18"/>
              </w:rPr>
              <w:t xml:space="preserve">         +-----------------+-----------------+</w:t>
            </w:r>
          </w:p>
          <w:p w14:paraId="13E17279" w14:textId="77777777" w:rsidR="00DA7972" w:rsidRDefault="00000000">
            <w:pPr>
              <w:spacing w:after="60" w:line="260" w:lineRule="auto"/>
              <w:jc w:val="center"/>
            </w:pPr>
            <w:r>
              <w:rPr>
                <w:rFonts w:ascii="Consolas" w:eastAsia="Consolas" w:hAnsi="Consolas" w:cs="Consolas"/>
                <w:sz w:val="18"/>
                <w:szCs w:val="18"/>
              </w:rPr>
              <w:t xml:space="preserve">         v                                   v</w:t>
            </w:r>
          </w:p>
          <w:p w14:paraId="4AF14461" w14:textId="77777777" w:rsidR="00DA7972" w:rsidRDefault="00000000">
            <w:pPr>
              <w:spacing w:after="60" w:line="260" w:lineRule="auto"/>
              <w:jc w:val="center"/>
            </w:pPr>
            <w:r>
              <w:rPr>
                <w:rFonts w:ascii="Consolas" w:eastAsia="Consolas" w:hAnsi="Consolas" w:cs="Consolas"/>
                <w:sz w:val="18"/>
                <w:szCs w:val="18"/>
              </w:rPr>
              <w:t xml:space="preserve">   Corridor One: free                 Corridor Two: notification</w:t>
            </w:r>
          </w:p>
          <w:p w14:paraId="24D90E76" w14:textId="77777777" w:rsidR="00DA7972" w:rsidRDefault="00000000">
            <w:pPr>
              <w:spacing w:after="60" w:line="260" w:lineRule="auto"/>
              <w:jc w:val="center"/>
            </w:pPr>
            <w:r>
              <w:rPr>
                <w:rFonts w:ascii="Consolas" w:eastAsia="Consolas" w:hAnsi="Consolas" w:cs="Consolas"/>
                <w:sz w:val="18"/>
                <w:szCs w:val="18"/>
              </w:rPr>
              <w:lastRenderedPageBreak/>
              <w:t xml:space="preserve">   navigation, no notice              regime, coastal management</w:t>
            </w:r>
          </w:p>
          <w:p w14:paraId="360C9AD0" w14:textId="77777777" w:rsidR="00DA7972" w:rsidRDefault="00000000">
            <w:pPr>
              <w:spacing w:after="60" w:line="260" w:lineRule="auto"/>
              <w:jc w:val="center"/>
            </w:pPr>
            <w:r>
              <w:rPr>
                <w:rFonts w:ascii="Consolas" w:eastAsia="Consolas" w:hAnsi="Consolas" w:cs="Consolas"/>
                <w:sz w:val="18"/>
                <w:szCs w:val="18"/>
              </w:rPr>
              <w:t xml:space="preserve">   layer (RL-2)                       role honored (RL-3)</w:t>
            </w:r>
          </w:p>
        </w:tc>
      </w:tr>
    </w:tbl>
    <w:p w14:paraId="22A647AD" w14:textId="77777777" w:rsidR="00DA7972" w:rsidRDefault="00000000">
      <w:r>
        <w:rPr>
          <w:rFonts w:eastAsia="Georgia" w:cs="Georgia"/>
          <w:szCs w:val="21"/>
        </w:rPr>
        <w:lastRenderedPageBreak/>
        <w:t>Corridor One operates under the free-navigation rule: any vessel of Classes A through H transits at any hour, in any direction, without prior approval, without prior notification beyond standard automatic identification system carriage, without inspection at sea, and without charge of any kind. Oman's vessel traffic service provides traffic information on a voluntary basis, integrated with the Meridian Operations Center under the co-staffing rules of Article 14. The architecture excludes any approval step by any actor for Corridor One, and equally excludes any coalition or third-state approval step. Corridor One restores the pre-conflict pattern of navigation in full.</w:t>
      </w:r>
    </w:p>
    <w:p w14:paraId="60187297" w14:textId="77777777" w:rsidR="00DA7972" w:rsidRDefault="00000000">
      <w:pPr>
        <w:pStyle w:val="Heading3"/>
      </w:pPr>
      <w:r>
        <w:rPr>
          <w:rFonts w:eastAsia="Calibri" w:cs="Calibri"/>
          <w:szCs w:val="22"/>
        </w:rPr>
        <w:t>8.3 Corridor Two: the Northern Coordination Corridor</w:t>
      </w:r>
    </w:p>
    <w:p w14:paraId="24F0F448" w14:textId="77777777" w:rsidR="00DA7972" w:rsidRDefault="00000000">
      <w:r>
        <w:rPr>
          <w:rFonts w:eastAsia="Georgia" w:cs="Georgia"/>
          <w:szCs w:val="21"/>
        </w:rPr>
        <w:t>Corridor Two follows the northern deep-water route through the territorial sea of Iran, north of Larak and Hormuz Islands. Its centerline runs from waypoint N-1 (26 degrees 50.0 minutes North, 056 degrees 44.0 minutes East) to waypoint N-6 (26 degrees 40.0 minutes North, 055 degrees 32.0 minutes East), with lanes and separation as stated in Annex A, Table A.3.</w:t>
      </w:r>
    </w:p>
    <w:p w14:paraId="4AD83770" w14:textId="77777777" w:rsidR="00DA7972" w:rsidRDefault="00000000">
      <w:r>
        <w:rPr>
          <w:rFonts w:eastAsia="Georgia" w:cs="Georgia"/>
          <w:szCs w:val="21"/>
        </w:rPr>
        <w:t>Corridor Two operates under the notification regime: a transiting vessel of Classes A, B, C, or E files a twelve-field transit notice with the Meridian Operations Center between 72 and 6 hours before entering the corridor, in the format of Annex H, stating identity, class, cargo category in general terms, and intended lane. The notice produces an automatic acknowledgment within 30 minutes of filing. The acknowledgment is administrative, not permissive: transit never awaits approval, and silence beyond 30 minutes constitutes acknowledgment by default. The architecture prohibits the conversion of notification into permission. The Iranian vessel traffic service provides traffic information, routing advice, and optional pilotage. The architecture excludes: any toll or charge; any condition on passage beyond the notice; any boarding or inspection at sea of a vessel whose notice is in order; and any delay of a humanitarian vessel under any circumstance.</w:t>
      </w:r>
    </w:p>
    <w:p w14:paraId="63D38FE3" w14:textId="77777777" w:rsidR="00DA7972" w:rsidRDefault="00000000">
      <w:r>
        <w:rPr>
          <w:rFonts w:eastAsia="Georgia" w:cs="Georgia"/>
          <w:szCs w:val="21"/>
        </w:rPr>
        <w:t>The notification regime gives Iran a documented, real-time picture of traffic in its territorial sea, which constitutes the recognized, formal management role that Red Line RL-3 registers. The regime simultaneously gives every vessel an absolute right of passage, which satisfies Red Line RL-2 and the user-state interest in open, toll-free transit. The architecture thereby converts a sovereignty dispute into an administrative routine.</w:t>
      </w:r>
    </w:p>
    <w:p w14:paraId="4643ED41" w14:textId="77777777" w:rsidR="00DA7972" w:rsidRDefault="00000000">
      <w:pPr>
        <w:pStyle w:val="Heading3"/>
      </w:pPr>
      <w:r>
        <w:rPr>
          <w:rFonts w:eastAsia="Calibri" w:cs="Calibri"/>
          <w:szCs w:val="22"/>
        </w:rPr>
        <w:t>8.4 Corridor Three: the International Assurance Lane</w:t>
      </w:r>
    </w:p>
    <w:p w14:paraId="36F19EC5" w14:textId="77777777" w:rsidR="00DA7972" w:rsidRDefault="00000000">
      <w:r>
        <w:rPr>
          <w:rFonts w:eastAsia="Georgia" w:cs="Georgia"/>
          <w:szCs w:val="21"/>
        </w:rPr>
        <w:t>Corridor Three, the International Assurance Lane, lies in the waters between the territorial sea of Oman and the territorial sea of Iran. Its centerline runs from waypoint I-1 (26 degrees 40.0 minutes North, 056 degrees 48.0 minutes East) to waypoint I-6 (26 degrees 32.0 minutes North, 055 degrees 34.0 minutes East), with lanes and separation as stated in Annex A, Table A.4. The Lane stands as the co-managed middle ground of the corridor system: the Meridian Operations Center administers it directly, and each of its watch pairs consists of two officers drawn from the other Gulf Littoral Parties, including the United Arab Emirates, Saudi Arabia, Qatar, Bahrain, and Kuwait, rotating annually under the contribution schedule of Annex C, so that no single state holds sole control of the Lane.</w:t>
      </w:r>
    </w:p>
    <w:p w14:paraId="6E64C255" w14:textId="77777777" w:rsidR="00DA7972" w:rsidRDefault="00000000">
      <w:r>
        <w:rPr>
          <w:rFonts w:eastAsia="Georgia" w:cs="Georgia"/>
          <w:szCs w:val="21"/>
        </w:rPr>
        <w:t xml:space="preserve">Corridor Three operates under the notification discipline of Article 8.3 adapted to multilateral administration: a transiting vessel of Classes A, B, C, E, or F files the twelve-field transit notice </w:t>
      </w:r>
      <w:r>
        <w:rPr>
          <w:rFonts w:eastAsia="Georgia" w:cs="Georgia"/>
          <w:szCs w:val="21"/>
        </w:rPr>
        <w:lastRenderedPageBreak/>
        <w:t>with the Meridian Operations Center between 72 and 6 hours before entering the Lane, in the format of Annex H, and the acknowledgment-by-default rule applies identically. The Lane carries the same Zero-Toll Rule, the same Non-Interdiction Protocol, and the same no-permission architecture as the coastal corridors, and it gives the Gulf states beyond the two strait states a direct operational stake in the waterway their trade crosses.</w:t>
      </w:r>
    </w:p>
    <w:p w14:paraId="2A801DC2" w14:textId="77777777" w:rsidR="00DA7972" w:rsidRDefault="00000000">
      <w:r>
        <w:rPr>
          <w:rFonts w:eastAsia="Georgia" w:cs="Georgia"/>
          <w:szCs w:val="21"/>
        </w:rPr>
        <w:t>The management arrangement of the corridor system allocates daily leadership as follows. Oman leads the day-to-day management of Corridor One through its existing vessel traffic service, Iran leads the day-to-day management of Corridor Two through its national maritime administration, and the Meridian Operations Center administers Corridor Three through the rotating watch pairs this section describes, in each case integrated with the Center under the co-staffing rules of Article 14. The corridor functions of prior national control structures fold into the Center's notification desk and watch floor under the succession rule of Article 40.3: the Center receives notifications, acknowledges them, and operates the traffic system. Each Party's liaison officers at the Center and at the mirror facility hold full real-time visibility of all three corridors, and the daily log records every management act for all Parties to inspect.</w:t>
      </w:r>
    </w:p>
    <w:p w14:paraId="10025E17" w14:textId="77777777" w:rsidR="00DA7972" w:rsidRDefault="00000000">
      <w:pPr>
        <w:pStyle w:val="Heading3"/>
      </w:pPr>
      <w:r>
        <w:rPr>
          <w:rFonts w:eastAsia="Calibri" w:cs="Calibri"/>
          <w:szCs w:val="22"/>
        </w:rPr>
        <w:t>8.5 Corridor selection and assignment</w:t>
      </w:r>
    </w:p>
    <w:p w14:paraId="45E05E30" w14:textId="77777777" w:rsidR="00DA7972" w:rsidRDefault="00000000">
      <w:r>
        <w:rPr>
          <w:rFonts w:eastAsia="Georgia" w:cs="Georgia"/>
          <w:szCs w:val="21"/>
        </w:rPr>
        <w:t>The vessel's operator selects the corridor, with the following default assignments that promote order and de-confliction:</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5"/>
        <w:gridCol w:w="3075"/>
        <w:gridCol w:w="3076"/>
      </w:tblGrid>
      <w:tr w:rsidR="00DA7972" w14:paraId="20030800" w14:textId="77777777">
        <w:trPr>
          <w:tblHeader/>
        </w:trPr>
        <w:tc>
          <w:tcPr>
            <w:tcW w:w="3003" w:type="dxa"/>
            <w:tcBorders>
              <w:bottom w:val="single" w:sz="6" w:space="0" w:color="546E7A"/>
            </w:tcBorders>
            <w:shd w:val="clear" w:color="auto" w:fill="E4E9EC"/>
          </w:tcPr>
          <w:p w14:paraId="4B8A3C5E" w14:textId="77777777" w:rsidR="00DA7972" w:rsidRDefault="00000000">
            <w:pPr>
              <w:spacing w:after="0" w:line="260" w:lineRule="auto"/>
              <w:jc w:val="left"/>
            </w:pPr>
            <w:r>
              <w:rPr>
                <w:rFonts w:ascii="Calibri" w:eastAsia="Calibri" w:hAnsi="Calibri" w:cs="Calibri"/>
                <w:b/>
                <w:color w:val="37474F"/>
                <w:sz w:val="19"/>
                <w:szCs w:val="19"/>
              </w:rPr>
              <w:t>Traffic profile</w:t>
            </w:r>
          </w:p>
        </w:tc>
        <w:tc>
          <w:tcPr>
            <w:tcW w:w="3003" w:type="dxa"/>
            <w:tcBorders>
              <w:bottom w:val="single" w:sz="6" w:space="0" w:color="546E7A"/>
            </w:tcBorders>
            <w:shd w:val="clear" w:color="auto" w:fill="E4E9EC"/>
          </w:tcPr>
          <w:p w14:paraId="113AAF54" w14:textId="77777777" w:rsidR="00DA7972" w:rsidRDefault="00000000">
            <w:pPr>
              <w:spacing w:after="0" w:line="260" w:lineRule="auto"/>
              <w:jc w:val="left"/>
            </w:pPr>
            <w:r>
              <w:rPr>
                <w:rFonts w:ascii="Calibri" w:eastAsia="Calibri" w:hAnsi="Calibri" w:cs="Calibri"/>
                <w:b/>
                <w:color w:val="37474F"/>
                <w:sz w:val="19"/>
                <w:szCs w:val="19"/>
              </w:rPr>
              <w:t>Default corridor</w:t>
            </w:r>
          </w:p>
        </w:tc>
        <w:tc>
          <w:tcPr>
            <w:tcW w:w="3004" w:type="dxa"/>
            <w:tcBorders>
              <w:bottom w:val="single" w:sz="6" w:space="0" w:color="546E7A"/>
            </w:tcBorders>
            <w:shd w:val="clear" w:color="auto" w:fill="E4E9EC"/>
          </w:tcPr>
          <w:p w14:paraId="1364E071" w14:textId="77777777" w:rsidR="00DA7972" w:rsidRDefault="00000000">
            <w:pPr>
              <w:spacing w:after="0" w:line="260" w:lineRule="auto"/>
              <w:jc w:val="left"/>
            </w:pPr>
            <w:r>
              <w:rPr>
                <w:rFonts w:ascii="Calibri" w:eastAsia="Calibri" w:hAnsi="Calibri" w:cs="Calibri"/>
                <w:b/>
                <w:color w:val="37474F"/>
                <w:sz w:val="19"/>
                <w:szCs w:val="19"/>
              </w:rPr>
              <w:t>Rationale</w:t>
            </w:r>
          </w:p>
        </w:tc>
      </w:tr>
      <w:tr w:rsidR="00DA7972" w14:paraId="190B19DA" w14:textId="77777777">
        <w:tc>
          <w:tcPr>
            <w:tcW w:w="3003" w:type="dxa"/>
          </w:tcPr>
          <w:p w14:paraId="2F569D46" w14:textId="77777777" w:rsidR="00DA7972" w:rsidRDefault="00000000">
            <w:pPr>
              <w:spacing w:after="0" w:line="260" w:lineRule="auto"/>
              <w:jc w:val="left"/>
            </w:pPr>
            <w:r>
              <w:rPr>
                <w:rFonts w:ascii="Calibri" w:eastAsia="Calibri" w:hAnsi="Calibri" w:cs="Calibri"/>
                <w:sz w:val="19"/>
                <w:szCs w:val="19"/>
              </w:rPr>
              <w:t>Class A and Class C vessels on through voyages</w:t>
            </w:r>
          </w:p>
        </w:tc>
        <w:tc>
          <w:tcPr>
            <w:tcW w:w="3003" w:type="dxa"/>
          </w:tcPr>
          <w:p w14:paraId="28DC65E4" w14:textId="77777777" w:rsidR="00DA7972" w:rsidRDefault="00000000">
            <w:pPr>
              <w:spacing w:after="0" w:line="260" w:lineRule="auto"/>
              <w:jc w:val="left"/>
            </w:pPr>
            <w:r>
              <w:rPr>
                <w:rFonts w:ascii="Calibri" w:eastAsia="Calibri" w:hAnsi="Calibri" w:cs="Calibri"/>
                <w:sz w:val="19"/>
                <w:szCs w:val="19"/>
              </w:rPr>
              <w:t>Corridor One or Corridor Three</w:t>
            </w:r>
          </w:p>
        </w:tc>
        <w:tc>
          <w:tcPr>
            <w:tcW w:w="3004" w:type="dxa"/>
          </w:tcPr>
          <w:p w14:paraId="2A3D9F0A" w14:textId="77777777" w:rsidR="00DA7972" w:rsidRDefault="00000000">
            <w:pPr>
              <w:spacing w:after="0" w:line="260" w:lineRule="auto"/>
              <w:jc w:val="left"/>
            </w:pPr>
            <w:r>
              <w:rPr>
                <w:rFonts w:ascii="Calibri" w:eastAsia="Calibri" w:hAnsi="Calibri" w:cs="Calibri"/>
                <w:sz w:val="19"/>
                <w:szCs w:val="19"/>
              </w:rPr>
              <w:t>Free navigation or the co-managed lane; minimal administrative load; deep separation from coastal military infrastructure</w:t>
            </w:r>
          </w:p>
        </w:tc>
      </w:tr>
      <w:tr w:rsidR="00DA7972" w14:paraId="467DCA91" w14:textId="77777777">
        <w:tc>
          <w:tcPr>
            <w:tcW w:w="3003" w:type="dxa"/>
          </w:tcPr>
          <w:p w14:paraId="59EB8427" w14:textId="77777777" w:rsidR="00DA7972" w:rsidRDefault="00000000">
            <w:pPr>
              <w:spacing w:after="0" w:line="260" w:lineRule="auto"/>
              <w:jc w:val="left"/>
            </w:pPr>
            <w:r>
              <w:rPr>
                <w:rFonts w:ascii="Calibri" w:eastAsia="Calibri" w:hAnsi="Calibri" w:cs="Calibri"/>
                <w:sz w:val="19"/>
                <w:szCs w:val="19"/>
              </w:rPr>
              <w:t>Class B energy carriers loading or discharging at Iranian terminals</w:t>
            </w:r>
          </w:p>
        </w:tc>
        <w:tc>
          <w:tcPr>
            <w:tcW w:w="3003" w:type="dxa"/>
          </w:tcPr>
          <w:p w14:paraId="3B39C2B5" w14:textId="77777777" w:rsidR="00DA7972" w:rsidRDefault="00000000">
            <w:pPr>
              <w:spacing w:after="0" w:line="260" w:lineRule="auto"/>
              <w:jc w:val="left"/>
            </w:pPr>
            <w:r>
              <w:rPr>
                <w:rFonts w:ascii="Calibri" w:eastAsia="Calibri" w:hAnsi="Calibri" w:cs="Calibri"/>
                <w:sz w:val="19"/>
                <w:szCs w:val="19"/>
              </w:rPr>
              <w:t>Corridor Two</w:t>
            </w:r>
          </w:p>
        </w:tc>
        <w:tc>
          <w:tcPr>
            <w:tcW w:w="3004" w:type="dxa"/>
          </w:tcPr>
          <w:p w14:paraId="31EF5ADE" w14:textId="77777777" w:rsidR="00DA7972" w:rsidRDefault="00000000">
            <w:pPr>
              <w:spacing w:after="0" w:line="260" w:lineRule="auto"/>
              <w:jc w:val="left"/>
            </w:pPr>
            <w:r>
              <w:rPr>
                <w:rFonts w:ascii="Calibri" w:eastAsia="Calibri" w:hAnsi="Calibri" w:cs="Calibri"/>
                <w:sz w:val="19"/>
                <w:szCs w:val="19"/>
              </w:rPr>
              <w:t>Direct routing; notification integrates with port scheduling; no diversion around the Musandam headland</w:t>
            </w:r>
          </w:p>
        </w:tc>
      </w:tr>
      <w:tr w:rsidR="00DA7972" w14:paraId="466B5999" w14:textId="77777777">
        <w:tc>
          <w:tcPr>
            <w:tcW w:w="3003" w:type="dxa"/>
          </w:tcPr>
          <w:p w14:paraId="62D1074C" w14:textId="77777777" w:rsidR="00DA7972" w:rsidRDefault="00000000">
            <w:pPr>
              <w:spacing w:after="0" w:line="260" w:lineRule="auto"/>
              <w:jc w:val="left"/>
            </w:pPr>
            <w:r>
              <w:rPr>
                <w:rFonts w:ascii="Calibri" w:eastAsia="Calibri" w:hAnsi="Calibri" w:cs="Calibri"/>
                <w:sz w:val="19"/>
                <w:szCs w:val="19"/>
              </w:rPr>
              <w:t>Class B energy carriers on through voyages</w:t>
            </w:r>
          </w:p>
        </w:tc>
        <w:tc>
          <w:tcPr>
            <w:tcW w:w="3003" w:type="dxa"/>
          </w:tcPr>
          <w:p w14:paraId="0811DAA9" w14:textId="77777777" w:rsidR="00DA7972" w:rsidRDefault="00000000">
            <w:pPr>
              <w:spacing w:after="0" w:line="260" w:lineRule="auto"/>
              <w:jc w:val="left"/>
            </w:pPr>
            <w:r>
              <w:rPr>
                <w:rFonts w:ascii="Calibri" w:eastAsia="Calibri" w:hAnsi="Calibri" w:cs="Calibri"/>
                <w:sz w:val="19"/>
                <w:szCs w:val="19"/>
              </w:rPr>
              <w:t>Corridor One or Corridor Three</w:t>
            </w:r>
          </w:p>
        </w:tc>
        <w:tc>
          <w:tcPr>
            <w:tcW w:w="3004" w:type="dxa"/>
          </w:tcPr>
          <w:p w14:paraId="2FFE3606" w14:textId="77777777" w:rsidR="00DA7972" w:rsidRDefault="00000000">
            <w:pPr>
              <w:spacing w:after="0" w:line="260" w:lineRule="auto"/>
              <w:jc w:val="left"/>
            </w:pPr>
            <w:r>
              <w:rPr>
                <w:rFonts w:ascii="Calibri" w:eastAsia="Calibri" w:hAnsi="Calibri" w:cs="Calibri"/>
                <w:sz w:val="19"/>
                <w:szCs w:val="19"/>
              </w:rPr>
              <w:t>Load balancing across the corridor system</w:t>
            </w:r>
          </w:p>
        </w:tc>
      </w:tr>
      <w:tr w:rsidR="00DA7972" w14:paraId="04DE7103" w14:textId="77777777">
        <w:tc>
          <w:tcPr>
            <w:tcW w:w="3003" w:type="dxa"/>
          </w:tcPr>
          <w:p w14:paraId="1F591F1F" w14:textId="77777777" w:rsidR="00DA7972" w:rsidRDefault="00000000">
            <w:pPr>
              <w:spacing w:after="0" w:line="260" w:lineRule="auto"/>
              <w:jc w:val="left"/>
            </w:pPr>
            <w:r>
              <w:rPr>
                <w:rFonts w:ascii="Calibri" w:eastAsia="Calibri" w:hAnsi="Calibri" w:cs="Calibri"/>
                <w:sz w:val="19"/>
                <w:szCs w:val="19"/>
              </w:rPr>
              <w:t>Class E humanitarian vessels</w:t>
            </w:r>
          </w:p>
        </w:tc>
        <w:tc>
          <w:tcPr>
            <w:tcW w:w="3003" w:type="dxa"/>
          </w:tcPr>
          <w:p w14:paraId="390BA840" w14:textId="77777777" w:rsidR="00DA7972" w:rsidRDefault="00000000">
            <w:pPr>
              <w:spacing w:after="0" w:line="260" w:lineRule="auto"/>
              <w:jc w:val="left"/>
            </w:pPr>
            <w:r>
              <w:rPr>
                <w:rFonts w:ascii="Calibri" w:eastAsia="Calibri" w:hAnsi="Calibri" w:cs="Calibri"/>
                <w:sz w:val="19"/>
                <w:szCs w:val="19"/>
              </w:rPr>
              <w:t>Any corridor; expedited regime in all three</w:t>
            </w:r>
          </w:p>
        </w:tc>
        <w:tc>
          <w:tcPr>
            <w:tcW w:w="3004" w:type="dxa"/>
          </w:tcPr>
          <w:p w14:paraId="0F427DBD" w14:textId="77777777" w:rsidR="00DA7972" w:rsidRDefault="00000000">
            <w:pPr>
              <w:spacing w:after="0" w:line="260" w:lineRule="auto"/>
              <w:jc w:val="left"/>
            </w:pPr>
            <w:r>
              <w:rPr>
                <w:rFonts w:ascii="Calibri" w:eastAsia="Calibri" w:hAnsi="Calibri" w:cs="Calibri"/>
                <w:sz w:val="19"/>
                <w:szCs w:val="19"/>
              </w:rPr>
              <w:t>Fastest available route; zero administrative delay</w:t>
            </w:r>
          </w:p>
        </w:tc>
      </w:tr>
      <w:tr w:rsidR="00DA7972" w14:paraId="7C39277E" w14:textId="77777777">
        <w:tc>
          <w:tcPr>
            <w:tcW w:w="3003" w:type="dxa"/>
          </w:tcPr>
          <w:p w14:paraId="64A24027" w14:textId="77777777" w:rsidR="00DA7972" w:rsidRDefault="00000000">
            <w:pPr>
              <w:spacing w:after="0" w:line="260" w:lineRule="auto"/>
              <w:jc w:val="left"/>
            </w:pPr>
            <w:r>
              <w:rPr>
                <w:rFonts w:ascii="Calibri" w:eastAsia="Calibri" w:hAnsi="Calibri" w:cs="Calibri"/>
                <w:sz w:val="19"/>
                <w:szCs w:val="19"/>
              </w:rPr>
              <w:t>Class G naval and state vessels</w:t>
            </w:r>
          </w:p>
        </w:tc>
        <w:tc>
          <w:tcPr>
            <w:tcW w:w="3003" w:type="dxa"/>
          </w:tcPr>
          <w:p w14:paraId="3F83FD9F" w14:textId="77777777" w:rsidR="00DA7972" w:rsidRDefault="00000000">
            <w:pPr>
              <w:spacing w:after="0" w:line="260" w:lineRule="auto"/>
              <w:jc w:val="left"/>
            </w:pPr>
            <w:r>
              <w:rPr>
                <w:rFonts w:ascii="Calibri" w:eastAsia="Calibri" w:hAnsi="Calibri" w:cs="Calibri"/>
                <w:sz w:val="19"/>
                <w:szCs w:val="19"/>
              </w:rPr>
              <w:t>Corridor One only, under Article 27.5</w:t>
            </w:r>
          </w:p>
        </w:tc>
        <w:tc>
          <w:tcPr>
            <w:tcW w:w="3004" w:type="dxa"/>
          </w:tcPr>
          <w:p w14:paraId="45A5945A" w14:textId="77777777" w:rsidR="00DA7972" w:rsidRDefault="00000000">
            <w:pPr>
              <w:spacing w:after="0" w:line="260" w:lineRule="auto"/>
              <w:jc w:val="left"/>
            </w:pPr>
            <w:r>
              <w:rPr>
                <w:rFonts w:ascii="Calibri" w:eastAsia="Calibri" w:hAnsi="Calibri" w:cs="Calibri"/>
                <w:sz w:val="19"/>
                <w:szCs w:val="19"/>
              </w:rPr>
              <w:t>Keeps state vessels inside the standoff geometry and outside the territorial-sea notification regime</w:t>
            </w:r>
          </w:p>
        </w:tc>
      </w:tr>
    </w:tbl>
    <w:p w14:paraId="37AD1512" w14:textId="77777777" w:rsidR="00DA7972" w:rsidRDefault="00DA7972">
      <w:pPr>
        <w:spacing w:after="60"/>
      </w:pPr>
    </w:p>
    <w:p w14:paraId="060E169B" w14:textId="77777777" w:rsidR="00DA7972" w:rsidRDefault="00000000">
      <w:pPr>
        <w:pStyle w:val="Caption"/>
      </w:pPr>
      <w:r>
        <w:rPr>
          <w:rFonts w:eastAsia="Calibri" w:cs="Calibri"/>
          <w:szCs w:val="18"/>
        </w:rPr>
        <w:t>Table 8.1: Corridor default assignments</w:t>
      </w:r>
    </w:p>
    <w:p w14:paraId="6585DB39" w14:textId="77777777" w:rsidR="00DA7972" w:rsidRDefault="00000000">
      <w:r>
        <w:rPr>
          <w:rFonts w:eastAsia="Georgia" w:cs="Georgia"/>
          <w:szCs w:val="21"/>
        </w:rPr>
        <w:t>The Meridian Operations Center publishes a daily corridor schedule that balances traffic among the three corridors, prevents bunching, and staggers Class B arrivals at single-point moorings. Corridor Three carries the default assignment for any vessel that requires no specific coastal service, such as loading or discharging at a terminal. The schedule is advisory for Classes A through F and binding for Class G.</w:t>
      </w:r>
    </w:p>
    <w:p w14:paraId="5B380C45" w14:textId="77777777" w:rsidR="00DA7972" w:rsidRDefault="00000000">
      <w:pPr>
        <w:pStyle w:val="Heading3"/>
      </w:pPr>
      <w:r>
        <w:rPr>
          <w:rFonts w:eastAsia="Calibri" w:cs="Calibri"/>
          <w:szCs w:val="22"/>
        </w:rPr>
        <w:lastRenderedPageBreak/>
        <w:t>8.6 Capacity, speed, and spacing</w:t>
      </w:r>
    </w:p>
    <w:p w14:paraId="103BA8DB" w14:textId="77777777" w:rsidR="00DA7972" w:rsidRDefault="00000000">
      <w:r>
        <w:rPr>
          <w:rFonts w:eastAsia="Georgia" w:cs="Georgia"/>
          <w:szCs w:val="21"/>
        </w:rPr>
        <w:t>The three corridors sustain a combined capacity of up to 165 transits per day under normal conditions: up to 110 transits per day across the two coastal corridors and up to 55 transits per day across the International Assurance Lane, together exceeding the pre-conflict daily average. In-corridor speed operates between 8 and 14 knots for Classes A, B, and C, with a 3 nautical mile separation between successive laden Class B vessels in the same lane. The Meridian Operations Center adjusts spacing in reduced visibility and announces adjustments through the daily schedule and the notice to mariners channel.</w:t>
      </w:r>
    </w:p>
    <w:p w14:paraId="5BC9A1B7" w14:textId="77777777" w:rsidR="00DA7972" w:rsidRDefault="00000000">
      <w:pPr>
        <w:pStyle w:val="Heading3"/>
      </w:pPr>
      <w:r>
        <w:rPr>
          <w:rFonts w:eastAsia="Calibri" w:cs="Calibri"/>
          <w:szCs w:val="22"/>
        </w:rPr>
        <w:t>8.7 The Separation Belts</w:t>
      </w:r>
    </w:p>
    <w:p w14:paraId="614DC03F" w14:textId="77777777" w:rsidR="00DA7972" w:rsidRDefault="00000000">
      <w:r>
        <w:rPr>
          <w:rFonts w:eastAsia="Georgia" w:cs="Georgia"/>
          <w:szCs w:val="21"/>
        </w:rPr>
        <w:t>Two Separation Belts define the geometry of the tripartite corridor system: the Southern Belt divides Corridor One from Corridor Three, and the Northern Belt divides Corridor Three from Corridor Two, each two nautical miles wide along the centerlines in Annex A, Table A.5. Traffic enters a Belt only to cross between corridors at the designated crossing sectors, to respond to a casualty, or to perform Accord service work. Each Belt carries no anchoring, no fishing, no exercises, and no loitering armed presence of any Party. Patrol craft cross the Belts on transit, and the architecture treats the Belts as shared calm water.</w:t>
      </w:r>
    </w:p>
    <w:p w14:paraId="7ED517C2" w14:textId="77777777" w:rsidR="00DA7972" w:rsidRDefault="00000000">
      <w:pPr>
        <w:pStyle w:val="Heading2"/>
      </w:pPr>
      <w:bookmarkStart w:id="13" w:name="_Toc236229894"/>
      <w:r>
        <w:rPr>
          <w:rFonts w:eastAsia="Calibri" w:cs="Calibri"/>
          <w:szCs w:val="26"/>
        </w:rPr>
        <w:t>Article 9: Vessel Classification and Differentiated Treatment</w:t>
      </w:r>
      <w:bookmarkEnd w:id="13"/>
    </w:p>
    <w:p w14:paraId="4FFD7CBD" w14:textId="77777777" w:rsidR="00DA7972" w:rsidRDefault="00000000">
      <w:pPr>
        <w:pStyle w:val="Heading3"/>
      </w:pPr>
      <w:r>
        <w:rPr>
          <w:rFonts w:eastAsia="Calibri" w:cs="Calibri"/>
          <w:szCs w:val="22"/>
        </w:rPr>
        <w:t>9.1 The classification principle</w:t>
      </w:r>
    </w:p>
    <w:p w14:paraId="4AA743E3" w14:textId="77777777" w:rsidR="00DA7972" w:rsidRDefault="00000000">
      <w:r>
        <w:rPr>
          <w:rFonts w:eastAsia="Georgia" w:cs="Georgia"/>
          <w:szCs w:val="21"/>
        </w:rPr>
        <w:t>Every vessel in the Governance Area holds one of eight classes. Classification follows the vessel's purpose, size, and risk profile, never its flag, ownership, or political relationship. The classification society data feed and the automatic identification system message establish the class automatically; the Meridian Operations Center resolves any ambiguity within 4 hours, and its resolution binds operations until the vessel completes its transit. Annex B states the complete treatment matrix.</w:t>
      </w:r>
    </w:p>
    <w:p w14:paraId="0DE44485" w14:textId="77777777" w:rsidR="00DA7972" w:rsidRDefault="00000000">
      <w:pPr>
        <w:pBdr>
          <w:left w:val="single" w:sz="8" w:space="6" w:color="B0BEC5"/>
        </w:pBdr>
        <w:spacing w:before="40"/>
        <w:ind w:left="360"/>
      </w:pPr>
      <w:r>
        <w:rPr>
          <w:rFonts w:ascii="Calibri" w:eastAsia="Calibri" w:hAnsi="Calibri" w:cs="Calibri"/>
          <w:i/>
          <w:color w:val="78909C"/>
          <w:sz w:val="18"/>
          <w:szCs w:val="18"/>
        </w:rPr>
        <w:t>See also Annex B and Articles 10 and 24.</w:t>
      </w:r>
    </w:p>
    <w:p w14:paraId="092548C2" w14:textId="77777777" w:rsidR="00DA7972" w:rsidRDefault="00000000">
      <w:pPr>
        <w:pStyle w:val="Heading3"/>
      </w:pPr>
      <w:r>
        <w:rPr>
          <w:rFonts w:eastAsia="Calibri" w:cs="Calibri"/>
          <w:szCs w:val="22"/>
        </w:rPr>
        <w:t>9.2 The eight classes</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5"/>
        <w:gridCol w:w="3075"/>
        <w:gridCol w:w="3076"/>
      </w:tblGrid>
      <w:tr w:rsidR="00DA7972" w14:paraId="42E48418" w14:textId="77777777">
        <w:trPr>
          <w:tblHeader/>
        </w:trPr>
        <w:tc>
          <w:tcPr>
            <w:tcW w:w="3003" w:type="dxa"/>
            <w:tcBorders>
              <w:bottom w:val="single" w:sz="6" w:space="0" w:color="546E7A"/>
            </w:tcBorders>
            <w:shd w:val="clear" w:color="auto" w:fill="E4E9EC"/>
          </w:tcPr>
          <w:p w14:paraId="7664F4EB" w14:textId="77777777" w:rsidR="00DA7972" w:rsidRDefault="00000000">
            <w:pPr>
              <w:spacing w:after="0" w:line="260" w:lineRule="auto"/>
              <w:jc w:val="left"/>
            </w:pPr>
            <w:r>
              <w:rPr>
                <w:rFonts w:ascii="Calibri" w:eastAsia="Calibri" w:hAnsi="Calibri" w:cs="Calibri"/>
                <w:b/>
                <w:color w:val="37474F"/>
                <w:sz w:val="19"/>
                <w:szCs w:val="19"/>
              </w:rPr>
              <w:t>Class</w:t>
            </w:r>
          </w:p>
        </w:tc>
        <w:tc>
          <w:tcPr>
            <w:tcW w:w="3003" w:type="dxa"/>
            <w:tcBorders>
              <w:bottom w:val="single" w:sz="6" w:space="0" w:color="546E7A"/>
            </w:tcBorders>
            <w:shd w:val="clear" w:color="auto" w:fill="E4E9EC"/>
          </w:tcPr>
          <w:p w14:paraId="1A14CF4A" w14:textId="77777777" w:rsidR="00DA7972" w:rsidRDefault="00000000">
            <w:pPr>
              <w:spacing w:after="0" w:line="260" w:lineRule="auto"/>
              <w:jc w:val="left"/>
            </w:pPr>
            <w:r>
              <w:rPr>
                <w:rFonts w:ascii="Calibri" w:eastAsia="Calibri" w:hAnsi="Calibri" w:cs="Calibri"/>
                <w:b/>
                <w:color w:val="37474F"/>
                <w:sz w:val="19"/>
                <w:szCs w:val="19"/>
              </w:rPr>
              <w:t>Description</w:t>
            </w:r>
          </w:p>
        </w:tc>
        <w:tc>
          <w:tcPr>
            <w:tcW w:w="3004" w:type="dxa"/>
            <w:tcBorders>
              <w:bottom w:val="single" w:sz="6" w:space="0" w:color="546E7A"/>
            </w:tcBorders>
            <w:shd w:val="clear" w:color="auto" w:fill="E4E9EC"/>
          </w:tcPr>
          <w:p w14:paraId="2B60FD5C" w14:textId="77777777" w:rsidR="00DA7972" w:rsidRDefault="00000000">
            <w:pPr>
              <w:spacing w:after="0" w:line="260" w:lineRule="auto"/>
              <w:jc w:val="left"/>
            </w:pPr>
            <w:r>
              <w:rPr>
                <w:rFonts w:ascii="Calibri" w:eastAsia="Calibri" w:hAnsi="Calibri" w:cs="Calibri"/>
                <w:b/>
                <w:color w:val="37474F"/>
                <w:sz w:val="19"/>
                <w:szCs w:val="19"/>
              </w:rPr>
              <w:t>Core treatment</w:t>
            </w:r>
          </w:p>
        </w:tc>
      </w:tr>
      <w:tr w:rsidR="00DA7972" w14:paraId="50BE132D" w14:textId="77777777">
        <w:tc>
          <w:tcPr>
            <w:tcW w:w="3003" w:type="dxa"/>
          </w:tcPr>
          <w:p w14:paraId="53AC661B" w14:textId="77777777" w:rsidR="00DA7972" w:rsidRDefault="00000000">
            <w:pPr>
              <w:spacing w:after="0" w:line="260" w:lineRule="auto"/>
              <w:jc w:val="left"/>
            </w:pPr>
            <w:r>
              <w:rPr>
                <w:rFonts w:ascii="Calibri" w:eastAsia="Calibri" w:hAnsi="Calibri" w:cs="Calibri"/>
                <w:sz w:val="19"/>
                <w:szCs w:val="19"/>
              </w:rPr>
              <w:t>Class A: General commercial cargo</w:t>
            </w:r>
          </w:p>
        </w:tc>
        <w:tc>
          <w:tcPr>
            <w:tcW w:w="3003" w:type="dxa"/>
          </w:tcPr>
          <w:p w14:paraId="17D60E66" w14:textId="77777777" w:rsidR="00DA7972" w:rsidRDefault="00000000">
            <w:pPr>
              <w:spacing w:after="0" w:line="260" w:lineRule="auto"/>
              <w:jc w:val="left"/>
            </w:pPr>
            <w:r>
              <w:rPr>
                <w:rFonts w:ascii="Calibri" w:eastAsia="Calibri" w:hAnsi="Calibri" w:cs="Calibri"/>
                <w:sz w:val="19"/>
                <w:szCs w:val="19"/>
              </w:rPr>
              <w:t>Container ships, bulk carriers, general cargo, ro-ro, vehicle carriers, reefers</w:t>
            </w:r>
          </w:p>
        </w:tc>
        <w:tc>
          <w:tcPr>
            <w:tcW w:w="3004" w:type="dxa"/>
          </w:tcPr>
          <w:p w14:paraId="09F32AD0" w14:textId="77777777" w:rsidR="00DA7972" w:rsidRDefault="00000000">
            <w:pPr>
              <w:spacing w:after="0" w:line="260" w:lineRule="auto"/>
              <w:jc w:val="left"/>
            </w:pPr>
            <w:r>
              <w:rPr>
                <w:rFonts w:ascii="Calibri" w:eastAsia="Calibri" w:hAnsi="Calibri" w:cs="Calibri"/>
                <w:sz w:val="19"/>
                <w:szCs w:val="19"/>
              </w:rPr>
              <w:t>Standard transit; Corridor One or Three default; notice regime in Corridors Two and Three; no inspection at sea</w:t>
            </w:r>
          </w:p>
        </w:tc>
      </w:tr>
      <w:tr w:rsidR="00DA7972" w14:paraId="56DCAA99" w14:textId="77777777">
        <w:tc>
          <w:tcPr>
            <w:tcW w:w="3003" w:type="dxa"/>
          </w:tcPr>
          <w:p w14:paraId="26F2863B" w14:textId="77777777" w:rsidR="00DA7972" w:rsidRDefault="00000000">
            <w:pPr>
              <w:spacing w:after="0" w:line="260" w:lineRule="auto"/>
              <w:jc w:val="left"/>
            </w:pPr>
            <w:r>
              <w:rPr>
                <w:rFonts w:ascii="Calibri" w:eastAsia="Calibri" w:hAnsi="Calibri" w:cs="Calibri"/>
                <w:sz w:val="19"/>
                <w:szCs w:val="19"/>
              </w:rPr>
              <w:t>Class B: Energy carriers</w:t>
            </w:r>
          </w:p>
        </w:tc>
        <w:tc>
          <w:tcPr>
            <w:tcW w:w="3003" w:type="dxa"/>
          </w:tcPr>
          <w:p w14:paraId="411459F4" w14:textId="77777777" w:rsidR="00DA7972" w:rsidRDefault="00000000">
            <w:pPr>
              <w:spacing w:after="0" w:line="260" w:lineRule="auto"/>
              <w:jc w:val="left"/>
            </w:pPr>
            <w:r>
              <w:rPr>
                <w:rFonts w:ascii="Calibri" w:eastAsia="Calibri" w:hAnsi="Calibri" w:cs="Calibri"/>
                <w:sz w:val="19"/>
                <w:szCs w:val="19"/>
              </w:rPr>
              <w:t>Crude oil tankers, product tankers, LNG and LPG carriers, chemical tankers carrying petroleum derivatives</w:t>
            </w:r>
          </w:p>
        </w:tc>
        <w:tc>
          <w:tcPr>
            <w:tcW w:w="3004" w:type="dxa"/>
          </w:tcPr>
          <w:p w14:paraId="44CBBB49" w14:textId="77777777" w:rsidR="00DA7972" w:rsidRDefault="00000000">
            <w:pPr>
              <w:spacing w:after="0" w:line="260" w:lineRule="auto"/>
              <w:jc w:val="left"/>
            </w:pPr>
            <w:r>
              <w:rPr>
                <w:rFonts w:ascii="Calibri" w:eastAsia="Calibri" w:hAnsi="Calibri" w:cs="Calibri"/>
                <w:sz w:val="19"/>
                <w:szCs w:val="19"/>
              </w:rPr>
              <w:t>Priority scheduling; 3 nautical mile spacing; optional escorted windows; expedited notice; loading-terminal integration in Corridor Two</w:t>
            </w:r>
          </w:p>
        </w:tc>
      </w:tr>
      <w:tr w:rsidR="00DA7972" w14:paraId="38D5EB1E" w14:textId="77777777">
        <w:tc>
          <w:tcPr>
            <w:tcW w:w="3003" w:type="dxa"/>
          </w:tcPr>
          <w:p w14:paraId="6A898992" w14:textId="77777777" w:rsidR="00DA7972" w:rsidRDefault="00000000">
            <w:pPr>
              <w:spacing w:after="0" w:line="260" w:lineRule="auto"/>
              <w:jc w:val="left"/>
            </w:pPr>
            <w:r>
              <w:rPr>
                <w:rFonts w:ascii="Calibri" w:eastAsia="Calibri" w:hAnsi="Calibri" w:cs="Calibri"/>
                <w:sz w:val="19"/>
                <w:szCs w:val="19"/>
              </w:rPr>
              <w:t>Class C: Passenger vessels</w:t>
            </w:r>
          </w:p>
        </w:tc>
        <w:tc>
          <w:tcPr>
            <w:tcW w:w="3003" w:type="dxa"/>
          </w:tcPr>
          <w:p w14:paraId="396F85A6" w14:textId="77777777" w:rsidR="00DA7972" w:rsidRDefault="00000000">
            <w:pPr>
              <w:spacing w:after="0" w:line="260" w:lineRule="auto"/>
              <w:jc w:val="left"/>
            </w:pPr>
            <w:r>
              <w:rPr>
                <w:rFonts w:ascii="Calibri" w:eastAsia="Calibri" w:hAnsi="Calibri" w:cs="Calibri"/>
                <w:sz w:val="19"/>
                <w:szCs w:val="19"/>
              </w:rPr>
              <w:t>Passenger ships, ferries, crew boats carrying more than 12 passengers</w:t>
            </w:r>
          </w:p>
        </w:tc>
        <w:tc>
          <w:tcPr>
            <w:tcW w:w="3004" w:type="dxa"/>
          </w:tcPr>
          <w:p w14:paraId="06670275" w14:textId="77777777" w:rsidR="00DA7972" w:rsidRDefault="00000000">
            <w:pPr>
              <w:spacing w:after="0" w:line="260" w:lineRule="auto"/>
              <w:jc w:val="left"/>
            </w:pPr>
            <w:r>
              <w:rPr>
                <w:rFonts w:ascii="Calibri" w:eastAsia="Calibri" w:hAnsi="Calibri" w:cs="Calibri"/>
                <w:sz w:val="19"/>
                <w:szCs w:val="19"/>
              </w:rPr>
              <w:t>Highest protection priority; advance manifest through the notice system; daylight transit recommended; dedicated separation from Class G activity</w:t>
            </w:r>
          </w:p>
        </w:tc>
      </w:tr>
      <w:tr w:rsidR="00DA7972" w14:paraId="20C02C94" w14:textId="77777777">
        <w:tc>
          <w:tcPr>
            <w:tcW w:w="3003" w:type="dxa"/>
          </w:tcPr>
          <w:p w14:paraId="01A9A29D" w14:textId="77777777" w:rsidR="00DA7972" w:rsidRDefault="00000000">
            <w:pPr>
              <w:spacing w:after="0" w:line="260" w:lineRule="auto"/>
              <w:jc w:val="left"/>
            </w:pPr>
            <w:r>
              <w:rPr>
                <w:rFonts w:ascii="Calibri" w:eastAsia="Calibri" w:hAnsi="Calibri" w:cs="Calibri"/>
                <w:sz w:val="19"/>
                <w:szCs w:val="19"/>
              </w:rPr>
              <w:lastRenderedPageBreak/>
              <w:t>Class D: Fishing and small craft</w:t>
            </w:r>
          </w:p>
        </w:tc>
        <w:tc>
          <w:tcPr>
            <w:tcW w:w="3003" w:type="dxa"/>
          </w:tcPr>
          <w:p w14:paraId="63D003CD" w14:textId="77777777" w:rsidR="00DA7972" w:rsidRDefault="00000000">
            <w:pPr>
              <w:spacing w:after="0" w:line="260" w:lineRule="auto"/>
              <w:jc w:val="left"/>
            </w:pPr>
            <w:r>
              <w:rPr>
                <w:rFonts w:ascii="Calibri" w:eastAsia="Calibri" w:hAnsi="Calibri" w:cs="Calibri"/>
                <w:sz w:val="19"/>
                <w:szCs w:val="19"/>
              </w:rPr>
              <w:t>Licensed fishing vessels, dhows, and small craft under 24 meters</w:t>
            </w:r>
          </w:p>
        </w:tc>
        <w:tc>
          <w:tcPr>
            <w:tcW w:w="3004" w:type="dxa"/>
          </w:tcPr>
          <w:p w14:paraId="3E2EB41A" w14:textId="77777777" w:rsidR="00DA7972" w:rsidRDefault="00000000">
            <w:pPr>
              <w:spacing w:after="0" w:line="260" w:lineRule="auto"/>
              <w:jc w:val="left"/>
            </w:pPr>
            <w:r>
              <w:rPr>
                <w:rFonts w:ascii="Calibri" w:eastAsia="Calibri" w:hAnsi="Calibri" w:cs="Calibri"/>
                <w:sz w:val="19"/>
                <w:szCs w:val="19"/>
              </w:rPr>
              <w:t>Inshore local craft bands; crossing gates of Annex A; registration through coastal authority; non-interference with corridor lanes</w:t>
            </w:r>
          </w:p>
        </w:tc>
      </w:tr>
      <w:tr w:rsidR="00DA7972" w14:paraId="46EBCE0D" w14:textId="77777777">
        <w:tc>
          <w:tcPr>
            <w:tcW w:w="3003" w:type="dxa"/>
          </w:tcPr>
          <w:p w14:paraId="077AE929" w14:textId="77777777" w:rsidR="00DA7972" w:rsidRDefault="00000000">
            <w:pPr>
              <w:spacing w:after="0" w:line="260" w:lineRule="auto"/>
              <w:jc w:val="left"/>
            </w:pPr>
            <w:r>
              <w:rPr>
                <w:rFonts w:ascii="Calibri" w:eastAsia="Calibri" w:hAnsi="Calibri" w:cs="Calibri"/>
                <w:sz w:val="19"/>
                <w:szCs w:val="19"/>
              </w:rPr>
              <w:t>Class E: Humanitarian vessels</w:t>
            </w:r>
          </w:p>
        </w:tc>
        <w:tc>
          <w:tcPr>
            <w:tcW w:w="3003" w:type="dxa"/>
          </w:tcPr>
          <w:p w14:paraId="114F70A3" w14:textId="77777777" w:rsidR="00DA7972" w:rsidRDefault="00000000">
            <w:pPr>
              <w:spacing w:after="0" w:line="260" w:lineRule="auto"/>
              <w:jc w:val="left"/>
            </w:pPr>
            <w:r>
              <w:rPr>
                <w:rFonts w:ascii="Calibri" w:eastAsia="Calibri" w:hAnsi="Calibri" w:cs="Calibri"/>
                <w:sz w:val="19"/>
                <w:szCs w:val="19"/>
              </w:rPr>
              <w:t>Vessels carrying food, medicine, medical equipment, or relief personnel under verified humanitarian consignment</w:t>
            </w:r>
          </w:p>
        </w:tc>
        <w:tc>
          <w:tcPr>
            <w:tcW w:w="3004" w:type="dxa"/>
          </w:tcPr>
          <w:p w14:paraId="2FA0CD2C" w14:textId="77777777" w:rsidR="00DA7972" w:rsidRDefault="00000000">
            <w:pPr>
              <w:spacing w:after="0" w:line="260" w:lineRule="auto"/>
              <w:jc w:val="left"/>
            </w:pPr>
            <w:r>
              <w:rPr>
                <w:rFonts w:ascii="Calibri" w:eastAsia="Calibri" w:hAnsi="Calibri" w:cs="Calibri"/>
                <w:sz w:val="19"/>
                <w:szCs w:val="19"/>
              </w:rPr>
              <w:t>Expedited regime; zero administrative delay; protected status under the humanitarian absolute; immediate acknowledgment of any notice; moves in every flow state including Suspended Flow</w:t>
            </w:r>
          </w:p>
        </w:tc>
      </w:tr>
      <w:tr w:rsidR="00DA7972" w14:paraId="0D06DC45" w14:textId="77777777">
        <w:tc>
          <w:tcPr>
            <w:tcW w:w="3003" w:type="dxa"/>
          </w:tcPr>
          <w:p w14:paraId="5F4CA3FC" w14:textId="77777777" w:rsidR="00DA7972" w:rsidRDefault="00000000">
            <w:pPr>
              <w:spacing w:after="0" w:line="260" w:lineRule="auto"/>
              <w:jc w:val="left"/>
            </w:pPr>
            <w:r>
              <w:rPr>
                <w:rFonts w:ascii="Calibri" w:eastAsia="Calibri" w:hAnsi="Calibri" w:cs="Calibri"/>
                <w:sz w:val="19"/>
                <w:szCs w:val="19"/>
              </w:rPr>
              <w:t>Class F: Government non-naval</w:t>
            </w:r>
          </w:p>
        </w:tc>
        <w:tc>
          <w:tcPr>
            <w:tcW w:w="3003" w:type="dxa"/>
          </w:tcPr>
          <w:p w14:paraId="1A3BDD88" w14:textId="77777777" w:rsidR="00DA7972" w:rsidRDefault="00000000">
            <w:pPr>
              <w:spacing w:after="0" w:line="260" w:lineRule="auto"/>
              <w:jc w:val="left"/>
            </w:pPr>
            <w:r>
              <w:rPr>
                <w:rFonts w:ascii="Calibri" w:eastAsia="Calibri" w:hAnsi="Calibri" w:cs="Calibri"/>
                <w:sz w:val="19"/>
                <w:szCs w:val="19"/>
              </w:rPr>
              <w:t>Research, survey, coast guard, customs, and hydrographic vessels on non-enforcement missions</w:t>
            </w:r>
          </w:p>
        </w:tc>
        <w:tc>
          <w:tcPr>
            <w:tcW w:w="3004" w:type="dxa"/>
          </w:tcPr>
          <w:p w14:paraId="05AE5BDD" w14:textId="77777777" w:rsidR="00DA7972" w:rsidRDefault="00000000">
            <w:pPr>
              <w:spacing w:after="0" w:line="260" w:lineRule="auto"/>
              <w:jc w:val="left"/>
            </w:pPr>
            <w:r>
              <w:rPr>
                <w:rFonts w:ascii="Calibri" w:eastAsia="Calibri" w:hAnsi="Calibri" w:cs="Calibri"/>
                <w:sz w:val="19"/>
                <w:szCs w:val="19"/>
              </w:rPr>
              <w:t>Notification regime in all corridors; mission description in the notice; de-confliction liaison through the Center</w:t>
            </w:r>
          </w:p>
        </w:tc>
      </w:tr>
      <w:tr w:rsidR="00DA7972" w14:paraId="3B8DC8C2" w14:textId="77777777">
        <w:tc>
          <w:tcPr>
            <w:tcW w:w="3003" w:type="dxa"/>
          </w:tcPr>
          <w:p w14:paraId="5B3CF245" w14:textId="77777777" w:rsidR="00DA7972" w:rsidRDefault="00000000">
            <w:pPr>
              <w:spacing w:after="0" w:line="260" w:lineRule="auto"/>
              <w:jc w:val="left"/>
            </w:pPr>
            <w:r>
              <w:rPr>
                <w:rFonts w:ascii="Calibri" w:eastAsia="Calibri" w:hAnsi="Calibri" w:cs="Calibri"/>
                <w:sz w:val="19"/>
                <w:szCs w:val="19"/>
              </w:rPr>
              <w:t>Class G: Naval and state vessels</w:t>
            </w:r>
          </w:p>
        </w:tc>
        <w:tc>
          <w:tcPr>
            <w:tcW w:w="3003" w:type="dxa"/>
          </w:tcPr>
          <w:p w14:paraId="4C272B8A" w14:textId="77777777" w:rsidR="00DA7972" w:rsidRDefault="00000000">
            <w:pPr>
              <w:spacing w:after="0" w:line="260" w:lineRule="auto"/>
              <w:jc w:val="left"/>
            </w:pPr>
            <w:r>
              <w:rPr>
                <w:rFonts w:ascii="Calibri" w:eastAsia="Calibri" w:hAnsi="Calibri" w:cs="Calibri"/>
                <w:sz w:val="19"/>
                <w:szCs w:val="19"/>
              </w:rPr>
              <w:t>Warships and state vessels on government non-commercial service</w:t>
            </w:r>
          </w:p>
        </w:tc>
        <w:tc>
          <w:tcPr>
            <w:tcW w:w="3004" w:type="dxa"/>
          </w:tcPr>
          <w:p w14:paraId="15BE2B3F" w14:textId="77777777" w:rsidR="00DA7972" w:rsidRDefault="00000000">
            <w:pPr>
              <w:spacing w:after="0" w:line="260" w:lineRule="auto"/>
              <w:jc w:val="left"/>
            </w:pPr>
            <w:r>
              <w:rPr>
                <w:rFonts w:ascii="Calibri" w:eastAsia="Calibri" w:hAnsi="Calibri" w:cs="Calibri"/>
                <w:sz w:val="19"/>
                <w:szCs w:val="19"/>
              </w:rPr>
              <w:t>Corridor One only; 96-hour advance movement notice through the military channel; standoff geometry of Article 27 applies; no embarkation of inspection teams against merchant vessels inside the Governance Area</w:t>
            </w:r>
          </w:p>
        </w:tc>
      </w:tr>
      <w:tr w:rsidR="00DA7972" w14:paraId="7807CB30" w14:textId="77777777">
        <w:tc>
          <w:tcPr>
            <w:tcW w:w="3003" w:type="dxa"/>
          </w:tcPr>
          <w:p w14:paraId="495B8F25" w14:textId="77777777" w:rsidR="00DA7972" w:rsidRDefault="00000000">
            <w:pPr>
              <w:spacing w:after="0" w:line="260" w:lineRule="auto"/>
              <w:jc w:val="left"/>
            </w:pPr>
            <w:r>
              <w:rPr>
                <w:rFonts w:ascii="Calibri" w:eastAsia="Calibri" w:hAnsi="Calibri" w:cs="Calibri"/>
                <w:sz w:val="19"/>
                <w:szCs w:val="19"/>
              </w:rPr>
              <w:t>Class H: Vessels of concern</w:t>
            </w:r>
          </w:p>
        </w:tc>
        <w:tc>
          <w:tcPr>
            <w:tcW w:w="3003" w:type="dxa"/>
          </w:tcPr>
          <w:p w14:paraId="588F6205" w14:textId="77777777" w:rsidR="00DA7972" w:rsidRDefault="00000000">
            <w:pPr>
              <w:spacing w:after="0" w:line="260" w:lineRule="auto"/>
              <w:jc w:val="left"/>
            </w:pPr>
            <w:r>
              <w:rPr>
                <w:rFonts w:ascii="Calibri" w:eastAsia="Calibri" w:hAnsi="Calibri" w:cs="Calibri"/>
                <w:sz w:val="19"/>
                <w:szCs w:val="19"/>
              </w:rPr>
              <w:t>Any vessel with a documented, evidence-backed cargo or documentation question pending</w:t>
            </w:r>
          </w:p>
        </w:tc>
        <w:tc>
          <w:tcPr>
            <w:tcW w:w="3004" w:type="dxa"/>
          </w:tcPr>
          <w:p w14:paraId="0FB04305" w14:textId="77777777" w:rsidR="00DA7972" w:rsidRDefault="00000000">
            <w:pPr>
              <w:spacing w:after="0" w:line="260" w:lineRule="auto"/>
              <w:jc w:val="left"/>
            </w:pPr>
            <w:r>
              <w:rPr>
                <w:rFonts w:ascii="Calibri" w:eastAsia="Calibri" w:hAnsi="Calibri" w:cs="Calibri"/>
                <w:sz w:val="19"/>
                <w:szCs w:val="19"/>
              </w:rPr>
              <w:t>Anchor-and-Verify Protocol of Article 9.5: resolution at anchorage, never interdiction at sea</w:t>
            </w:r>
          </w:p>
        </w:tc>
      </w:tr>
    </w:tbl>
    <w:p w14:paraId="5E0AEF5D" w14:textId="77777777" w:rsidR="00DA7972" w:rsidRDefault="00DA7972">
      <w:pPr>
        <w:spacing w:after="60"/>
      </w:pPr>
    </w:p>
    <w:p w14:paraId="648DB799" w14:textId="77777777" w:rsidR="00DA7972" w:rsidRDefault="00000000">
      <w:pPr>
        <w:pStyle w:val="Caption"/>
      </w:pPr>
      <w:r>
        <w:rPr>
          <w:rFonts w:eastAsia="Calibri" w:cs="Calibri"/>
          <w:szCs w:val="18"/>
        </w:rPr>
        <w:t>Table 9.1: Vessel classes and core treatment</w:t>
      </w:r>
    </w:p>
    <w:p w14:paraId="2BC9493E" w14:textId="77777777" w:rsidR="00DA7972" w:rsidRDefault="00000000">
      <w:pPr>
        <w:pStyle w:val="Heading3"/>
      </w:pPr>
      <w:r>
        <w:rPr>
          <w:rFonts w:eastAsia="Calibri" w:cs="Calibri"/>
          <w:szCs w:val="22"/>
        </w:rPr>
        <w:t>9.3 Treatment principles</w:t>
      </w:r>
    </w:p>
    <w:p w14:paraId="640B8F23" w14:textId="77777777" w:rsidR="00DA7972" w:rsidRDefault="00000000">
      <w:pPr>
        <w:ind w:left="360"/>
      </w:pPr>
      <w:r>
        <w:rPr>
          <w:rFonts w:eastAsia="Georgia" w:cs="Georgia"/>
          <w:szCs w:val="21"/>
        </w:rPr>
        <w:t>1. Purpose governs. Two vessels of identical tonnage receive different treatment if their purposes differ, and identical treatment if their purposes match. Flag never enters the treatment decision.</w:t>
      </w:r>
    </w:p>
    <w:p w14:paraId="2A7F13B9" w14:textId="77777777" w:rsidR="00DA7972" w:rsidRDefault="00000000">
      <w:pPr>
        <w:ind w:left="360"/>
      </w:pPr>
      <w:r>
        <w:rPr>
          <w:rFonts w:eastAsia="Georgia" w:cs="Georgia"/>
          <w:szCs w:val="21"/>
        </w:rPr>
        <w:t>2. Protection scales with vulnerability. Class C and Class E vessels receive the highest protection priority in scheduling, spacing, and incident response.</w:t>
      </w:r>
    </w:p>
    <w:p w14:paraId="68246A29" w14:textId="77777777" w:rsidR="00DA7972" w:rsidRDefault="00000000">
      <w:pPr>
        <w:ind w:left="360"/>
      </w:pPr>
      <w:r>
        <w:rPr>
          <w:rFonts w:eastAsia="Georgia" w:cs="Georgia"/>
          <w:szCs w:val="21"/>
        </w:rPr>
        <w:t>3. Friction scales with risk, at anchor. The Accord concentrates all verification friction in the Anchor-and-Verify Protocol, so that the corridors themselves stay clean, fast, and free.</w:t>
      </w:r>
    </w:p>
    <w:p w14:paraId="58098B72" w14:textId="77777777" w:rsidR="00DA7972" w:rsidRDefault="00000000">
      <w:pPr>
        <w:ind w:left="360"/>
      </w:pPr>
      <w:r>
        <w:rPr>
          <w:rFonts w:eastAsia="Georgia" w:cs="Georgia"/>
          <w:szCs w:val="21"/>
        </w:rPr>
        <w:t>4. No class carries a charge. The Zero-Toll Rule applies to every class equally, including Class G.</w:t>
      </w:r>
    </w:p>
    <w:p w14:paraId="01378B7B" w14:textId="77777777" w:rsidR="00DA7972" w:rsidRDefault="00000000">
      <w:pPr>
        <w:pStyle w:val="Heading3"/>
      </w:pPr>
      <w:r>
        <w:rPr>
          <w:rFonts w:eastAsia="Calibri" w:cs="Calibri"/>
          <w:szCs w:val="22"/>
        </w:rPr>
        <w:t>9.4 Non-discrimination</w:t>
      </w:r>
    </w:p>
    <w:p w14:paraId="4AEE92D9" w14:textId="77777777" w:rsidR="00DA7972" w:rsidRDefault="00000000">
      <w:r>
        <w:rPr>
          <w:rFonts w:eastAsia="Georgia" w:cs="Georgia"/>
          <w:szCs w:val="21"/>
        </w:rPr>
        <w:t xml:space="preserve">Within each class, treatment stands identical for all vessels. The architecture excludes: differential pricing by flag; differential notification burdens by ownership; differential inspection by destination; and any registry, list, or database that sorts vessels by political criteria. The Assurance Registry of Article 24 sorts vessels by participation in a documentary mechanism, </w:t>
      </w:r>
      <w:r>
        <w:rPr>
          <w:rFonts w:eastAsia="Georgia" w:cs="Georgia"/>
          <w:szCs w:val="21"/>
        </w:rPr>
        <w:lastRenderedPageBreak/>
        <w:t>never by politics, and it alters no transit right, no transit priority, and no safety service for any vessel.</w:t>
      </w:r>
    </w:p>
    <w:p w14:paraId="3D846C45" w14:textId="77777777" w:rsidR="00DA7972" w:rsidRDefault="00000000">
      <w:pPr>
        <w:pStyle w:val="Heading3"/>
      </w:pPr>
      <w:r>
        <w:rPr>
          <w:rFonts w:eastAsia="Calibri" w:cs="Calibri"/>
          <w:szCs w:val="22"/>
        </w:rPr>
        <w:t>9.5 Class H and the Anchor-and-Verify Protocol</w:t>
      </w:r>
    </w:p>
    <w:p w14:paraId="1C3A656A" w14:textId="77777777" w:rsidR="00DA7972" w:rsidRDefault="00000000">
      <w:r>
        <w:rPr>
          <w:rFonts w:eastAsia="Georgia" w:cs="Georgia"/>
          <w:szCs w:val="21"/>
        </w:rPr>
        <w:t>A vessel becomes Class H only through a written, evidence-backed referral to the Meridian Operations Center by a Party, the Neutral Administrator, or a classification society, stating the specific cargo or documentation question. A referral based on nationality, ownership structure, or routing alone fails automatically and counts against the referring Party's claim record under Article 34.</w:t>
      </w:r>
    </w:p>
    <w:p w14:paraId="07515EE4" w14:textId="77777777" w:rsidR="00DA7972" w:rsidRDefault="00000000">
      <w:r>
        <w:rPr>
          <w:rFonts w:eastAsia="Georgia" w:cs="Georgia"/>
          <w:szCs w:val="21"/>
        </w:rPr>
        <w:t>Upon a valid referral, the vessel proceeds to a designated anchorage of its chosen corridor state, or continues its voyage if the question resolves through documents. Verification at anchorage completes within 48 hours through a joint team: one inspector designated by the flag state, one by the corridor coastal state, and one from the Neutral Keel Office roster. The team examines documents and, only where documents leave a material gap, the specific cargo in question. The vessel then resumes transit with a verified-transit marker. The architecture excludes at-sea boarding, diversion to a third state's port, and detention beyond 72 hours; a question unresolved at 72 hours routes to the Technical and Standards Committee, and the vessel resumes transit at hour 96 with the dispute continuing ashore.</w:t>
      </w:r>
    </w:p>
    <w:p w14:paraId="57B1F9F6" w14:textId="77777777" w:rsidR="00DA7972" w:rsidRDefault="00000000">
      <w:r>
        <w:rPr>
          <w:rFonts w:eastAsia="Georgia" w:cs="Georgia"/>
          <w:szCs w:val="21"/>
        </w:rPr>
        <w:t>For a Class H vessel carrying humanitarian cargo under Class E, the verification at anchorage completes within 24 hours. A question unresolved at 48 hours routes to the Technical and Standards Committee, and the vessel resumes transit at hour 48 with the dispute continuing ashore. The dispute continuing ashore has no effect on the vessel's transit: nothing in this section detains the master within any jurisdiction, and the vessel's insurance, registry, and flag status remain unaffected by the dispute. The dispute proceeds through the dispute resolution tiers of Article 35, and every remedy is financial or operational, never the detention of a vessel that has already resumed transit. The Humanitarian Class H Expedite provision is permanent and continues without expiry under the Nofade Guarantee of Article 4.</w:t>
      </w:r>
    </w:p>
    <w:p w14:paraId="61CF47DA" w14:textId="77777777" w:rsidR="00DA7972" w:rsidRDefault="00000000">
      <w:pPr>
        <w:pStyle w:val="Heading3"/>
      </w:pPr>
      <w:r>
        <w:rPr>
          <w:rFonts w:eastAsia="Calibri" w:cs="Calibri"/>
          <w:szCs w:val="22"/>
        </w:rPr>
        <w:t>9.6 The ground-truth patrol program</w:t>
      </w:r>
    </w:p>
    <w:p w14:paraId="68046F34" w14:textId="77777777" w:rsidR="00DA7972" w:rsidRDefault="00000000">
      <w:r>
        <w:rPr>
          <w:rFonts w:eastAsia="Georgia" w:cs="Georgia"/>
          <w:szCs w:val="21"/>
        </w:rPr>
        <w:t>Electronic surveillance deceives: identification signals spoof, satellite passes gap, and radar coverage bends around geography. The Accord therefore maintains a human verification layer on the water. The Meridian Operations Center conducts one ground-truth patrol per week in each corridor, executed by mixed-crew patrol craft provided on rotation by the coastal states and embarked with a Neutral Keel observer. Each patrol physically verifies the position, identity, and declared class of at least 5 percent of the vessels transiting during the patrol window, selected by lot from the live traffic picture immediately before departure. Patrol findings reconcile against the shared operational picture within 24 hours; a discrepancy enters the operational flag register and, where it suggests deliberate signal manipulation, refers to the verification channel of Article 34. A ground-truth patrol never boards, never delays, and never directs a merchant vessel: it observes, photographs, and reconciles. Obstruction of a scheduled patrol classifies under Annex D, category M-2.</w:t>
      </w:r>
    </w:p>
    <w:p w14:paraId="0D2B0525" w14:textId="77777777" w:rsidR="00DA7972" w:rsidRDefault="00000000">
      <w:r>
        <w:rPr>
          <w:rFonts w:eastAsia="Georgia" w:cs="Georgia"/>
          <w:szCs w:val="21"/>
        </w:rPr>
        <w:t xml:space="preserve">In addition to the scheduled weekly patrols, the Center conducts three randomized patrols per month in each corridor. The Center selects the randomized patrols by lot from the live traffic picture 30 minutes before departure, and it publishes the patrol schedule, including the </w:t>
      </w:r>
      <w:r>
        <w:rPr>
          <w:rFonts w:eastAsia="Georgia" w:cs="Georgia"/>
          <w:szCs w:val="21"/>
        </w:rPr>
        <w:lastRenderedPageBreak/>
        <w:t>randomization window, no later than the start of each month. The Randomization Protocol is permanent and continues without expiry under the Nofade Guarantee of Article 4.</w:t>
      </w:r>
    </w:p>
    <w:p w14:paraId="46711B75" w14:textId="77777777" w:rsidR="00DA7972" w:rsidRDefault="00000000">
      <w:pPr>
        <w:pStyle w:val="Heading2"/>
      </w:pPr>
      <w:bookmarkStart w:id="14" w:name="_Toc236229895"/>
      <w:r>
        <w:rPr>
          <w:rFonts w:eastAsia="Calibri" w:cs="Calibri"/>
          <w:szCs w:val="26"/>
        </w:rPr>
        <w:t>Article 10: Safe Passage and the Non-Interdiction Protocol</w:t>
      </w:r>
      <w:bookmarkEnd w:id="14"/>
    </w:p>
    <w:p w14:paraId="7C372820" w14:textId="77777777" w:rsidR="00DA7972" w:rsidRDefault="00000000">
      <w:pPr>
        <w:pStyle w:val="Heading3"/>
      </w:pPr>
      <w:r>
        <w:rPr>
          <w:rFonts w:eastAsia="Calibri" w:cs="Calibri"/>
          <w:szCs w:val="22"/>
        </w:rPr>
        <w:t>10.1 The guarantee of safe passage</w:t>
      </w:r>
    </w:p>
    <w:p w14:paraId="6B0B3E8C" w14:textId="77777777" w:rsidR="00DA7972" w:rsidRDefault="00000000">
      <w:r>
        <w:rPr>
          <w:rFonts w:eastAsia="Georgia" w:cs="Georgia"/>
          <w:szCs w:val="21"/>
        </w:rPr>
        <w:t>Every vessel transiting the corridor system in compliance with its class rules enjoys a standing guarantee of safe passage. The guarantee operates as a design feature of the shared architecture: the corridor system excludes kinetic attack, boarding, seizure, detention, harassment, diversion, and interdiction of transiting vessels, by the forces of any Party or any external actor, under every circumstance including armed conflict between any states. The guarantee binds equally in all three corridors and covers every class.</w:t>
      </w:r>
    </w:p>
    <w:p w14:paraId="296B627E" w14:textId="77777777" w:rsidR="00DA7972" w:rsidRDefault="00000000">
      <w:pPr>
        <w:pStyle w:val="Heading3"/>
      </w:pPr>
      <w:r>
        <w:rPr>
          <w:rFonts w:eastAsia="Calibri" w:cs="Calibri"/>
          <w:szCs w:val="22"/>
        </w:rPr>
        <w:t>10.2 The Non-Interdiction Protocol</w:t>
      </w:r>
    </w:p>
    <w:p w14:paraId="17AE4954" w14:textId="77777777" w:rsidR="00DA7972" w:rsidRDefault="00000000">
      <w:r>
        <w:rPr>
          <w:rFonts w:eastAsia="Georgia" w:cs="Georgia"/>
          <w:szCs w:val="21"/>
        </w:rPr>
        <w:t>Commercial transit operates under an absolute non-interdiction protocol within the Governance Area. The protocol binds every organ of every Party, every force under their command or coordination, and every external force present in the region whose state adheres under Article 38.5: no vessel of Classes A through F faces attack, seizure, boarding for enforcement, harassment, diversion, or detention within the Governance Area, except the Anchor-and-Verify Protocol of Article 9.5 executed exactly as written. The protocol excludes no flag and no cargo category, subject only to the Class H procedure. Law enforcement against a vessel occurs outside the Governance Area, under the law of the state with jurisdiction, and never inside a corridor.</w:t>
      </w:r>
    </w:p>
    <w:p w14:paraId="143FCEEB" w14:textId="77777777" w:rsidR="00DA7972" w:rsidRDefault="00000000">
      <w:pPr>
        <w:pStyle w:val="Heading3"/>
      </w:pPr>
      <w:r>
        <w:rPr>
          <w:rFonts w:eastAsia="Calibri" w:cs="Calibri"/>
          <w:szCs w:val="22"/>
        </w:rPr>
        <w:t>10.3 Excluded measures</w:t>
      </w:r>
    </w:p>
    <w:p w14:paraId="6EF1D812" w14:textId="77777777" w:rsidR="00DA7972" w:rsidRDefault="00000000">
      <w:r>
        <w:rPr>
          <w:rFonts w:eastAsia="Georgia" w:cs="Georgia"/>
          <w:szCs w:val="21"/>
        </w:rPr>
        <w:t>The following measures have no place anywhere in the Governance Area: tolls or charges on transit; permission regimes; boarding of transiting vessels; route assignment by flag or destination; mining; the placing of hazards; harassment by small craft; the jamming or spoofing of navigation signals; and the illumination of transiting commercial vessels with fire-control radar or targeting systems. The Parties treat interference with navigation signals as an interference event under Article 28, and the Center maintains a signal-integrity watch with land-based receivers at both the Muscat seat and the Bandar Abbas mirror.</w:t>
      </w:r>
    </w:p>
    <w:p w14:paraId="4EFB2E6A" w14:textId="77777777" w:rsidR="00DA7972" w:rsidRDefault="00000000">
      <w:pPr>
        <w:pStyle w:val="Heading3"/>
      </w:pPr>
      <w:r>
        <w:rPr>
          <w:rFonts w:eastAsia="Calibri" w:cs="Calibri"/>
          <w:szCs w:val="22"/>
        </w:rPr>
        <w:t>10.4 The joint openness declaration</w:t>
      </w:r>
    </w:p>
    <w:p w14:paraId="1530665C" w14:textId="77777777" w:rsidR="00DA7972" w:rsidRDefault="00000000">
      <w:r>
        <w:rPr>
          <w:rFonts w:eastAsia="Georgia" w:cs="Georgia"/>
          <w:szCs w:val="21"/>
        </w:rPr>
        <w:t>Within 7 days of entry into force, the Parties issue a joint public declaration, drafted by the Mediator of Record, stating that all channels of the Strait of Hormuz operate open, that passage carries no toll, and that the Non-Interdiction Protocol governs all traffic. The declaration attributes the commitment to the shared architecture rather than to any Party's unilateral concession. The Meridian Operations Center thereafter publishes the Open Water Bulletin under Article 11.7, so that the declaration renews itself through verifiable fact rather than repeated diplomacy.</w:t>
      </w:r>
    </w:p>
    <w:p w14:paraId="7CD3A6B1" w14:textId="77777777" w:rsidR="00DA7972" w:rsidRDefault="00000000">
      <w:pPr>
        <w:pStyle w:val="Heading3"/>
      </w:pPr>
      <w:r>
        <w:rPr>
          <w:rFonts w:eastAsia="Calibri" w:cs="Calibri"/>
          <w:szCs w:val="22"/>
        </w:rPr>
        <w:t>10.5 Safe passage services</w:t>
      </w:r>
    </w:p>
    <w:p w14:paraId="5EAEDB3F" w14:textId="77777777" w:rsidR="00DA7972" w:rsidRDefault="00000000">
      <w:r>
        <w:rPr>
          <w:rFonts w:eastAsia="Georgia" w:cs="Georgia"/>
          <w:szCs w:val="21"/>
        </w:rPr>
        <w:t xml:space="preserve">The Meridian Operations Center operates: (a) a 24-hour watch with direct lines to both coastal vessel traffic services; (b) a transit information broadcast every 6 hours covering traffic density, </w:t>
      </w:r>
      <w:r>
        <w:rPr>
          <w:rFonts w:eastAsia="Georgia" w:cs="Georgia"/>
          <w:szCs w:val="21"/>
        </w:rPr>
        <w:lastRenderedPageBreak/>
        <w:t>hazards, and Class G movements in general terms; (c) optional escorted transit windows for Class B vessels, organized with the coastal states' coast guards, twice daily in each direction; and (d) a vessel assistance desk for mechanical casualties, with contracted tug and salvage capacity on 2-hour notice at the eastern and western approaches. A vessel requests an escorted window through the daily schedule; the request carries no charge.</w:t>
      </w:r>
    </w:p>
    <w:p w14:paraId="751DDEF8" w14:textId="77777777" w:rsidR="00DA7972" w:rsidRDefault="00000000">
      <w:pPr>
        <w:pStyle w:val="Heading2"/>
      </w:pPr>
      <w:bookmarkStart w:id="15" w:name="_Toc236229896"/>
      <w:r>
        <w:rPr>
          <w:rFonts w:eastAsia="Calibri" w:cs="Calibri"/>
          <w:szCs w:val="26"/>
        </w:rPr>
        <w:t>Article 11: Traffic Management, Flow States, and the Open Water Bulletin</w:t>
      </w:r>
      <w:bookmarkEnd w:id="15"/>
    </w:p>
    <w:p w14:paraId="15FFBD31" w14:textId="77777777" w:rsidR="00DA7972" w:rsidRDefault="00000000">
      <w:pPr>
        <w:pStyle w:val="Heading3"/>
      </w:pPr>
      <w:r>
        <w:rPr>
          <w:rFonts w:eastAsia="Calibri" w:cs="Calibri"/>
          <w:szCs w:val="22"/>
        </w:rPr>
        <w:t>11.1 Speed bands</w:t>
      </w:r>
    </w:p>
    <w:p w14:paraId="0F09C643" w14:textId="77777777" w:rsidR="00DA7972" w:rsidRDefault="00000000">
      <w:r>
        <w:rPr>
          <w:rFonts w:eastAsia="Georgia" w:cs="Georgia"/>
          <w:szCs w:val="21"/>
        </w:rPr>
        <w:t>In Free Flow, a vessel proceeds between 10 and 16 knots in the lanes, subject to the corridor regimes of Article 8.6. In Managed Flow, the Center narrows the band to between 9 and 13 knots. Class D craft in the inshore bands proceed at their customary speeds. The Center publishes any temporary speed adjustment in the Bulletin, with reasons and a stated end time.</w:t>
      </w:r>
    </w:p>
    <w:p w14:paraId="0507BA6E" w14:textId="77777777" w:rsidR="00DA7972" w:rsidRDefault="00000000">
      <w:pPr>
        <w:pStyle w:val="Heading3"/>
      </w:pPr>
      <w:r>
        <w:rPr>
          <w:rFonts w:eastAsia="Calibri" w:cs="Calibri"/>
          <w:szCs w:val="22"/>
        </w:rPr>
        <w:t>11.2 Spacing and transit windows</w:t>
      </w:r>
    </w:p>
    <w:p w14:paraId="1487C962" w14:textId="77777777" w:rsidR="00DA7972" w:rsidRDefault="00000000">
      <w:r>
        <w:rPr>
          <w:rFonts w:eastAsia="Georgia" w:cs="Georgia"/>
          <w:szCs w:val="21"/>
        </w:rPr>
        <w:t>Standard spacing in a lane: one nautical mile between vessels in the same direction. Class B spacing: two nautical miles, and three nautical miles between successive laden carriers per Article 8.6. In Managed Flow, the Center groups entries into transit windows: Class B windows first, then Classes A and C, then Class F and others. A window lasts forty-five minutes and repeats on the published cycle. The Accord never operates compulsory convoys. An operator who elects escorted grouping receives it through the Center, and the Fund accounts for escort cost as a Catalog service.</w:t>
      </w:r>
    </w:p>
    <w:p w14:paraId="384569A7" w14:textId="77777777" w:rsidR="00DA7972" w:rsidRDefault="00000000">
      <w:pPr>
        <w:pStyle w:val="Heading3"/>
      </w:pPr>
      <w:r>
        <w:rPr>
          <w:rFonts w:eastAsia="Calibri" w:cs="Calibri"/>
          <w:szCs w:val="22"/>
        </w:rPr>
        <w:t>11.3 Reporting points and the voice discipline</w:t>
      </w:r>
    </w:p>
    <w:p w14:paraId="59F2F638" w14:textId="77777777" w:rsidR="00DA7972" w:rsidRDefault="00000000">
      <w:r>
        <w:rPr>
          <w:rFonts w:eastAsia="Georgia" w:cs="Georgia"/>
          <w:szCs w:val="21"/>
        </w:rPr>
        <w:t>The Accord relies on the master's voice. Each lane carries voice reporting points at entry, mid-passage, and exit, listed in Annex A, Table A.10. A vessel calls the Center on the working channel at each point: name, class, position by bearing and distance from the named reference, speed, and next point. Electronic track data supplements voice reporting; it never replaces it. Where a vessel's track transmitter fails, voice reporting alone sustains the vessel's compliance record, and the Center logs the transmitter failure as an equipment note, not a violation. Voice discipline follows the standard maritime format: identity first, position second, intention third. The Center answers every call with the vessel's identity and a read-back of the substance.</w:t>
      </w:r>
    </w:p>
    <w:p w14:paraId="58DCB848" w14:textId="77777777" w:rsidR="00DA7972" w:rsidRDefault="00000000">
      <w:pPr>
        <w:pStyle w:val="Heading3"/>
      </w:pPr>
      <w:r>
        <w:rPr>
          <w:rFonts w:eastAsia="Calibri" w:cs="Calibri"/>
          <w:szCs w:val="22"/>
        </w:rPr>
        <w:t>11.4 Crossing and meeting rules</w:t>
      </w:r>
    </w:p>
    <w:p w14:paraId="26967840" w14:textId="77777777" w:rsidR="00DA7972" w:rsidRDefault="00000000">
      <w:r>
        <w:rPr>
          <w:rFonts w:eastAsia="Georgia" w:cs="Georgia"/>
          <w:szCs w:val="21"/>
        </w:rPr>
        <w:t>A vessel crosses between corridors only at the crossing sectors of Annex A, Table A.8, at right angles, at minimum safe speed, after a crossing call on the working channel. Class D craft cross at the crossing gates under Center direction, in groups where practical, during the gate windows the Bulletin publishes. The International Regulations for Preventing Collisions at Sea govern every meeting and overtaking situation, and this Accord adds only the lane, speed, and spacing rules of this Article.</w:t>
      </w:r>
    </w:p>
    <w:p w14:paraId="758FFDC6" w14:textId="77777777" w:rsidR="00DA7972" w:rsidRDefault="00000000">
      <w:pPr>
        <w:pStyle w:val="Heading3"/>
      </w:pPr>
      <w:r>
        <w:rPr>
          <w:rFonts w:eastAsia="Calibri" w:cs="Calibri"/>
          <w:szCs w:val="22"/>
        </w:rPr>
        <w:t>11.5 Night and low-visibility rules</w:t>
      </w:r>
    </w:p>
    <w:p w14:paraId="30077C8F" w14:textId="77777777" w:rsidR="00DA7972" w:rsidRDefault="00000000">
      <w:r>
        <w:rPr>
          <w:rFonts w:eastAsia="Georgia" w:cs="Georgia"/>
          <w:szCs w:val="21"/>
        </w:rPr>
        <w:t xml:space="preserve">The corridors operate at night under the same rules as by day, with continuous radar watch and reduced spacing tolerance enforced by the Center's voice check cycle. In visibility below two </w:t>
      </w:r>
      <w:r>
        <w:rPr>
          <w:rFonts w:eastAsia="Georgia" w:cs="Georgia"/>
          <w:szCs w:val="21"/>
        </w:rPr>
        <w:lastRenderedPageBreak/>
        <w:t>nautical miles, the Center shifts all three corridors to Managed Flow, doubles spacing, and increases the voice reporting frequency to every reporting point for all classes except D.</w:t>
      </w:r>
    </w:p>
    <w:p w14:paraId="2A423585" w14:textId="77777777" w:rsidR="00DA7972" w:rsidRDefault="00000000">
      <w:pPr>
        <w:pBdr>
          <w:left w:val="single" w:sz="8" w:space="6" w:color="B0BEC5"/>
        </w:pBdr>
        <w:spacing w:before="40"/>
        <w:ind w:left="360"/>
      </w:pPr>
      <w:r>
        <w:rPr>
          <w:rFonts w:ascii="Calibri" w:eastAsia="Calibri" w:hAnsi="Calibri" w:cs="Calibri"/>
          <w:i/>
          <w:color w:val="78909C"/>
          <w:sz w:val="18"/>
          <w:szCs w:val="18"/>
        </w:rPr>
        <w:t>See also Articles 10, 12, and 15.6, and Annex F.</w:t>
      </w:r>
    </w:p>
    <w:p w14:paraId="490BF24D" w14:textId="77777777" w:rsidR="00DA7972" w:rsidRDefault="00000000">
      <w:pPr>
        <w:pStyle w:val="Heading3"/>
      </w:pPr>
      <w:r>
        <w:rPr>
          <w:rFonts w:eastAsia="Calibri" w:cs="Calibri"/>
          <w:szCs w:val="22"/>
        </w:rPr>
        <w:t>11.6 Flow states and the Suspended Flow</w:t>
      </w:r>
    </w:p>
    <w:p w14:paraId="6A5B5CA5" w14:textId="77777777" w:rsidR="00DA7972" w:rsidRDefault="00000000">
      <w:r>
        <w:rPr>
          <w:rFonts w:eastAsia="Georgia" w:cs="Georgia"/>
          <w:szCs w:val="21"/>
        </w:rPr>
        <w:t>Every corridor operates in one of three flow states at any moment, and the Bulletin publishes the state of each corridor hourly. Free Flow marks normal operation: vessels proceed under the traffic rules, the Center monitors, and no sequencing applies. Managed Flow marks elevated density, weather, or a navigational hazard: the Center sequences entries by transit window, holds speed bands tighter, and increases reporting frequency; Managed Flow never conditions passage on approval, it schedules it. Suspended Flow marks a grave and immediate navigational danger in a defined area: mines suspicion, a casualty blocking a lane, or a pollution event. A Suspended Flow pauses new entries into the defined area only, for a stated period, and lifts automatically when the Neutral Keel Office confirms the area clear. A Suspended Flow applies to a single corridor only and never applies to more than one corridor simultaneously: the architecture keeps at least two corridors open at all times, so that no event and no actor converts a local suspension into a closure of the Strait. A Suspended Flow never exceeds seventy-two hours without a Council decision recorded with reasons, and never applies selectively among vessels: a Suspended Flow binds every vessel equally, by area and by period. The flow state of one corridor never depends on the flow state of any other corridor.</w:t>
      </w:r>
    </w:p>
    <w:p w14:paraId="4DFE1CA1" w14:textId="77777777" w:rsidR="00DA7972" w:rsidRDefault="00000000">
      <w:pPr>
        <w:pStyle w:val="Heading3"/>
      </w:pPr>
      <w:r>
        <w:rPr>
          <w:rFonts w:eastAsia="Calibri" w:cs="Calibri"/>
          <w:szCs w:val="22"/>
        </w:rPr>
        <w:t>11.7 The Open Water Bulletin</w:t>
      </w:r>
    </w:p>
    <w:p w14:paraId="289D1B8A" w14:textId="77777777" w:rsidR="00DA7972" w:rsidRDefault="00000000">
      <w:r>
        <w:rPr>
          <w:rFonts w:eastAsia="Georgia" w:cs="Georgia"/>
          <w:szCs w:val="21"/>
        </w:rPr>
        <w:t>The Center issues the Open Water Bulletin at 0600 and 1800 UTC daily, and hourly updates whenever any corridor leaves Free Flow. The Bulletin states, for each corridor: the flow state; active transit windows; hazard notices; search and rescue readiness; the count of transits in the previous period; one status line for the Accord as a whole (Calm, Irregular, or Investigating); and the names of the duty officer pair. The Bulletin reaches every participant simultaneously through the International Maritime Organization distribution channel, the Registry feed, and public posting. No Party, state, or operator receives the Bulletin earlier than any other. The Center transmits the Bulletin to the commercial shipping insurance market, including the Lloyd's market, so that war-risk premiums normalize on evidence rather than on statements, and it tracks premium movements as a public confidence indicator published weekly.</w:t>
      </w:r>
    </w:p>
    <w:p w14:paraId="2E3648D0" w14:textId="77777777" w:rsidR="00DA7972" w:rsidRDefault="00000000">
      <w:pPr>
        <w:pStyle w:val="Heading3"/>
      </w:pPr>
      <w:r>
        <w:rPr>
          <w:rFonts w:eastAsia="Calibri" w:cs="Calibri"/>
          <w:szCs w:val="22"/>
        </w:rPr>
        <w:t>11.8 The State of the Strait report</w:t>
      </w:r>
    </w:p>
    <w:p w14:paraId="73941892" w14:textId="77777777" w:rsidR="00DA7972" w:rsidRDefault="00000000">
      <w:r>
        <w:rPr>
          <w:rFonts w:eastAsia="Georgia" w:cs="Georgia"/>
          <w:szCs w:val="21"/>
        </w:rPr>
        <w:t>The Center produces a single, consolidated, publicly available State of the Strait report each year, within 60 days of the anniversary of entry into force. The report summarizes the year's transit counts, corridor performance, incidents and their classifications, the premium index trend, the Fund's audited financial statements, the Ledger standings, and every material change to the system. The report stands as the single authoritative public record of the Accord for the market, the Parties, and the public, and the Open Water Review Conference opens with its presentation.</w:t>
      </w:r>
    </w:p>
    <w:p w14:paraId="137F7E0C" w14:textId="77777777" w:rsidR="00DA7972" w:rsidRDefault="00000000">
      <w:pPr>
        <w:pStyle w:val="Heading2"/>
      </w:pPr>
      <w:bookmarkStart w:id="16" w:name="_Toc236229897"/>
      <w:r>
        <w:rPr>
          <w:rFonts w:eastAsia="Calibri" w:cs="Calibri"/>
          <w:szCs w:val="26"/>
        </w:rPr>
        <w:lastRenderedPageBreak/>
        <w:t>Article 12: Hazard Survey, Mines, and the Reopening Sequence</w:t>
      </w:r>
      <w:bookmarkEnd w:id="16"/>
    </w:p>
    <w:p w14:paraId="1D134025" w14:textId="77777777" w:rsidR="00DA7972" w:rsidRDefault="00000000">
      <w:pPr>
        <w:pStyle w:val="Heading3"/>
      </w:pPr>
      <w:r>
        <w:rPr>
          <w:rFonts w:eastAsia="Calibri" w:cs="Calibri"/>
          <w:szCs w:val="22"/>
        </w:rPr>
        <w:t>12.1 The mine exclusion</w:t>
      </w:r>
    </w:p>
    <w:p w14:paraId="06907E3F" w14:textId="77777777" w:rsidR="00DA7972" w:rsidRDefault="00000000">
      <w:r>
        <w:rPr>
          <w:rFonts w:eastAsia="Georgia" w:cs="Georgia"/>
          <w:szCs w:val="21"/>
        </w:rPr>
        <w:t>The Accord architecture excludes the laying, deployment, or tolerance of naval mines or equivalent placed hazards anywhere in the Governance Area, by any actor, at any time, under every circumstance. Discovery of a mine or ordnance activates the clearance protocol: the Center declares a 72-hour routing adjustment, the coastal states' clearance units operate jointly under Neutral Keel observation, and commercial traffic reroutes through the unaffected corridor. Mine clearance activity by one coastal state inside the other's notification regime proceeds under the standing pre-authorization of Annex F, so that clearance never waits on politics.</w:t>
      </w:r>
    </w:p>
    <w:p w14:paraId="7047F034" w14:textId="77777777" w:rsidR="00DA7972" w:rsidRDefault="00000000">
      <w:pPr>
        <w:pStyle w:val="Heading3"/>
      </w:pPr>
      <w:r>
        <w:rPr>
          <w:rFonts w:eastAsia="Calibri" w:cs="Calibri"/>
          <w:szCs w:val="22"/>
        </w:rPr>
        <w:t>12.2 The Day One mine-hazard declaration</w:t>
      </w:r>
    </w:p>
    <w:p w14:paraId="12D6F95F" w14:textId="77777777" w:rsidR="00DA7972" w:rsidRDefault="00000000">
      <w:r>
        <w:rPr>
          <w:rFonts w:eastAsia="Georgia" w:cs="Georgia"/>
          <w:szCs w:val="21"/>
        </w:rPr>
        <w:t>Within 24 hours of entry into force, the Meridian Operations Center issues a Notice to Mariners declaring all parts of the Governance Area a Mine Hazard Area (Awaiting Survey), restricting transit to the designated routes of Annex A, and activating the Mine Countermeasure Command under Omani coordination with Neutral Keel observation. The declaration demonstrates the Accord's practical authority from its first day: the water carries a status, the routes carry a rule, and the clearance machine starts moving before the politics settles. The Notice remains in force zone by zone until each zone certifies clear under Article 12.3.</w:t>
      </w:r>
    </w:p>
    <w:p w14:paraId="5C297C5D" w14:textId="77777777" w:rsidR="00DA7972" w:rsidRDefault="00000000">
      <w:pPr>
        <w:pStyle w:val="Heading3"/>
      </w:pPr>
      <w:r>
        <w:rPr>
          <w:rFonts w:eastAsia="Calibri" w:cs="Calibri"/>
          <w:szCs w:val="22"/>
        </w:rPr>
        <w:t>12.3 Hazard declaration and joint survey</w:t>
      </w:r>
    </w:p>
    <w:p w14:paraId="3E94E73C" w14:textId="77777777" w:rsidR="00DA7972" w:rsidRDefault="00000000">
      <w:r>
        <w:rPr>
          <w:rFonts w:eastAsia="Georgia" w:cs="Georgia"/>
          <w:szCs w:val="21"/>
        </w:rPr>
        <w:t>Each coastal Party declares known hazard locations within 72 hours of entry into force. A joint technical survey under the United Nations Mine Action Service, or another mutually accepted technical body, maps the corridor system within 21 days. Neutral mine countermeasure assets under Omani coordination clear contacts zone by zone, and the International Maritime Organization issues a Maritime Safety Information broadcast for each certified zone. Insurance markets receive each certification simultaneously. A zone certifies clear only after a second-pass verification confirms zero remaining mine-like contacts.</w:t>
      </w:r>
    </w:p>
    <w:p w14:paraId="7177AE67" w14:textId="77777777" w:rsidR="00DA7972" w:rsidRDefault="00000000">
      <w:pPr>
        <w:pBdr>
          <w:left w:val="single" w:sz="8" w:space="6" w:color="B0BEC5"/>
        </w:pBdr>
        <w:spacing w:before="40"/>
        <w:ind w:left="360"/>
      </w:pPr>
      <w:r>
        <w:rPr>
          <w:rFonts w:ascii="Calibri" w:eastAsia="Calibri" w:hAnsi="Calibri" w:cs="Calibri"/>
          <w:i/>
          <w:color w:val="78909C"/>
          <w:sz w:val="18"/>
          <w:szCs w:val="18"/>
        </w:rPr>
        <w:t>See also Articles 19.5 and 22.7, and Annexes C and L.</w:t>
      </w:r>
    </w:p>
    <w:p w14:paraId="176A9BCF" w14:textId="77777777" w:rsidR="00DA7972" w:rsidRDefault="00000000">
      <w:pPr>
        <w:pStyle w:val="Heading3"/>
      </w:pPr>
      <w:r>
        <w:rPr>
          <w:rFonts w:eastAsia="Calibri" w:cs="Calibri"/>
          <w:szCs w:val="22"/>
        </w:rPr>
        <w:t>12.4 The reopening sequence</w:t>
      </w:r>
    </w:p>
    <w:p w14:paraId="6FE8075F" w14:textId="77777777" w:rsidR="00DA7972" w:rsidRDefault="00000000">
      <w:r>
        <w:rPr>
          <w:rFonts w:eastAsia="Georgia" w:cs="Georgia"/>
          <w:szCs w:val="21"/>
        </w:rPr>
        <w:t>The Accord restores full commercial transit in phases tied to the survey record, per Annex L: scheduled daylight transits in Corridor One from Day 3; phased zone certification through Day 21; night transit upon certification of all zones; and full three-corridor operation at or above the pre-crisis baseline of 90 to 140 commercial transits per day by Day 45. The International Maritime Organization conducts the final technical certification of the corridor system's safety, and its certification stands as the prerequisite for full three-corridor operation under this Article. Each phase certification posts to the shared registry and banks permanently under the Nofade Guarantee. A certification never reverses on the basis of an unverified allegation; reversal travels exclusively through the compliance engine of Article 31.</w:t>
      </w:r>
    </w:p>
    <w:p w14:paraId="336FCA0A" w14:textId="77777777" w:rsidR="00DA7972" w:rsidRDefault="00000000">
      <w:pPr>
        <w:pStyle w:val="Heading3"/>
      </w:pPr>
      <w:r>
        <w:rPr>
          <w:rFonts w:eastAsia="Calibri" w:cs="Calibri"/>
          <w:szCs w:val="22"/>
        </w:rPr>
        <w:t>12.5 Insurance normalization</w:t>
      </w:r>
    </w:p>
    <w:p w14:paraId="62A6A54B" w14:textId="77777777" w:rsidR="00DA7972" w:rsidRDefault="00000000">
      <w:r>
        <w:rPr>
          <w:rFonts w:eastAsia="Georgia" w:cs="Georgia"/>
          <w:szCs w:val="21"/>
        </w:rPr>
        <w:t xml:space="preserve">On completion of the survey sequence, the Council and the International Maritime Organization issue a joint safety certification to the protection and indemnity clubs, targeting war-risk </w:t>
      </w:r>
      <w:r>
        <w:rPr>
          <w:rFonts w:eastAsia="Georgia" w:cs="Georgia"/>
          <w:szCs w:val="21"/>
        </w:rPr>
        <w:lastRenderedPageBreak/>
        <w:t>premiums at or below 1.5 times the pre-crisis level within two quarters of sustained clean operation, and full restoration of pre-crisis premium levels within four quarters, per the schedule of Annex C, Section C.7.</w:t>
      </w:r>
    </w:p>
    <w:tbl>
      <w:tblPr>
        <w:tblW w:w="5000" w:type="pct"/>
        <w:tblInd w:w="200" w:type="dxa"/>
        <w:tblBorders>
          <w:top w:val="single" w:sz="2" w:space="0" w:color="B0BEC5"/>
          <w:left w:val="single" w:sz="18" w:space="0" w:color="37474F"/>
          <w:bottom w:val="single" w:sz="2" w:space="0" w:color="B0BEC5"/>
          <w:right w:val="single" w:sz="2" w:space="0" w:color="B0BEC5"/>
        </w:tblBorders>
        <w:tblCellMar>
          <w:top w:w="140" w:type="dxa"/>
          <w:left w:w="200" w:type="dxa"/>
          <w:bottom w:w="140" w:type="dxa"/>
          <w:right w:w="160" w:type="dxa"/>
        </w:tblCellMar>
        <w:tblLook w:val="04A0" w:firstRow="1" w:lastRow="0" w:firstColumn="1" w:lastColumn="0" w:noHBand="0" w:noVBand="1"/>
      </w:tblPr>
      <w:tblGrid>
        <w:gridCol w:w="9386"/>
      </w:tblGrid>
      <w:tr w:rsidR="00DA7972" w14:paraId="1E02A43E" w14:textId="77777777">
        <w:tc>
          <w:tcPr>
            <w:tcW w:w="9010" w:type="dxa"/>
            <w:shd w:val="clear" w:color="auto" w:fill="ECEFF1"/>
          </w:tcPr>
          <w:p w14:paraId="2E2008E9" w14:textId="77777777" w:rsidR="00DA7972" w:rsidRDefault="00000000">
            <w:pPr>
              <w:spacing w:after="0"/>
            </w:pPr>
            <w:r>
              <w:rPr>
                <w:rFonts w:eastAsia="Georgia" w:cs="Georgia"/>
                <w:i/>
                <w:szCs w:val="21"/>
              </w:rPr>
              <w:t>Design rationale for the three-corridor system. The Parties adopt three corridors rather than one because the Strait's geography carries three truths that no single regime holds: transit stands free, Omani coastal management stands recognized, and Iranian coastal management stands recognized. A single compromise regime would satisfy none of these truths and would collapse under the first serious traffic. The tripartite design lets each corridor carry its truth at full strength: guaranteed free navigation in the south, recognized coastal management in the north, and shared multilateral stewardship in the International Assurance Lane between them, while the Zero-Toll Rule and the Non-Interdiction Protocol bind all three corridors into one legal fabric. The system trades simplicity for survivability, and it chooses survivability.</w:t>
            </w:r>
          </w:p>
        </w:tc>
      </w:tr>
    </w:tbl>
    <w:p w14:paraId="6663B0F1" w14:textId="77777777" w:rsidR="00DA7972" w:rsidRDefault="00000000">
      <w:pPr>
        <w:pStyle w:val="Heading1"/>
      </w:pPr>
      <w:bookmarkStart w:id="17" w:name="_Toc236229898"/>
      <w:r>
        <w:rPr>
          <w:rFonts w:eastAsia="Calibri" w:cs="Calibri"/>
          <w:szCs w:val="32"/>
        </w:rPr>
        <w:lastRenderedPageBreak/>
        <w:t>Part III: Institutional Architecture</w:t>
      </w:r>
      <w:bookmarkEnd w:id="17"/>
    </w:p>
    <w:p w14:paraId="19880643" w14:textId="77777777" w:rsidR="00DA7972" w:rsidRDefault="00000000">
      <w:pPr>
        <w:pStyle w:val="Heading2"/>
      </w:pPr>
      <w:bookmarkStart w:id="18" w:name="_Toc236229899"/>
      <w:r>
        <w:rPr>
          <w:rFonts w:eastAsia="Calibri" w:cs="Calibri"/>
          <w:szCs w:val="26"/>
        </w:rPr>
        <w:t>Article 13: The Stillwater Council</w:t>
      </w:r>
      <w:bookmarkEnd w:id="18"/>
    </w:p>
    <w:p w14:paraId="126503B9" w14:textId="77777777" w:rsidR="00DA7972" w:rsidRDefault="00000000">
      <w:pPr>
        <w:pStyle w:val="Heading3"/>
      </w:pPr>
      <w:r>
        <w:rPr>
          <w:rFonts w:eastAsia="Calibri" w:cs="Calibri"/>
          <w:szCs w:val="22"/>
        </w:rPr>
        <w:t>13.1 Composition</w:t>
      </w:r>
    </w:p>
    <w:p w14:paraId="484C7958" w14:textId="77777777" w:rsidR="00DA7972" w:rsidRDefault="00000000">
      <w:r>
        <w:rPr>
          <w:rFonts w:eastAsia="Georgia" w:cs="Georgia"/>
          <w:szCs w:val="21"/>
        </w:rPr>
        <w:t>The Stillwater Council is the governing body of the Accord. It seats voting members and non-voting participants as follows:</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5"/>
        <w:gridCol w:w="3075"/>
        <w:gridCol w:w="3076"/>
      </w:tblGrid>
      <w:tr w:rsidR="00DA7972" w14:paraId="127320A7" w14:textId="77777777">
        <w:trPr>
          <w:tblHeader/>
        </w:trPr>
        <w:tc>
          <w:tcPr>
            <w:tcW w:w="3003" w:type="dxa"/>
            <w:tcBorders>
              <w:bottom w:val="single" w:sz="6" w:space="0" w:color="546E7A"/>
            </w:tcBorders>
            <w:shd w:val="clear" w:color="auto" w:fill="E4E9EC"/>
          </w:tcPr>
          <w:p w14:paraId="38D7F418" w14:textId="77777777" w:rsidR="00DA7972" w:rsidRDefault="00000000">
            <w:pPr>
              <w:spacing w:after="0" w:line="260" w:lineRule="auto"/>
              <w:jc w:val="left"/>
            </w:pPr>
            <w:r>
              <w:rPr>
                <w:rFonts w:ascii="Calibri" w:eastAsia="Calibri" w:hAnsi="Calibri" w:cs="Calibri"/>
                <w:b/>
                <w:color w:val="37474F"/>
                <w:sz w:val="19"/>
                <w:szCs w:val="19"/>
              </w:rPr>
              <w:t>Seat</w:t>
            </w:r>
          </w:p>
        </w:tc>
        <w:tc>
          <w:tcPr>
            <w:tcW w:w="3003" w:type="dxa"/>
            <w:tcBorders>
              <w:bottom w:val="single" w:sz="6" w:space="0" w:color="546E7A"/>
            </w:tcBorders>
            <w:shd w:val="clear" w:color="auto" w:fill="E4E9EC"/>
          </w:tcPr>
          <w:p w14:paraId="4FBC0F5D" w14:textId="77777777" w:rsidR="00DA7972" w:rsidRDefault="00000000">
            <w:pPr>
              <w:spacing w:after="0" w:line="260" w:lineRule="auto"/>
              <w:jc w:val="left"/>
            </w:pPr>
            <w:r>
              <w:rPr>
                <w:rFonts w:ascii="Calibri" w:eastAsia="Calibri" w:hAnsi="Calibri" w:cs="Calibri"/>
                <w:b/>
                <w:color w:val="37474F"/>
                <w:sz w:val="19"/>
                <w:szCs w:val="19"/>
              </w:rPr>
              <w:t>Holder</w:t>
            </w:r>
          </w:p>
        </w:tc>
        <w:tc>
          <w:tcPr>
            <w:tcW w:w="3004" w:type="dxa"/>
            <w:tcBorders>
              <w:bottom w:val="single" w:sz="6" w:space="0" w:color="546E7A"/>
            </w:tcBorders>
            <w:shd w:val="clear" w:color="auto" w:fill="E4E9EC"/>
          </w:tcPr>
          <w:p w14:paraId="7CA64A08" w14:textId="77777777" w:rsidR="00DA7972" w:rsidRDefault="00000000">
            <w:pPr>
              <w:spacing w:after="0" w:line="260" w:lineRule="auto"/>
              <w:jc w:val="left"/>
            </w:pPr>
            <w:r>
              <w:rPr>
                <w:rFonts w:ascii="Calibri" w:eastAsia="Calibri" w:hAnsi="Calibri" w:cs="Calibri"/>
                <w:b/>
                <w:color w:val="37474F"/>
                <w:sz w:val="19"/>
                <w:szCs w:val="19"/>
              </w:rPr>
              <w:t>Status</w:t>
            </w:r>
          </w:p>
        </w:tc>
      </w:tr>
      <w:tr w:rsidR="00DA7972" w14:paraId="4F54ADA9" w14:textId="77777777">
        <w:tc>
          <w:tcPr>
            <w:tcW w:w="3003" w:type="dxa"/>
          </w:tcPr>
          <w:p w14:paraId="65B85100" w14:textId="77777777" w:rsidR="00DA7972" w:rsidRDefault="00000000">
            <w:pPr>
              <w:spacing w:after="0" w:line="260" w:lineRule="auto"/>
              <w:jc w:val="left"/>
            </w:pPr>
            <w:r>
              <w:rPr>
                <w:rFonts w:ascii="Calibri" w:eastAsia="Calibri" w:hAnsi="Calibri" w:cs="Calibri"/>
                <w:sz w:val="19"/>
                <w:szCs w:val="19"/>
              </w:rPr>
              <w:t>Founding Member seats</w:t>
            </w:r>
          </w:p>
        </w:tc>
        <w:tc>
          <w:tcPr>
            <w:tcW w:w="3003" w:type="dxa"/>
          </w:tcPr>
          <w:p w14:paraId="6B085EE4" w14:textId="77777777" w:rsidR="00DA7972" w:rsidRDefault="00000000">
            <w:pPr>
              <w:spacing w:after="0" w:line="260" w:lineRule="auto"/>
              <w:jc w:val="left"/>
            </w:pPr>
            <w:r>
              <w:rPr>
                <w:rFonts w:ascii="Calibri" w:eastAsia="Calibri" w:hAnsi="Calibri" w:cs="Calibri"/>
                <w:sz w:val="19"/>
                <w:szCs w:val="19"/>
              </w:rPr>
              <w:t>Iran, Oman, and the United Arab Emirates, two members each</w:t>
            </w:r>
          </w:p>
        </w:tc>
        <w:tc>
          <w:tcPr>
            <w:tcW w:w="3004" w:type="dxa"/>
          </w:tcPr>
          <w:p w14:paraId="3B2D2E44" w14:textId="77777777" w:rsidR="00DA7972" w:rsidRDefault="00000000">
            <w:pPr>
              <w:spacing w:after="0" w:line="260" w:lineRule="auto"/>
              <w:jc w:val="left"/>
            </w:pPr>
            <w:r>
              <w:rPr>
                <w:rFonts w:ascii="Calibri" w:eastAsia="Calibri" w:hAnsi="Calibri" w:cs="Calibri"/>
                <w:sz w:val="19"/>
                <w:szCs w:val="19"/>
              </w:rPr>
              <w:t>Voting; founding members</w:t>
            </w:r>
          </w:p>
        </w:tc>
      </w:tr>
      <w:tr w:rsidR="00DA7972" w14:paraId="568C4C10" w14:textId="77777777">
        <w:tc>
          <w:tcPr>
            <w:tcW w:w="3003" w:type="dxa"/>
          </w:tcPr>
          <w:p w14:paraId="7E9706C1" w14:textId="77777777" w:rsidR="00DA7972" w:rsidRDefault="00000000">
            <w:pPr>
              <w:spacing w:after="0" w:line="260" w:lineRule="auto"/>
              <w:jc w:val="left"/>
            </w:pPr>
            <w:r>
              <w:rPr>
                <w:rFonts w:ascii="Calibri" w:eastAsia="Calibri" w:hAnsi="Calibri" w:cs="Calibri"/>
                <w:sz w:val="19"/>
                <w:szCs w:val="19"/>
              </w:rPr>
              <w:t>Acceding Member seats</w:t>
            </w:r>
          </w:p>
        </w:tc>
        <w:tc>
          <w:tcPr>
            <w:tcW w:w="3003" w:type="dxa"/>
          </w:tcPr>
          <w:p w14:paraId="02EB1C91" w14:textId="77777777" w:rsidR="00DA7972" w:rsidRDefault="00000000">
            <w:pPr>
              <w:spacing w:after="0" w:line="260" w:lineRule="auto"/>
              <w:jc w:val="left"/>
            </w:pPr>
            <w:r>
              <w:rPr>
                <w:rFonts w:ascii="Calibri" w:eastAsia="Calibri" w:hAnsi="Calibri" w:cs="Calibri"/>
                <w:sz w:val="19"/>
                <w:szCs w:val="19"/>
              </w:rPr>
              <w:t>Saudi Arabia, Qatar, Bahrain, Kuwait, and Iraq, two members each upon accession as Acceding Members under Article 38</w:t>
            </w:r>
          </w:p>
        </w:tc>
        <w:tc>
          <w:tcPr>
            <w:tcW w:w="3004" w:type="dxa"/>
          </w:tcPr>
          <w:p w14:paraId="10B3A34C" w14:textId="77777777" w:rsidR="00DA7972" w:rsidRDefault="00000000">
            <w:pPr>
              <w:spacing w:after="0" w:line="260" w:lineRule="auto"/>
              <w:jc w:val="left"/>
            </w:pPr>
            <w:r>
              <w:rPr>
                <w:rFonts w:ascii="Calibri" w:eastAsia="Calibri" w:hAnsi="Calibri" w:cs="Calibri"/>
                <w:sz w:val="19"/>
                <w:szCs w:val="19"/>
              </w:rPr>
              <w:t>Voting upon accession</w:t>
            </w:r>
          </w:p>
        </w:tc>
      </w:tr>
      <w:tr w:rsidR="00DA7972" w14:paraId="5B985FF2" w14:textId="77777777">
        <w:tc>
          <w:tcPr>
            <w:tcW w:w="3003" w:type="dxa"/>
          </w:tcPr>
          <w:p w14:paraId="5F4EEE28" w14:textId="77777777" w:rsidR="00DA7972" w:rsidRDefault="00000000">
            <w:pPr>
              <w:spacing w:after="0" w:line="260" w:lineRule="auto"/>
              <w:jc w:val="left"/>
            </w:pPr>
            <w:r>
              <w:rPr>
                <w:rFonts w:ascii="Calibri" w:eastAsia="Calibri" w:hAnsi="Calibri" w:cs="Calibri"/>
                <w:sz w:val="19"/>
                <w:szCs w:val="19"/>
              </w:rPr>
              <w:t>Facilitator seats</w:t>
            </w:r>
          </w:p>
        </w:tc>
        <w:tc>
          <w:tcPr>
            <w:tcW w:w="3003" w:type="dxa"/>
          </w:tcPr>
          <w:p w14:paraId="72136765" w14:textId="77777777" w:rsidR="00DA7972" w:rsidRDefault="00000000">
            <w:pPr>
              <w:spacing w:after="0" w:line="260" w:lineRule="auto"/>
              <w:jc w:val="left"/>
            </w:pPr>
            <w:r>
              <w:rPr>
                <w:rFonts w:ascii="Calibri" w:eastAsia="Calibri" w:hAnsi="Calibri" w:cs="Calibri"/>
                <w:sz w:val="19"/>
                <w:szCs w:val="19"/>
              </w:rPr>
              <w:t>The Swiss Confederation as Neutral Administrator; the State of Qatar and the Islamic Republic of Pakistan as supporting facilitators</w:t>
            </w:r>
          </w:p>
        </w:tc>
        <w:tc>
          <w:tcPr>
            <w:tcW w:w="3004" w:type="dxa"/>
          </w:tcPr>
          <w:p w14:paraId="6D7278FC" w14:textId="77777777" w:rsidR="00DA7972" w:rsidRDefault="00000000">
            <w:pPr>
              <w:spacing w:after="0" w:line="260" w:lineRule="auto"/>
              <w:jc w:val="left"/>
            </w:pPr>
            <w:r>
              <w:rPr>
                <w:rFonts w:ascii="Calibri" w:eastAsia="Calibri" w:hAnsi="Calibri" w:cs="Calibri"/>
                <w:sz w:val="19"/>
                <w:szCs w:val="19"/>
              </w:rPr>
              <w:t>Deliberative voice, no vote on conduct classifications</w:t>
            </w:r>
          </w:p>
        </w:tc>
      </w:tr>
      <w:tr w:rsidR="00DA7972" w14:paraId="0322A30F" w14:textId="77777777">
        <w:tc>
          <w:tcPr>
            <w:tcW w:w="3003" w:type="dxa"/>
          </w:tcPr>
          <w:p w14:paraId="7FA59F40" w14:textId="77777777" w:rsidR="00DA7972" w:rsidRDefault="00000000">
            <w:pPr>
              <w:spacing w:after="0" w:line="260" w:lineRule="auto"/>
              <w:jc w:val="left"/>
            </w:pPr>
            <w:r>
              <w:rPr>
                <w:rFonts w:ascii="Calibri" w:eastAsia="Calibri" w:hAnsi="Calibri" w:cs="Calibri"/>
                <w:sz w:val="19"/>
                <w:szCs w:val="19"/>
              </w:rPr>
              <w:t>Technical seats</w:t>
            </w:r>
          </w:p>
        </w:tc>
        <w:tc>
          <w:tcPr>
            <w:tcW w:w="3003" w:type="dxa"/>
          </w:tcPr>
          <w:p w14:paraId="0FDB6060" w14:textId="77777777" w:rsidR="00DA7972" w:rsidRDefault="00000000">
            <w:pPr>
              <w:spacing w:after="0" w:line="260" w:lineRule="auto"/>
              <w:jc w:val="left"/>
            </w:pPr>
            <w:r>
              <w:rPr>
                <w:rFonts w:ascii="Calibri" w:eastAsia="Calibri" w:hAnsi="Calibri" w:cs="Calibri"/>
                <w:sz w:val="19"/>
                <w:szCs w:val="19"/>
              </w:rPr>
              <w:t>The International Maritime Organization and the International Hydrographic Organization</w:t>
            </w:r>
          </w:p>
        </w:tc>
        <w:tc>
          <w:tcPr>
            <w:tcW w:w="3004" w:type="dxa"/>
          </w:tcPr>
          <w:p w14:paraId="6E0CFBBE" w14:textId="77777777" w:rsidR="00DA7972" w:rsidRDefault="00000000">
            <w:pPr>
              <w:spacing w:after="0" w:line="260" w:lineRule="auto"/>
              <w:jc w:val="left"/>
            </w:pPr>
            <w:r>
              <w:rPr>
                <w:rFonts w:ascii="Calibri" w:eastAsia="Calibri" w:hAnsi="Calibri" w:cs="Calibri"/>
                <w:sz w:val="19"/>
                <w:szCs w:val="19"/>
              </w:rPr>
              <w:t>Non-voting technical seats</w:t>
            </w:r>
          </w:p>
        </w:tc>
      </w:tr>
      <w:tr w:rsidR="00DA7972" w14:paraId="7640084A" w14:textId="77777777">
        <w:tc>
          <w:tcPr>
            <w:tcW w:w="3003" w:type="dxa"/>
          </w:tcPr>
          <w:p w14:paraId="62D633D0" w14:textId="77777777" w:rsidR="00DA7972" w:rsidRDefault="00000000">
            <w:pPr>
              <w:spacing w:after="0" w:line="260" w:lineRule="auto"/>
              <w:jc w:val="left"/>
            </w:pPr>
            <w:r>
              <w:rPr>
                <w:rFonts w:ascii="Calibri" w:eastAsia="Calibri" w:hAnsi="Calibri" w:cs="Calibri"/>
                <w:sz w:val="19"/>
                <w:szCs w:val="19"/>
              </w:rPr>
              <w:t>Endorsing Stakeholder seat</w:t>
            </w:r>
          </w:p>
        </w:tc>
        <w:tc>
          <w:tcPr>
            <w:tcW w:w="3003" w:type="dxa"/>
          </w:tcPr>
          <w:p w14:paraId="4E8EA9B3" w14:textId="77777777" w:rsidR="00DA7972" w:rsidRDefault="00000000">
            <w:pPr>
              <w:spacing w:after="0" w:line="260" w:lineRule="auto"/>
              <w:jc w:val="left"/>
            </w:pPr>
            <w:r>
              <w:rPr>
                <w:rFonts w:ascii="Calibri" w:eastAsia="Calibri" w:hAnsi="Calibri" w:cs="Calibri"/>
                <w:sz w:val="19"/>
                <w:szCs w:val="19"/>
              </w:rPr>
              <w:t>The United States of America</w:t>
            </w:r>
          </w:p>
        </w:tc>
        <w:tc>
          <w:tcPr>
            <w:tcW w:w="3004" w:type="dxa"/>
          </w:tcPr>
          <w:p w14:paraId="52112187" w14:textId="77777777" w:rsidR="00DA7972" w:rsidRDefault="00000000">
            <w:pPr>
              <w:spacing w:after="0" w:line="260" w:lineRule="auto"/>
              <w:jc w:val="left"/>
            </w:pPr>
            <w:r>
              <w:rPr>
                <w:rFonts w:ascii="Calibri" w:eastAsia="Calibri" w:hAnsi="Calibri" w:cs="Calibri"/>
                <w:sz w:val="19"/>
                <w:szCs w:val="19"/>
              </w:rPr>
              <w:t>Non-voting, per Article 19.2</w:t>
            </w:r>
          </w:p>
        </w:tc>
      </w:tr>
      <w:tr w:rsidR="00DA7972" w14:paraId="5B35FAC1" w14:textId="77777777">
        <w:tc>
          <w:tcPr>
            <w:tcW w:w="3003" w:type="dxa"/>
          </w:tcPr>
          <w:p w14:paraId="118AED55" w14:textId="77777777" w:rsidR="00DA7972" w:rsidRDefault="00000000">
            <w:pPr>
              <w:spacing w:after="0" w:line="260" w:lineRule="auto"/>
              <w:jc w:val="left"/>
            </w:pPr>
            <w:r>
              <w:rPr>
                <w:rFonts w:ascii="Calibri" w:eastAsia="Calibri" w:hAnsi="Calibri" w:cs="Calibri"/>
                <w:b/>
                <w:sz w:val="19"/>
                <w:szCs w:val="19"/>
              </w:rPr>
              <w:t>International Lane Representative seat</w:t>
            </w:r>
          </w:p>
        </w:tc>
        <w:tc>
          <w:tcPr>
            <w:tcW w:w="3003" w:type="dxa"/>
          </w:tcPr>
          <w:p w14:paraId="19BF7F77" w14:textId="77777777" w:rsidR="00DA7972" w:rsidRDefault="00000000">
            <w:pPr>
              <w:spacing w:after="0" w:line="260" w:lineRule="auto"/>
              <w:jc w:val="left"/>
            </w:pPr>
            <w:r>
              <w:rPr>
                <w:rFonts w:ascii="Calibri" w:eastAsia="Calibri" w:hAnsi="Calibri" w:cs="Calibri"/>
                <w:b/>
                <w:sz w:val="19"/>
                <w:szCs w:val="19"/>
              </w:rPr>
              <w:t>A representative nominated by the Gulf Cooperation Council and confirmed by the Council</w:t>
            </w:r>
          </w:p>
        </w:tc>
        <w:tc>
          <w:tcPr>
            <w:tcW w:w="3004" w:type="dxa"/>
          </w:tcPr>
          <w:p w14:paraId="6289CACD" w14:textId="77777777" w:rsidR="00DA7972" w:rsidRDefault="00000000">
            <w:pPr>
              <w:spacing w:after="0" w:line="260" w:lineRule="auto"/>
              <w:jc w:val="left"/>
            </w:pPr>
            <w:r>
              <w:rPr>
                <w:rFonts w:ascii="Calibri" w:eastAsia="Calibri" w:hAnsi="Calibri" w:cs="Calibri"/>
                <w:b/>
                <w:sz w:val="19"/>
                <w:szCs w:val="19"/>
              </w:rPr>
              <w:t>Deliberative voice on International Lane matters, no vote on conduct classifications</w:t>
            </w:r>
          </w:p>
        </w:tc>
      </w:tr>
      <w:tr w:rsidR="00DA7972" w14:paraId="38B54DBF" w14:textId="77777777">
        <w:tc>
          <w:tcPr>
            <w:tcW w:w="3003" w:type="dxa"/>
          </w:tcPr>
          <w:p w14:paraId="40E1A79D" w14:textId="77777777" w:rsidR="00DA7972" w:rsidRDefault="00000000">
            <w:pPr>
              <w:spacing w:after="0" w:line="260" w:lineRule="auto"/>
              <w:jc w:val="left"/>
            </w:pPr>
            <w:r>
              <w:rPr>
                <w:rFonts w:ascii="Calibri" w:eastAsia="Calibri" w:hAnsi="Calibri" w:cs="Calibri"/>
                <w:sz w:val="19"/>
                <w:szCs w:val="19"/>
              </w:rPr>
              <w:t>Observer seats</w:t>
            </w:r>
          </w:p>
        </w:tc>
        <w:tc>
          <w:tcPr>
            <w:tcW w:w="3003" w:type="dxa"/>
          </w:tcPr>
          <w:p w14:paraId="2BE80249" w14:textId="77777777" w:rsidR="00DA7972" w:rsidRDefault="00000000">
            <w:pPr>
              <w:spacing w:after="0" w:line="260" w:lineRule="auto"/>
              <w:jc w:val="left"/>
            </w:pPr>
            <w:r>
              <w:rPr>
                <w:rFonts w:ascii="Calibri" w:eastAsia="Calibri" w:hAnsi="Calibri" w:cs="Calibri"/>
                <w:sz w:val="19"/>
                <w:szCs w:val="19"/>
              </w:rPr>
              <w:t>Observer states and organizations under Article 19.3</w:t>
            </w:r>
          </w:p>
        </w:tc>
        <w:tc>
          <w:tcPr>
            <w:tcW w:w="3004" w:type="dxa"/>
          </w:tcPr>
          <w:p w14:paraId="7EAC7299" w14:textId="77777777" w:rsidR="00DA7972" w:rsidRDefault="00000000">
            <w:pPr>
              <w:spacing w:after="0" w:line="260" w:lineRule="auto"/>
              <w:jc w:val="left"/>
            </w:pPr>
            <w:r>
              <w:rPr>
                <w:rFonts w:ascii="Calibri" w:eastAsia="Calibri" w:hAnsi="Calibri" w:cs="Calibri"/>
                <w:sz w:val="19"/>
                <w:szCs w:val="19"/>
              </w:rPr>
              <w:t>Non-voting</w:t>
            </w:r>
          </w:p>
        </w:tc>
      </w:tr>
    </w:tbl>
    <w:p w14:paraId="1E745D19" w14:textId="77777777" w:rsidR="00DA7972" w:rsidRDefault="00DA7972">
      <w:pPr>
        <w:spacing w:after="60"/>
      </w:pPr>
    </w:p>
    <w:p w14:paraId="71245136" w14:textId="77777777" w:rsidR="00DA7972" w:rsidRDefault="00000000">
      <w:pPr>
        <w:pStyle w:val="Caption"/>
      </w:pPr>
      <w:r>
        <w:rPr>
          <w:rFonts w:eastAsia="Calibri" w:cs="Calibri"/>
          <w:szCs w:val="18"/>
        </w:rPr>
        <w:t>Table 13.1: Composition of the Stillwater Council</w:t>
      </w:r>
    </w:p>
    <w:p w14:paraId="194C6940" w14:textId="77777777" w:rsidR="00DA7972" w:rsidRDefault="00000000">
      <w:r>
        <w:rPr>
          <w:rFonts w:eastAsia="Georgia" w:cs="Georgia"/>
          <w:szCs w:val="21"/>
        </w:rPr>
        <w:t>Council members hold the rank of ambassador or equivalent and serve three-year terms, renewable. The chair rotates annually among the Littoral Parties in alphabetical order of their English short names, and the chair manages the agenda and the minutes and holds no casting vote.</w:t>
      </w:r>
    </w:p>
    <w:p w14:paraId="236E6DA1" w14:textId="77777777" w:rsidR="00DA7972" w:rsidRDefault="00000000">
      <w:pPr>
        <w:pStyle w:val="Heading3"/>
      </w:pPr>
      <w:r>
        <w:rPr>
          <w:rFonts w:eastAsia="Calibri" w:cs="Calibri"/>
          <w:szCs w:val="22"/>
        </w:rPr>
        <w:t>13.2 Functions</w:t>
      </w:r>
    </w:p>
    <w:p w14:paraId="5E7087DD" w14:textId="77777777" w:rsidR="00DA7972" w:rsidRDefault="00000000">
      <w:r>
        <w:rPr>
          <w:rFonts w:eastAsia="Georgia" w:cs="Georgia"/>
          <w:szCs w:val="21"/>
        </w:rPr>
        <w:t>The Council: approves the annual budget and the Verified Services Catalog rates; adopts and amends technical annexes under Article 39; conducts the Perimeter Test on every measure; supervises the compliance engine at the policy level; certifies corridor status at each phase gate of Annex L; represents the Accord to the International Maritime Organization and to external states; and resolves any matter a Party elevates. The Council never directs a specific vessel, never interferes with a notification, and never touches the payment mechanics of the Fund. Those lines keep politics away from the water.</w:t>
      </w:r>
    </w:p>
    <w:p w14:paraId="1E1902FA" w14:textId="77777777" w:rsidR="00DA7972" w:rsidRDefault="00000000">
      <w:pPr>
        <w:pStyle w:val="Heading3"/>
      </w:pPr>
      <w:r>
        <w:rPr>
          <w:rFonts w:eastAsia="Calibri" w:cs="Calibri"/>
          <w:szCs w:val="22"/>
        </w:rPr>
        <w:lastRenderedPageBreak/>
        <w:t>13.3 Meetings and cadence</w:t>
      </w:r>
    </w:p>
    <w:p w14:paraId="4093F48E" w14:textId="77777777" w:rsidR="00DA7972" w:rsidRDefault="00000000">
      <w:r>
        <w:rPr>
          <w:rFonts w:eastAsia="Georgia" w:cs="Georgia"/>
          <w:szCs w:val="21"/>
        </w:rPr>
        <w:t>The Council meets in ordinary session on the first Monday of each quarter, alternating seats between Muscat and Bandar Abbas, and in extraordinary session within 48 hours of an Architectural Breach classification, a Stillwater Pause activation, or any voting member's call. A secure video bridge links the two seats for weekly working-level synchronization. Quorum is a majority of voting members, including at least one member of Iran and one member of Oman.</w:t>
      </w:r>
    </w:p>
    <w:p w14:paraId="0719CD39" w14:textId="77777777" w:rsidR="00DA7972" w:rsidRDefault="00000000">
      <w:pPr>
        <w:pStyle w:val="Heading2"/>
      </w:pPr>
      <w:bookmarkStart w:id="19" w:name="_Toc236229900"/>
      <w:r>
        <w:rPr>
          <w:rFonts w:eastAsia="Calibri" w:cs="Calibri"/>
          <w:szCs w:val="26"/>
        </w:rPr>
        <w:t>Article 14: The Meridian Operations Center</w:t>
      </w:r>
      <w:bookmarkEnd w:id="19"/>
    </w:p>
    <w:p w14:paraId="03E2AAD3" w14:textId="77777777" w:rsidR="00DA7972" w:rsidRDefault="00000000">
      <w:pPr>
        <w:pStyle w:val="Heading3"/>
      </w:pPr>
      <w:r>
        <w:rPr>
          <w:rFonts w:eastAsia="Calibri" w:cs="Calibri"/>
          <w:szCs w:val="22"/>
        </w:rPr>
        <w:t>14.1 Seat and mirror facility</w:t>
      </w:r>
    </w:p>
    <w:p w14:paraId="29C00D16" w14:textId="77777777" w:rsidR="00DA7972" w:rsidRDefault="00000000">
      <w:r>
        <w:rPr>
          <w:rFonts w:eastAsia="Georgia" w:cs="Georgia"/>
          <w:szCs w:val="21"/>
        </w:rPr>
        <w:t>The Meridian Operations Center is the operational heart of the Accord. Its principal seat lies in Muscat, at facilities the Sultanate of Oman provides under a host agreement. The mirror facility lies in Bandar Abbas, at facilities the Islamic Republic of Iran provides under a matching host agreement. The mirror replicates the full watch floor capability of the principal seat. Either site runs the entire system alone for up to thirty days, and the two sites drill the handover monthly, alternating the primary watch for one watch period, so that the mirror never atrophies into ceremony.</w:t>
      </w:r>
    </w:p>
    <w:p w14:paraId="47C2D3D1" w14:textId="77777777" w:rsidR="00DA7972" w:rsidRDefault="00000000">
      <w:pPr>
        <w:pStyle w:val="Heading3"/>
      </w:pPr>
      <w:r>
        <w:rPr>
          <w:rFonts w:eastAsia="Calibri" w:cs="Calibri"/>
          <w:szCs w:val="22"/>
        </w:rPr>
        <w:t>14.2 Co-equal staffing</w:t>
      </w:r>
    </w:p>
    <w:p w14:paraId="1844D610" w14:textId="77777777" w:rsidR="00DA7972" w:rsidRDefault="00000000">
      <w:r>
        <w:rPr>
          <w:rFonts w:eastAsia="Georgia" w:cs="Georgia"/>
          <w:szCs w:val="21"/>
        </w:rPr>
        <w:t>Every operational post exists in pairs: two Co-Directors, two duty officers per watch, two notification desk officers per shift, two hydrographers, two legal desk officers. Each core pair consists of one Iranian national and one Omani national. For the two coastal corridors, each watch pair consists of one Iranian officer and one Omani officer. For the International Assurance Lane, each watch pair consists of two officers from the other Gulf Littoral Parties, including the United Arab Emirates and each Acceding Member, rotating annually under the Fund's contribution schedule of Annex C, so that the middle corridor rests in multilateral hands and no single state holds sole control. The rotation rule governs every later shift in contribution ranking. Operational decisions thereby never rest with a single national viewpoint. Upon the accession of the United Arab Emirates and each further Littoral Party, the staffing table of Annex L adds paired posts so that every Littoral Party holds watch-floor presence, and total staff numbers across the Littoral Parties remain within the parity band of Annex L at every quarterly audit. The Parties recruit additional technical staff from any nationality on merit, and every watch pair retains the paired structure regardless of additional staffing. Professional qualifications follow the standards of the International Maritime Organization model courses for each function, and the Technical and Standards Committee certifies every watchkeeper before first solo watch.</w:t>
      </w:r>
    </w:p>
    <w:p w14:paraId="23D4F530" w14:textId="77777777" w:rsidR="00DA7972" w:rsidRDefault="00000000">
      <w:pPr>
        <w:pStyle w:val="Heading3"/>
      </w:pPr>
      <w:r>
        <w:rPr>
          <w:rFonts w:eastAsia="Calibri" w:cs="Calibri"/>
          <w:szCs w:val="22"/>
        </w:rPr>
        <w:t>14.3 The watch floor</w:t>
      </w:r>
    </w:p>
    <w:p w14:paraId="3BCEEFF4" w14:textId="77777777" w:rsidR="00DA7972" w:rsidRDefault="00000000">
      <w:r>
        <w:rPr>
          <w:rFonts w:eastAsia="Georgia" w:cs="Georgia"/>
          <w:szCs w:val="21"/>
        </w:rPr>
        <w:t xml:space="preserve">The watch floor operates continuously, in three eight-hour rotations, and each rotation closes with a paired handover note signed by both duty officers. The watch floor maintains the working radio channels, the notification desk, the Bulletin desk, the incident log, the escort coordination board, the ground-truth patrol program, and the search and rescue alert link. The daily log records every operational act: notifications, acknowledgments, flow state changes, holds, incidents, hotline traffic, and observer movements. All Parties and the Neutral Keel Office read the full log; the Bulletin publishes the public summary. The Center's data flows simultaneously to </w:t>
      </w:r>
      <w:r>
        <w:rPr>
          <w:rFonts w:eastAsia="Georgia" w:cs="Georgia"/>
          <w:szCs w:val="21"/>
        </w:rPr>
        <w:lastRenderedPageBreak/>
        <w:t>every Party with identical latency; the architecture excludes preferential access, earlier notification, or exclusive feeds for any Party.</w:t>
      </w:r>
    </w:p>
    <w:p w14:paraId="0CD8425A" w14:textId="77777777" w:rsidR="00DA7972" w:rsidRDefault="00000000">
      <w:pPr>
        <w:pStyle w:val="Heading3"/>
      </w:pPr>
      <w:r>
        <w:rPr>
          <w:rFonts w:eastAsia="Calibri" w:cs="Calibri"/>
          <w:szCs w:val="22"/>
        </w:rPr>
        <w:t>14.4 Functions and limits</w:t>
      </w:r>
    </w:p>
    <w:p w14:paraId="5F7640F3" w14:textId="77777777" w:rsidR="00DA7972" w:rsidRDefault="00000000">
      <w:r>
        <w:rPr>
          <w:rFonts w:eastAsia="Georgia" w:cs="Georgia"/>
          <w:szCs w:val="21"/>
        </w:rPr>
        <w:t>The Center: receives and acknowledges notifications; issues acknowledgments; operates the traffic system in all three corridors; publishes the Bulletin; coordinates escorts for electing vessels; runs the crossing gates for Class D; manages the anchorages; issues Notices to Mariners jointly; and executes the Mishap Protocol of Article 28. The Center commands no forces. Where a situation calls for a state response, the Center passes the situation to the liaison channel of the relevant Party, and the response occurs outside the corridors per Article 10.2. The Center coordinates; it never permits. No vessel requires the Center's approval to transit.</w:t>
      </w:r>
    </w:p>
    <w:p w14:paraId="56A68457" w14:textId="77777777" w:rsidR="00DA7972" w:rsidRDefault="00000000">
      <w:pPr>
        <w:pStyle w:val="Heading3"/>
      </w:pPr>
      <w:r>
        <w:rPr>
          <w:rFonts w:eastAsia="Calibri" w:cs="Calibri"/>
          <w:szCs w:val="22"/>
        </w:rPr>
        <w:t>14.5 Data custody</w:t>
      </w:r>
    </w:p>
    <w:p w14:paraId="4D2FE42F" w14:textId="77777777" w:rsidR="00DA7972" w:rsidRDefault="00000000">
      <w:r>
        <w:rPr>
          <w:rFonts w:eastAsia="Georgia" w:cs="Georgia"/>
          <w:szCs w:val="21"/>
        </w:rPr>
        <w:t>The Center retains every watch log, every notification, every track record, and every message for a minimum of seven years. Data custody follows the dual-copy rule: every record exists simultaneously in Muscat and Bandar Abbas under cryptographic timestamping, and neither copy admits unilateral alteration. The evidence standards of Article 26 treat a gap in the record as a fact calling for explanation, never as a fact supporting an accusation.</w:t>
      </w:r>
    </w:p>
    <w:p w14:paraId="4151AC1A" w14:textId="77777777" w:rsidR="00DA7972" w:rsidRDefault="00000000">
      <w:pPr>
        <w:pStyle w:val="Heading3"/>
      </w:pPr>
      <w:r>
        <w:rPr>
          <w:rFonts w:eastAsia="Calibri" w:cs="Calibri"/>
          <w:szCs w:val="22"/>
        </w:rPr>
        <w:t>14.6 The Civilian Character Clause</w:t>
      </w:r>
    </w:p>
    <w:p w14:paraId="754430CB" w14:textId="77777777" w:rsidR="00DA7972" w:rsidRDefault="00000000">
      <w:r>
        <w:rPr>
          <w:rFonts w:eastAsia="Georgia" w:cs="Georgia"/>
          <w:szCs w:val="21"/>
        </w:rPr>
        <w:t>The Center, the Council secretariat, the Neutral Keel Office, and the Fund employ civilian maritime professionals exclusively. Military personnel hold no operational role in any Accord body. Officers of the armed forces of any Party, including the Islamic Revolutionary Guard Corps and the regular armed forces of all Parties, hold no post in the Center, direct no operation of the watch floor, and issue no instruction to shipping through the Accord's channels. Each Party designates one military liaison officer at the policy level, accredited to the Council, who carries de-confliction traffic between the Center and that Party's forces; the liaison officers work in an annex separate from the watch floor and hold no command over Accord staff. This clause guards Red Line RL-6. The Neutral Keel Office verifies staffing compliance annually and on complaint.</w:t>
      </w:r>
    </w:p>
    <w:p w14:paraId="5410C34C" w14:textId="77777777" w:rsidR="00DA7972" w:rsidRDefault="00000000">
      <w:pPr>
        <w:pStyle w:val="Heading3"/>
      </w:pPr>
      <w:r>
        <w:rPr>
          <w:rFonts w:eastAsia="Calibri" w:cs="Calibri"/>
          <w:szCs w:val="22"/>
        </w:rPr>
        <w:t>14.7 Working language</w:t>
      </w:r>
    </w:p>
    <w:p w14:paraId="222115A6" w14:textId="77777777" w:rsidR="00DA7972" w:rsidRDefault="00000000">
      <w:r>
        <w:rPr>
          <w:rFonts w:eastAsia="Georgia" w:cs="Georgia"/>
          <w:szCs w:val="21"/>
        </w:rPr>
        <w:t>The working language of the Meridian Operations Center, the mirror facility, and all operational communications under this Accord is English, using the Standard Marine Communication Phrases. All official records and publications are maintained in English and in the languages of the Littoral Parties, and the three authentic texts of Article 41.3 govern every question of legal meaning.</w:t>
      </w:r>
    </w:p>
    <w:p w14:paraId="6A484F61" w14:textId="77777777" w:rsidR="00DA7972" w:rsidRDefault="00000000">
      <w:pPr>
        <w:pStyle w:val="Heading2"/>
      </w:pPr>
      <w:bookmarkStart w:id="20" w:name="_Toc236229901"/>
      <w:r>
        <w:rPr>
          <w:rFonts w:eastAsia="Calibri" w:cs="Calibri"/>
          <w:szCs w:val="26"/>
        </w:rPr>
        <w:t>Article 14A: Human Factors and Watch Standards</w:t>
      </w:r>
      <w:bookmarkEnd w:id="20"/>
    </w:p>
    <w:p w14:paraId="731A206A" w14:textId="77777777" w:rsidR="00DA7972" w:rsidRDefault="00000000">
      <w:pPr>
        <w:pStyle w:val="Heading3"/>
      </w:pPr>
      <w:r>
        <w:rPr>
          <w:rFonts w:eastAsia="Calibri" w:cs="Calibri"/>
          <w:szCs w:val="22"/>
        </w:rPr>
        <w:t>14A.1 Fatigue and rotation standards</w:t>
      </w:r>
    </w:p>
    <w:p w14:paraId="4C5A7D17" w14:textId="77777777" w:rsidR="00DA7972" w:rsidRDefault="00000000">
      <w:r>
        <w:rPr>
          <w:rFonts w:eastAsia="Georgia" w:cs="Georgia"/>
          <w:szCs w:val="21"/>
        </w:rPr>
        <w:t xml:space="preserve">The Center, the mirror facility, and every patrol and observer deployment operate under published fatigue standards: no watchkeeper stands more than two consecutive watches; every watch rotation includes a documented overlap of at least 30 minutes; weekly rest minimums follow the prevailing international maritime labor standards; and the Co-Directors hold authority </w:t>
      </w:r>
      <w:r>
        <w:rPr>
          <w:rFonts w:eastAsia="Georgia" w:cs="Georgia"/>
          <w:szCs w:val="21"/>
        </w:rPr>
        <w:lastRenderedPageBreak/>
        <w:t>to pull any officer from watch for fatigue, on the record, without adverse consequence. The Neutral Keel Office audits compliance quarterly, and the audit publishes.</w:t>
      </w:r>
    </w:p>
    <w:p w14:paraId="467DBB7D" w14:textId="77777777" w:rsidR="00DA7972" w:rsidRDefault="00000000">
      <w:pPr>
        <w:pStyle w:val="Heading3"/>
      </w:pPr>
      <w:r>
        <w:rPr>
          <w:rFonts w:eastAsia="Calibri" w:cs="Calibri"/>
          <w:szCs w:val="22"/>
        </w:rPr>
        <w:t>14A.2 Decision logging</w:t>
      </w:r>
    </w:p>
    <w:p w14:paraId="608E85F9" w14:textId="77777777" w:rsidR="00DA7972" w:rsidRDefault="00000000">
      <w:r>
        <w:rPr>
          <w:rFonts w:eastAsia="Georgia" w:cs="Georgia"/>
          <w:szCs w:val="21"/>
        </w:rPr>
        <w:t>Every operational decision above the routine level enters the decision log within 15 minutes: the decision, the deciding pair, the information available at the time, and the alternatives considered. The log exists so that review judges decisions against what the officers knew, never against what later emerged. Decision logs feed the annual systems audit and the State of the Strait report's institutional section.</w:t>
      </w:r>
    </w:p>
    <w:p w14:paraId="56B679F2" w14:textId="77777777" w:rsidR="00DA7972" w:rsidRDefault="00000000">
      <w:pPr>
        <w:pStyle w:val="Heading3"/>
      </w:pPr>
      <w:r>
        <w:rPr>
          <w:rFonts w:eastAsia="Calibri" w:cs="Calibri"/>
          <w:szCs w:val="22"/>
        </w:rPr>
        <w:t>14A.3 Multilingual communication discipline</w:t>
      </w:r>
    </w:p>
    <w:p w14:paraId="3171269C" w14:textId="77777777" w:rsidR="00DA7972" w:rsidRDefault="00000000">
      <w:r>
        <w:rPr>
          <w:rFonts w:eastAsia="Georgia" w:cs="Georgia"/>
          <w:szCs w:val="21"/>
        </w:rPr>
        <w:t>Operational voice traffic uses the Standard Marine Communication Phrases per Article 14.7. Written operational products publish in English with Persian and Arabic versions following within 24 hours. Watch floors maintain a standing interpretation channel for the three authentic languages, and no safety-critical message ever waits on translation: the English operational text governs the moment, and the translated record follows, per the terminology governance of Article 41.8.</w:t>
      </w:r>
    </w:p>
    <w:p w14:paraId="5CE30583" w14:textId="77777777" w:rsidR="00DA7972" w:rsidRDefault="00000000">
      <w:pPr>
        <w:pStyle w:val="Heading3"/>
      </w:pPr>
      <w:r>
        <w:rPr>
          <w:rFonts w:eastAsia="Calibri" w:cs="Calibri"/>
          <w:szCs w:val="22"/>
        </w:rPr>
        <w:t>14A.4 Training and simulation</w:t>
      </w:r>
    </w:p>
    <w:p w14:paraId="0C576070" w14:textId="77777777" w:rsidR="00DA7972" w:rsidRDefault="00000000">
      <w:r>
        <w:rPr>
          <w:rFonts w:eastAsia="Georgia" w:cs="Georgia"/>
          <w:szCs w:val="21"/>
        </w:rPr>
        <w:t>Every watchkeeper, observer, and patrol crew completes annual simulation training covering the stress-test scenarios of Annex Q, the Mishap Protocol, and the Stillwater Pause drill. Training records publish in aggregate, and certification lapses return an officer to supervised watch until renewal.</w:t>
      </w:r>
    </w:p>
    <w:p w14:paraId="0F1B671B" w14:textId="77777777" w:rsidR="00DA7972" w:rsidRDefault="00000000">
      <w:pPr>
        <w:pStyle w:val="Heading2"/>
      </w:pPr>
      <w:bookmarkStart w:id="21" w:name="_Toc236229902"/>
      <w:r>
        <w:rPr>
          <w:rFonts w:eastAsia="Calibri" w:cs="Calibri"/>
          <w:szCs w:val="26"/>
        </w:rPr>
        <w:t>Article 15: The Neutral Keel Office</w:t>
      </w:r>
      <w:bookmarkEnd w:id="21"/>
    </w:p>
    <w:tbl>
      <w:tblPr>
        <w:tblW w:w="5000" w:type="pct"/>
        <w:tblInd w:w="200" w:type="dxa"/>
        <w:tblBorders>
          <w:top w:val="single" w:sz="4" w:space="0" w:color="B0BEC5"/>
          <w:left w:val="single" w:sz="4" w:space="0" w:color="B0BEC5"/>
          <w:bottom w:val="single" w:sz="4" w:space="0" w:color="B0BEC5"/>
          <w:right w:val="single" w:sz="4" w:space="0" w:color="B0BEC5"/>
        </w:tblBorders>
        <w:tblCellMar>
          <w:top w:w="120" w:type="dxa"/>
          <w:left w:w="200" w:type="dxa"/>
          <w:bottom w:w="120" w:type="dxa"/>
          <w:right w:w="200" w:type="dxa"/>
        </w:tblCellMar>
        <w:tblLook w:val="04A0" w:firstRow="1" w:lastRow="0" w:firstColumn="1" w:lastColumn="0" w:noHBand="0" w:noVBand="1"/>
      </w:tblPr>
      <w:tblGrid>
        <w:gridCol w:w="9426"/>
      </w:tblGrid>
      <w:tr w:rsidR="00DA7972" w14:paraId="4509D5BE" w14:textId="77777777">
        <w:tc>
          <w:tcPr>
            <w:tcW w:w="9010" w:type="dxa"/>
            <w:shd w:val="clear" w:color="auto" w:fill="F4F6F7"/>
          </w:tcPr>
          <w:p w14:paraId="294F360D" w14:textId="77777777" w:rsidR="00DA7972" w:rsidRDefault="00000000">
            <w:pPr>
              <w:jc w:val="center"/>
            </w:pPr>
            <w:r>
              <w:rPr>
                <w:rFonts w:ascii="Calibri" w:eastAsia="Calibri" w:hAnsi="Calibri" w:cs="Calibri"/>
                <w:b/>
                <w:color w:val="37474F"/>
                <w:sz w:val="19"/>
                <w:szCs w:val="19"/>
              </w:rPr>
              <w:t>Verification flow: from observation to published finding under the Convergence Standard</w:t>
            </w:r>
          </w:p>
          <w:p w14:paraId="5ED94FE3" w14:textId="77777777" w:rsidR="00DA7972" w:rsidRDefault="00000000">
            <w:pPr>
              <w:spacing w:after="60" w:line="260" w:lineRule="auto"/>
              <w:jc w:val="center"/>
            </w:pPr>
            <w:r>
              <w:rPr>
                <w:rFonts w:ascii="Consolas" w:eastAsia="Consolas" w:hAnsi="Consolas" w:cs="Consolas"/>
                <w:sz w:val="18"/>
                <w:szCs w:val="18"/>
              </w:rPr>
              <w:t>Input A (observer / patrol /      Input B (track data / records /</w:t>
            </w:r>
          </w:p>
          <w:p w14:paraId="51DA9606" w14:textId="77777777" w:rsidR="00DA7972" w:rsidRDefault="00000000">
            <w:pPr>
              <w:spacing w:after="60" w:line="260" w:lineRule="auto"/>
              <w:jc w:val="center"/>
            </w:pPr>
            <w:r>
              <w:rPr>
                <w:rFonts w:ascii="Consolas" w:eastAsia="Consolas" w:hAnsi="Consolas" w:cs="Consolas"/>
                <w:sz w:val="18"/>
                <w:szCs w:val="18"/>
              </w:rPr>
              <w:t xml:space="preserve"> watch log)                        port documentation)</w:t>
            </w:r>
          </w:p>
          <w:p w14:paraId="49BA46DC" w14:textId="77777777" w:rsidR="00DA7972" w:rsidRDefault="00000000">
            <w:pPr>
              <w:spacing w:after="60" w:line="260" w:lineRule="auto"/>
              <w:jc w:val="center"/>
            </w:pPr>
            <w:r>
              <w:rPr>
                <w:rFonts w:ascii="Consolas" w:eastAsia="Consolas" w:hAnsi="Consolas" w:cs="Consolas"/>
                <w:sz w:val="18"/>
                <w:szCs w:val="18"/>
              </w:rPr>
              <w:t xml:space="preserve">              |                            |</w:t>
            </w:r>
          </w:p>
          <w:p w14:paraId="0A3D483B" w14:textId="77777777" w:rsidR="00DA7972" w:rsidRDefault="00000000">
            <w:pPr>
              <w:spacing w:after="60" w:line="260" w:lineRule="auto"/>
              <w:jc w:val="center"/>
            </w:pPr>
            <w:r>
              <w:rPr>
                <w:rFonts w:ascii="Consolas" w:eastAsia="Consolas" w:hAnsi="Consolas" w:cs="Consolas"/>
                <w:sz w:val="18"/>
                <w:szCs w:val="18"/>
              </w:rPr>
              <w:t xml:space="preserve">              +-------------+--------------+</w:t>
            </w:r>
          </w:p>
          <w:p w14:paraId="6C08BEE5" w14:textId="77777777" w:rsidR="00DA7972" w:rsidRDefault="00000000">
            <w:pPr>
              <w:spacing w:after="60" w:line="260" w:lineRule="auto"/>
              <w:jc w:val="center"/>
            </w:pPr>
            <w:r>
              <w:rPr>
                <w:rFonts w:ascii="Consolas" w:eastAsia="Consolas" w:hAnsi="Consolas" w:cs="Consolas"/>
                <w:sz w:val="18"/>
                <w:szCs w:val="18"/>
              </w:rPr>
              <w:t xml:space="preserve">                            v</w:t>
            </w:r>
          </w:p>
          <w:p w14:paraId="269051A0" w14:textId="77777777" w:rsidR="00DA7972" w:rsidRDefault="00000000">
            <w:pPr>
              <w:spacing w:after="60" w:line="260" w:lineRule="auto"/>
              <w:jc w:val="center"/>
            </w:pPr>
            <w:r>
              <w:rPr>
                <w:rFonts w:ascii="Consolas" w:eastAsia="Consolas" w:hAnsi="Consolas" w:cs="Consolas"/>
                <w:sz w:val="18"/>
                <w:szCs w:val="18"/>
              </w:rPr>
              <w:t xml:space="preserve">                 Convergence test (Art. 26.2)</w:t>
            </w:r>
          </w:p>
          <w:p w14:paraId="0998397A" w14:textId="77777777" w:rsidR="00DA7972" w:rsidRDefault="00000000">
            <w:pPr>
              <w:spacing w:after="60" w:line="260" w:lineRule="auto"/>
              <w:jc w:val="center"/>
            </w:pPr>
            <w:r>
              <w:rPr>
                <w:rFonts w:ascii="Consolas" w:eastAsia="Consolas" w:hAnsi="Consolas" w:cs="Consolas"/>
                <w:sz w:val="18"/>
                <w:szCs w:val="18"/>
              </w:rPr>
              <w:t xml:space="preserve">                 +-----------+------------+</w:t>
            </w:r>
          </w:p>
          <w:p w14:paraId="2FE1A256" w14:textId="77777777" w:rsidR="00DA7972" w:rsidRDefault="00000000">
            <w:pPr>
              <w:spacing w:after="60" w:line="260" w:lineRule="auto"/>
              <w:jc w:val="center"/>
            </w:pPr>
            <w:r>
              <w:rPr>
                <w:rFonts w:ascii="Consolas" w:eastAsia="Consolas" w:hAnsi="Consolas" w:cs="Consolas"/>
                <w:sz w:val="18"/>
                <w:szCs w:val="18"/>
              </w:rPr>
              <w:t xml:space="preserve">                 |                        |</w:t>
            </w:r>
          </w:p>
          <w:p w14:paraId="7E1D8CBD" w14:textId="77777777" w:rsidR="00DA7972" w:rsidRDefault="00000000">
            <w:pPr>
              <w:spacing w:after="60" w:line="260" w:lineRule="auto"/>
              <w:jc w:val="center"/>
            </w:pPr>
            <w:r>
              <w:rPr>
                <w:rFonts w:ascii="Consolas" w:eastAsia="Consolas" w:hAnsi="Consolas" w:cs="Consolas"/>
                <w:sz w:val="18"/>
                <w:szCs w:val="18"/>
              </w:rPr>
              <w:t xml:space="preserve">            Converges                Diverges</w:t>
            </w:r>
          </w:p>
          <w:p w14:paraId="4EAD2426" w14:textId="77777777" w:rsidR="00DA7972" w:rsidRDefault="00000000">
            <w:pPr>
              <w:spacing w:after="60" w:line="260" w:lineRule="auto"/>
              <w:jc w:val="center"/>
            </w:pPr>
            <w:r>
              <w:rPr>
                <w:rFonts w:ascii="Consolas" w:eastAsia="Consolas" w:hAnsi="Consolas" w:cs="Consolas"/>
                <w:sz w:val="18"/>
                <w:szCs w:val="18"/>
              </w:rPr>
              <w:t xml:space="preserve">                 |                        |</w:t>
            </w:r>
          </w:p>
          <w:p w14:paraId="63509873" w14:textId="77777777" w:rsidR="00DA7972" w:rsidRDefault="00000000">
            <w:pPr>
              <w:spacing w:after="60" w:line="260" w:lineRule="auto"/>
              <w:jc w:val="center"/>
            </w:pPr>
            <w:r>
              <w:rPr>
                <w:rFonts w:ascii="Consolas" w:eastAsia="Consolas" w:hAnsi="Consolas" w:cs="Consolas"/>
                <w:sz w:val="18"/>
                <w:szCs w:val="18"/>
              </w:rPr>
              <w:t xml:space="preserve">                 v                        v</w:t>
            </w:r>
          </w:p>
          <w:p w14:paraId="25F55B08" w14:textId="77777777" w:rsidR="00DA7972" w:rsidRDefault="00000000">
            <w:pPr>
              <w:spacing w:after="60" w:line="260" w:lineRule="auto"/>
              <w:jc w:val="center"/>
            </w:pPr>
            <w:r>
              <w:rPr>
                <w:rFonts w:ascii="Consolas" w:eastAsia="Consolas" w:hAnsi="Consolas" w:cs="Consolas"/>
                <w:sz w:val="18"/>
                <w:szCs w:val="18"/>
              </w:rPr>
              <w:t xml:space="preserve">     Human officer signs         Open observation;</w:t>
            </w:r>
          </w:p>
          <w:p w14:paraId="50B200EC" w14:textId="77777777" w:rsidR="00DA7972" w:rsidRDefault="00000000">
            <w:pPr>
              <w:spacing w:after="60" w:line="260" w:lineRule="auto"/>
              <w:jc w:val="center"/>
            </w:pPr>
            <w:r>
              <w:rPr>
                <w:rFonts w:ascii="Consolas" w:eastAsia="Consolas" w:hAnsi="Consolas" w:cs="Consolas"/>
                <w:sz w:val="18"/>
                <w:szCs w:val="18"/>
              </w:rPr>
              <w:t xml:space="preserve">     finding --&gt; Technical       no classification;</w:t>
            </w:r>
          </w:p>
          <w:p w14:paraId="57DA2E5B" w14:textId="77777777" w:rsidR="00DA7972" w:rsidRDefault="00000000">
            <w:pPr>
              <w:spacing w:after="60" w:line="260" w:lineRule="auto"/>
              <w:jc w:val="center"/>
            </w:pPr>
            <w:r>
              <w:rPr>
                <w:rFonts w:ascii="Consolas" w:eastAsia="Consolas" w:hAnsi="Consolas" w:cs="Consolas"/>
                <w:sz w:val="18"/>
                <w:szCs w:val="18"/>
              </w:rPr>
              <w:t xml:space="preserve">     Committee --&gt; published     system seeks a second</w:t>
            </w:r>
          </w:p>
          <w:p w14:paraId="683143FB" w14:textId="77777777" w:rsidR="00DA7972" w:rsidRDefault="00000000">
            <w:pPr>
              <w:spacing w:after="60" w:line="260" w:lineRule="auto"/>
              <w:jc w:val="center"/>
            </w:pPr>
            <w:r>
              <w:rPr>
                <w:rFonts w:ascii="Consolas" w:eastAsia="Consolas" w:hAnsi="Consolas" w:cs="Consolas"/>
                <w:sz w:val="18"/>
                <w:szCs w:val="18"/>
              </w:rPr>
              <w:t xml:space="preserve">     finding                     input</w:t>
            </w:r>
          </w:p>
        </w:tc>
      </w:tr>
    </w:tbl>
    <w:p w14:paraId="2559A088" w14:textId="77777777" w:rsidR="00DA7972" w:rsidRDefault="00000000">
      <w:pPr>
        <w:pStyle w:val="Heading3"/>
      </w:pPr>
      <w:r>
        <w:rPr>
          <w:rFonts w:eastAsia="Calibri" w:cs="Calibri"/>
          <w:szCs w:val="22"/>
        </w:rPr>
        <w:lastRenderedPageBreak/>
        <w:t>15.1 Mandate</w:t>
      </w:r>
    </w:p>
    <w:p w14:paraId="7A705852" w14:textId="77777777" w:rsidR="00DA7972" w:rsidRDefault="00000000">
      <w:r>
        <w:rPr>
          <w:rFonts w:eastAsia="Georgia" w:cs="Georgia"/>
          <w:szCs w:val="21"/>
        </w:rPr>
        <w:t>The Neutral Keel Office verifies that the Accord does what the text says. It observes, audits, and reports. It never directs traffic, never boards vessels, and never classifies compliance events; classification belongs to the engine of Article 31 on the Office's inputs.</w:t>
      </w:r>
    </w:p>
    <w:p w14:paraId="42F9369A" w14:textId="77777777" w:rsidR="00DA7972" w:rsidRDefault="00000000">
      <w:pPr>
        <w:pStyle w:val="Heading3"/>
      </w:pPr>
      <w:r>
        <w:rPr>
          <w:rFonts w:eastAsia="Calibri" w:cs="Calibri"/>
          <w:szCs w:val="22"/>
        </w:rPr>
        <w:t>15.2 Composition</w:t>
      </w:r>
    </w:p>
    <w:p w14:paraId="6DB092AD" w14:textId="77777777" w:rsidR="00DA7972" w:rsidRDefault="00000000">
      <w:r>
        <w:rPr>
          <w:rFonts w:eastAsia="Georgia" w:cs="Georgia"/>
          <w:szCs w:val="21"/>
        </w:rPr>
        <w:t>The Office comprises a Director, a deputy, and a roster of eighteen maritime inspectors nominated through the International Maritime Organization's recognized inspection channels, plus administrative support provided under the Swiss facilitation arrangement. No inspector holds the nationality of any Littoral Party. Inspectors serve two-year rotations, and the Council confirms the roster on International Maritime Organization nomination.</w:t>
      </w:r>
    </w:p>
    <w:p w14:paraId="29F7E3CC" w14:textId="77777777" w:rsidR="00DA7972" w:rsidRDefault="00000000">
      <w:pPr>
        <w:pStyle w:val="Heading3"/>
      </w:pPr>
      <w:r>
        <w:rPr>
          <w:rFonts w:eastAsia="Calibri" w:cs="Calibri"/>
          <w:szCs w:val="22"/>
        </w:rPr>
        <w:t>15.3 Embarked observers</w:t>
      </w:r>
    </w:p>
    <w:p w14:paraId="25EAC0C8" w14:textId="77777777" w:rsidR="00DA7972" w:rsidRDefault="00000000">
      <w:r>
        <w:rPr>
          <w:rFonts w:eastAsia="Georgia" w:cs="Georgia"/>
          <w:szCs w:val="21"/>
        </w:rPr>
        <w:t>The Office embarks observers on transiting vessels, on Accord service craft, and at both watch floors, on a published rota. Embarkation on a commercial vessel occurs with the master's consent; the Assurance Registry of Article 24 treats consent as a listed-vessel practice. An embarked observer records passage conduct, service delivery, and any interference event, and files the observation to the daily log within 12 hours. Observers serve in observer status only: no command authority, no weapon system contact, no enforcement function. The architecture excludes any interference with, harassment of, or harm to observers, and an incident involving an observer classifies one category higher than the same incident without observer involvement under Article 31.</w:t>
      </w:r>
    </w:p>
    <w:p w14:paraId="39F290EC" w14:textId="77777777" w:rsidR="00DA7972" w:rsidRDefault="00000000">
      <w:pPr>
        <w:pStyle w:val="Heading3"/>
      </w:pPr>
      <w:r>
        <w:rPr>
          <w:rFonts w:eastAsia="Calibri" w:cs="Calibri"/>
          <w:szCs w:val="22"/>
        </w:rPr>
        <w:t>15.4 Reporting</w:t>
      </w:r>
    </w:p>
    <w:p w14:paraId="29AE8687" w14:textId="77777777" w:rsidR="00DA7972" w:rsidRDefault="00000000">
      <w:r>
        <w:rPr>
          <w:rFonts w:eastAsia="Georgia" w:cs="Georgia"/>
          <w:szCs w:val="21"/>
        </w:rPr>
        <w:t>The Office publishes: a weekly observation summary; a monthly notification-desk audit testing for any pattern that resembles gatekeeping; a quarterly services cross-check against the Fund's records; and an annual Register integrity report under Article 6.3. Every report follows the Convergence Standard of Article 26.2, names its evidence inputs, and reaches all Parties, the Council, and the International Maritime Organization simultaneously.</w:t>
      </w:r>
    </w:p>
    <w:p w14:paraId="276BA5E3" w14:textId="77777777" w:rsidR="00DA7972" w:rsidRDefault="00000000">
      <w:pPr>
        <w:pStyle w:val="Heading3"/>
      </w:pPr>
      <w:r>
        <w:rPr>
          <w:rFonts w:eastAsia="Calibri" w:cs="Calibri"/>
          <w:szCs w:val="22"/>
        </w:rPr>
        <w:t>15.5 Independence safeguards</w:t>
      </w:r>
    </w:p>
    <w:p w14:paraId="67C7BBD2" w14:textId="77777777" w:rsidR="00DA7972" w:rsidRDefault="00000000">
      <w:r>
        <w:rPr>
          <w:rFonts w:eastAsia="Georgia" w:cs="Georgia"/>
          <w:szCs w:val="21"/>
        </w:rPr>
        <w:t>The Fund pays Office costs directly as a first call on revenue, ahead of all service reimbursement. No Party suspends, reduces, or delays Office funding for any reason. The Director reports to the Council as a body, never to one Party, and removal takes a Council decision recorded with reasons plus International Maritime Organization concurrence. An inspector who files a report in good faith enjoys full protection; a demonstrably false report triggers the false-report consequence of Annex E, applied identically to every nationality.</w:t>
      </w:r>
    </w:p>
    <w:p w14:paraId="747D56A1" w14:textId="77777777" w:rsidR="00DA7972" w:rsidRDefault="00000000">
      <w:pPr>
        <w:pBdr>
          <w:left w:val="single" w:sz="8" w:space="6" w:color="B0BEC5"/>
        </w:pBdr>
        <w:spacing w:before="40"/>
        <w:ind w:left="360"/>
      </w:pPr>
      <w:r>
        <w:rPr>
          <w:rFonts w:ascii="Calibri" w:eastAsia="Calibri" w:hAnsi="Calibri" w:cs="Calibri"/>
          <w:i/>
          <w:color w:val="78909C"/>
          <w:sz w:val="18"/>
          <w:szCs w:val="18"/>
        </w:rPr>
        <w:t>See also Articles 26 and 31, and Annex G.</w:t>
      </w:r>
    </w:p>
    <w:p w14:paraId="07715B8C" w14:textId="77777777" w:rsidR="00DA7972" w:rsidRDefault="00000000">
      <w:pPr>
        <w:pStyle w:val="Heading3"/>
      </w:pPr>
      <w:r>
        <w:rPr>
          <w:rFonts w:eastAsia="Calibri" w:cs="Calibri"/>
          <w:szCs w:val="22"/>
        </w:rPr>
        <w:t>15.6 The Stop-Loss power</w:t>
      </w:r>
    </w:p>
    <w:p w14:paraId="22D1C37B" w14:textId="77777777" w:rsidR="00DA7972" w:rsidRDefault="00000000">
      <w:r>
        <w:rPr>
          <w:rFonts w:eastAsia="Georgia" w:cs="Georgia"/>
          <w:szCs w:val="21"/>
        </w:rPr>
        <w:t xml:space="preserve">The Neutral Keel Office holds the Stop-Loss power as the Accord's real-time emergency brake. Where an immediate, demonstrable threat to the safe operation of a corridor exists, the Office issues a Stop-Loss order pausing one specific financial transaction or the transit of one specific </w:t>
      </w:r>
      <w:r>
        <w:rPr>
          <w:rFonts w:eastAsia="Georgia" w:cs="Georgia"/>
          <w:szCs w:val="21"/>
        </w:rPr>
        <w:lastRenderedPageBreak/>
        <w:t>vessel, stating the threat and the evidence on the record. A Stop-Loss order takes effect immediately, publishes in the Bulletin, and expires automatically 24 hours after issue unless the Stillwater Council, sitting within that period, confirms, modifies, or lifts it. The Council reviews every order, and a pattern of unjustified orders enters the Office's own record in the Ledger's institutional column. The power never applies to humanitarian transit, distress response, or any class of vessels as a group: it targets a single transaction or a single vessel, never a category.</w:t>
      </w:r>
    </w:p>
    <w:p w14:paraId="6445134F" w14:textId="77777777" w:rsidR="00DA7972" w:rsidRDefault="00000000">
      <w:pPr>
        <w:pStyle w:val="Heading2"/>
      </w:pPr>
      <w:bookmarkStart w:id="22" w:name="_Toc236229903"/>
      <w:r>
        <w:rPr>
          <w:rFonts w:eastAsia="Calibri" w:cs="Calibri"/>
          <w:szCs w:val="26"/>
        </w:rPr>
        <w:t>Article 16: The Technical and Standards Committee</w:t>
      </w:r>
      <w:bookmarkEnd w:id="22"/>
    </w:p>
    <w:p w14:paraId="49029E6E" w14:textId="77777777" w:rsidR="00DA7972" w:rsidRDefault="00000000">
      <w:pPr>
        <w:pStyle w:val="Heading3"/>
      </w:pPr>
      <w:r>
        <w:rPr>
          <w:rFonts w:eastAsia="Calibri" w:cs="Calibri"/>
          <w:szCs w:val="22"/>
        </w:rPr>
        <w:t>16.1 Composition and mandate</w:t>
      </w:r>
    </w:p>
    <w:p w14:paraId="0484CEE9" w14:textId="77777777" w:rsidR="00DA7972" w:rsidRDefault="00000000">
      <w:r>
        <w:rPr>
          <w:rFonts w:eastAsia="Georgia" w:cs="Georgia"/>
          <w:szCs w:val="21"/>
        </w:rPr>
        <w:t>The Technical and Standards Committee comprises two technical officers appointed by each Littoral Party: surveyors, engineers, and legal-technical specialists, supported by the Neutral Keel Office and the International Maritime Organization technical seat as non-voting advisers. The Committee certifies corridor geometry, audits the services record, reviews incidents under Article 28, conducts the annual systems audit, issues the technical certificates of Annex H, and prepares the Perimeter Tests of Article 6.3 for the legal desk's adoption.</w:t>
      </w:r>
    </w:p>
    <w:p w14:paraId="7602782A" w14:textId="77777777" w:rsidR="00DA7972" w:rsidRDefault="00000000">
      <w:pPr>
        <w:pStyle w:val="Heading3"/>
      </w:pPr>
      <w:r>
        <w:rPr>
          <w:rFonts w:eastAsia="Calibri" w:cs="Calibri"/>
          <w:szCs w:val="22"/>
        </w:rPr>
        <w:t>16.2 Decision rule</w:t>
      </w:r>
    </w:p>
    <w:p w14:paraId="57C8D3F3" w14:textId="77777777" w:rsidR="00DA7972" w:rsidRDefault="00000000">
      <w:r>
        <w:rPr>
          <w:rFonts w:eastAsia="Georgia" w:cs="Georgia"/>
          <w:szCs w:val="21"/>
        </w:rPr>
        <w:t>The Committee decides technical questions by simple majority with a quorum of four including at least one appointee of Iran and one of Oman. A tied question carries forward as an open item with both positions recorded, never as a suspension of the underlying operation, and routes to the independent technical referee of Article 35.3, whose determination binds all Parties on the technical facts and leaves policy to the Council.</w:t>
      </w:r>
    </w:p>
    <w:p w14:paraId="4E77F24F" w14:textId="77777777" w:rsidR="00DA7972" w:rsidRDefault="00000000">
      <w:pPr>
        <w:pStyle w:val="Heading2"/>
      </w:pPr>
      <w:bookmarkStart w:id="23" w:name="_Toc236229904"/>
      <w:r>
        <w:rPr>
          <w:rFonts w:eastAsia="Calibri" w:cs="Calibri"/>
          <w:szCs w:val="26"/>
        </w:rPr>
        <w:t>Article 17: The Guarantor and Facilitation Panel</w:t>
      </w:r>
      <w:bookmarkEnd w:id="23"/>
    </w:p>
    <w:p w14:paraId="6A97A327" w14:textId="77777777" w:rsidR="00DA7972" w:rsidRDefault="00000000">
      <w:pPr>
        <w:pStyle w:val="Heading3"/>
      </w:pPr>
      <w:r>
        <w:rPr>
          <w:rFonts w:eastAsia="Calibri" w:cs="Calibri"/>
          <w:szCs w:val="22"/>
        </w:rPr>
        <w:t>17.1 Composition</w:t>
      </w:r>
    </w:p>
    <w:p w14:paraId="565B02EE" w14:textId="77777777" w:rsidR="00DA7972" w:rsidRDefault="00000000">
      <w:r>
        <w:rPr>
          <w:rFonts w:eastAsia="Georgia" w:cs="Georgia"/>
          <w:szCs w:val="21"/>
        </w:rPr>
        <w:t>The Guarantor and Facilitation Panel provides the final political judgment layer. It comprises the Sultanate of Oman, the Swiss Confederation, the State of Qatar, and the Islamic Republic of Pakistan as standing members, plus two rotating members drawn from a list maintained by the Council, with Japan and Singapore as the initial rotating members for their maritime-technical standing.</w:t>
      </w:r>
    </w:p>
    <w:p w14:paraId="7C8C56A6" w14:textId="77777777" w:rsidR="00DA7972" w:rsidRDefault="00000000">
      <w:pPr>
        <w:pStyle w:val="Heading3"/>
      </w:pPr>
      <w:r>
        <w:rPr>
          <w:rFonts w:eastAsia="Calibri" w:cs="Calibri"/>
          <w:szCs w:val="22"/>
        </w:rPr>
        <w:t>17.2 Convening and clock</w:t>
      </w:r>
    </w:p>
    <w:p w14:paraId="2EE5179D" w14:textId="77777777" w:rsidR="00DA7972" w:rsidRDefault="00000000">
      <w:r>
        <w:rPr>
          <w:rFonts w:eastAsia="Georgia" w:cs="Georgia"/>
          <w:szCs w:val="21"/>
        </w:rPr>
        <w:t>The Panel convenes within 48 hours of an Architectural Breach classification, a failed Council referral under Article 20.4, or a Red Line Consultation escalation. The Panel operates on a published rapid-response clock: a preliminary determination issues within 72 hours of convening, and a final determination issues within 120 hours of convening. A missed clock classifies under Annex D, category G-1, and the matter in question resolves by operation of the registry data and the verification certifications until the Panel acts, so that no actor profits from dragging out the review. The Panel's determinations on classification and restoration bind the operation of the mechanisms. The Panel possesses no military, police, or sanctioning power; its authority flows from the automaticity of the mechanisms it certifies.</w:t>
      </w:r>
    </w:p>
    <w:p w14:paraId="25C7BEE0" w14:textId="77777777" w:rsidR="00DA7972" w:rsidRDefault="00000000">
      <w:pPr>
        <w:pStyle w:val="Heading2"/>
      </w:pPr>
      <w:bookmarkStart w:id="24" w:name="_Toc236229905"/>
      <w:r>
        <w:rPr>
          <w:rFonts w:eastAsia="Calibri" w:cs="Calibri"/>
          <w:szCs w:val="26"/>
        </w:rPr>
        <w:lastRenderedPageBreak/>
        <w:t>Article 18: The Independent Assurance Council</w:t>
      </w:r>
      <w:bookmarkEnd w:id="24"/>
    </w:p>
    <w:p w14:paraId="7AF24CDF" w14:textId="77777777" w:rsidR="00DA7972" w:rsidRDefault="00000000">
      <w:pPr>
        <w:pStyle w:val="Heading3"/>
      </w:pPr>
      <w:r>
        <w:rPr>
          <w:rFonts w:eastAsia="Calibri" w:cs="Calibri"/>
          <w:szCs w:val="22"/>
        </w:rPr>
        <w:t>18.1 Composition</w:t>
      </w:r>
    </w:p>
    <w:p w14:paraId="3C7BFB60" w14:textId="77777777" w:rsidR="00DA7972" w:rsidRDefault="00000000">
      <w:r>
        <w:rPr>
          <w:rFonts w:eastAsia="Georgia" w:cs="Georgia"/>
          <w:szCs w:val="21"/>
        </w:rPr>
        <w:t>The Independent Assurance Council provides the Accord's public verification layer. It comprises five independent experts drawn from academia, maritime civil society organizations, and retired diplomatic service, none holding any current government affiliation, appointment, or contract with any state. The Council appoints members from a nomination pool prepared by the Mediator of Record. The initial five members serve staggered terms: two members serve two years and three members serve three years, so that institutional memory survives every turnover. Every subsequent appointment runs three years, non-renewable, and a member's removal before term end takes a four-fifths Council vote for stated cause.</w:t>
      </w:r>
    </w:p>
    <w:p w14:paraId="7B676F28" w14:textId="77777777" w:rsidR="00DA7972" w:rsidRDefault="00000000">
      <w:pPr>
        <w:pStyle w:val="Heading3"/>
      </w:pPr>
      <w:r>
        <w:rPr>
          <w:rFonts w:eastAsia="Calibri" w:cs="Calibri"/>
          <w:szCs w:val="22"/>
        </w:rPr>
        <w:t>18.2 Rights</w:t>
      </w:r>
    </w:p>
    <w:p w14:paraId="4A205734" w14:textId="77777777" w:rsidR="00DA7972" w:rsidRDefault="00000000">
      <w:r>
        <w:rPr>
          <w:rFonts w:eastAsia="Georgia" w:cs="Georgia"/>
          <w:szCs w:val="21"/>
        </w:rPr>
        <w:t>The Independent Assurance Council holds three rights:</w:t>
      </w:r>
    </w:p>
    <w:p w14:paraId="55BE4187" w14:textId="77777777" w:rsidR="00DA7972" w:rsidRDefault="00000000">
      <w:pPr>
        <w:ind w:left="360"/>
      </w:pPr>
      <w:r>
        <w:rPr>
          <w:rFonts w:eastAsia="Georgia" w:cs="Georgia"/>
          <w:szCs w:val="21"/>
        </w:rPr>
        <w:t>1. Data access. It accesses all non-classified data in the shared registry under the two-key rule of Article 26.5, including standing ratios, claim statistics, openness statements, and the public layers of the incident archive.</w:t>
      </w:r>
    </w:p>
    <w:p w14:paraId="7EE4B780" w14:textId="77777777" w:rsidR="00DA7972" w:rsidRDefault="00000000">
      <w:pPr>
        <w:ind w:left="360"/>
      </w:pPr>
      <w:r>
        <w:rPr>
          <w:rFonts w:eastAsia="Georgia" w:cs="Georgia"/>
          <w:szCs w:val="21"/>
        </w:rPr>
        <w:t>2. Reporting. It submits reports to each annual Council session, assessing the operation of the Accord, the state of the standing ratios, and any pattern of obstruction its analysis reveals.</w:t>
      </w:r>
    </w:p>
    <w:p w14:paraId="27609313" w14:textId="77777777" w:rsidR="00DA7972" w:rsidRDefault="00000000">
      <w:pPr>
        <w:ind w:left="360"/>
      </w:pPr>
      <w:r>
        <w:rPr>
          <w:rFonts w:eastAsia="Georgia" w:cs="Georgia"/>
          <w:szCs w:val="21"/>
        </w:rPr>
        <w:t>3. Public comment. It publishes its assessments of standing ratios and Architectural Breach events on the public dashboard, in its own voice, without prior approval by any organ. A publication states facts and analysis, never classification, and carries no legal effect within the mechanisms.</w:t>
      </w:r>
    </w:p>
    <w:p w14:paraId="3EF71732" w14:textId="77777777" w:rsidR="00DA7972" w:rsidRDefault="00000000">
      <w:pPr>
        <w:pStyle w:val="Heading3"/>
      </w:pPr>
      <w:r>
        <w:rPr>
          <w:rFonts w:eastAsia="Calibri" w:cs="Calibri"/>
          <w:szCs w:val="22"/>
        </w:rPr>
        <w:t>18.3 Structural independence</w:t>
      </w:r>
    </w:p>
    <w:p w14:paraId="2841A418" w14:textId="77777777" w:rsidR="00DA7972" w:rsidRDefault="00000000">
      <w:r>
        <w:rPr>
          <w:rFonts w:eastAsia="Georgia" w:cs="Georgia"/>
          <w:szCs w:val="21"/>
        </w:rPr>
        <w:t>The Independent Assurance Council operates on a budget line of the Transit Services Fund sufficient for a secretariat of four officers. Its independence is structural: no Party nominates its members directly, no organ reviews its publications in advance, and its reports enter the Council record unedited. It exposes obstruction to informed public scrutiny, which operates as a deterrent that no procedural rule alone supplies.</w:t>
      </w:r>
    </w:p>
    <w:p w14:paraId="7940F8C5" w14:textId="77777777" w:rsidR="00DA7972" w:rsidRDefault="00000000">
      <w:pPr>
        <w:pStyle w:val="Heading2"/>
      </w:pPr>
      <w:bookmarkStart w:id="25" w:name="_Toc236229906"/>
      <w:r>
        <w:rPr>
          <w:rFonts w:eastAsia="Calibri" w:cs="Calibri"/>
          <w:szCs w:val="26"/>
        </w:rPr>
        <w:t>Article 19: Observer States and Stakeholder Participation</w:t>
      </w:r>
      <w:bookmarkEnd w:id="25"/>
    </w:p>
    <w:p w14:paraId="4C94856B" w14:textId="77777777" w:rsidR="00DA7972" w:rsidRDefault="00000000">
      <w:pPr>
        <w:pStyle w:val="Heading3"/>
      </w:pPr>
      <w:r>
        <w:rPr>
          <w:rFonts w:eastAsia="Calibri" w:cs="Calibri"/>
          <w:szCs w:val="22"/>
        </w:rPr>
        <w:t>19.1 The participation architecture</w:t>
      </w:r>
    </w:p>
    <w:p w14:paraId="78CF2A6A" w14:textId="77777777" w:rsidR="00DA7972" w:rsidRDefault="00000000">
      <w:r>
        <w:rPr>
          <w:rFonts w:eastAsia="Georgia" w:cs="Georgia"/>
          <w:szCs w:val="21"/>
        </w:rPr>
        <w:t>The Accord admits observer and stakeholder participation by states and bodies with a substantial interest in the waterway: the other Gulf Cooperation Council states beyond the Littoral Parties, the major flag states, the major importing states, and the shipping and insurance industry. Participation flows through defined channels: observer seats at the Council, contribution membership in the Fund, data subscription to the Route Assurance Data Service, secondment to the observer program, and the Stakeholder Panel of Article 19.4. Participation carries information, voice, and service; it carries no governance vote on the conduct of the Littoral Parties, which the multilateral-balance principle reserves to the voting members.</w:t>
      </w:r>
    </w:p>
    <w:p w14:paraId="3E9B2ED3" w14:textId="77777777" w:rsidR="00DA7972" w:rsidRDefault="00000000">
      <w:pPr>
        <w:pStyle w:val="Heading3"/>
      </w:pPr>
      <w:r>
        <w:rPr>
          <w:rFonts w:eastAsia="Calibri" w:cs="Calibri"/>
          <w:szCs w:val="22"/>
        </w:rPr>
        <w:lastRenderedPageBreak/>
        <w:t>19.2 The United States as Endorsing Stakeholder</w:t>
      </w:r>
    </w:p>
    <w:p w14:paraId="62603A7A" w14:textId="77777777" w:rsidR="00DA7972" w:rsidRDefault="00000000">
      <w:r>
        <w:rPr>
          <w:rFonts w:eastAsia="Georgia" w:cs="Georgia"/>
          <w:szCs w:val="21"/>
        </w:rPr>
        <w:t>The United States of America participates as Endorsing Stakeholder. It holds a non-voting seat at the Council; it registers its red lines in Annex I and watches the architecture hold them; it adheres to the Non-Interdiction Protocol and the standoff geometry of Article 27 for its forces in the Governance Area through the adherence instrument of Annex M; and it channels any concerns through the Council seat, the military de-confliction channel, and the Guarantor Panel, never through unilateral action inside the Governance Area. The Endorsing Stakeholder role keeps the Accord a littoral-state governance instrument rather than a geopolitical treaty: it preserves Omani neutrality, keeps Iranian engagement, and avoids converting the Accord into any external state's security instrument. The Accord records no command, no veto, and no enforcement role for any external state.</w:t>
      </w:r>
    </w:p>
    <w:p w14:paraId="20B054C1" w14:textId="77777777" w:rsidR="00DA7972" w:rsidRDefault="00000000">
      <w:pPr>
        <w:pStyle w:val="Heading3"/>
      </w:pPr>
      <w:r>
        <w:rPr>
          <w:rFonts w:eastAsia="Calibri" w:cs="Calibri"/>
          <w:szCs w:val="22"/>
        </w:rPr>
        <w:t>19.3 Observer states</w:t>
      </w:r>
    </w:p>
    <w:p w14:paraId="27B04250" w14:textId="77777777" w:rsidR="00DA7972" w:rsidRDefault="00000000">
      <w:r>
        <w:rPr>
          <w:rFonts w:eastAsia="Georgia" w:cs="Georgia"/>
          <w:szCs w:val="21"/>
        </w:rPr>
        <w:t>The standing observer invitations of Annex M extend to the European Union, India, China, Japan, the Republic of Korea, the United Kingdom, and such other states as the Council adds by the decision rule of Article 20.3. Observer states receive the full non-classified record, attend the Council, address it on invitation, and contribute to the Fund under Article 22. An observer state never receives a vote, a veto, or an operational role.</w:t>
      </w:r>
    </w:p>
    <w:p w14:paraId="2FECB481" w14:textId="77777777" w:rsidR="00DA7972" w:rsidRDefault="00000000">
      <w:pPr>
        <w:pStyle w:val="Heading3"/>
      </w:pPr>
      <w:r>
        <w:rPr>
          <w:rFonts w:eastAsia="Calibri" w:cs="Calibri"/>
          <w:szCs w:val="22"/>
        </w:rPr>
        <w:t>19.4 The Stakeholder Panel</w:t>
      </w:r>
    </w:p>
    <w:p w14:paraId="26D5909B" w14:textId="77777777" w:rsidR="00DA7972" w:rsidRDefault="00000000">
      <w:r>
        <w:rPr>
          <w:rFonts w:eastAsia="Georgia" w:cs="Georgia"/>
          <w:szCs w:val="21"/>
        </w:rPr>
        <w:t>The Stakeholder Panel seats twelve advisory members: four flag-state maritime administrations, four shipowner and operator associations, two protection and indemnity club representatives, and two port authority representatives, one Gulf-side and one Oman-side. The Panel meets twice a year with the Council, reviews the Bulletin statistics, the Catalog rates, and the Registry operation, and files advisory opinions. The Council answers every opinion in the record within 60 days.</w:t>
      </w:r>
    </w:p>
    <w:p w14:paraId="6A1958AE" w14:textId="77777777" w:rsidR="00DA7972" w:rsidRDefault="00000000">
      <w:pPr>
        <w:pStyle w:val="Heading3"/>
      </w:pPr>
      <w:r>
        <w:rPr>
          <w:rFonts w:eastAsia="Calibri" w:cs="Calibri"/>
          <w:szCs w:val="22"/>
        </w:rPr>
        <w:t>19.5 The International Maritime Organization interface</w:t>
      </w:r>
    </w:p>
    <w:p w14:paraId="696C0B43" w14:textId="77777777" w:rsidR="00DA7972" w:rsidRDefault="00000000">
      <w:r>
        <w:rPr>
          <w:rFonts w:eastAsia="Georgia" w:cs="Georgia"/>
          <w:szCs w:val="21"/>
        </w:rPr>
        <w:t>The Parties jointly notify the scheme geometry to the International Maritime Organization, maintain the scheme's international recognition, host an annual technical visit, and route every scheme amendment through the Organization's process. The Organization's accreditation of the Neutral Keel roster and the use of its distribution channel for the Bulletin give the Accord its technical legitimacy without giving any external body a governing vote. The Organization also conducts the final technical certification of the corridor system's safety under Article 12.4, and that certification gates the full reopening of the system.</w:t>
      </w:r>
    </w:p>
    <w:p w14:paraId="70F8F370" w14:textId="77777777" w:rsidR="00DA7972" w:rsidRDefault="00000000">
      <w:pPr>
        <w:pStyle w:val="Heading3"/>
      </w:pPr>
      <w:r>
        <w:rPr>
          <w:rFonts w:eastAsia="Calibri" w:cs="Calibri"/>
          <w:szCs w:val="22"/>
        </w:rPr>
        <w:t>19.6 No external command</w:t>
      </w:r>
    </w:p>
    <w:p w14:paraId="199FF152" w14:textId="77777777" w:rsidR="00DA7972" w:rsidRDefault="00000000">
      <w:r>
        <w:rPr>
          <w:rFonts w:eastAsia="Georgia" w:cs="Georgia"/>
          <w:szCs w:val="21"/>
        </w:rPr>
        <w:t>No external state or body commands any element of the Accord. External participation occurs through the interfaces this Article defines, and the architecture routes every external request through the Council under the decision rules of Article 20. This rule guards Red Line RL-14.</w:t>
      </w:r>
    </w:p>
    <w:p w14:paraId="27F9A457" w14:textId="77777777" w:rsidR="00DA7972" w:rsidRDefault="00000000">
      <w:pPr>
        <w:pStyle w:val="Heading3"/>
      </w:pPr>
      <w:r>
        <w:rPr>
          <w:rFonts w:eastAsia="Calibri" w:cs="Calibri"/>
          <w:szCs w:val="22"/>
        </w:rPr>
        <w:t>19.7 Non-participation</w:t>
      </w:r>
    </w:p>
    <w:p w14:paraId="2F22775F" w14:textId="77777777" w:rsidR="00DA7972" w:rsidRDefault="00000000">
      <w:r>
        <w:rPr>
          <w:rFonts w:eastAsia="Georgia" w:cs="Georgia"/>
          <w:szCs w:val="21"/>
        </w:rPr>
        <w:t xml:space="preserve">A littoral state that does not participate in this Accord retains every right it holds under international law, and this Accord neither diminishes nor conditions those rights. Within the </w:t>
      </w:r>
      <w:r>
        <w:rPr>
          <w:rFonts w:eastAsia="Georgia" w:cs="Georgia"/>
          <w:szCs w:val="21"/>
        </w:rPr>
        <w:lastRenderedPageBreak/>
        <w:t>Governance Area, the Accord stands as the sole multilateral governance system for the Strait, and no state establishes or operates a parallel governance mechanism over the same waters. A non-participating state receives the public tier of the Bulletin and the open record like every other reader, and the accession path of Article 38 remains open to it without time limit.</w:t>
      </w:r>
    </w:p>
    <w:p w14:paraId="584A4237" w14:textId="77777777" w:rsidR="00DA7972" w:rsidRDefault="00000000">
      <w:pPr>
        <w:pStyle w:val="Heading2"/>
      </w:pPr>
      <w:bookmarkStart w:id="26" w:name="_Toc236229907"/>
      <w:r>
        <w:rPr>
          <w:rFonts w:eastAsia="Calibri" w:cs="Calibri"/>
          <w:szCs w:val="26"/>
        </w:rPr>
        <w:t>Article 19A: Security Assurance of the Endorsing Stakeholder</w:t>
      </w:r>
      <w:bookmarkEnd w:id="26"/>
    </w:p>
    <w:p w14:paraId="33DB157E" w14:textId="77777777" w:rsidR="00DA7972" w:rsidRDefault="00000000">
      <w:pPr>
        <w:pStyle w:val="Heading3"/>
      </w:pPr>
      <w:r>
        <w:rPr>
          <w:rFonts w:eastAsia="Calibri" w:cs="Calibri"/>
          <w:szCs w:val="22"/>
        </w:rPr>
        <w:t>19A.1 The standing assurance</w:t>
      </w:r>
    </w:p>
    <w:p w14:paraId="76D4509F" w14:textId="77777777" w:rsidR="00DA7972" w:rsidRDefault="00000000">
      <w:r>
        <w:rPr>
          <w:rFonts w:eastAsia="Georgia" w:cs="Georgia"/>
          <w:szCs w:val="21"/>
        </w:rPr>
        <w:t>The United States of America, as Endorsing Stakeholder, provides a standing security assurance to the corridor system. The assurance carries two undertakings of the United States: it defends the integrity of the three corridors against external aggression through its existing naval presence in the Gulf, and it consults with the Stillwater Council before any kinetic action inside the Governance Area, except in response to an immediate threat to United States forces or allied forces under the inherent right of self-defense.</w:t>
      </w:r>
    </w:p>
    <w:p w14:paraId="4A25D966" w14:textId="77777777" w:rsidR="00DA7972" w:rsidRDefault="00000000">
      <w:pPr>
        <w:pStyle w:val="Heading3"/>
      </w:pPr>
      <w:r>
        <w:rPr>
          <w:rFonts w:eastAsia="Calibri" w:cs="Calibri"/>
          <w:szCs w:val="22"/>
        </w:rPr>
        <w:t>19A.2 The non-veto character</w:t>
      </w:r>
    </w:p>
    <w:p w14:paraId="2911FECA" w14:textId="77777777" w:rsidR="00DA7972" w:rsidRDefault="00000000">
      <w:r>
        <w:rPr>
          <w:rFonts w:eastAsia="Georgia" w:cs="Georgia"/>
          <w:szCs w:val="21"/>
        </w:rPr>
        <w:t>The assurance is non-veto: it gives the United States no command over the Accord or any of its organs, no vote, and no enforcement role within the architecture, consistent with Articles 19.2 and 19.6. Accord assets, data, and channels never support any kinetic action under the assurance, per Article 27.9.</w:t>
      </w:r>
    </w:p>
    <w:p w14:paraId="326851F7" w14:textId="77777777" w:rsidR="00DA7972" w:rsidRDefault="00000000">
      <w:pPr>
        <w:pStyle w:val="Heading3"/>
      </w:pPr>
      <w:r>
        <w:rPr>
          <w:rFonts w:eastAsia="Calibri" w:cs="Calibri"/>
          <w:szCs w:val="22"/>
        </w:rPr>
        <w:t>19A.3 Permanence and deposit</w:t>
      </w:r>
    </w:p>
    <w:p w14:paraId="671D4E9D" w14:textId="77777777" w:rsidR="00DA7972" w:rsidRDefault="00000000">
      <w:r>
        <w:rPr>
          <w:rFonts w:eastAsia="Georgia" w:cs="Georgia"/>
          <w:szCs w:val="21"/>
        </w:rPr>
        <w:t>The assurance is permanent and continues without expiry under the Nofade Guarantee of Article 4. The United States deposits its assurance instrument with the depositary, in the form of Annex M, and the Stillwater Council records the deposit in the registry.</w:t>
      </w:r>
    </w:p>
    <w:p w14:paraId="6A5DCDBA" w14:textId="77777777" w:rsidR="00DA7972" w:rsidRDefault="00000000">
      <w:pPr>
        <w:pStyle w:val="Heading2"/>
      </w:pPr>
      <w:bookmarkStart w:id="27" w:name="_Toc236229908"/>
      <w:r>
        <w:rPr>
          <w:rFonts w:eastAsia="Calibri" w:cs="Calibri"/>
          <w:szCs w:val="26"/>
        </w:rPr>
        <w:t>Article 20: Decision Rules</w:t>
      </w:r>
      <w:bookmarkEnd w:id="27"/>
    </w:p>
    <w:p w14:paraId="2BAA399B" w14:textId="77777777" w:rsidR="00DA7972" w:rsidRDefault="00000000">
      <w:pPr>
        <w:pStyle w:val="Heading3"/>
      </w:pPr>
      <w:r>
        <w:rPr>
          <w:rFonts w:eastAsia="Calibri" w:cs="Calibri"/>
          <w:szCs w:val="22"/>
        </w:rPr>
        <w:t>20.1 The three tracks</w:t>
      </w:r>
    </w:p>
    <w:p w14:paraId="3C70AB67" w14:textId="77777777" w:rsidR="00DA7972" w:rsidRDefault="00000000">
      <w:r>
        <w:rPr>
          <w:rFonts w:eastAsia="Georgia" w:cs="Georgia"/>
          <w:szCs w:val="21"/>
        </w:rPr>
        <w:t>Council decisions follow three tracks. Political questions, including amendments, scope changes, budgets, accession, and spillover certification, follow Article 20.3. Corridor-operative questions touching the core bargain follow the Twin Key Rule of Article 20.2. Technical determinations, including confirmation of a Neutral Keel finding, data fidelity, measurement questions, and claim confirmation levels, follow Article 20.5. A classification question under Article 31 never counts as technical for the purpose of this rule.</w:t>
      </w:r>
    </w:p>
    <w:p w14:paraId="496C5BD2" w14:textId="77777777" w:rsidR="00DA7972" w:rsidRDefault="00000000">
      <w:pPr>
        <w:pStyle w:val="Heading3"/>
      </w:pPr>
      <w:r>
        <w:rPr>
          <w:rFonts w:eastAsia="Calibri" w:cs="Calibri"/>
          <w:szCs w:val="22"/>
        </w:rPr>
        <w:t>20.2 The Twin Key Rule</w:t>
      </w:r>
    </w:p>
    <w:p w14:paraId="5D0B531D" w14:textId="77777777" w:rsidR="00DA7972" w:rsidRDefault="00000000">
      <w:r>
        <w:rPr>
          <w:rFonts w:eastAsia="Georgia" w:cs="Georgia"/>
          <w:szCs w:val="21"/>
        </w:rPr>
        <w:t xml:space="preserve">Decisions on corridor geometry, flow-state doctrine, the Verified Services Catalog, the budget, and any measure that touches a Red Line carry two keys: the affirmative vote of at least one Iranian member and the affirmative vote of at least one Omani member. No such decision passes on a single key, and no such decision binds only one Party. The Council records every Twin Key decision in a paired-minute format: each minute states the decision, the Perimeter Test, the </w:t>
      </w:r>
      <w:r>
        <w:rPr>
          <w:rFonts w:eastAsia="Georgia" w:cs="Georgia"/>
          <w:szCs w:val="21"/>
        </w:rPr>
        <w:lastRenderedPageBreak/>
        <w:t>dissent if any, and the two keys. A matter that fails the Twin Key Rule twice moves to the facilitation tier of Article 35.2 with the votes recorded.</w:t>
      </w:r>
    </w:p>
    <w:p w14:paraId="168078D9" w14:textId="77777777" w:rsidR="00DA7972" w:rsidRDefault="00000000">
      <w:pPr>
        <w:pStyle w:val="Heading3"/>
      </w:pPr>
      <w:r>
        <w:rPr>
          <w:rFonts w:eastAsia="Calibri" w:cs="Calibri"/>
          <w:szCs w:val="22"/>
        </w:rPr>
        <w:t>20.3 Consensus and Consensus Minus One</w:t>
      </w:r>
    </w:p>
    <w:p w14:paraId="59A8D33B" w14:textId="77777777" w:rsidR="00DA7972" w:rsidRDefault="00000000">
      <w:r>
        <w:rPr>
          <w:rFonts w:eastAsia="Georgia" w:cs="Georgia"/>
          <w:szCs w:val="21"/>
        </w:rPr>
        <w:t>Political questions pass by consensus of the Littoral Parties. Where a decision concerns the conduct of one Party, that Party's vote stands aside and the remaining voting members decide by consensus; where consensus minus one fails, the matter moves automatically to the Guarantor and Facilitation Panel for final political judgment within 7 days. The rule prevents a Party from blocking a finding about its own conduct through procedural obstruction, while preserving full political consensus for questions of general application.</w:t>
      </w:r>
    </w:p>
    <w:p w14:paraId="3CBC5354" w14:textId="77777777" w:rsidR="00DA7972" w:rsidRDefault="00000000">
      <w:pPr>
        <w:pStyle w:val="Heading3"/>
      </w:pPr>
      <w:r>
        <w:rPr>
          <w:rFonts w:eastAsia="Calibri" w:cs="Calibri"/>
          <w:szCs w:val="22"/>
        </w:rPr>
        <w:t>20.4 Default continuity</w:t>
      </w:r>
    </w:p>
    <w:p w14:paraId="1FD58FA4" w14:textId="77777777" w:rsidR="00DA7972" w:rsidRDefault="00000000">
      <w:r>
        <w:rPr>
          <w:rFonts w:eastAsia="Georgia" w:cs="Georgia"/>
          <w:szCs w:val="21"/>
        </w:rPr>
        <w:t>Where a decision stalls, the standing procedures of this Accord and its Annexes govern by default, per the Nofade Guarantee: the previous budget runs, the previous rate runs, the existing annex text runs. No deadlock suspends, degrades, or re-prices any operation of the corridor system.</w:t>
      </w:r>
    </w:p>
    <w:p w14:paraId="5EF43D0D" w14:textId="77777777" w:rsidR="00DA7972" w:rsidRDefault="00000000">
      <w:pPr>
        <w:pStyle w:val="Heading3"/>
      </w:pPr>
      <w:r>
        <w:rPr>
          <w:rFonts w:eastAsia="Calibri" w:cs="Calibri"/>
          <w:szCs w:val="22"/>
        </w:rPr>
        <w:t>20.5 Technical determinations and the silence procedure</w:t>
      </w:r>
    </w:p>
    <w:p w14:paraId="5AD6F795" w14:textId="77777777" w:rsidR="00DA7972" w:rsidRDefault="00000000">
      <w:r>
        <w:rPr>
          <w:rFonts w:eastAsia="Georgia" w:cs="Georgia"/>
          <w:szCs w:val="21"/>
        </w:rPr>
        <w:t>Technical determinations rest on evidence under the Convergence Standard, not on votes. Where the Council acts on a routine technical annex adjustment, the Mediator of Record circulates the text and it stands adopted 30 days after circulation absent a written objection from any Littoral Party. The silence procedure keeps routine technical maintenance free of negotiation drama, and the record publishes every adoption.</w:t>
      </w:r>
    </w:p>
    <w:tbl>
      <w:tblPr>
        <w:tblW w:w="5000" w:type="pct"/>
        <w:tblInd w:w="200" w:type="dxa"/>
        <w:tblBorders>
          <w:top w:val="single" w:sz="2" w:space="0" w:color="B0BEC5"/>
          <w:left w:val="single" w:sz="18" w:space="0" w:color="37474F"/>
          <w:bottom w:val="single" w:sz="2" w:space="0" w:color="B0BEC5"/>
          <w:right w:val="single" w:sz="2" w:space="0" w:color="B0BEC5"/>
        </w:tblBorders>
        <w:tblCellMar>
          <w:top w:w="140" w:type="dxa"/>
          <w:left w:w="200" w:type="dxa"/>
          <w:bottom w:w="140" w:type="dxa"/>
          <w:right w:w="160" w:type="dxa"/>
        </w:tblCellMar>
        <w:tblLook w:val="04A0" w:firstRow="1" w:lastRow="0" w:firstColumn="1" w:lastColumn="0" w:noHBand="0" w:noVBand="1"/>
      </w:tblPr>
      <w:tblGrid>
        <w:gridCol w:w="9386"/>
      </w:tblGrid>
      <w:tr w:rsidR="00DA7972" w14:paraId="03C3D5FD" w14:textId="77777777">
        <w:tc>
          <w:tcPr>
            <w:tcW w:w="9010" w:type="dxa"/>
            <w:shd w:val="clear" w:color="auto" w:fill="ECEFF1"/>
          </w:tcPr>
          <w:p w14:paraId="03E5037F" w14:textId="77777777" w:rsidR="00DA7972" w:rsidRDefault="00000000">
            <w:pPr>
              <w:spacing w:after="0"/>
            </w:pPr>
            <w:r>
              <w:rPr>
                <w:rFonts w:eastAsia="Georgia" w:cs="Georgia"/>
                <w:i/>
                <w:szCs w:val="21"/>
              </w:rPr>
              <w:t>Design rationale for the institutional architecture. The Parties distribute functions across the Council, the Center, the Neutral Keel Office, the Technical Committee, the Guarantor Panel, and the Independent Assurance Council because concentrated maritime authority has historically failed in two ways: capture by the strongest participant, and paralysis when that participant walks away. Separation of governance, operations, verification, and assurance denies any single actor both the pen and the sword, and the mirror facility plus the continuity doctrine of Article 42 deny any actor the power to stop the system by leaving the room.</w:t>
            </w:r>
          </w:p>
        </w:tc>
      </w:tr>
    </w:tbl>
    <w:p w14:paraId="0AF4FCE4" w14:textId="77777777" w:rsidR="00DA7972" w:rsidRDefault="00000000">
      <w:pPr>
        <w:pStyle w:val="Heading1"/>
      </w:pPr>
      <w:bookmarkStart w:id="28" w:name="_Toc236229909"/>
      <w:r>
        <w:rPr>
          <w:rFonts w:eastAsia="Calibri" w:cs="Calibri"/>
          <w:szCs w:val="32"/>
        </w:rPr>
        <w:lastRenderedPageBreak/>
        <w:t>Part IV: The Financial Architecture: The Settlement of the Toll Question</w:t>
      </w:r>
      <w:bookmarkEnd w:id="28"/>
    </w:p>
    <w:p w14:paraId="73967038" w14:textId="77777777" w:rsidR="00DA7972" w:rsidRDefault="00000000">
      <w:pPr>
        <w:pStyle w:val="Heading2"/>
      </w:pPr>
      <w:bookmarkStart w:id="29" w:name="_Toc236229910"/>
      <w:r>
        <w:rPr>
          <w:rFonts w:eastAsia="Calibri" w:cs="Calibri"/>
          <w:szCs w:val="26"/>
        </w:rPr>
        <w:t>Article 21: The Zero-Toll Rule</w:t>
      </w:r>
      <w:bookmarkEnd w:id="29"/>
    </w:p>
    <w:p w14:paraId="6D5C19CA" w14:textId="77777777" w:rsidR="00DA7972" w:rsidRDefault="00000000">
      <w:pPr>
        <w:pBdr>
          <w:left w:val="single" w:sz="8" w:space="6" w:color="B0BEC5"/>
        </w:pBdr>
        <w:spacing w:before="40"/>
        <w:ind w:left="360"/>
      </w:pPr>
      <w:r>
        <w:rPr>
          <w:rFonts w:ascii="Calibri" w:eastAsia="Calibri" w:hAnsi="Calibri" w:cs="Calibri"/>
          <w:i/>
          <w:color w:val="78909C"/>
          <w:sz w:val="18"/>
          <w:szCs w:val="18"/>
        </w:rPr>
        <w:t>See also Articles 22 and 25.5, and Annex C.</w:t>
      </w:r>
    </w:p>
    <w:p w14:paraId="0156478F" w14:textId="77777777" w:rsidR="00DA7972" w:rsidRDefault="00000000">
      <w:pPr>
        <w:pStyle w:val="Heading3"/>
      </w:pPr>
      <w:r>
        <w:rPr>
          <w:rFonts w:eastAsia="Calibri" w:cs="Calibri"/>
          <w:szCs w:val="22"/>
        </w:rPr>
        <w:t>21.1 The rule</w:t>
      </w:r>
    </w:p>
    <w:p w14:paraId="6603DF16" w14:textId="77777777" w:rsidR="00DA7972" w:rsidRDefault="00000000">
      <w:r>
        <w:rPr>
          <w:rFonts w:eastAsia="Georgia" w:cs="Georgia"/>
          <w:szCs w:val="21"/>
        </w:rPr>
        <w:t>No charge of any kind attaches to the act of transit through the Strait of Hormuz, in any corridor, for any vessel, of any class, under any circumstances. Transit is free. The architecture defines the following measures as tolls regardless of their label, and excludes each of them absolutely: passage fees; transit charges; strait dues; per-ton or per-vessel charges on navigation; fee payments as a condition of entry, acknowledgment, scheduling, escort, or bulletin access; charges denominated as insurance, security, or environmental levies computed on transit rather than on a documented service; and mandatory insurance purchase from a designated provider as a condition of transit.</w:t>
      </w:r>
    </w:p>
    <w:p w14:paraId="3D923A4B" w14:textId="77777777" w:rsidR="00DA7972" w:rsidRDefault="00000000">
      <w:pPr>
        <w:pStyle w:val="Heading3"/>
      </w:pPr>
      <w:r>
        <w:rPr>
          <w:rFonts w:eastAsia="Calibri" w:cs="Calibri"/>
          <w:szCs w:val="22"/>
        </w:rPr>
        <w:t>21.2 Mandatory insurance excluded</w:t>
      </w:r>
    </w:p>
    <w:p w14:paraId="2DD31262" w14:textId="77777777" w:rsidR="00DA7972" w:rsidRDefault="00000000">
      <w:r>
        <w:rPr>
          <w:rFonts w:eastAsia="Georgia" w:cs="Georgia"/>
          <w:szCs w:val="21"/>
        </w:rPr>
        <w:t>The architecture excludes mandatory purchase of insurance from any designated provider as a condition of transit. Each vessel carries the insurance its flag state and its protection and indemnity club require, and the Assurance Registry recognizes every internationally established club and every commercial war-risk underwriter on equal terms.</w:t>
      </w:r>
    </w:p>
    <w:p w14:paraId="157509DA" w14:textId="77777777" w:rsidR="00DA7972" w:rsidRDefault="00000000">
      <w:pPr>
        <w:pStyle w:val="Heading3"/>
      </w:pPr>
      <w:r>
        <w:rPr>
          <w:rFonts w:eastAsia="Calibri" w:cs="Calibri"/>
          <w:szCs w:val="22"/>
        </w:rPr>
        <w:t>21.3 Scope</w:t>
      </w:r>
    </w:p>
    <w:p w14:paraId="4607B847" w14:textId="77777777" w:rsidR="00DA7972" w:rsidRDefault="00000000">
      <w:r>
        <w:rPr>
          <w:rFonts w:eastAsia="Georgia" w:cs="Georgia"/>
          <w:szCs w:val="21"/>
        </w:rPr>
        <w:t>The Zero-Toll Rule covers every channel of the Governance Area, every lane, every anchorage, and every approach within the boundary coordinates of Article 7.2. The rule admits no exception for vessel class, flag, ownership, cargo origin or destination, crew nationality, insurer, or any other characteristic. The rule stands permanently under the Nofade Guarantee, Article 4.5.</w:t>
      </w:r>
    </w:p>
    <w:p w14:paraId="31354B98" w14:textId="77777777" w:rsidR="00DA7972" w:rsidRDefault="00000000">
      <w:pPr>
        <w:pStyle w:val="Heading3"/>
      </w:pPr>
      <w:r>
        <w:rPr>
          <w:rFonts w:eastAsia="Calibri" w:cs="Calibri"/>
          <w:szCs w:val="22"/>
        </w:rPr>
        <w:t>21.4 The service-fee distinction reaffirmed</w:t>
      </w:r>
    </w:p>
    <w:p w14:paraId="64A1CADA" w14:textId="77777777" w:rsidR="00DA7972" w:rsidRDefault="00000000">
      <w:r>
        <w:rPr>
          <w:rFonts w:eastAsia="Georgia" w:cs="Georgia"/>
          <w:szCs w:val="21"/>
        </w:rPr>
        <w:t>Article 2.3's distinction governs all charging inside the Governance Area. A charge touches passage when its amount, timing, or conditionality attaches to the vessel's movement through the Strait; such a charge is a toll and the architecture excludes it. A charge attaches to a service when it follows a documented delivery, at a pre-published rate, auditable against a record; such a charge flows exclusively through the Transit Services Fund under Article 22. No Party, organ, or contractor collects any payment directly from any vessel, operator, or shipper for anything connected with the Governance Area.</w:t>
      </w:r>
    </w:p>
    <w:p w14:paraId="2DEFF5B9" w14:textId="77777777" w:rsidR="00DA7972" w:rsidRDefault="00000000">
      <w:pPr>
        <w:pStyle w:val="Heading3"/>
      </w:pPr>
      <w:r>
        <w:rPr>
          <w:rFonts w:eastAsia="Calibri" w:cs="Calibri"/>
          <w:szCs w:val="22"/>
        </w:rPr>
        <w:t>21.5 What the Fund pays for instead</w:t>
      </w:r>
    </w:p>
    <w:p w14:paraId="69B27C97" w14:textId="77777777" w:rsidR="00DA7972" w:rsidRDefault="00000000">
      <w:r>
        <w:rPr>
          <w:rFonts w:eastAsia="Georgia" w:cs="Georgia"/>
          <w:szCs w:val="21"/>
        </w:rPr>
        <w:t xml:space="preserve">The Parties finance the operating costs of the corridor system, including vessel traffic service operation, aids to navigation, hydrographic survey, search and rescue readiness, escort coordination, environmental standby, and the Accord's institutions, collectively through the Transit Services Fund. The Parties treat these costs as the shared cost of a shared waterway, not </w:t>
      </w:r>
      <w:r>
        <w:rPr>
          <w:rFonts w:eastAsia="Georgia" w:cs="Georgia"/>
          <w:szCs w:val="21"/>
        </w:rPr>
        <w:lastRenderedPageBreak/>
        <w:t>as charges on the ships that use it. The Fund's resources originate in endowment contributions, access contributions, and optional data-service subscriptions, per Article 22, and every inflow and outflow stands auditable and published under Article 25.</w:t>
      </w:r>
    </w:p>
    <w:p w14:paraId="7F62AA82" w14:textId="77777777" w:rsidR="00DA7972" w:rsidRDefault="00000000">
      <w:pPr>
        <w:pStyle w:val="Heading3"/>
      </w:pPr>
      <w:r>
        <w:rPr>
          <w:rFonts w:eastAsia="Calibri" w:cs="Calibri"/>
          <w:szCs w:val="22"/>
        </w:rPr>
        <w:t>21.6 Domestic law reconciliation</w:t>
      </w:r>
    </w:p>
    <w:p w14:paraId="07342E86" w14:textId="77777777" w:rsidR="00DA7972" w:rsidRDefault="00000000">
      <w:r>
        <w:rPr>
          <w:rFonts w:eastAsia="Georgia" w:cs="Georgia"/>
          <w:szCs w:val="21"/>
        </w:rPr>
        <w:t>Where a Party's domestic law enacts or advances a fee measure touching the Strait, that Party's obligations under this Accord govern its conduct within the Governance Area: no collection occurs, no condition attaches, and the Meridian Operations Center continues to acknowledge notifications and operate traffic without reference to the domestic measure. The Party routes the domestic measure to the facilitation tier of Article 35.2 for reconciliation within 90 days, and the Independent Assurance Council notes the reconciliation status in its public reporting. The architecture thereby absorbs legislative friction without touching the water.</w:t>
      </w:r>
    </w:p>
    <w:p w14:paraId="77E9705E" w14:textId="77777777" w:rsidR="00DA7972" w:rsidRDefault="00000000">
      <w:pPr>
        <w:pStyle w:val="Heading2"/>
      </w:pPr>
      <w:bookmarkStart w:id="30" w:name="_Toc236229911"/>
      <w:r>
        <w:rPr>
          <w:rFonts w:eastAsia="Calibri" w:cs="Calibri"/>
          <w:szCs w:val="26"/>
        </w:rPr>
        <w:t>Article 21A: The Fee Mechanism: The Maritime Service Reimbursement Agreement</w:t>
      </w:r>
      <w:bookmarkEnd w:id="30"/>
    </w:p>
    <w:p w14:paraId="5188AE00" w14:textId="77777777" w:rsidR="00DA7972" w:rsidRDefault="00000000">
      <w:pPr>
        <w:pStyle w:val="Heading3"/>
      </w:pPr>
      <w:r>
        <w:rPr>
          <w:rFonts w:eastAsia="Calibri" w:cs="Calibri"/>
          <w:szCs w:val="22"/>
        </w:rPr>
        <w:t>21A.1 The reimbursement model</w:t>
      </w:r>
    </w:p>
    <w:p w14:paraId="0388068D" w14:textId="77777777" w:rsidR="00DA7972" w:rsidRDefault="00000000">
      <w:r>
        <w:rPr>
          <w:rFonts w:eastAsia="Georgia" w:cs="Georgia"/>
          <w:szCs w:val="21"/>
        </w:rPr>
        <w:t>The Zero-Toll Rule of Article 21 stands absolute and untouched, and the Parties conclude the Maritime Service Reimbursement Agreement alongside it as the first fee mechanism of the Accord. The Verified Services Catalog of Article 23 expands to cover every standard maritime service delivered in the Governance Area: vessel traffic service operation, pilotage advisory, escorted window coordination, hydrographic survey, aids to navigation maintenance, search and rescue standby, pollution response standby, and tug availability.</w:t>
      </w:r>
    </w:p>
    <w:p w14:paraId="14700CD1" w14:textId="77777777" w:rsidR="00DA7972" w:rsidRDefault="00000000">
      <w:pPr>
        <w:pStyle w:val="Heading3"/>
      </w:pPr>
      <w:r>
        <w:rPr>
          <w:rFonts w:eastAsia="Calibri" w:cs="Calibri"/>
          <w:szCs w:val="22"/>
        </w:rPr>
        <w:t>21A.2 Compensation on delivery</w:t>
      </w:r>
    </w:p>
    <w:p w14:paraId="29A86D3E" w14:textId="77777777" w:rsidR="00DA7972" w:rsidRDefault="00000000">
      <w:r>
        <w:rPr>
          <w:rFonts w:eastAsia="Georgia" w:cs="Georgia"/>
          <w:szCs w:val="21"/>
        </w:rPr>
        <w:t>The Fund compensates each delivering state for its actual provision of services to all transiting vessels, against the verified service record of Article 23.2 and at the pre-published rate card. Compensation follows delivery, never passage: a vessel transits free of charge in every corridor, and the delivering state receives audited reimbursement from the Fund for the services the corridor system consumes. The architecture thereby gives every coastal state documented, direct compensation for real work while the Strait remains toll-free in law and in market fact.</w:t>
      </w:r>
    </w:p>
    <w:p w14:paraId="3D73A9A8" w14:textId="77777777" w:rsidR="00DA7972" w:rsidRDefault="00000000">
      <w:pPr>
        <w:pStyle w:val="Heading3"/>
      </w:pPr>
      <w:r>
        <w:rPr>
          <w:rFonts w:eastAsia="Calibri" w:cs="Calibri"/>
          <w:szCs w:val="22"/>
        </w:rPr>
        <w:t>21A.3 The record standard</w:t>
      </w:r>
    </w:p>
    <w:p w14:paraId="19406C79" w14:textId="77777777" w:rsidR="00DA7972" w:rsidRDefault="00000000">
      <w:r>
        <w:rPr>
          <w:rFonts w:eastAsia="Georgia" w:cs="Georgia"/>
          <w:szCs w:val="21"/>
        </w:rPr>
        <w:t>Self-declaration earns nothing. Every reimbursement traces to a countersigned service record visible to the Neutral Keel Office's quarterly cross-check, per Article 23.2. The reimbursement model converts the fee question into an accounting routine: services carry records, records carry rates, and passage carries nothing.</w:t>
      </w:r>
    </w:p>
    <w:p w14:paraId="578E1AA6" w14:textId="77777777" w:rsidR="00DA7972" w:rsidRDefault="00000000">
      <w:pPr>
        <w:pStyle w:val="Heading2"/>
      </w:pPr>
      <w:bookmarkStart w:id="31" w:name="_Toc236229912"/>
      <w:r>
        <w:rPr>
          <w:rFonts w:eastAsia="Calibri" w:cs="Calibri"/>
          <w:szCs w:val="26"/>
        </w:rPr>
        <w:t>Article 21B: The Fee Mechanism: The Strait Sustainability Levy</w:t>
      </w:r>
      <w:bookmarkEnd w:id="31"/>
    </w:p>
    <w:p w14:paraId="01A13118" w14:textId="77777777" w:rsidR="00DA7972" w:rsidRDefault="00000000">
      <w:pPr>
        <w:pStyle w:val="Heading3"/>
      </w:pPr>
      <w:r>
        <w:rPr>
          <w:rFonts w:eastAsia="Calibri" w:cs="Calibri"/>
          <w:szCs w:val="22"/>
        </w:rPr>
        <w:t>21B.1 The user contribution model</w:t>
      </w:r>
    </w:p>
    <w:p w14:paraId="1FE51094" w14:textId="77777777" w:rsidR="00DA7972" w:rsidRDefault="00000000">
      <w:r>
        <w:rPr>
          <w:rFonts w:eastAsia="Georgia" w:cs="Georgia"/>
          <w:szCs w:val="21"/>
        </w:rPr>
        <w:t xml:space="preserve">The Fund establishes the Strait Sustainability Levy as the second fee mechanism of the Accord. The Levy operates as a voluntary, suggested contribution that the shipping industry pays through </w:t>
      </w:r>
      <w:r>
        <w:rPr>
          <w:rFonts w:eastAsia="Georgia" w:cs="Georgia"/>
          <w:szCs w:val="21"/>
        </w:rPr>
        <w:lastRenderedPageBreak/>
        <w:t>the Stakeholder Panel of Article 19.4 into a dedicated sustainability account of the Fund. No vessel, operator, or flag state faces any condition, consequence, or differential treatment for declining: an operator that never contributes transits on terms identical to an operator that contributes every quarter.</w:t>
      </w:r>
    </w:p>
    <w:p w14:paraId="31B9D3B6" w14:textId="77777777" w:rsidR="00DA7972" w:rsidRDefault="00000000">
      <w:pPr>
        <w:pStyle w:val="Heading3"/>
      </w:pPr>
      <w:r>
        <w:rPr>
          <w:rFonts w:eastAsia="Calibri" w:cs="Calibri"/>
          <w:szCs w:val="22"/>
        </w:rPr>
        <w:t>21B.2 Standing recognition</w:t>
      </w:r>
    </w:p>
    <w:p w14:paraId="40FBB935" w14:textId="77777777" w:rsidR="00DA7972" w:rsidRDefault="00000000">
      <w:r>
        <w:rPr>
          <w:rFonts w:eastAsia="Georgia" w:cs="Georgia"/>
          <w:szCs w:val="21"/>
        </w:rPr>
        <w:t>A state gains a higher standing in the Reciprocity Ledger of Article 33 for encouraging its operators to contribute, and the Ledger publishes the contribution record alongside the service record. The Levy thereby operates on industry reputation and state performance rather than on legal compulsion: the market reads the contributor list, and standing carries the discretionary benefits of Article 33.2.</w:t>
      </w:r>
    </w:p>
    <w:p w14:paraId="13FCFE69" w14:textId="77777777" w:rsidR="00DA7972" w:rsidRDefault="00000000">
      <w:pPr>
        <w:pStyle w:val="Heading3"/>
      </w:pPr>
      <w:r>
        <w:rPr>
          <w:rFonts w:eastAsia="Calibri" w:cs="Calibri"/>
          <w:szCs w:val="22"/>
        </w:rPr>
        <w:t>21B.3 The voluntary floor</w:t>
      </w:r>
    </w:p>
    <w:p w14:paraId="6BB8BD56" w14:textId="77777777" w:rsidR="00DA7972" w:rsidRDefault="00000000">
      <w:r>
        <w:rPr>
          <w:rFonts w:eastAsia="Georgia" w:cs="Georgia"/>
          <w:szCs w:val="21"/>
        </w:rPr>
        <w:t>The Levy never attaches to the act of transit. The suggested scale publishes with the annual budget, contributions invoice through flag administrations or operator associations on a quarterly cycle, and Article 25.5 classifies any conversion of the Levy into a mandatory charge as an Architectural Breach.</w:t>
      </w:r>
    </w:p>
    <w:p w14:paraId="2944791D" w14:textId="77777777" w:rsidR="00DA7972" w:rsidRDefault="00000000">
      <w:pPr>
        <w:pStyle w:val="Heading3"/>
      </w:pPr>
      <w:r>
        <w:rPr>
          <w:rFonts w:eastAsia="Calibri" w:cs="Calibri"/>
          <w:szCs w:val="22"/>
        </w:rPr>
        <w:t>21B.4 Voluntary character and permanence</w:t>
      </w:r>
    </w:p>
    <w:p w14:paraId="42E72487" w14:textId="77777777" w:rsidR="00DA7972" w:rsidRDefault="00000000">
      <w:r>
        <w:rPr>
          <w:rFonts w:eastAsia="Georgia" w:cs="Georgia"/>
          <w:szCs w:val="21"/>
        </w:rPr>
        <w:t>The Levy operates as a market signal, never as a legal obligation, and this voluntary character governs every reading of the present Article: no organ of the Accord treats a contribution, or the absence of one, as a condition of passage, a duty, or a ground for differential treatment of any vessel, operator, or flag state. The Fund publishes a quarterly contributor list alongside the annual budget. The voluntary floor of the Levy is permanent and continues without expiry under the Nofade Guarantee of Article 4.</w:t>
      </w:r>
    </w:p>
    <w:p w14:paraId="38712476" w14:textId="77777777" w:rsidR="00DA7972" w:rsidRDefault="00000000">
      <w:pPr>
        <w:pStyle w:val="Heading2"/>
      </w:pPr>
      <w:bookmarkStart w:id="32" w:name="_Toc236229913"/>
      <w:r>
        <w:rPr>
          <w:rFonts w:eastAsia="Calibri" w:cs="Calibri"/>
          <w:szCs w:val="26"/>
        </w:rPr>
        <w:t>Article 21C: The Fee Mechanism: The Security and Environmental Premium Adjustment</w:t>
      </w:r>
      <w:bookmarkEnd w:id="32"/>
    </w:p>
    <w:p w14:paraId="67909F67" w14:textId="77777777" w:rsidR="00DA7972" w:rsidRDefault="00000000">
      <w:pPr>
        <w:pStyle w:val="Heading3"/>
      </w:pPr>
      <w:r>
        <w:rPr>
          <w:rFonts w:eastAsia="Calibri" w:cs="Calibri"/>
          <w:szCs w:val="22"/>
        </w:rPr>
        <w:t>21C.1 The volume-adjusted premium model</w:t>
      </w:r>
    </w:p>
    <w:p w14:paraId="324018C5" w14:textId="77777777" w:rsidR="00DA7972" w:rsidRDefault="00000000">
      <w:r>
        <w:rPr>
          <w:rFonts w:eastAsia="Georgia" w:cs="Georgia"/>
          <w:szCs w:val="21"/>
        </w:rPr>
        <w:t>The Fund establishes the Security and Environmental Premium Adjustment as the third fee mechanism of the Accord. The Council sets the Fund's annual budget under Article 25.1, and the Adjustment apportions the total cost among the participating states under the published formula of Annex C, Section C.8, which blends two factors: (a) the volume of each state's flagged vessels transiting the corridor system, and (b) each state's contribution to the Fund's endowment.</w:t>
      </w:r>
    </w:p>
    <w:p w14:paraId="60031C0D" w14:textId="77777777" w:rsidR="00DA7972" w:rsidRDefault="00000000">
      <w:pPr>
        <w:pStyle w:val="Heading3"/>
      </w:pPr>
      <w:r>
        <w:rPr>
          <w:rFonts w:eastAsia="Calibri" w:cs="Calibri"/>
          <w:szCs w:val="22"/>
        </w:rPr>
        <w:t>21C.2 The balancing effect</w:t>
      </w:r>
    </w:p>
    <w:p w14:paraId="7257FA6F" w14:textId="77777777" w:rsidR="00DA7972" w:rsidRDefault="00000000">
      <w:r>
        <w:rPr>
          <w:rFonts w:eastAsia="Georgia" w:cs="Georgia"/>
          <w:szCs w:val="21"/>
        </w:rPr>
        <w:t>The formula balances a state's contribution against the economic benefit its fleet and its trading partners draw from the Strait, so that a coastal state whose waters carry the corridors sees its endowment contribution offset by the traffic the architecture secures. The Adjustment thereby creates a needs-based, politically neutral financial architecture: cost follows use and capacity together, and no state carries a share out of proportion to the benefit it receives.</w:t>
      </w:r>
    </w:p>
    <w:p w14:paraId="342F5AC1" w14:textId="77777777" w:rsidR="00DA7972" w:rsidRDefault="00000000">
      <w:pPr>
        <w:pStyle w:val="Heading3"/>
      </w:pPr>
      <w:r>
        <w:rPr>
          <w:rFonts w:eastAsia="Calibri" w:cs="Calibri"/>
          <w:szCs w:val="22"/>
        </w:rPr>
        <w:lastRenderedPageBreak/>
        <w:t>21C.3 Publication and neutrality</w:t>
      </w:r>
    </w:p>
    <w:p w14:paraId="17B95D48" w14:textId="77777777" w:rsidR="00DA7972" w:rsidRDefault="00000000">
      <w:r>
        <w:rPr>
          <w:rFonts w:eastAsia="Georgia" w:cs="Georgia"/>
          <w:szCs w:val="21"/>
        </w:rPr>
        <w:t>The Administrator computes the apportionment annually on the audited transit statistics, publishes the formula and every state's share with the budget, and applies the default-continuity rule of Article 20.4 to any stalled adjustment. The Adjustment attaches to state participation in the Fund, never to any vessel's transit, and Article 25.5 guards that line absolutely.</w:t>
      </w:r>
    </w:p>
    <w:p w14:paraId="3D3C4B5A" w14:textId="77777777" w:rsidR="00DA7972" w:rsidRDefault="00000000">
      <w:pPr>
        <w:pStyle w:val="Heading2"/>
      </w:pPr>
      <w:bookmarkStart w:id="33" w:name="_Toc236229914"/>
      <w:r>
        <w:rPr>
          <w:rFonts w:eastAsia="Calibri" w:cs="Calibri"/>
          <w:szCs w:val="26"/>
        </w:rPr>
        <w:t>Article 22: The Transit Services Fund</w:t>
      </w:r>
      <w:bookmarkEnd w:id="33"/>
    </w:p>
    <w:p w14:paraId="4D239E60" w14:textId="77777777" w:rsidR="00DA7972" w:rsidRDefault="00000000">
      <w:pPr>
        <w:pStyle w:val="Heading3"/>
      </w:pPr>
      <w:r>
        <w:rPr>
          <w:rFonts w:eastAsia="Calibri" w:cs="Calibri"/>
          <w:szCs w:val="22"/>
        </w:rPr>
        <w:t>22.1 Establishment and legal form</w:t>
      </w:r>
    </w:p>
    <w:p w14:paraId="6A7FAB2E" w14:textId="77777777" w:rsidR="00DA7972" w:rsidRDefault="00000000">
      <w:r>
        <w:rPr>
          <w:rFonts w:eastAsia="Georgia" w:cs="Georgia"/>
          <w:szCs w:val="21"/>
        </w:rPr>
        <w:t>The Parties establish the Transit Services Fund as the single financial vehicle of the Accord. The Fund takes the legal form of a multilateral fiduciary facility administered by the Neutral Administrator under Swiss law, with its principal account in Switzerland and mirror settlement arrangements in Muscat. The Fund exists to pay for verified maritime services and Accord institutions, to reimburse the coastal states for services delivered, and to compensate economic loss where a disruption certified under this Accord closes a corridor. The Fund never pays any Party for passage, and no payment from the Fund ever travels as a condition of any vessel's transit.</w:t>
      </w:r>
    </w:p>
    <w:p w14:paraId="3ED6E98A" w14:textId="77777777" w:rsidR="00DA7972" w:rsidRDefault="00000000">
      <w:pPr>
        <w:pStyle w:val="Heading3"/>
      </w:pPr>
      <w:r>
        <w:rPr>
          <w:rFonts w:eastAsia="Calibri" w:cs="Calibri"/>
          <w:szCs w:val="22"/>
        </w:rPr>
        <w:t>22.2 Purpose and the humanitarian lock</w:t>
      </w:r>
    </w:p>
    <w:p w14:paraId="55CA2734" w14:textId="77777777" w:rsidR="00DA7972" w:rsidRDefault="00000000">
      <w:r>
        <w:rPr>
          <w:rFonts w:eastAsia="Georgia" w:cs="Georgia"/>
          <w:szCs w:val="21"/>
        </w:rPr>
        <w:t>The Fund serves five purposes, in stated order of priority: first, the costs of the Neutral Keel Office, the Meridian Operations Center, and the Independent Assurance Council, as a first call on all revenue; second, reimbursement of verified services under the Catalog of Article 23; third, readiness and standby capacity for escort, salvage, and pollution response; fourth, the compensation window of Article 22.7; fifth, capacity building for the maritime administrations of the Littoral Parties. The Fund operates under the humanitarian lock: it maintains a standing liquidity reserve equal to six months of institutional costs, and no draw, suspension, or dispute ever touches the reserve or delays a humanitarian transaction.</w:t>
      </w:r>
    </w:p>
    <w:p w14:paraId="474EC816" w14:textId="77777777" w:rsidR="00DA7972" w:rsidRDefault="00000000">
      <w:pPr>
        <w:pBdr>
          <w:left w:val="single" w:sz="8" w:space="6" w:color="B0BEC5"/>
        </w:pBdr>
        <w:spacing w:before="40"/>
        <w:ind w:left="360"/>
      </w:pPr>
      <w:r>
        <w:rPr>
          <w:rFonts w:ascii="Calibri" w:eastAsia="Calibri" w:hAnsi="Calibri" w:cs="Calibri"/>
          <w:i/>
          <w:color w:val="78909C"/>
          <w:sz w:val="18"/>
          <w:szCs w:val="18"/>
        </w:rPr>
        <w:t>See also Articles 23 and 25, and Annex C.</w:t>
      </w:r>
    </w:p>
    <w:p w14:paraId="345ED7CC" w14:textId="77777777" w:rsidR="00DA7972" w:rsidRDefault="00000000">
      <w:pPr>
        <w:pStyle w:val="Heading3"/>
      </w:pPr>
      <w:r>
        <w:rPr>
          <w:rFonts w:eastAsia="Calibri" w:cs="Calibri"/>
          <w:szCs w:val="22"/>
        </w:rPr>
        <w:t>22.3 Resources</w:t>
      </w:r>
    </w:p>
    <w:p w14:paraId="358984DA" w14:textId="77777777" w:rsidR="00DA7972" w:rsidRDefault="00000000">
      <w:r>
        <w:rPr>
          <w:rFonts w:eastAsia="Georgia" w:cs="Georgia"/>
          <w:szCs w:val="21"/>
        </w:rPr>
        <w:t>The Fund's resources originate in four channels:</w:t>
      </w:r>
    </w:p>
    <w:p w14:paraId="77BA6D91" w14:textId="77777777" w:rsidR="00DA7972" w:rsidRDefault="00000000">
      <w:pPr>
        <w:ind w:left="360"/>
      </w:pPr>
      <w:r>
        <w:rPr>
          <w:rFonts w:eastAsia="Georgia" w:cs="Georgia"/>
          <w:szCs w:val="21"/>
        </w:rPr>
        <w:t>1. Endowment contributions. The Littoral Parties and participating user states contribute to a standing endowment at accession or endorsement, per the schedule of Annex C, Section C.2. Contributions rest on a published formula blending gross tonnage of transits attributable to each participant's flag fleet and trade share, scaled so that no single contributor exceeds one third of the endowment and every Littoral Party's contribution reflects its capacity. All contributions are voluntary in law and expected in the political economy of the Accord: the Fund publishes its contributors, and the market reads the list.</w:t>
      </w:r>
    </w:p>
    <w:p w14:paraId="460A53BA" w14:textId="77777777" w:rsidR="00DA7972" w:rsidRDefault="00000000">
      <w:pPr>
        <w:ind w:left="360"/>
      </w:pPr>
      <w:r>
        <w:rPr>
          <w:rFonts w:eastAsia="Georgia" w:cs="Georgia"/>
          <w:szCs w:val="21"/>
        </w:rPr>
        <w:t>2. Access contributions for Fund-reimbursed services. Participants whose vessels consume Catalog services above the shared baseline contribute under the apportionment band of Article 23.4.</w:t>
      </w:r>
    </w:p>
    <w:p w14:paraId="153AF0BF" w14:textId="77777777" w:rsidR="00DA7972" w:rsidRDefault="00000000">
      <w:pPr>
        <w:ind w:left="360"/>
      </w:pPr>
      <w:r>
        <w:rPr>
          <w:rFonts w:eastAsia="Georgia" w:cs="Georgia"/>
          <w:szCs w:val="21"/>
        </w:rPr>
        <w:lastRenderedPageBreak/>
        <w:t>3. Data-service subscriptions. Subscribers to the premium tier of the Route Assurance Data Service pay the published subscription, per Article 24.3. Subscriptions never purchase any transit right, priority, or safety service.</w:t>
      </w:r>
    </w:p>
    <w:p w14:paraId="113291A0" w14:textId="77777777" w:rsidR="00DA7972" w:rsidRDefault="00000000">
      <w:pPr>
        <w:ind w:left="360"/>
      </w:pPr>
      <w:r>
        <w:rPr>
          <w:rFonts w:eastAsia="Georgia" w:cs="Georgia"/>
          <w:szCs w:val="21"/>
        </w:rPr>
        <w:t>4. Voluntary mechanism contributions. Contributions from the Stakeholder Panel under the Strait Sustainability Levy of Article 21B and apportionments under the Security and Environmental Premium Adjustment of Article 21C flow into the Fund per the schedules of Annex C. Contributions under this channel never attach to any vessel's transit, and the Fund publishes every contribution with the annual budget.</w:t>
      </w:r>
    </w:p>
    <w:p w14:paraId="5C09707A" w14:textId="77777777" w:rsidR="00DA7972" w:rsidRDefault="00000000">
      <w:r>
        <w:rPr>
          <w:rFonts w:eastAsia="Georgia" w:cs="Georgia"/>
          <w:szCs w:val="21"/>
        </w:rPr>
        <w:t>Annex C states the full resource schedule, the contribution formula, and the annual targets. Where a Party's contributions fall below 50 percent of its expected share for two consecutive years, the Neutral Administrator refers the matter to the Guarantor and Facilitation Panel for facilitation. The facilitation includes a written recommendation and a cure period of one year. A Party that cures within the cure period suffers no adverse Ledger entry; a Party that does not cure enters the Reciprocity Ledger with a conduct note, and the standing formula of Article 33.2 applies the consequences. The Fund commences operation with the initial capitalization of Annex C, Section C.2, and the Nofade Guarantee carries every contribution arrangement forward without expiry.</w:t>
      </w:r>
    </w:p>
    <w:p w14:paraId="712CF1DA" w14:textId="77777777" w:rsidR="00DA7972" w:rsidRDefault="00000000">
      <w:pPr>
        <w:pStyle w:val="Heading3"/>
      </w:pPr>
      <w:r>
        <w:rPr>
          <w:rFonts w:eastAsia="Calibri" w:cs="Calibri"/>
          <w:szCs w:val="22"/>
        </w:rPr>
        <w:t>22.4 Administration</w:t>
      </w:r>
    </w:p>
    <w:p w14:paraId="644729DC" w14:textId="77777777" w:rsidR="00DA7972" w:rsidRDefault="00000000">
      <w:r>
        <w:rPr>
          <w:rFonts w:eastAsia="Georgia" w:cs="Georgia"/>
          <w:szCs w:val="21"/>
        </w:rPr>
        <w:t>The Neutral Administrator operates the Fund through a dedicated office of professional fund managers and auditors, under a charter at Annex C. The Administrator: holds accounts; executes payments against verified service records; publishes monthly statements; commissions an annual external audit by an international firm; and maintains the sanctions-compliance firewall of Article 25.4. The Administrator decides no policy question. It applies the Charter, and where the Charter and a payment request diverge, it declines payment and reports the divergence to the Council.</w:t>
      </w:r>
    </w:p>
    <w:p w14:paraId="191DCBE5" w14:textId="77777777" w:rsidR="00DA7972" w:rsidRDefault="00000000">
      <w:pPr>
        <w:pStyle w:val="Heading3"/>
      </w:pPr>
      <w:r>
        <w:rPr>
          <w:rFonts w:eastAsia="Calibri" w:cs="Calibri"/>
          <w:szCs w:val="22"/>
        </w:rPr>
        <w:t>22.5 Governance</w:t>
      </w:r>
    </w:p>
    <w:p w14:paraId="2723C40B" w14:textId="77777777" w:rsidR="00DA7972" w:rsidRDefault="00000000">
      <w:r>
        <w:rPr>
          <w:rFonts w:eastAsia="Georgia" w:cs="Georgia"/>
          <w:szCs w:val="21"/>
        </w:rPr>
        <w:t>The Fund operates under a board of governors: one governor per Littoral Party, one for the Neutral Administrator as chair without a casting vote, one for the contributing user states collectively, and one for the International Maritime Organization as observer. The board approves the annual budget, appoints the external auditor, and reviews the Administrator's reports. Payment execution follows the Charter automatically against verified records; the board never approves or declines individual payments. This separation keeps the money boring, and boring money keeps the water calm.</w:t>
      </w:r>
    </w:p>
    <w:p w14:paraId="2224A826" w14:textId="77777777" w:rsidR="00DA7972" w:rsidRDefault="00000000">
      <w:pPr>
        <w:pStyle w:val="Heading3"/>
      </w:pPr>
      <w:r>
        <w:rPr>
          <w:rFonts w:eastAsia="Calibri" w:cs="Calibri"/>
          <w:szCs w:val="22"/>
        </w:rPr>
        <w:t>22.6 No double recovery</w:t>
      </w:r>
    </w:p>
    <w:p w14:paraId="73537E96" w14:textId="77777777" w:rsidR="00DA7972" w:rsidRDefault="00000000">
      <w:r>
        <w:rPr>
          <w:rFonts w:eastAsia="Georgia" w:cs="Georgia"/>
          <w:szCs w:val="21"/>
        </w:rPr>
        <w:t>Where a coastal state receives reimbursement from the Fund for a service, it collects no second payment for the same service from any other source. The audit trail reconciles every service record against every payment, and a double recovery triggers restitution plus a Material Disruption classification under Article 31.</w:t>
      </w:r>
    </w:p>
    <w:p w14:paraId="652C36F4" w14:textId="77777777" w:rsidR="00DA7972" w:rsidRDefault="00000000">
      <w:pPr>
        <w:pStyle w:val="Heading3"/>
      </w:pPr>
      <w:r>
        <w:rPr>
          <w:rFonts w:eastAsia="Calibri" w:cs="Calibri"/>
          <w:szCs w:val="22"/>
        </w:rPr>
        <w:lastRenderedPageBreak/>
        <w:t>22.7 The compensation window</w:t>
      </w:r>
    </w:p>
    <w:p w14:paraId="6C450F39" w14:textId="77777777" w:rsidR="00DA7972" w:rsidRDefault="00000000">
      <w:r>
        <w:rPr>
          <w:rFonts w:eastAsia="Georgia" w:cs="Georgia"/>
          <w:szCs w:val="21"/>
        </w:rPr>
        <w:t>Where a disruption certified by the Neutral Keel Office closes a corridor beyond 24 hours, the Fund compensates documented economic loss of vessel operators and of the affected coastal state, per the schedule of Annex C, Section C.6, funded from a standing disruption reserve equal to 15 percent of the endowment. Compensation follows verification, never politics, and payment never implies fault: the window exists so that no actor profits from closure and no victim waits on litigation.</w:t>
      </w:r>
    </w:p>
    <w:p w14:paraId="3065DCB8" w14:textId="77777777" w:rsidR="00DA7972" w:rsidRDefault="00000000">
      <w:pPr>
        <w:pStyle w:val="Heading2"/>
      </w:pPr>
      <w:bookmarkStart w:id="34" w:name="_Toc236229915"/>
      <w:r>
        <w:rPr>
          <w:rFonts w:eastAsia="Calibri" w:cs="Calibri"/>
          <w:szCs w:val="26"/>
        </w:rPr>
        <w:t>Article 23: The Verified Services Catalog and Reimbursement</w:t>
      </w:r>
      <w:bookmarkEnd w:id="34"/>
    </w:p>
    <w:p w14:paraId="4ED13E9B" w14:textId="77777777" w:rsidR="00DA7972" w:rsidRDefault="00000000">
      <w:pPr>
        <w:pStyle w:val="Heading3"/>
      </w:pPr>
      <w:r>
        <w:rPr>
          <w:rFonts w:eastAsia="Calibri" w:cs="Calibri"/>
          <w:szCs w:val="22"/>
        </w:rPr>
        <w:t>23.1 The Catalog</w:t>
      </w:r>
    </w:p>
    <w:p w14:paraId="4C5BB040" w14:textId="77777777" w:rsidR="00DA7972" w:rsidRDefault="00000000">
      <w:r>
        <w:rPr>
          <w:rFonts w:eastAsia="Georgia" w:cs="Georgia"/>
          <w:szCs w:val="21"/>
        </w:rPr>
        <w:t>The Verified Services Catalog lists every service the Fund reimburses, with a pre-published rate card: vessel traffic service operation per transit-day; pilotage at published port rates; escort coordination per escorted window; hydrographic survey per survey-mile; aids to navigation maintenance per aid-year; search and rescue standby per day; pollution response standby per day; and tug availability per standby-day. Annex C, Section C.4 carries the initial rate card, benchmarked against published regional port tariffs, and the Council adjusts rates annually on the Technical Committee's cost study, under the default-continuity rule for any stalled adjustment.</w:t>
      </w:r>
    </w:p>
    <w:p w14:paraId="74856F53" w14:textId="77777777" w:rsidR="00DA7972" w:rsidRDefault="00000000">
      <w:pPr>
        <w:pStyle w:val="Heading3"/>
      </w:pPr>
      <w:r>
        <w:rPr>
          <w:rFonts w:eastAsia="Calibri" w:cs="Calibri"/>
          <w:szCs w:val="22"/>
        </w:rPr>
        <w:t>23.2 Verification of services</w:t>
      </w:r>
    </w:p>
    <w:p w14:paraId="3E0CA875" w14:textId="77777777" w:rsidR="00DA7972" w:rsidRDefault="00000000">
      <w:r>
        <w:rPr>
          <w:rFonts w:eastAsia="Georgia" w:cs="Georgia"/>
          <w:szCs w:val="21"/>
        </w:rPr>
        <w:t>A service earns reimbursement only against a verified record: the watch log entry, the escorted window record, the survey track, or the aid-maintenance certificate, countersigned by the delivering state's officer and visible to the Neutral Keel Office's quarterly cross-check. Self-declaration without a record earns nothing. The record system thereby pays for delivery, not for presence.</w:t>
      </w:r>
    </w:p>
    <w:p w14:paraId="06A75A2A" w14:textId="77777777" w:rsidR="00DA7972" w:rsidRDefault="00000000">
      <w:pPr>
        <w:pStyle w:val="Heading3"/>
      </w:pPr>
      <w:r>
        <w:rPr>
          <w:rFonts w:eastAsia="Calibri" w:cs="Calibri"/>
          <w:szCs w:val="22"/>
        </w:rPr>
        <w:t>23.3 Delivery states</w:t>
      </w:r>
    </w:p>
    <w:p w14:paraId="5D3A9F93" w14:textId="77777777" w:rsidR="00DA7972" w:rsidRDefault="00000000">
      <w:r>
        <w:rPr>
          <w:rFonts w:eastAsia="Georgia" w:cs="Georgia"/>
          <w:szCs w:val="21"/>
        </w:rPr>
        <w:t>Iran and Oman deliver services in their respective corridors and waters, and each acceding Littoral Party joins the delivery roster for services in its waters on accession. The roster publishes quarterly. A state delivers services through its national maritime administration or through contractors it certifies to the Technical Committee; contractor delivery carries the same record standard.</w:t>
      </w:r>
    </w:p>
    <w:p w14:paraId="2D08AB96" w14:textId="77777777" w:rsidR="00DA7972" w:rsidRDefault="00000000">
      <w:pPr>
        <w:pStyle w:val="Heading3"/>
      </w:pPr>
      <w:r>
        <w:rPr>
          <w:rFonts w:eastAsia="Calibri" w:cs="Calibri"/>
          <w:szCs w:val="22"/>
        </w:rPr>
        <w:t>23.4 The apportionment band</w:t>
      </w:r>
    </w:p>
    <w:p w14:paraId="40AB6386" w14:textId="77777777" w:rsidR="00DA7972" w:rsidRDefault="00000000">
      <w:r>
        <w:rPr>
          <w:rFonts w:eastAsia="Georgia" w:cs="Georgia"/>
          <w:szCs w:val="21"/>
        </w:rPr>
        <w:t>The Fund apportions the net cost of services, after institutional costs, between endowment drawdown and access contributions within the band of 40 to 60 percent in any fiscal year, per Annex C, Section C.5. The band prevents either a shift of the whole burden onto user states or a drain of the endowment, and the board sets the year's point inside the band on the Auditor's sustainability opinion.</w:t>
      </w:r>
    </w:p>
    <w:p w14:paraId="0A15D0D8" w14:textId="77777777" w:rsidR="00DA7972" w:rsidRDefault="00000000">
      <w:pPr>
        <w:pStyle w:val="Heading3"/>
      </w:pPr>
      <w:r>
        <w:rPr>
          <w:rFonts w:eastAsia="Calibri" w:cs="Calibri"/>
          <w:szCs w:val="22"/>
        </w:rPr>
        <w:lastRenderedPageBreak/>
        <w:t>23.5 Service quality and the premium incentive</w:t>
      </w:r>
    </w:p>
    <w:p w14:paraId="01F994B0" w14:textId="77777777" w:rsidR="00DA7972" w:rsidRDefault="00000000">
      <w:r>
        <w:rPr>
          <w:rFonts w:eastAsia="Georgia" w:cs="Georgia"/>
          <w:szCs w:val="21"/>
        </w:rPr>
        <w:t>Each delivering state's service record feeds a public quality index: acknowledgment latency, escort punctuality, survey currency, and aid availability. The Fund pays a quality premium of 5 percent on the rate card for a state sustaining index scores at or above the benchmark for two consecutive quarters, and the premium continues without expiry until performance changes. Quality pays, visibly, and the Nofade Guarantee banks every premium earned.</w:t>
      </w:r>
    </w:p>
    <w:p w14:paraId="5EC9C97A" w14:textId="77777777" w:rsidR="00DA7972" w:rsidRDefault="00000000">
      <w:pPr>
        <w:pStyle w:val="Heading2"/>
      </w:pPr>
      <w:bookmarkStart w:id="35" w:name="_Toc236229916"/>
      <w:r>
        <w:rPr>
          <w:rFonts w:eastAsia="Calibri" w:cs="Calibri"/>
          <w:szCs w:val="26"/>
        </w:rPr>
        <w:t>Article 24: The Assurance Registry and the Route Assurance Data Service</w:t>
      </w:r>
      <w:bookmarkEnd w:id="35"/>
    </w:p>
    <w:p w14:paraId="7E43273C" w14:textId="77777777" w:rsidR="00DA7972" w:rsidRDefault="00000000">
      <w:pPr>
        <w:pStyle w:val="Heading3"/>
      </w:pPr>
      <w:r>
        <w:rPr>
          <w:rFonts w:eastAsia="Calibri" w:cs="Calibri"/>
          <w:szCs w:val="22"/>
        </w:rPr>
        <w:t>24.1 Purpose</w:t>
      </w:r>
    </w:p>
    <w:p w14:paraId="71451870" w14:textId="77777777" w:rsidR="00DA7972" w:rsidRDefault="00000000">
      <w:r>
        <w:rPr>
          <w:rFonts w:eastAsia="Georgia" w:cs="Georgia"/>
          <w:szCs w:val="21"/>
        </w:rPr>
        <w:t>The Accord converts verified performance into economic value. The Assurance Registry and the Route Assurance Data Service give the insurance market, charterers, and flag states a continuous, evidence-based picture of the Strait, so that premiums fall on facts and well-run operators gain visible standing.</w:t>
      </w:r>
    </w:p>
    <w:p w14:paraId="02C77368" w14:textId="77777777" w:rsidR="00DA7972" w:rsidRDefault="00000000">
      <w:pPr>
        <w:pStyle w:val="Heading3"/>
      </w:pPr>
      <w:r>
        <w:rPr>
          <w:rFonts w:eastAsia="Calibri" w:cs="Calibri"/>
          <w:szCs w:val="22"/>
        </w:rPr>
        <w:t>24.2 The Assurance Registry</w:t>
      </w:r>
    </w:p>
    <w:p w14:paraId="38A313DB" w14:textId="77777777" w:rsidR="00DA7972" w:rsidRDefault="00000000">
      <w:r>
        <w:rPr>
          <w:rFonts w:eastAsia="Georgia" w:cs="Georgia"/>
          <w:szCs w:val="21"/>
        </w:rPr>
        <w:t>The Registry lists, on a voluntary basis, vessels, operators, flag states, and insurers that adopt the Accord's documentary practices: electronic filing of notices, embarked-observer consent, automatic identification system integrity, and crew training on the corridor rules. Listing costs nothing and conditions nothing: an unlisted vessel transits on identical terms. The Registry publishes each listed vessel's clean-transit record, and the market reads it. The Registry sorts by participation, never by politics, per Article 9.4, and a listing never lapses by time; only a documented change in the underlying practices, verified under the Convergence Standard, changes a listing.</w:t>
      </w:r>
    </w:p>
    <w:p w14:paraId="633D7F71" w14:textId="77777777" w:rsidR="00DA7972" w:rsidRDefault="00000000">
      <w:r>
        <w:rPr>
          <w:rFonts w:eastAsia="Georgia" w:cs="Georgia"/>
          <w:szCs w:val="21"/>
        </w:rPr>
        <w:t>The Fund applies a 10 percent reduction to the quality premium payable for services delivered to Registry-listed vessels. The insurance market receives a monthly Registry performance digest, and the Stakeholder Panel works with the protection and indemnity clubs to offer a war-risk premium discount for Registry-listed vessels with a clean record, at a rate the Council sets annually.</w:t>
      </w:r>
    </w:p>
    <w:p w14:paraId="494EFC73" w14:textId="77777777" w:rsidR="00DA7972" w:rsidRDefault="00000000">
      <w:r>
        <w:rPr>
          <w:rFonts w:eastAsia="Georgia" w:cs="Georgia"/>
          <w:szCs w:val="21"/>
        </w:rPr>
        <w:t>The Registry Premium Incentive is permanent and continues without expiry under the Nofade Guarantee of Article 4. The incentive alters no transit right, no transit priority, and no safety service for any vessel, per Article 9.4.</w:t>
      </w:r>
    </w:p>
    <w:p w14:paraId="76379EEA" w14:textId="77777777" w:rsidR="00DA7972" w:rsidRDefault="00000000">
      <w:pPr>
        <w:pStyle w:val="Heading3"/>
      </w:pPr>
      <w:r>
        <w:rPr>
          <w:rFonts w:eastAsia="Calibri" w:cs="Calibri"/>
          <w:szCs w:val="22"/>
        </w:rPr>
        <w:t>24.3 The Route Assurance Data Service</w:t>
      </w:r>
    </w:p>
    <w:p w14:paraId="4ED880BA" w14:textId="77777777" w:rsidR="00DA7972" w:rsidRDefault="00000000">
      <w:r>
        <w:rPr>
          <w:rFonts w:eastAsia="Georgia" w:cs="Georgia"/>
          <w:szCs w:val="21"/>
        </w:rPr>
        <w:t>The Service publishes the operational picture in three tiers. The public tier, free to all: the Open Water Bulletin, flow states, and weekly statistics. The professional tier, on published subscription: anonymized traffic flows, corridor performance metrics, incident statistics, and the service quality index. The institutional tier, free to Parties, observer states, the International Maritime Organization, and the insurance market's recognized bodies: the full non-classified record under the two-key rule. Subscription revenue flows to the Fund, per Article 22.3, and the architecture excludes any sale of vessel-identifiable data.</w:t>
      </w:r>
    </w:p>
    <w:p w14:paraId="62CF3403" w14:textId="77777777" w:rsidR="00DA7972" w:rsidRDefault="00000000">
      <w:pPr>
        <w:pStyle w:val="Heading3"/>
      </w:pPr>
      <w:r>
        <w:rPr>
          <w:rFonts w:eastAsia="Calibri" w:cs="Calibri"/>
          <w:szCs w:val="22"/>
        </w:rPr>
        <w:lastRenderedPageBreak/>
        <w:t>24.4 Premium normalization</w:t>
      </w:r>
    </w:p>
    <w:p w14:paraId="420B4C21" w14:textId="77777777" w:rsidR="00DA7972" w:rsidRDefault="00000000">
      <w:r>
        <w:rPr>
          <w:rFonts w:eastAsia="Georgia" w:cs="Georgia"/>
          <w:szCs w:val="21"/>
        </w:rPr>
        <w:t>The Center transmits the Bulletin and the monthly performance digest to the protection and indemnity clubs and the war-risk market, and the Stakeholder Panel's insurance members review the digest quarterly. The target corridor: war-risk premiums at or below 1.5 times the pre-crisis level within two quarters of sustained clean operation, and full restoration of pre-crisis levels within four quarters, per Article 12.5. The Accord treats the premium level as its public confidence index and publishes it weekly.</w:t>
      </w:r>
    </w:p>
    <w:p w14:paraId="46745D30" w14:textId="77777777" w:rsidR="00DA7972" w:rsidRDefault="00000000">
      <w:pPr>
        <w:pStyle w:val="Heading2"/>
      </w:pPr>
      <w:bookmarkStart w:id="36" w:name="_Toc236229917"/>
      <w:r>
        <w:rPr>
          <w:rFonts w:eastAsia="Calibri" w:cs="Calibri"/>
          <w:szCs w:val="26"/>
        </w:rPr>
        <w:t>Article 25: Budget, Audit, and the Sanctions-Compliance Firewall</w:t>
      </w:r>
      <w:bookmarkEnd w:id="36"/>
    </w:p>
    <w:p w14:paraId="7927D40C" w14:textId="77777777" w:rsidR="00DA7972" w:rsidRDefault="00000000">
      <w:pPr>
        <w:pStyle w:val="Heading3"/>
      </w:pPr>
      <w:r>
        <w:rPr>
          <w:rFonts w:eastAsia="Calibri" w:cs="Calibri"/>
          <w:szCs w:val="22"/>
        </w:rPr>
        <w:t>25.1 The annual budget</w:t>
      </w:r>
    </w:p>
    <w:p w14:paraId="07FED9DB" w14:textId="77777777" w:rsidR="00DA7972" w:rsidRDefault="00000000">
      <w:r>
        <w:rPr>
          <w:rFonts w:eastAsia="Georgia" w:cs="Georgia"/>
          <w:szCs w:val="21"/>
        </w:rPr>
        <w:t>The Administrator prepares, the Technical Committee reviews, and the Council adopts an annual budget covering institutions, services at the rate card, readiness, reserves, and capacity building. The budget publishes in full. A stalled adoption runs the previous budget at the same level, per Article 20.4.</w:t>
      </w:r>
    </w:p>
    <w:p w14:paraId="56F86606" w14:textId="77777777" w:rsidR="00DA7972" w:rsidRDefault="00000000">
      <w:pPr>
        <w:pStyle w:val="Heading3"/>
      </w:pPr>
      <w:r>
        <w:rPr>
          <w:rFonts w:eastAsia="Calibri" w:cs="Calibri"/>
          <w:szCs w:val="22"/>
        </w:rPr>
        <w:t>25.2 Audit</w:t>
      </w:r>
    </w:p>
    <w:p w14:paraId="126EC841" w14:textId="77777777" w:rsidR="00DA7972" w:rsidRDefault="00000000">
      <w:r>
        <w:rPr>
          <w:rFonts w:eastAsia="Georgia" w:cs="Georgia"/>
          <w:szCs w:val="21"/>
        </w:rPr>
        <w:t>An international audit firm examines the Fund annually and publishes its report unedited. The Neutral Keel Office cross-checks service records quarterly. The Independent Assurance Council reads every audit and reports on it. The audit trail extends to every transaction: no payment moves without a record, and no record closes to inspection by the Parties and the assurance bodies.</w:t>
      </w:r>
    </w:p>
    <w:p w14:paraId="3F051172" w14:textId="77777777" w:rsidR="00DA7972" w:rsidRDefault="00000000">
      <w:pPr>
        <w:pStyle w:val="Heading3"/>
      </w:pPr>
      <w:r>
        <w:rPr>
          <w:rFonts w:eastAsia="Calibri" w:cs="Calibri"/>
          <w:szCs w:val="22"/>
        </w:rPr>
        <w:t>25.3 Anti-diversion</w:t>
      </w:r>
    </w:p>
    <w:p w14:paraId="407B2638" w14:textId="77777777" w:rsidR="00DA7972" w:rsidRDefault="00000000">
      <w:r>
        <w:rPr>
          <w:rFonts w:eastAsia="Georgia" w:cs="Georgia"/>
          <w:szCs w:val="21"/>
        </w:rPr>
        <w:t>Fund resources serve the purposes of Article 22.2 exclusively. A diversion, established under the Convergence Standard, triggers restitution, an Architectural Breach classification, and suspension of the responsible official from any Accord function pending the facilitation tier. The architecture treats the Fund's integrity as a Red Line-adjacent asset: money that buys calm water never buys anything else.</w:t>
      </w:r>
    </w:p>
    <w:p w14:paraId="4F760A16" w14:textId="77777777" w:rsidR="00DA7972" w:rsidRDefault="00000000">
      <w:pPr>
        <w:pStyle w:val="Heading3"/>
      </w:pPr>
      <w:r>
        <w:rPr>
          <w:rFonts w:eastAsia="Calibri" w:cs="Calibri"/>
          <w:szCs w:val="22"/>
        </w:rPr>
        <w:t>25.4 The Sanctions-Compliance Firewall</w:t>
      </w:r>
    </w:p>
    <w:p w14:paraId="7E6DBC5D" w14:textId="77777777" w:rsidR="00DA7972" w:rsidRDefault="00000000">
      <w:r>
        <w:rPr>
          <w:rFonts w:eastAsia="Georgia" w:cs="Georgia"/>
          <w:szCs w:val="21"/>
        </w:rPr>
        <w:t>The Fund's design keeps every participant inside its own legal obligations. The architecture guarantees: no shipper pays any Party directly for anything; no payment travels as a condition of passage; every flow moves through the Neutral Administrator's accounts under Swiss fiduciary law with full transaction records; and every contributor and recipient passes the Administrator's compliance screening against applicable international obligations. Where a potential transaction touches the sanctions regime of any participating state, the Administrator structures the flow so that it never constitutes a prohibited transaction for any participant, or declines it and reports. The firewall guards Red Line RL-7 and makes participation safe for the shipping and banking community without requiring any state to change its sanctions laws.</w:t>
      </w:r>
    </w:p>
    <w:p w14:paraId="52E03BD6" w14:textId="77777777" w:rsidR="00DA7972" w:rsidRDefault="00000000">
      <w:pPr>
        <w:pStyle w:val="Heading3"/>
      </w:pPr>
      <w:r>
        <w:rPr>
          <w:rFonts w:eastAsia="Calibri" w:cs="Calibri"/>
          <w:szCs w:val="22"/>
        </w:rPr>
        <w:lastRenderedPageBreak/>
        <w:t>25.5 Anti-circumvention</w:t>
      </w:r>
    </w:p>
    <w:p w14:paraId="7F646AE9" w14:textId="77777777" w:rsidR="00DA7972" w:rsidRDefault="00000000">
      <w:r>
        <w:rPr>
          <w:rFonts w:eastAsia="Georgia" w:cs="Georgia"/>
          <w:szCs w:val="21"/>
        </w:rPr>
        <w:t>The re-characterization of a service, a charge, or a transaction to evade the Zero-Toll Rule or the Sanctions-Compliance Firewall constitutes an Architectural Breach event under Article 31. The substance of a transaction governs its character, never its legal form: a payment that operates as a charge on passage counts as a toll whatever its label, and a flow that operates as a prohibited transaction counts as prohibited whatever its wrapper. The same rule guards the voluntary mechanisms of this Part: any attempt by a state to collect a suggested contribution or a voluntary fee on a mandatory basis, by condition, penalty, or differential treatment, constitutes an Architectural Breach under Article 31. A contribution that a vessel cannot decline operates as a charge on passage whatever its label, and the architecture treats it as a toll. The Neutral Administrator applies the substance test at payment execution, the external auditor tests it annually, and the Neutral Keel Office reports any re-characterization pattern to the Council with the evidence file attached.</w:t>
      </w:r>
    </w:p>
    <w:tbl>
      <w:tblPr>
        <w:tblW w:w="5000" w:type="pct"/>
        <w:tblInd w:w="200" w:type="dxa"/>
        <w:tblBorders>
          <w:top w:val="single" w:sz="2" w:space="0" w:color="B0BEC5"/>
          <w:left w:val="single" w:sz="18" w:space="0" w:color="37474F"/>
          <w:bottom w:val="single" w:sz="2" w:space="0" w:color="B0BEC5"/>
          <w:right w:val="single" w:sz="2" w:space="0" w:color="B0BEC5"/>
        </w:tblBorders>
        <w:tblCellMar>
          <w:top w:w="140" w:type="dxa"/>
          <w:left w:w="200" w:type="dxa"/>
          <w:bottom w:w="140" w:type="dxa"/>
          <w:right w:w="160" w:type="dxa"/>
        </w:tblCellMar>
        <w:tblLook w:val="04A0" w:firstRow="1" w:lastRow="0" w:firstColumn="1" w:lastColumn="0" w:noHBand="0" w:noVBand="1"/>
      </w:tblPr>
      <w:tblGrid>
        <w:gridCol w:w="9386"/>
      </w:tblGrid>
      <w:tr w:rsidR="00DA7972" w14:paraId="58A0D907" w14:textId="77777777">
        <w:tc>
          <w:tcPr>
            <w:tcW w:w="9010" w:type="dxa"/>
            <w:shd w:val="clear" w:color="auto" w:fill="ECEFF1"/>
          </w:tcPr>
          <w:p w14:paraId="4A667B9B" w14:textId="77777777" w:rsidR="00DA7972" w:rsidRDefault="00000000">
            <w:pPr>
              <w:spacing w:after="0"/>
            </w:pPr>
            <w:r>
              <w:rPr>
                <w:rFonts w:eastAsia="Georgia" w:cs="Georgia"/>
                <w:i/>
                <w:szCs w:val="21"/>
              </w:rPr>
              <w:t>Design rationale for the financial architecture. The Parties settle the toll question with a fund rather than a prohibition alone because a prohibition without an economics leaves every incentive in place. The service-fee distinction gives the coastal states lawful, audited compensation for real work; the single-channel design removes every opportunity for a payment to become a condition of passage; and the anti-circumvention rule of Article 25.5 closes the door that clever drafting would otherwise open. The architecture assumes that money finds a way, and it builds the only way it wants found.</w:t>
            </w:r>
          </w:p>
        </w:tc>
      </w:tr>
    </w:tbl>
    <w:p w14:paraId="2DB2B4B7" w14:textId="77777777" w:rsidR="00DA7972" w:rsidRDefault="00000000">
      <w:pPr>
        <w:pStyle w:val="Heading1"/>
      </w:pPr>
      <w:bookmarkStart w:id="37" w:name="_Toc236229918"/>
      <w:r>
        <w:rPr>
          <w:rFonts w:eastAsia="Calibri" w:cs="Calibri"/>
          <w:szCs w:val="32"/>
        </w:rPr>
        <w:lastRenderedPageBreak/>
        <w:t>Part V: Safety, Security, and Environmental Protection</w:t>
      </w:r>
      <w:bookmarkEnd w:id="37"/>
    </w:p>
    <w:p w14:paraId="3BCB9BC9" w14:textId="77777777" w:rsidR="00DA7972" w:rsidRDefault="00000000">
      <w:pPr>
        <w:pStyle w:val="Heading2"/>
      </w:pPr>
      <w:bookmarkStart w:id="38" w:name="_Toc236229919"/>
      <w:r>
        <w:rPr>
          <w:rFonts w:eastAsia="Calibri" w:cs="Calibri"/>
          <w:szCs w:val="26"/>
        </w:rPr>
        <w:t>Article 26: Verification Philosophy: The Human Anchor Method</w:t>
      </w:r>
      <w:bookmarkEnd w:id="38"/>
    </w:p>
    <w:p w14:paraId="0D24368E" w14:textId="77777777" w:rsidR="00DA7972" w:rsidRDefault="00000000">
      <w:pPr>
        <w:pStyle w:val="Heading3"/>
      </w:pPr>
      <w:r>
        <w:rPr>
          <w:rFonts w:eastAsia="Calibri" w:cs="Calibri"/>
          <w:szCs w:val="22"/>
        </w:rPr>
        <w:t>26.1 People over telemetry</w:t>
      </w:r>
    </w:p>
    <w:p w14:paraId="414D9278" w14:textId="77777777" w:rsidR="00DA7972" w:rsidRDefault="00000000">
      <w:r>
        <w:rPr>
          <w:rFonts w:eastAsia="Georgia" w:cs="Georgia"/>
          <w:szCs w:val="21"/>
        </w:rPr>
        <w:t>The Accord places human judgment at the center of verification. Instruments measure; people notice what matters. Every verification conclusion in this Accord traces to a human officer who observed, reviewed, and signed, supported by instruments that flag, record, and preserve. Automated systems detect anomalies and present evidence; human officers classify, decide, and answer for the decision. The architecture excludes automated classification of incidents, automated suspension of services, and automated triggering of consequences.</w:t>
      </w:r>
    </w:p>
    <w:p w14:paraId="57F8D7DD" w14:textId="77777777" w:rsidR="00DA7972" w:rsidRDefault="00000000">
      <w:pPr>
        <w:pBdr>
          <w:left w:val="single" w:sz="8" w:space="6" w:color="B0BEC5"/>
        </w:pBdr>
        <w:spacing w:before="40"/>
        <w:ind w:left="360"/>
      </w:pPr>
      <w:r>
        <w:rPr>
          <w:rFonts w:ascii="Calibri" w:eastAsia="Calibri" w:hAnsi="Calibri" w:cs="Calibri"/>
          <w:i/>
          <w:color w:val="78909C"/>
          <w:sz w:val="18"/>
          <w:szCs w:val="18"/>
        </w:rPr>
        <w:t>See also Articles 15 and 26A, and Annex G.</w:t>
      </w:r>
    </w:p>
    <w:p w14:paraId="007E2410" w14:textId="77777777" w:rsidR="00DA7972" w:rsidRDefault="00000000">
      <w:pPr>
        <w:pStyle w:val="Heading3"/>
      </w:pPr>
      <w:r>
        <w:rPr>
          <w:rFonts w:eastAsia="Calibri" w:cs="Calibri"/>
          <w:szCs w:val="22"/>
        </w:rPr>
        <w:t>26.2 The Convergence Standard</w:t>
      </w:r>
    </w:p>
    <w:p w14:paraId="023A2713" w14:textId="77777777" w:rsidR="00DA7972" w:rsidRDefault="00000000">
      <w:r>
        <w:rPr>
          <w:rFonts w:eastAsia="Georgia" w:cs="Georgia"/>
          <w:szCs w:val="21"/>
        </w:rPr>
        <w:t>No verification finding rests on a single input. A finding requires at least two independent inputs in convergence: for example, an embarked observer's record plus the Center's track data; a coastal radar track plus a patrol's visual report; a satellite pass plus a port state's documentation. The standard protects every Party from error and from manipulation, and it gives every finding the weight to survive political challenge. A single-source anomaly enters the record as an open observation, and the system seeks convergence before any classification step.</w:t>
      </w:r>
    </w:p>
    <w:p w14:paraId="0BF9AC4B" w14:textId="77777777" w:rsidR="00DA7972" w:rsidRDefault="00000000">
      <w:pPr>
        <w:pStyle w:val="Heading3"/>
      </w:pPr>
      <w:r>
        <w:rPr>
          <w:rFonts w:eastAsia="Calibri" w:cs="Calibri"/>
          <w:szCs w:val="22"/>
        </w:rPr>
        <w:t>26.3 Ground truth on the water</w:t>
      </w:r>
    </w:p>
    <w:p w14:paraId="0453748E" w14:textId="77777777" w:rsidR="00DA7972" w:rsidRDefault="00000000">
      <w:r>
        <w:rPr>
          <w:rFonts w:eastAsia="Georgia" w:cs="Georgia"/>
          <w:szCs w:val="21"/>
        </w:rPr>
        <w:t>The weekly ground-truth patrols of Article 9.6 anchor the electronic picture in physical reality. The patrol program, the embarked observers, and the port documentation cross-check together form the human layer that telemetry alone never supplies. The Neutral Keel Office reports annually on the health of the human layer: patrol completion rate, observer coverage, and reconciliation latency.</w:t>
      </w:r>
    </w:p>
    <w:p w14:paraId="10AB1260" w14:textId="77777777" w:rsidR="00DA7972" w:rsidRDefault="00000000">
      <w:pPr>
        <w:pStyle w:val="Heading3"/>
      </w:pPr>
      <w:r>
        <w:rPr>
          <w:rFonts w:eastAsia="Calibri" w:cs="Calibri"/>
          <w:szCs w:val="22"/>
        </w:rPr>
        <w:t>26.4 Data sovereignty and custody</w:t>
      </w:r>
    </w:p>
    <w:p w14:paraId="0DEC9C64" w14:textId="77777777" w:rsidR="00DA7972" w:rsidRDefault="00000000">
      <w:r>
        <w:rPr>
          <w:rFonts w:eastAsia="Georgia" w:cs="Georgia"/>
          <w:szCs w:val="21"/>
        </w:rPr>
        <w:t>Verification data originates inside the Governance Area and stays under the Accord's custody. The dual-copy rule of Article 14.5 applies: every record exists in Muscat and Bandar Abbas simultaneously, cryptographically timestamped, and neither copy admits unilateral alteration. Raw track data remains within the Governance Area's custody chain; derived statistics publish. No Party exports raw operational data to any external intelligence use, and the architecture routes every external data request through the Council.</w:t>
      </w:r>
    </w:p>
    <w:p w14:paraId="49387132" w14:textId="77777777" w:rsidR="00DA7972" w:rsidRDefault="00000000">
      <w:pPr>
        <w:pStyle w:val="Heading3"/>
      </w:pPr>
      <w:r>
        <w:rPr>
          <w:rFonts w:eastAsia="Calibri" w:cs="Calibri"/>
          <w:szCs w:val="22"/>
        </w:rPr>
        <w:t>26.5 The two-key access rule</w:t>
      </w:r>
    </w:p>
    <w:p w14:paraId="155B6A97" w14:textId="77777777" w:rsidR="00DA7972" w:rsidRDefault="00000000">
      <w:r>
        <w:rPr>
          <w:rFonts w:eastAsia="Georgia" w:cs="Georgia"/>
          <w:szCs w:val="21"/>
        </w:rPr>
        <w:t xml:space="preserve">Access to the non-classified shared registry operates under the two-key rule: a Party's officer and a Neutral Keel officer jointly authenticate access for their respective bodies, and the system logs every access. The Independent Assurance Council holds standing two-key access of its own. The </w:t>
      </w:r>
      <w:r>
        <w:rPr>
          <w:rFonts w:eastAsia="Georgia" w:cs="Georgia"/>
          <w:szCs w:val="21"/>
        </w:rPr>
        <w:lastRenderedPageBreak/>
        <w:t>rule keeps the record open to every legitimate reader and closed to quiet browsing by any single actor.</w:t>
      </w:r>
    </w:p>
    <w:p w14:paraId="6F14CF5C" w14:textId="77777777" w:rsidR="00DA7972" w:rsidRDefault="00000000">
      <w:pPr>
        <w:pStyle w:val="Heading3"/>
      </w:pPr>
      <w:r>
        <w:rPr>
          <w:rFonts w:eastAsia="Calibri" w:cs="Calibri"/>
          <w:szCs w:val="22"/>
        </w:rPr>
        <w:t>26.6 Degraded-mode operation</w:t>
      </w:r>
    </w:p>
    <w:p w14:paraId="0C63F895" w14:textId="77777777" w:rsidR="00DA7972" w:rsidRDefault="00000000">
      <w:r>
        <w:rPr>
          <w:rFonts w:eastAsia="Georgia" w:cs="Georgia"/>
          <w:szCs w:val="21"/>
        </w:rPr>
        <w:t>Where communications or power fail at one site, the mirror site assumes the full watch, voice reporting carries compliance, and paper logs govern until restoration, per the non-telemetry mode of Annex G. Degraded mode degrades convenience, never rights: passage continues, acknowledgment defaults apply, and the Bulletin publishes by any working channel.</w:t>
      </w:r>
    </w:p>
    <w:p w14:paraId="72441EDA" w14:textId="77777777" w:rsidR="00DA7972" w:rsidRDefault="00000000">
      <w:pPr>
        <w:pStyle w:val="Heading2"/>
      </w:pPr>
      <w:bookmarkStart w:id="39" w:name="_Toc236229920"/>
      <w:r>
        <w:rPr>
          <w:rFonts w:eastAsia="Calibri" w:cs="Calibri"/>
          <w:szCs w:val="26"/>
        </w:rPr>
        <w:t>Article 26A: Cybersecurity, Authentication, and Data Integrity</w:t>
      </w:r>
      <w:bookmarkEnd w:id="39"/>
    </w:p>
    <w:p w14:paraId="3A609046" w14:textId="77777777" w:rsidR="00DA7972" w:rsidRDefault="00000000">
      <w:pPr>
        <w:pStyle w:val="Heading3"/>
      </w:pPr>
      <w:r>
        <w:rPr>
          <w:rFonts w:eastAsia="Calibri" w:cs="Calibri"/>
          <w:szCs w:val="22"/>
        </w:rPr>
        <w:t>26A.1 The security baseline</w:t>
      </w:r>
    </w:p>
    <w:p w14:paraId="258BA9AB" w14:textId="77777777" w:rsidR="00DA7972" w:rsidRDefault="00000000">
      <w:r>
        <w:rPr>
          <w:rFonts w:eastAsia="Georgia" w:cs="Georgia"/>
          <w:szCs w:val="21"/>
        </w:rPr>
        <w:t>The Accord's digital infrastructure operates under a standing security baseline: every notification, acknowledgment, ledger entry, payment instruction, and bulletin carries authenticated origin; every critical system runs with full redundancy at the mirror facility; every system sustains offline operation under the degraded-mode rules of Article 26.6; and every record carries the integrity protections of the dual-copy rule of Article 14.5. The Technical and Standards Committee owns the baseline and reviews it annually against the prevailing international maritime cybersecurity guidance.</w:t>
      </w:r>
    </w:p>
    <w:p w14:paraId="79F8CF99" w14:textId="77777777" w:rsidR="00DA7972" w:rsidRDefault="00000000">
      <w:pPr>
        <w:pStyle w:val="Heading3"/>
      </w:pPr>
      <w:r>
        <w:rPr>
          <w:rFonts w:eastAsia="Calibri" w:cs="Calibri"/>
          <w:szCs w:val="22"/>
        </w:rPr>
        <w:t>26A.2 Authentication and access control</w:t>
      </w:r>
    </w:p>
    <w:p w14:paraId="59410F8D" w14:textId="77777777" w:rsidR="00DA7972" w:rsidRDefault="00000000">
      <w:r>
        <w:rPr>
          <w:rFonts w:eastAsia="Georgia" w:cs="Georgia"/>
          <w:szCs w:val="21"/>
        </w:rPr>
        <w:t>Access to every Accord system follows named-person authentication with hardware-backed credentials, role-based permissions, and the two-key rule of Article 26.5 for the shared registry. Credentials never transfer between persons, and the system logs every access with time, identity, and action. A lost or compromised credential revokes within one hour of report, and the revocation publishes to every watch floor.</w:t>
      </w:r>
    </w:p>
    <w:p w14:paraId="2FFE6E83" w14:textId="77777777" w:rsidR="00DA7972" w:rsidRDefault="00000000">
      <w:pPr>
        <w:pStyle w:val="Heading3"/>
      </w:pPr>
      <w:r>
        <w:rPr>
          <w:rFonts w:eastAsia="Calibri" w:cs="Calibri"/>
          <w:szCs w:val="22"/>
        </w:rPr>
        <w:t>26A.3 Spoof and intrusion detection</w:t>
      </w:r>
    </w:p>
    <w:p w14:paraId="4EE26CB5" w14:textId="77777777" w:rsidR="00DA7972" w:rsidRDefault="00000000">
      <w:r>
        <w:rPr>
          <w:rFonts w:eastAsia="Georgia" w:cs="Georgia"/>
          <w:szCs w:val="21"/>
        </w:rPr>
        <w:t>The signal-integrity watch of Annex G.5 extends to the digital layer: the Center monitors notification traffic for forged origins, anomalous volumes, and injection patterns; the Fund's payment gateway validates every instruction against the verified service record before execution; and an anomaly that touches a safety function classifies as an interference event under Article 28.2. Automated detection flags and presents; human officers classify and decide, per Article 26.1.</w:t>
      </w:r>
    </w:p>
    <w:p w14:paraId="5F7142C7" w14:textId="77777777" w:rsidR="00DA7972" w:rsidRDefault="00000000">
      <w:pPr>
        <w:pStyle w:val="Heading3"/>
      </w:pPr>
      <w:r>
        <w:rPr>
          <w:rFonts w:eastAsia="Calibri" w:cs="Calibri"/>
          <w:szCs w:val="22"/>
        </w:rPr>
        <w:t>26A.4 Audit logs and incident response</w:t>
      </w:r>
    </w:p>
    <w:p w14:paraId="171BC322" w14:textId="77777777" w:rsidR="00DA7972" w:rsidRDefault="00000000">
      <w:r>
        <w:rPr>
          <w:rFonts w:eastAsia="Georgia" w:cs="Georgia"/>
          <w:szCs w:val="21"/>
        </w:rPr>
        <w:t>Every system maintains tamper-evident audit logs retained for seven years under the dual-copy rule. A confirmed cyber incident activates the Mishap Protocol's technical track: isolation of the affected segment, failover to the mirror, voice-and-paper continuity under Annex G.3, and a public incident note in the Bulletin stating the affected function and the restoration estimate. A cyber incident never suspends passage, acknowledgment, or the humanitarian flows.</w:t>
      </w:r>
    </w:p>
    <w:p w14:paraId="1F19A5FA" w14:textId="77777777" w:rsidR="00DA7972" w:rsidRDefault="00000000">
      <w:pPr>
        <w:pStyle w:val="Heading3"/>
      </w:pPr>
      <w:r>
        <w:rPr>
          <w:rFonts w:eastAsia="Calibri" w:cs="Calibri"/>
          <w:szCs w:val="22"/>
        </w:rPr>
        <w:lastRenderedPageBreak/>
        <w:t>26A.5 Independent security testing</w:t>
      </w:r>
    </w:p>
    <w:p w14:paraId="36012B42" w14:textId="77777777" w:rsidR="00DA7972" w:rsidRDefault="00000000">
      <w:r>
        <w:rPr>
          <w:rFonts w:eastAsia="Georgia" w:cs="Georgia"/>
          <w:szCs w:val="21"/>
        </w:rPr>
        <w:t>An independent security firm tests the architecture annually, including adversarial exercises against the notification desk and the payment gateway, under rules of engagement the Council approves. The test report publishes in summary, and findings cure on the Technical Committee's tracked schedule.</w:t>
      </w:r>
    </w:p>
    <w:p w14:paraId="65E548BC" w14:textId="77777777" w:rsidR="00DA7972" w:rsidRDefault="00000000">
      <w:pPr>
        <w:pStyle w:val="Heading2"/>
      </w:pPr>
      <w:bookmarkStart w:id="40" w:name="_Toc236229921"/>
      <w:r>
        <w:rPr>
          <w:rFonts w:eastAsia="Calibri" w:cs="Calibri"/>
          <w:szCs w:val="26"/>
        </w:rPr>
        <w:t>Article 27: Naval De-confliction and the Standoff Geometry</w:t>
      </w:r>
      <w:bookmarkEnd w:id="40"/>
    </w:p>
    <w:p w14:paraId="28243242" w14:textId="77777777" w:rsidR="00DA7972" w:rsidRDefault="00000000">
      <w:pPr>
        <w:pStyle w:val="Heading3"/>
      </w:pPr>
      <w:r>
        <w:rPr>
          <w:rFonts w:eastAsia="Calibri" w:cs="Calibri"/>
          <w:szCs w:val="22"/>
        </w:rPr>
        <w:t>27.1 Purpose</w:t>
      </w:r>
    </w:p>
    <w:p w14:paraId="0FA8DF47" w14:textId="77777777" w:rsidR="00DA7972" w:rsidRDefault="00000000">
      <w:r>
        <w:rPr>
          <w:rFonts w:eastAsia="Georgia" w:cs="Georgia"/>
          <w:szCs w:val="21"/>
        </w:rPr>
        <w:t>The Accord keeps military activity and commercial traffic apart by geometry, notification, and discipline, so that no merchant crew ever reads a warship's intentions from its maneuvers. The rules of this Article bind the forces of the Parties and of every adhering external state inside the Governance Area.</w:t>
      </w:r>
    </w:p>
    <w:p w14:paraId="5C8A5D57" w14:textId="77777777" w:rsidR="00DA7972" w:rsidRDefault="00000000">
      <w:pPr>
        <w:pStyle w:val="Heading3"/>
      </w:pPr>
      <w:r>
        <w:rPr>
          <w:rFonts w:eastAsia="Calibri" w:cs="Calibri"/>
          <w:szCs w:val="22"/>
        </w:rPr>
        <w:t>27.2 Standoff distances</w:t>
      </w:r>
    </w:p>
    <w:p w14:paraId="432BB570" w14:textId="77777777" w:rsidR="00DA7972" w:rsidRDefault="00000000">
      <w:r>
        <w:rPr>
          <w:rFonts w:eastAsia="Georgia" w:cs="Georgia"/>
          <w:szCs w:val="21"/>
        </w:rPr>
        <w:t>Inside the Governance Area, naval units of any state maintain: a minimum separation of 5 nautical miles from any commercial vessel in a corridor lane, except escorts operating under a published escorted window; a minimum separation of 12 nautical miles between naval units of different states, except where the de-confliction channel arranges closer approach for safety of navigation; and zero loitering in the Separation Belts. The Center displays the standoff geometry on the watch floor picture, and the Neutral Keel Office logs every approach inside the geometry as an observation, with classification under Annex D only where the Convergence Standard establishes intent or pattern.</w:t>
      </w:r>
    </w:p>
    <w:p w14:paraId="7EDC5390" w14:textId="77777777" w:rsidR="00DA7972" w:rsidRDefault="00000000">
      <w:pPr>
        <w:pStyle w:val="Heading3"/>
      </w:pPr>
      <w:r>
        <w:rPr>
          <w:rFonts w:eastAsia="Calibri" w:cs="Calibri"/>
          <w:szCs w:val="22"/>
        </w:rPr>
        <w:t>27.3 Exercise notification</w:t>
      </w:r>
    </w:p>
    <w:p w14:paraId="657EBF42" w14:textId="77777777" w:rsidR="00DA7972" w:rsidRDefault="00000000">
      <w:r>
        <w:rPr>
          <w:rFonts w:eastAsia="Georgia" w:cs="Georgia"/>
          <w:szCs w:val="21"/>
        </w:rPr>
        <w:t>A Party conducting a live-fire exercise or a concentration of more than four naval units inside or within 20 nautical miles of the Governance Area files an exercise notice through the military de-confliction channel no later than 96 hours in advance, stating area, period, and nature. The Center publishes a navigation warning in the Bulletin. The architecture excludes live-fire activity inside the corridor lanes, the Belts, and the anchorages absolutely.</w:t>
      </w:r>
    </w:p>
    <w:p w14:paraId="4A7C423C" w14:textId="77777777" w:rsidR="00DA7972" w:rsidRDefault="00000000">
      <w:pPr>
        <w:pStyle w:val="Heading3"/>
      </w:pPr>
      <w:r>
        <w:rPr>
          <w:rFonts w:eastAsia="Calibri" w:cs="Calibri"/>
          <w:szCs w:val="22"/>
        </w:rPr>
        <w:t>27.4 Quiet Water Windows</w:t>
      </w:r>
    </w:p>
    <w:p w14:paraId="1C05C9EC" w14:textId="77777777" w:rsidR="00DA7972" w:rsidRDefault="00000000">
      <w:r>
        <w:rPr>
          <w:rFonts w:eastAsia="Georgia" w:cs="Georgia"/>
          <w:szCs w:val="21"/>
        </w:rPr>
        <w:t>The daily schedule publishes Quiet Water Windows, periods in which the corridors carry no escorted groups, no exercises, and no concentrated naval movement, giving the market and the fishing community predictable calm. The initial pattern reserves 0200 to 0600 and 1400 to 1800 local time daily, and the Council adjusts the pattern on the Technical Committee's traffic study.</w:t>
      </w:r>
    </w:p>
    <w:p w14:paraId="25201936" w14:textId="77777777" w:rsidR="00DA7972" w:rsidRDefault="00000000">
      <w:pPr>
        <w:pStyle w:val="Heading3"/>
      </w:pPr>
      <w:r>
        <w:rPr>
          <w:rFonts w:eastAsia="Calibri" w:cs="Calibri"/>
          <w:szCs w:val="22"/>
        </w:rPr>
        <w:t>27.5 Military transit</w:t>
      </w:r>
    </w:p>
    <w:p w14:paraId="5B73E21D" w14:textId="77777777" w:rsidR="00DA7972" w:rsidRDefault="00000000">
      <w:r>
        <w:rPr>
          <w:rFonts w:eastAsia="Georgia" w:cs="Georgia"/>
          <w:szCs w:val="21"/>
        </w:rPr>
        <w:t>Class G vessels transit through Corridor One only, under 96-hour movement notice through the military channel, in the published transit windows, with automatic identification system transmission active. Submarines transit surfaced. The architecture excludes embarkation of inspection teams against merchant vessels from any state vessel inside the Governance Area.</w:t>
      </w:r>
    </w:p>
    <w:p w14:paraId="07B666E7" w14:textId="77777777" w:rsidR="00DA7972" w:rsidRDefault="00000000">
      <w:pPr>
        <w:pStyle w:val="Heading3"/>
      </w:pPr>
      <w:r>
        <w:rPr>
          <w:rFonts w:eastAsia="Calibri" w:cs="Calibri"/>
          <w:szCs w:val="22"/>
        </w:rPr>
        <w:lastRenderedPageBreak/>
        <w:t>27.6 The military de-confliction channel</w:t>
      </w:r>
    </w:p>
    <w:p w14:paraId="7B9662C3" w14:textId="77777777" w:rsidR="00DA7972" w:rsidRDefault="00000000">
      <w:r>
        <w:rPr>
          <w:rFonts w:eastAsia="Georgia" w:cs="Georgia"/>
          <w:szCs w:val="21"/>
        </w:rPr>
        <w:t>Each Party and each adhering external state maintains a 24-hour military liaison desk linked to the Center's de-confliction channel and to its counterparts. The channel carries exercise notices, movement notices, incident flash traffic, and the Thirty-Minute Position Log of Article 28. The channel operates on the speak-first rule: a commander who perceives a developing encounter speaks first, on the record, before maneuvering. The channel's traffic remains confidential to its participants for 72 hours and then enters the classified annex of the incident archive, readable by the Parties and the Guarantor Panel.</w:t>
      </w:r>
    </w:p>
    <w:p w14:paraId="5357D18B" w14:textId="77777777" w:rsidR="00DA7972" w:rsidRDefault="00000000">
      <w:pPr>
        <w:pStyle w:val="Heading3"/>
      </w:pPr>
      <w:r>
        <w:rPr>
          <w:rFonts w:eastAsia="Calibri" w:cs="Calibri"/>
          <w:szCs w:val="22"/>
        </w:rPr>
        <w:t>27.7 Rogue actors and false flags</w:t>
      </w:r>
    </w:p>
    <w:p w14:paraId="6B0EA154" w14:textId="77777777" w:rsidR="00DA7972" w:rsidRDefault="00000000">
      <w:r>
        <w:rPr>
          <w:rFonts w:eastAsia="Georgia" w:cs="Georgia"/>
          <w:szCs w:val="21"/>
        </w:rPr>
        <w:t>An attack on commercial traffic by an actor outside any Party's command activates the rogue-actor pathway: the affected Party reports through the de-confliction channel within 60 minutes with position and evidence; the Center issues an immediate flash broadcast; the Parties' forces cooperate in protecting traffic in the affected area under Neutral Keel observation; and the substantiation duty of Article 34.4 applies to any attribution claim. The architecture presumes no attribution: it investigates first, attributes on convergence, and never lets an unattributed attack serve as a casus belli inside the Accord's machinery.</w:t>
      </w:r>
    </w:p>
    <w:p w14:paraId="2B4FF992" w14:textId="77777777" w:rsidR="00DA7972" w:rsidRDefault="00000000">
      <w:pPr>
        <w:pStyle w:val="Heading3"/>
      </w:pPr>
      <w:r>
        <w:rPr>
          <w:rFonts w:eastAsia="Calibri" w:cs="Calibri"/>
          <w:szCs w:val="22"/>
        </w:rPr>
        <w:t>27.8 Substantiation duty for security claims</w:t>
      </w:r>
    </w:p>
    <w:p w14:paraId="362618CD" w14:textId="77777777" w:rsidR="00DA7972" w:rsidRDefault="00000000">
      <w:r>
        <w:rPr>
          <w:rFonts w:eastAsia="Georgia" w:cs="Georgia"/>
          <w:szCs w:val="21"/>
        </w:rPr>
        <w:t>A Party that asserts another Party's involvement in a security incident files its evidence with the Neutral Keel Office within 72 hours. The Office assesses convergence and reports within 7 days. An assertion unsupported at the second successive assessment enters the claim record of Article 34, and the independent technical referee's fact findings bind the classification question.</w:t>
      </w:r>
    </w:p>
    <w:p w14:paraId="6E92443D" w14:textId="77777777" w:rsidR="00DA7972" w:rsidRDefault="00000000">
      <w:pPr>
        <w:pStyle w:val="Heading3"/>
      </w:pPr>
      <w:r>
        <w:rPr>
          <w:rFonts w:eastAsia="Calibri" w:cs="Calibri"/>
          <w:szCs w:val="22"/>
        </w:rPr>
        <w:t>27.9 Exclusion of force</w:t>
      </w:r>
    </w:p>
    <w:p w14:paraId="7C50DB35" w14:textId="77777777" w:rsidR="00DA7972" w:rsidRDefault="00000000">
      <w:r>
        <w:rPr>
          <w:rFonts w:eastAsia="Georgia" w:cs="Georgia"/>
          <w:szCs w:val="21"/>
        </w:rPr>
        <w:t>Nothing in this Accord authorizes the use of force by any Party, any external state, or any Accord organ, against any vessel, aircraft, installation, or territory, inside or outside the Governance Area. Accord assets, data, and channels never support kinetic action by any actor, which guards Red Line RL-12. The classification of any incident travels exclusively through Article 31, and force questions rest exclusively with the respective heads of government under their constitutional procedures, outside this instrument entirely.</w:t>
      </w:r>
    </w:p>
    <w:p w14:paraId="44F6749E" w14:textId="77777777" w:rsidR="00DA7972" w:rsidRDefault="00000000">
      <w:pPr>
        <w:pStyle w:val="Heading2"/>
      </w:pPr>
      <w:bookmarkStart w:id="41" w:name="_Toc236229922"/>
      <w:r>
        <w:rPr>
          <w:rFonts w:eastAsia="Calibri" w:cs="Calibri"/>
          <w:szCs w:val="26"/>
        </w:rPr>
        <w:t>Article 27A: Regional Naval Cooperation Framework</w:t>
      </w:r>
      <w:bookmarkEnd w:id="41"/>
    </w:p>
    <w:p w14:paraId="3DE4AEAF" w14:textId="77777777" w:rsidR="00DA7972" w:rsidRDefault="00000000">
      <w:pPr>
        <w:pStyle w:val="Heading3"/>
      </w:pPr>
      <w:r>
        <w:rPr>
          <w:rFonts w:eastAsia="Calibri" w:cs="Calibri"/>
          <w:szCs w:val="22"/>
        </w:rPr>
        <w:t>27A.1 The Conference</w:t>
      </w:r>
    </w:p>
    <w:p w14:paraId="090E4EE3" w14:textId="77777777" w:rsidR="00DA7972" w:rsidRDefault="00000000">
      <w:r>
        <w:rPr>
          <w:rFonts w:eastAsia="Georgia" w:cs="Georgia"/>
          <w:szCs w:val="21"/>
        </w:rPr>
        <w:t>The Parties establish the Gulf Maritime Security Coordination Conference as the standing regional naval cooperation forum of the Accord. The Conference convenes annually, hosted alternately at Bandar Abbas and Muscat, and the Islamic Republic of Iran chairs it as the initial Chair.</w:t>
      </w:r>
    </w:p>
    <w:p w14:paraId="04F50FBE" w14:textId="77777777" w:rsidR="00DA7972" w:rsidRDefault="00000000">
      <w:pPr>
        <w:pStyle w:val="Heading3"/>
      </w:pPr>
      <w:r>
        <w:rPr>
          <w:rFonts w:eastAsia="Calibri" w:cs="Calibri"/>
          <w:szCs w:val="22"/>
        </w:rPr>
        <w:t>27A.2 Coordination functions</w:t>
      </w:r>
    </w:p>
    <w:p w14:paraId="4869A51E" w14:textId="77777777" w:rsidR="00DA7972" w:rsidRDefault="00000000">
      <w:r>
        <w:rPr>
          <w:rFonts w:eastAsia="Georgia" w:cs="Georgia"/>
          <w:szCs w:val="21"/>
        </w:rPr>
        <w:t xml:space="preserve">The Conference coordinates: (a) naval patrol de-confliction in and near the Governance Area; (b) joint search and rescue and pollution response exercises; (c) information sharing on maritime </w:t>
      </w:r>
      <w:r>
        <w:rPr>
          <w:rFonts w:eastAsia="Georgia" w:cs="Georgia"/>
          <w:szCs w:val="21"/>
        </w:rPr>
        <w:lastRenderedPageBreak/>
        <w:t>threats and hazards; and (d) the operational handover procedures for the International Assurance Lane.</w:t>
      </w:r>
    </w:p>
    <w:p w14:paraId="17F0597A" w14:textId="77777777" w:rsidR="00DA7972" w:rsidRDefault="00000000">
      <w:pPr>
        <w:pStyle w:val="Heading3"/>
      </w:pPr>
      <w:r>
        <w:rPr>
          <w:rFonts w:eastAsia="Calibri" w:cs="Calibri"/>
          <w:szCs w:val="22"/>
        </w:rPr>
        <w:t>27A.3 Forum character</w:t>
      </w:r>
    </w:p>
    <w:p w14:paraId="7AA54E2C" w14:textId="77777777" w:rsidR="00DA7972" w:rsidRDefault="00000000">
      <w:r>
        <w:rPr>
          <w:rFonts w:eastAsia="Georgia" w:cs="Georgia"/>
          <w:szCs w:val="21"/>
        </w:rPr>
        <w:t>The Conference operates as a coordination forum. It commands no Accord organ, and it displaces no function of the Meridian Operations Center or the Stillwater Council. The watch floors remain civilian under Article 14.6.</w:t>
      </w:r>
    </w:p>
    <w:p w14:paraId="32B4D84F" w14:textId="77777777" w:rsidR="00DA7972" w:rsidRDefault="00000000">
      <w:pPr>
        <w:pStyle w:val="Heading3"/>
      </w:pPr>
      <w:r>
        <w:rPr>
          <w:rFonts w:eastAsia="Calibri" w:cs="Calibri"/>
          <w:szCs w:val="22"/>
        </w:rPr>
        <w:t>27A.4 Permanence and rotation</w:t>
      </w:r>
    </w:p>
    <w:p w14:paraId="5EDB1EF2" w14:textId="77777777" w:rsidR="00DA7972" w:rsidRDefault="00000000">
      <w:r>
        <w:rPr>
          <w:rFonts w:eastAsia="Georgia" w:cs="Georgia"/>
          <w:szCs w:val="21"/>
        </w:rPr>
        <w:t>The Conference is permanent and continues without expiry under the Nofade Guarantee of Article 4. The chair rotates among the Gulf Littoral Parties every five years, and Iran holds the permanent Vice-Chair from the first rotation onward, reflecting its role as the northern littoral state.</w:t>
      </w:r>
    </w:p>
    <w:p w14:paraId="173F185C" w14:textId="77777777" w:rsidR="00DA7972" w:rsidRDefault="00000000">
      <w:pPr>
        <w:pStyle w:val="Heading3"/>
      </w:pPr>
      <w:r>
        <w:rPr>
          <w:rFonts w:eastAsia="Calibri" w:cs="Calibri"/>
          <w:szCs w:val="22"/>
        </w:rPr>
        <w:t>27A.5 Verification of cooperation</w:t>
      </w:r>
    </w:p>
    <w:p w14:paraId="6A965138" w14:textId="77777777" w:rsidR="00DA7972" w:rsidRDefault="00000000">
      <w:r>
        <w:rPr>
          <w:rFonts w:eastAsia="Georgia" w:cs="Georgia"/>
          <w:szCs w:val="21"/>
        </w:rPr>
        <w:t>The Conference publishes an annual report on naval cooperation in and near the Governance Area, and the Neutral Keel Office verifies the report against the shared operational picture. A pattern of non-cooperation by any Party enters the Reciprocity Ledger of Article 33. The Council endorses the annual report, and the Bulletin publishes a summary. The verification requirement is permanent and continues without expiry under the Nofade Guarantee of Article 4.</w:t>
      </w:r>
    </w:p>
    <w:p w14:paraId="23B6BC58" w14:textId="77777777" w:rsidR="00DA7972" w:rsidRDefault="00000000">
      <w:pPr>
        <w:pStyle w:val="Heading2"/>
      </w:pPr>
      <w:bookmarkStart w:id="42" w:name="_Toc236229923"/>
      <w:r>
        <w:rPr>
          <w:rFonts w:eastAsia="Calibri" w:cs="Calibri"/>
          <w:szCs w:val="26"/>
        </w:rPr>
        <w:t>Article 28: Mishap and Incident Management</w:t>
      </w:r>
      <w:bookmarkEnd w:id="42"/>
    </w:p>
    <w:p w14:paraId="34643E22" w14:textId="77777777" w:rsidR="00DA7972" w:rsidRDefault="00000000">
      <w:pPr>
        <w:pBdr>
          <w:left w:val="single" w:sz="8" w:space="6" w:color="B0BEC5"/>
        </w:pBdr>
        <w:spacing w:before="40"/>
        <w:ind w:left="360"/>
      </w:pPr>
      <w:r>
        <w:rPr>
          <w:rFonts w:ascii="Calibri" w:eastAsia="Calibri" w:hAnsi="Calibri" w:cs="Calibri"/>
          <w:i/>
          <w:color w:val="78909C"/>
          <w:sz w:val="18"/>
          <w:szCs w:val="18"/>
        </w:rPr>
        <w:t>See also Articles 27 and 31, and Annexes F and H.</w:t>
      </w:r>
    </w:p>
    <w:p w14:paraId="04B060BE" w14:textId="77777777" w:rsidR="00DA7972" w:rsidRDefault="00000000">
      <w:pPr>
        <w:pStyle w:val="Heading3"/>
      </w:pPr>
      <w:r>
        <w:rPr>
          <w:rFonts w:eastAsia="Calibri" w:cs="Calibri"/>
          <w:szCs w:val="22"/>
        </w:rPr>
        <w:t>28.1 The Mishap Protocol</w:t>
      </w:r>
    </w:p>
    <w:p w14:paraId="7D7C09F3" w14:textId="77777777" w:rsidR="00DA7972" w:rsidRDefault="00000000">
      <w:r>
        <w:rPr>
          <w:rFonts w:eastAsia="Georgia" w:cs="Georgia"/>
          <w:szCs w:val="21"/>
        </w:rPr>
        <w:t>Where a collision, casualty, interference event, or use-of-force incident occurs inside the Governance Area, the Mishap Protocol runs automatically:</w:t>
      </w:r>
    </w:p>
    <w:p w14:paraId="1A96A092" w14:textId="77777777" w:rsidR="00DA7972" w:rsidRDefault="00000000">
      <w:pPr>
        <w:ind w:left="360"/>
      </w:pPr>
      <w:r>
        <w:rPr>
          <w:rFonts w:eastAsia="Georgia" w:cs="Georgia"/>
          <w:szCs w:val="21"/>
        </w:rPr>
        <w:t>1. Immediate stand-down-and-report. Every involved unit holds position and reports. The Center logs the report and broadcasts a safety notice.</w:t>
      </w:r>
    </w:p>
    <w:p w14:paraId="1F9ACD18" w14:textId="77777777" w:rsidR="00DA7972" w:rsidRDefault="00000000">
      <w:pPr>
        <w:ind w:left="360"/>
      </w:pPr>
      <w:r>
        <w:rPr>
          <w:rFonts w:eastAsia="Georgia" w:cs="Georgia"/>
          <w:szCs w:val="21"/>
        </w:rPr>
        <w:t>2. Thirty-Minute Position Log. Every vessel and unit within 10 nautical miles logs and transmits its position, course, and speed every 30 minutes for 6 hours, through any working channel. The log preserves the common factual spine of the event.</w:t>
      </w:r>
    </w:p>
    <w:p w14:paraId="10BAD336" w14:textId="77777777" w:rsidR="00DA7972" w:rsidRDefault="00000000">
      <w:pPr>
        <w:ind w:left="360"/>
      </w:pPr>
      <w:r>
        <w:rPr>
          <w:rFonts w:eastAsia="Georgia" w:cs="Georgia"/>
          <w:szCs w:val="21"/>
        </w:rPr>
        <w:t>3. Four-hour classification. Within 4 hours, the paired duty officers, with the embarked observer where present, classify the event provisionally as accident, interference, or unresolved, and the Bulletin carries the classification with the evidence state.</w:t>
      </w:r>
    </w:p>
    <w:p w14:paraId="6A4568A6" w14:textId="77777777" w:rsidR="00DA7972" w:rsidRDefault="00000000">
      <w:pPr>
        <w:ind w:left="360"/>
      </w:pPr>
      <w:r>
        <w:rPr>
          <w:rFonts w:eastAsia="Georgia" w:cs="Georgia"/>
          <w:szCs w:val="21"/>
        </w:rPr>
        <w:t>4. Joint assessment. The Technical Committee, with the Neutral Keel Office, completes the assessment within 14 days under the Convergence Standard, and the report publishes.</w:t>
      </w:r>
    </w:p>
    <w:p w14:paraId="03CCA4B1" w14:textId="77777777" w:rsidR="00DA7972" w:rsidRDefault="00000000">
      <w:pPr>
        <w:ind w:left="360"/>
      </w:pPr>
      <w:r>
        <w:rPr>
          <w:rFonts w:eastAsia="Georgia" w:cs="Georgia"/>
          <w:szCs w:val="21"/>
        </w:rPr>
        <w:t>5. Restoration step. Where the event disrupted traffic, the Center publishes the restoration step and the expected return to Free Flow, and the Fund's compensation window opens where the closure qualifies under Article 22.7.</w:t>
      </w:r>
    </w:p>
    <w:p w14:paraId="5CD6BB7E" w14:textId="77777777" w:rsidR="00DA7972" w:rsidRDefault="00000000">
      <w:pPr>
        <w:pStyle w:val="Heading3"/>
      </w:pPr>
      <w:r>
        <w:rPr>
          <w:rFonts w:eastAsia="Calibri" w:cs="Calibri"/>
          <w:szCs w:val="22"/>
        </w:rPr>
        <w:lastRenderedPageBreak/>
        <w:t>28.2 Interference events</w:t>
      </w:r>
    </w:p>
    <w:p w14:paraId="34E3BC85" w14:textId="77777777" w:rsidR="00DA7972" w:rsidRDefault="00000000">
      <w:r>
        <w:rPr>
          <w:rFonts w:eastAsia="Georgia" w:cs="Georgia"/>
          <w:szCs w:val="21"/>
        </w:rPr>
        <w:t>An interference event covers harassment, signal jamming or spoofing, unsafe approach, or illumination by targeting systems. The signal-integrity watch of Article 10.3 records the technical evidence automatically. Repeated interference events against a pattern trigger the graduated response of Article 31 with the pattern evidence attached.</w:t>
      </w:r>
    </w:p>
    <w:p w14:paraId="1FC41BCD" w14:textId="77777777" w:rsidR="00DA7972" w:rsidRDefault="00000000">
      <w:pPr>
        <w:pStyle w:val="Heading3"/>
      </w:pPr>
      <w:r>
        <w:rPr>
          <w:rFonts w:eastAsia="Calibri" w:cs="Calibri"/>
          <w:szCs w:val="22"/>
        </w:rPr>
        <w:t>28.3 No fault finding by silence</w:t>
      </w:r>
    </w:p>
    <w:p w14:paraId="416B4703" w14:textId="77777777" w:rsidR="00DA7972" w:rsidRDefault="00000000">
      <w:r>
        <w:rPr>
          <w:rFonts w:eastAsia="Georgia" w:cs="Georgia"/>
          <w:szCs w:val="21"/>
        </w:rPr>
        <w:t>The protocol records facts; it assigns no fault by default. Fault findings travel through the Convergence Standard and the dispute tiers of Article 35. A provisional classification states the evidence state, and the final report states conclusions, so that no headline outruns the evidence.</w:t>
      </w:r>
    </w:p>
    <w:p w14:paraId="4B901921" w14:textId="77777777" w:rsidR="00DA7972" w:rsidRDefault="00000000">
      <w:pPr>
        <w:pStyle w:val="Heading2"/>
      </w:pPr>
      <w:bookmarkStart w:id="43" w:name="_Toc236229924"/>
      <w:r>
        <w:rPr>
          <w:rFonts w:eastAsia="Calibri" w:cs="Calibri"/>
          <w:szCs w:val="26"/>
        </w:rPr>
        <w:t>Article 29: Search and Rescue</w:t>
      </w:r>
      <w:bookmarkEnd w:id="43"/>
    </w:p>
    <w:p w14:paraId="7220D510" w14:textId="77777777" w:rsidR="00DA7972" w:rsidRDefault="00000000">
      <w:pPr>
        <w:pStyle w:val="Heading3"/>
      </w:pPr>
      <w:r>
        <w:rPr>
          <w:rFonts w:eastAsia="Calibri" w:cs="Calibri"/>
          <w:szCs w:val="22"/>
        </w:rPr>
        <w:t>29.1 Shared grid</w:t>
      </w:r>
    </w:p>
    <w:p w14:paraId="709AAAFD" w14:textId="77777777" w:rsidR="00DA7972" w:rsidRDefault="00000000">
      <w:r>
        <w:rPr>
          <w:rFonts w:eastAsia="Georgia" w:cs="Georgia"/>
          <w:szCs w:val="21"/>
        </w:rPr>
        <w:t>The Parties operate search and rescue in the Governance Area as one shared grid, coordinated by the Center, executed by the coastal states' rescue assets, and observed by the Neutral Keel Office. The grid divides the Governance Area into the sectors of Annex K, assigns each sector a primary and a supporting rescue coordinator, and holds a rescue vessel on 30-minute notice at each approach at all times.</w:t>
      </w:r>
    </w:p>
    <w:p w14:paraId="789EA691" w14:textId="77777777" w:rsidR="00DA7972" w:rsidRDefault="00000000">
      <w:pPr>
        <w:pStyle w:val="Heading3"/>
      </w:pPr>
      <w:r>
        <w:rPr>
          <w:rFonts w:eastAsia="Calibri" w:cs="Calibri"/>
          <w:szCs w:val="22"/>
        </w:rPr>
        <w:t>29.2 Distress priority</w:t>
      </w:r>
    </w:p>
    <w:p w14:paraId="7968EFD9" w14:textId="77777777" w:rsidR="00DA7972" w:rsidRDefault="00000000">
      <w:r>
        <w:rPr>
          <w:rFonts w:eastAsia="Georgia" w:cs="Georgia"/>
          <w:szCs w:val="21"/>
        </w:rPr>
        <w:t>A distress call overrides every other consideration in this Accord. Any asset of any Party proceeds to distress assistance anywhere in the Governance Area without prior clearance, and the Center logs the movement afterward. The architecture treats life-saving as pre-authorized in all waters, by all actors, at all times, and a delay of distress response for any administrative reason classifies as an Architectural Breach.</w:t>
      </w:r>
    </w:p>
    <w:p w14:paraId="49C65CAE" w14:textId="77777777" w:rsidR="00DA7972" w:rsidRDefault="00000000">
      <w:pPr>
        <w:pStyle w:val="Heading3"/>
      </w:pPr>
      <w:r>
        <w:rPr>
          <w:rFonts w:eastAsia="Calibri" w:cs="Calibri"/>
          <w:szCs w:val="22"/>
        </w:rPr>
        <w:t>29.3 Exercises and readiness</w:t>
      </w:r>
    </w:p>
    <w:p w14:paraId="59DE5AFF" w14:textId="77777777" w:rsidR="00DA7972" w:rsidRDefault="00000000">
      <w:r>
        <w:rPr>
          <w:rFonts w:eastAsia="Georgia" w:cs="Georgia"/>
          <w:szCs w:val="21"/>
        </w:rPr>
        <w:t>The coastal states conduct a joint search and rescue exercise each quarter, alternating leads, with the Neutral Keel Office observing and the results published. Readiness statistics publish in the Bulletin weekly: assets on notice, response times, and drill currency.</w:t>
      </w:r>
    </w:p>
    <w:p w14:paraId="4255D608" w14:textId="77777777" w:rsidR="00DA7972" w:rsidRDefault="00000000">
      <w:pPr>
        <w:pStyle w:val="Heading2"/>
      </w:pPr>
      <w:bookmarkStart w:id="44" w:name="_Toc236229925"/>
      <w:r>
        <w:rPr>
          <w:rFonts w:eastAsia="Calibri" w:cs="Calibri"/>
          <w:szCs w:val="26"/>
        </w:rPr>
        <w:t>Article 30: Environmental Protection</w:t>
      </w:r>
      <w:bookmarkEnd w:id="44"/>
    </w:p>
    <w:p w14:paraId="7200D23C" w14:textId="77777777" w:rsidR="00DA7972" w:rsidRDefault="00000000">
      <w:pPr>
        <w:pStyle w:val="Heading3"/>
      </w:pPr>
      <w:r>
        <w:rPr>
          <w:rFonts w:eastAsia="Calibri" w:cs="Calibri"/>
          <w:szCs w:val="22"/>
        </w:rPr>
        <w:t>30.1 Pollution prevention</w:t>
      </w:r>
    </w:p>
    <w:p w14:paraId="248E4621" w14:textId="77777777" w:rsidR="00DA7972" w:rsidRDefault="00000000">
      <w:r>
        <w:rPr>
          <w:rFonts w:eastAsia="Georgia" w:cs="Georgia"/>
          <w:szCs w:val="21"/>
        </w:rPr>
        <w:t>The corridor rules incorporate the international pollution-prevention standards as minimums: discharge rules, ballast management, and bunkering exclusion inside the lanes. The Center's watch includes an environmental watch function that logs every observed discharge and every report of sheen or debris, and the ground-truth patrols carry pollution-observation kits.</w:t>
      </w:r>
    </w:p>
    <w:p w14:paraId="01251D0F" w14:textId="77777777" w:rsidR="00DA7972" w:rsidRDefault="00000000">
      <w:pPr>
        <w:pStyle w:val="Heading3"/>
      </w:pPr>
      <w:r>
        <w:rPr>
          <w:rFonts w:eastAsia="Calibri" w:cs="Calibri"/>
          <w:szCs w:val="22"/>
        </w:rPr>
        <w:lastRenderedPageBreak/>
        <w:t>30.2 Sensitive areas</w:t>
      </w:r>
    </w:p>
    <w:p w14:paraId="07D87D5A" w14:textId="77777777" w:rsidR="00DA7972" w:rsidRDefault="00000000">
      <w:r>
        <w:rPr>
          <w:rFonts w:eastAsia="Georgia" w:cs="Georgia"/>
          <w:szCs w:val="21"/>
        </w:rPr>
        <w:t>Annex J designates the environmentally sensitive areas of the Governance Area, including the Larak and Hengam inshore waters, the Musandam coral zones, and the spawning aggregation areas the coastal states identify. Sensitive-area rules: no anchoring outside designated anchorages, speed reduction to 10 knots for laden Class B vessels in the marked zones, and mandatory routing advice acceptance in the marked zones.</w:t>
      </w:r>
    </w:p>
    <w:p w14:paraId="174DA251" w14:textId="77777777" w:rsidR="00DA7972" w:rsidRDefault="00000000">
      <w:pPr>
        <w:pStyle w:val="Heading3"/>
      </w:pPr>
      <w:r>
        <w:rPr>
          <w:rFonts w:eastAsia="Calibri" w:cs="Calibri"/>
          <w:szCs w:val="22"/>
        </w:rPr>
        <w:t>30.3 Pollution response</w:t>
      </w:r>
    </w:p>
    <w:p w14:paraId="1858BA62" w14:textId="77777777" w:rsidR="00DA7972" w:rsidRDefault="00000000">
      <w:r>
        <w:rPr>
          <w:rFonts w:eastAsia="Georgia" w:cs="Georgia"/>
          <w:szCs w:val="21"/>
        </w:rPr>
        <w:t>The coastal states maintain pollution response standby under the Fund's readiness line, per the Catalog: containment and recovery capacity at each approach on 2-hour notice, dispersant stockpiles at Bandar Abbas and Khasab, and a joint response plan at Annex J. A pollution event activates the Mishap Protocol with the environmental watch leading the assessment, and the compensation window covers response costs where the event qualifies.</w:t>
      </w:r>
    </w:p>
    <w:p w14:paraId="1EF2FF3C" w14:textId="77777777" w:rsidR="00DA7972" w:rsidRDefault="00000000">
      <w:pPr>
        <w:pStyle w:val="Heading3"/>
      </w:pPr>
      <w:r>
        <w:rPr>
          <w:rFonts w:eastAsia="Calibri" w:cs="Calibri"/>
          <w:szCs w:val="22"/>
        </w:rPr>
        <w:t>30.4 Liability and the coverage rule</w:t>
      </w:r>
    </w:p>
    <w:p w14:paraId="6B365069" w14:textId="77777777" w:rsidR="00DA7972" w:rsidRDefault="00000000">
      <w:r>
        <w:rPr>
          <w:rFonts w:eastAsia="Georgia" w:cs="Georgia"/>
          <w:szCs w:val="21"/>
        </w:rPr>
        <w:t>Liability for pollution damage follows the international liability and compensation instruments in force for the responsible vessel's flag and class. The Accord adds a coverage rule: every vessel above 10,000 gross tons transiting the corridors carries pollution liability coverage from a recognized provider, evidenced in the notice for Corridor Two and in the Registry for Corridor One. The Fund's compensation window advances response costs where an uninsured or unidentified vessel causes an event, and recovery follows the responsible party wherever the evidence leads.</w:t>
      </w:r>
    </w:p>
    <w:tbl>
      <w:tblPr>
        <w:tblW w:w="5000" w:type="pct"/>
        <w:tblInd w:w="200" w:type="dxa"/>
        <w:tblBorders>
          <w:top w:val="single" w:sz="2" w:space="0" w:color="B0BEC5"/>
          <w:left w:val="single" w:sz="18" w:space="0" w:color="37474F"/>
          <w:bottom w:val="single" w:sz="2" w:space="0" w:color="B0BEC5"/>
          <w:right w:val="single" w:sz="2" w:space="0" w:color="B0BEC5"/>
        </w:tblBorders>
        <w:tblCellMar>
          <w:top w:w="140" w:type="dxa"/>
          <w:left w:w="200" w:type="dxa"/>
          <w:bottom w:w="140" w:type="dxa"/>
          <w:right w:w="160" w:type="dxa"/>
        </w:tblCellMar>
        <w:tblLook w:val="04A0" w:firstRow="1" w:lastRow="0" w:firstColumn="1" w:lastColumn="0" w:noHBand="0" w:noVBand="1"/>
      </w:tblPr>
      <w:tblGrid>
        <w:gridCol w:w="9386"/>
      </w:tblGrid>
      <w:tr w:rsidR="00DA7972" w14:paraId="2EC41894" w14:textId="77777777">
        <w:tc>
          <w:tcPr>
            <w:tcW w:w="9010" w:type="dxa"/>
            <w:shd w:val="clear" w:color="auto" w:fill="ECEFF1"/>
          </w:tcPr>
          <w:p w14:paraId="1DB7C9C4" w14:textId="77777777" w:rsidR="00DA7972" w:rsidRDefault="00000000">
            <w:pPr>
              <w:spacing w:after="0"/>
            </w:pPr>
            <w:r>
              <w:rPr>
                <w:rFonts w:eastAsia="Georgia" w:cs="Georgia"/>
                <w:i/>
                <w:szCs w:val="21"/>
              </w:rPr>
              <w:t>Design rationale for the verification philosophy. The Parties anchor verification in human judgment and convergent inputs because the 2026 crisis taught the region that telemetry alone deceives and accusation alone destroys. Single-source intelligence produced the worst decisions of the crisis years; convergent, human-signed evidence produces findings that survive politics. The ground-truth patrols, the embarked observers, and the two-input rule cost more than a satellite subscription, and they buy the one thing no satellite sells: findings every capital accepts without humiliation.</w:t>
            </w:r>
          </w:p>
        </w:tc>
      </w:tr>
    </w:tbl>
    <w:p w14:paraId="33EFBE55" w14:textId="77777777" w:rsidR="00DA7972" w:rsidRDefault="00000000">
      <w:pPr>
        <w:pStyle w:val="Heading1"/>
      </w:pPr>
      <w:bookmarkStart w:id="45" w:name="_Toc236229926"/>
      <w:r>
        <w:rPr>
          <w:rFonts w:eastAsia="Calibri" w:cs="Calibri"/>
          <w:szCs w:val="32"/>
        </w:rPr>
        <w:lastRenderedPageBreak/>
        <w:t>Part VI: Compliance, Accountability, and Dispute Resolution</w:t>
      </w:r>
      <w:bookmarkEnd w:id="45"/>
    </w:p>
    <w:p w14:paraId="0F65912F" w14:textId="77777777" w:rsidR="00DA7972" w:rsidRDefault="00000000">
      <w:pPr>
        <w:pStyle w:val="Heading2"/>
      </w:pPr>
      <w:bookmarkStart w:id="46" w:name="_Toc236229927"/>
      <w:r>
        <w:rPr>
          <w:rFonts w:eastAsia="Calibri" w:cs="Calibri"/>
          <w:szCs w:val="26"/>
        </w:rPr>
        <w:t>Article 31: The Compliance Engine</w:t>
      </w:r>
      <w:bookmarkEnd w:id="46"/>
    </w:p>
    <w:p w14:paraId="467F646F" w14:textId="77777777" w:rsidR="00DA7972" w:rsidRDefault="00000000">
      <w:pPr>
        <w:pStyle w:val="Heading3"/>
      </w:pPr>
      <w:r>
        <w:rPr>
          <w:rFonts w:eastAsia="Calibri" w:cs="Calibri"/>
          <w:szCs w:val="22"/>
        </w:rPr>
        <w:t>31.1 Three categories of events</w:t>
      </w:r>
    </w:p>
    <w:p w14:paraId="203CBE2F" w14:textId="77777777" w:rsidR="00DA7972" w:rsidRDefault="00000000">
      <w:r>
        <w:rPr>
          <w:rFonts w:eastAsia="Georgia" w:cs="Georgia"/>
          <w:szCs w:val="21"/>
        </w:rPr>
        <w:t>The Accord classifies every compliance event into one of three categories, on verified facts under the Convergence Standard:</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2306"/>
        <w:gridCol w:w="2306"/>
        <w:gridCol w:w="2306"/>
        <w:gridCol w:w="2308"/>
      </w:tblGrid>
      <w:tr w:rsidR="00DA7972" w14:paraId="2534CA6B" w14:textId="77777777">
        <w:trPr>
          <w:tblHeader/>
        </w:trPr>
        <w:tc>
          <w:tcPr>
            <w:tcW w:w="2252" w:type="dxa"/>
            <w:tcBorders>
              <w:bottom w:val="single" w:sz="6" w:space="0" w:color="546E7A"/>
            </w:tcBorders>
            <w:shd w:val="clear" w:color="auto" w:fill="E4E9EC"/>
          </w:tcPr>
          <w:p w14:paraId="5558CBF8" w14:textId="77777777" w:rsidR="00DA7972" w:rsidRDefault="00000000">
            <w:pPr>
              <w:spacing w:after="0" w:line="260" w:lineRule="auto"/>
              <w:jc w:val="left"/>
            </w:pPr>
            <w:r>
              <w:rPr>
                <w:rFonts w:ascii="Calibri" w:eastAsia="Calibri" w:hAnsi="Calibri" w:cs="Calibri"/>
                <w:b/>
                <w:color w:val="37474F"/>
                <w:sz w:val="19"/>
                <w:szCs w:val="19"/>
              </w:rPr>
              <w:t>Category</w:t>
            </w:r>
          </w:p>
        </w:tc>
        <w:tc>
          <w:tcPr>
            <w:tcW w:w="2252" w:type="dxa"/>
            <w:tcBorders>
              <w:bottom w:val="single" w:sz="6" w:space="0" w:color="546E7A"/>
            </w:tcBorders>
            <w:shd w:val="clear" w:color="auto" w:fill="E4E9EC"/>
          </w:tcPr>
          <w:p w14:paraId="4A95BA17" w14:textId="77777777" w:rsidR="00DA7972" w:rsidRDefault="00000000">
            <w:pPr>
              <w:spacing w:after="0" w:line="260" w:lineRule="auto"/>
              <w:jc w:val="left"/>
            </w:pPr>
            <w:r>
              <w:rPr>
                <w:rFonts w:ascii="Calibri" w:eastAsia="Calibri" w:hAnsi="Calibri" w:cs="Calibri"/>
                <w:b/>
                <w:color w:val="37474F"/>
                <w:sz w:val="19"/>
                <w:szCs w:val="19"/>
              </w:rPr>
              <w:t>Definition</w:t>
            </w:r>
          </w:p>
        </w:tc>
        <w:tc>
          <w:tcPr>
            <w:tcW w:w="2252" w:type="dxa"/>
            <w:tcBorders>
              <w:bottom w:val="single" w:sz="6" w:space="0" w:color="546E7A"/>
            </w:tcBorders>
            <w:shd w:val="clear" w:color="auto" w:fill="E4E9EC"/>
          </w:tcPr>
          <w:p w14:paraId="6D10EBC1" w14:textId="77777777" w:rsidR="00DA7972" w:rsidRDefault="00000000">
            <w:pPr>
              <w:spacing w:after="0" w:line="260" w:lineRule="auto"/>
              <w:jc w:val="left"/>
            </w:pPr>
            <w:r>
              <w:rPr>
                <w:rFonts w:ascii="Calibri" w:eastAsia="Calibri" w:hAnsi="Calibri" w:cs="Calibri"/>
                <w:b/>
                <w:color w:val="37474F"/>
                <w:sz w:val="19"/>
                <w:szCs w:val="19"/>
              </w:rPr>
              <w:t>Examples</w:t>
            </w:r>
          </w:p>
        </w:tc>
        <w:tc>
          <w:tcPr>
            <w:tcW w:w="2254" w:type="dxa"/>
            <w:tcBorders>
              <w:bottom w:val="single" w:sz="6" w:space="0" w:color="546E7A"/>
            </w:tcBorders>
            <w:shd w:val="clear" w:color="auto" w:fill="E4E9EC"/>
          </w:tcPr>
          <w:p w14:paraId="3D313E6E" w14:textId="77777777" w:rsidR="00DA7972" w:rsidRDefault="00000000">
            <w:pPr>
              <w:spacing w:after="0" w:line="260" w:lineRule="auto"/>
              <w:jc w:val="left"/>
            </w:pPr>
            <w:r>
              <w:rPr>
                <w:rFonts w:ascii="Calibri" w:eastAsia="Calibri" w:hAnsi="Calibri" w:cs="Calibri"/>
                <w:b/>
                <w:color w:val="37474F"/>
                <w:sz w:val="19"/>
                <w:szCs w:val="19"/>
              </w:rPr>
              <w:t>Automatic response</w:t>
            </w:r>
          </w:p>
        </w:tc>
      </w:tr>
      <w:tr w:rsidR="00DA7972" w14:paraId="64A5C562" w14:textId="77777777">
        <w:tc>
          <w:tcPr>
            <w:tcW w:w="2252" w:type="dxa"/>
          </w:tcPr>
          <w:p w14:paraId="75463725" w14:textId="77777777" w:rsidR="00DA7972" w:rsidRDefault="00000000">
            <w:pPr>
              <w:spacing w:after="0" w:line="260" w:lineRule="auto"/>
              <w:jc w:val="left"/>
            </w:pPr>
            <w:r>
              <w:rPr>
                <w:rFonts w:ascii="Calibri" w:eastAsia="Calibri" w:hAnsi="Calibri" w:cs="Calibri"/>
                <w:sz w:val="19"/>
                <w:szCs w:val="19"/>
              </w:rPr>
              <w:t>Operational Variation</w:t>
            </w:r>
          </w:p>
        </w:tc>
        <w:tc>
          <w:tcPr>
            <w:tcW w:w="2252" w:type="dxa"/>
          </w:tcPr>
          <w:p w14:paraId="21BE8333" w14:textId="77777777" w:rsidR="00DA7972" w:rsidRDefault="00000000">
            <w:pPr>
              <w:spacing w:after="0" w:line="260" w:lineRule="auto"/>
              <w:jc w:val="left"/>
            </w:pPr>
            <w:r>
              <w:rPr>
                <w:rFonts w:ascii="Calibri" w:eastAsia="Calibri" w:hAnsi="Calibri" w:cs="Calibri"/>
                <w:sz w:val="19"/>
                <w:szCs w:val="19"/>
              </w:rPr>
              <w:t>An isolated, non-pattern deviation from a procedural rule, cured or curable without third-party loss</w:t>
            </w:r>
          </w:p>
        </w:tc>
        <w:tc>
          <w:tcPr>
            <w:tcW w:w="2252" w:type="dxa"/>
          </w:tcPr>
          <w:p w14:paraId="24BBFFA4" w14:textId="77777777" w:rsidR="00DA7972" w:rsidRDefault="00000000">
            <w:pPr>
              <w:spacing w:after="0" w:line="260" w:lineRule="auto"/>
              <w:jc w:val="left"/>
            </w:pPr>
            <w:r>
              <w:rPr>
                <w:rFonts w:ascii="Calibri" w:eastAsia="Calibri" w:hAnsi="Calibri" w:cs="Calibri"/>
                <w:sz w:val="19"/>
                <w:szCs w:val="19"/>
              </w:rPr>
              <w:t>Late notice cured before transit; a one-off spacing breach logged and acknowledged</w:t>
            </w:r>
          </w:p>
        </w:tc>
        <w:tc>
          <w:tcPr>
            <w:tcW w:w="2254" w:type="dxa"/>
          </w:tcPr>
          <w:p w14:paraId="5B4AEE53" w14:textId="77777777" w:rsidR="00DA7972" w:rsidRDefault="00000000">
            <w:pPr>
              <w:spacing w:after="0" w:line="260" w:lineRule="auto"/>
              <w:jc w:val="left"/>
            </w:pPr>
            <w:r>
              <w:rPr>
                <w:rFonts w:ascii="Calibri" w:eastAsia="Calibri" w:hAnsi="Calibri" w:cs="Calibri"/>
                <w:sz w:val="19"/>
                <w:szCs w:val="19"/>
              </w:rPr>
              <w:t>Notice and cure: the Center issues a written notice; the Party cures within 7 days; the event closes on cure</w:t>
            </w:r>
          </w:p>
        </w:tc>
      </w:tr>
      <w:tr w:rsidR="00DA7972" w14:paraId="1D340C6B" w14:textId="77777777">
        <w:tc>
          <w:tcPr>
            <w:tcW w:w="2252" w:type="dxa"/>
          </w:tcPr>
          <w:p w14:paraId="46923BA2" w14:textId="77777777" w:rsidR="00DA7972" w:rsidRDefault="00000000">
            <w:pPr>
              <w:spacing w:after="0" w:line="260" w:lineRule="auto"/>
              <w:jc w:val="left"/>
            </w:pPr>
            <w:r>
              <w:rPr>
                <w:rFonts w:ascii="Calibri" w:eastAsia="Calibri" w:hAnsi="Calibri" w:cs="Calibri"/>
                <w:sz w:val="19"/>
                <w:szCs w:val="19"/>
              </w:rPr>
              <w:t>Material Disruption</w:t>
            </w:r>
          </w:p>
        </w:tc>
        <w:tc>
          <w:tcPr>
            <w:tcW w:w="2252" w:type="dxa"/>
          </w:tcPr>
          <w:p w14:paraId="7306996E" w14:textId="77777777" w:rsidR="00DA7972" w:rsidRDefault="00000000">
            <w:pPr>
              <w:spacing w:after="0" w:line="260" w:lineRule="auto"/>
              <w:jc w:val="left"/>
            </w:pPr>
            <w:r>
              <w:rPr>
                <w:rFonts w:ascii="Calibri" w:eastAsia="Calibri" w:hAnsi="Calibri" w:cs="Calibri"/>
                <w:sz w:val="19"/>
                <w:szCs w:val="19"/>
              </w:rPr>
              <w:t>A deviation that produces third-party loss, repeats after notice, or touches a service, safety, or financial standard</w:t>
            </w:r>
          </w:p>
        </w:tc>
        <w:tc>
          <w:tcPr>
            <w:tcW w:w="2252" w:type="dxa"/>
          </w:tcPr>
          <w:p w14:paraId="5F38FA29" w14:textId="77777777" w:rsidR="00DA7972" w:rsidRDefault="00000000">
            <w:pPr>
              <w:spacing w:after="0" w:line="260" w:lineRule="auto"/>
              <w:jc w:val="left"/>
            </w:pPr>
            <w:r>
              <w:rPr>
                <w:rFonts w:ascii="Calibri" w:eastAsia="Calibri" w:hAnsi="Calibri" w:cs="Calibri"/>
                <w:sz w:val="19"/>
                <w:szCs w:val="19"/>
              </w:rPr>
              <w:t>A pattern of late acknowledgments; double recovery under Article 22.6; obstruction of a scheduled patrol</w:t>
            </w:r>
          </w:p>
        </w:tc>
        <w:tc>
          <w:tcPr>
            <w:tcW w:w="2254" w:type="dxa"/>
          </w:tcPr>
          <w:p w14:paraId="27E1D1A2" w14:textId="77777777" w:rsidR="00DA7972" w:rsidRDefault="00000000">
            <w:pPr>
              <w:spacing w:after="0" w:line="260" w:lineRule="auto"/>
              <w:jc w:val="left"/>
            </w:pPr>
            <w:r>
              <w:rPr>
                <w:rFonts w:ascii="Calibri" w:eastAsia="Calibri" w:hAnsi="Calibri" w:cs="Calibri"/>
                <w:sz w:val="19"/>
                <w:szCs w:val="19"/>
              </w:rPr>
              <w:t>Graduated response of Article 31.3, steps one through three</w:t>
            </w:r>
          </w:p>
        </w:tc>
      </w:tr>
      <w:tr w:rsidR="00DA7972" w14:paraId="111E2C9D" w14:textId="77777777">
        <w:tc>
          <w:tcPr>
            <w:tcW w:w="2252" w:type="dxa"/>
          </w:tcPr>
          <w:p w14:paraId="70CD332B" w14:textId="77777777" w:rsidR="00DA7972" w:rsidRDefault="00000000">
            <w:pPr>
              <w:spacing w:after="0" w:line="260" w:lineRule="auto"/>
              <w:jc w:val="left"/>
            </w:pPr>
            <w:r>
              <w:rPr>
                <w:rFonts w:ascii="Calibri" w:eastAsia="Calibri" w:hAnsi="Calibri" w:cs="Calibri"/>
                <w:sz w:val="19"/>
                <w:szCs w:val="19"/>
              </w:rPr>
              <w:t>Architectural Breach</w:t>
            </w:r>
          </w:p>
        </w:tc>
        <w:tc>
          <w:tcPr>
            <w:tcW w:w="2252" w:type="dxa"/>
          </w:tcPr>
          <w:p w14:paraId="0B30F1B5" w14:textId="77777777" w:rsidR="00DA7972" w:rsidRDefault="00000000">
            <w:pPr>
              <w:spacing w:after="0" w:line="260" w:lineRule="auto"/>
              <w:jc w:val="left"/>
            </w:pPr>
            <w:r>
              <w:rPr>
                <w:rFonts w:ascii="Calibri" w:eastAsia="Calibri" w:hAnsi="Calibri" w:cs="Calibri"/>
                <w:sz w:val="19"/>
                <w:szCs w:val="19"/>
              </w:rPr>
              <w:t>A deviation touching a Red Line, the humanitarian absolute, distress response, or the Non-Interdiction Protocol</w:t>
            </w:r>
          </w:p>
        </w:tc>
        <w:tc>
          <w:tcPr>
            <w:tcW w:w="2252" w:type="dxa"/>
          </w:tcPr>
          <w:p w14:paraId="6FB5749C" w14:textId="77777777" w:rsidR="00DA7972" w:rsidRDefault="00000000">
            <w:pPr>
              <w:spacing w:after="0" w:line="260" w:lineRule="auto"/>
              <w:jc w:val="left"/>
            </w:pPr>
            <w:r>
              <w:rPr>
                <w:rFonts w:ascii="Calibri" w:eastAsia="Calibri" w:hAnsi="Calibri" w:cs="Calibri"/>
                <w:sz w:val="19"/>
                <w:szCs w:val="19"/>
              </w:rPr>
              <w:t>A charge collected on passage; an interdiction inside a corridor; a delayed distress response</w:t>
            </w:r>
          </w:p>
        </w:tc>
        <w:tc>
          <w:tcPr>
            <w:tcW w:w="2254" w:type="dxa"/>
          </w:tcPr>
          <w:p w14:paraId="1F4765EE" w14:textId="77777777" w:rsidR="00DA7972" w:rsidRDefault="00000000">
            <w:pPr>
              <w:spacing w:after="0" w:line="260" w:lineRule="auto"/>
              <w:jc w:val="left"/>
            </w:pPr>
            <w:r>
              <w:rPr>
                <w:rFonts w:ascii="Calibri" w:eastAsia="Calibri" w:hAnsi="Calibri" w:cs="Calibri"/>
                <w:sz w:val="19"/>
                <w:szCs w:val="19"/>
              </w:rPr>
              <w:t>Immediate Stillwater Pause of Article 32; Guarantor Panel convenes within 48 hours</w:t>
            </w:r>
          </w:p>
        </w:tc>
      </w:tr>
    </w:tbl>
    <w:p w14:paraId="4DA22BA5" w14:textId="77777777" w:rsidR="00DA7972" w:rsidRDefault="00DA7972">
      <w:pPr>
        <w:spacing w:after="60"/>
      </w:pPr>
    </w:p>
    <w:p w14:paraId="61714403" w14:textId="77777777" w:rsidR="00DA7972" w:rsidRDefault="00000000">
      <w:pPr>
        <w:pStyle w:val="Caption"/>
      </w:pPr>
      <w:r>
        <w:rPr>
          <w:rFonts w:eastAsia="Calibri" w:cs="Calibri"/>
          <w:szCs w:val="18"/>
        </w:rPr>
        <w:t>Table 31.1: The three categories of compliance events</w:t>
      </w:r>
    </w:p>
    <w:tbl>
      <w:tblPr>
        <w:tblW w:w="5000" w:type="pct"/>
        <w:tblInd w:w="200" w:type="dxa"/>
        <w:tblBorders>
          <w:top w:val="single" w:sz="4" w:space="0" w:color="B0BEC5"/>
          <w:left w:val="single" w:sz="4" w:space="0" w:color="B0BEC5"/>
          <w:bottom w:val="single" w:sz="4" w:space="0" w:color="B0BEC5"/>
          <w:right w:val="single" w:sz="4" w:space="0" w:color="B0BEC5"/>
        </w:tblBorders>
        <w:tblCellMar>
          <w:top w:w="120" w:type="dxa"/>
          <w:left w:w="200" w:type="dxa"/>
          <w:bottom w:w="120" w:type="dxa"/>
          <w:right w:w="200" w:type="dxa"/>
        </w:tblCellMar>
        <w:tblLook w:val="04A0" w:firstRow="1" w:lastRow="0" w:firstColumn="1" w:lastColumn="0" w:noHBand="0" w:noVBand="1"/>
      </w:tblPr>
      <w:tblGrid>
        <w:gridCol w:w="9426"/>
      </w:tblGrid>
      <w:tr w:rsidR="00DA7972" w14:paraId="3962E302" w14:textId="77777777">
        <w:tc>
          <w:tcPr>
            <w:tcW w:w="9010" w:type="dxa"/>
            <w:shd w:val="clear" w:color="auto" w:fill="F4F6F7"/>
          </w:tcPr>
          <w:p w14:paraId="514B1695" w14:textId="77777777" w:rsidR="00DA7972" w:rsidRDefault="00000000">
            <w:pPr>
              <w:jc w:val="center"/>
            </w:pPr>
            <w:r>
              <w:rPr>
                <w:rFonts w:ascii="Calibri" w:eastAsia="Calibri" w:hAnsi="Calibri" w:cs="Calibri"/>
                <w:b/>
                <w:color w:val="37474F"/>
                <w:sz w:val="19"/>
                <w:szCs w:val="19"/>
              </w:rPr>
              <w:t>Compliance and incident escalation: categories, ladder, and the Stillwater Pause</w:t>
            </w:r>
          </w:p>
          <w:p w14:paraId="48AE36C2" w14:textId="77777777" w:rsidR="00DA7972" w:rsidRDefault="00000000">
            <w:pPr>
              <w:spacing w:after="60" w:line="260" w:lineRule="auto"/>
              <w:jc w:val="center"/>
            </w:pPr>
            <w:r>
              <w:rPr>
                <w:rFonts w:ascii="Consolas" w:eastAsia="Consolas" w:hAnsi="Consolas" w:cs="Consolas"/>
                <w:sz w:val="18"/>
                <w:szCs w:val="18"/>
              </w:rPr>
              <w:t>Verified deviation (Convergence Standard)</w:t>
            </w:r>
          </w:p>
          <w:p w14:paraId="5E778824" w14:textId="77777777" w:rsidR="00DA7972" w:rsidRDefault="00000000">
            <w:pPr>
              <w:spacing w:after="60" w:line="260" w:lineRule="auto"/>
              <w:jc w:val="center"/>
            </w:pPr>
            <w:r>
              <w:rPr>
                <w:rFonts w:ascii="Consolas" w:eastAsia="Consolas" w:hAnsi="Consolas" w:cs="Consolas"/>
                <w:sz w:val="18"/>
                <w:szCs w:val="18"/>
              </w:rPr>
              <w:t xml:space="preserve">                 |</w:t>
            </w:r>
          </w:p>
          <w:p w14:paraId="2AAEBADA" w14:textId="77777777" w:rsidR="00DA7972" w:rsidRDefault="00000000">
            <w:pPr>
              <w:spacing w:after="60" w:line="260" w:lineRule="auto"/>
              <w:jc w:val="center"/>
            </w:pPr>
            <w:r>
              <w:rPr>
                <w:rFonts w:ascii="Consolas" w:eastAsia="Consolas" w:hAnsi="Consolas" w:cs="Consolas"/>
                <w:sz w:val="18"/>
                <w:szCs w:val="18"/>
              </w:rPr>
              <w:t xml:space="preserve">   +-------------+-------------+--------------+</w:t>
            </w:r>
          </w:p>
          <w:p w14:paraId="0C42F4A5" w14:textId="77777777" w:rsidR="00DA7972" w:rsidRDefault="00000000">
            <w:pPr>
              <w:spacing w:after="60" w:line="260" w:lineRule="auto"/>
              <w:jc w:val="center"/>
            </w:pPr>
            <w:r>
              <w:rPr>
                <w:rFonts w:ascii="Consolas" w:eastAsia="Consolas" w:hAnsi="Consolas" w:cs="Consolas"/>
                <w:sz w:val="18"/>
                <w:szCs w:val="18"/>
              </w:rPr>
              <w:t xml:space="preserve">   v                           v              v</w:t>
            </w:r>
          </w:p>
          <w:p w14:paraId="7FB0214C" w14:textId="77777777" w:rsidR="00DA7972" w:rsidRDefault="00000000">
            <w:pPr>
              <w:spacing w:after="60" w:line="260" w:lineRule="auto"/>
              <w:jc w:val="center"/>
            </w:pPr>
            <w:r>
              <w:rPr>
                <w:rFonts w:ascii="Consolas" w:eastAsia="Consolas" w:hAnsi="Consolas" w:cs="Consolas"/>
                <w:sz w:val="18"/>
                <w:szCs w:val="18"/>
              </w:rPr>
              <w:t>Operational              Material         Architectural</w:t>
            </w:r>
          </w:p>
          <w:p w14:paraId="22FA6C21" w14:textId="77777777" w:rsidR="00DA7972" w:rsidRDefault="00000000">
            <w:pPr>
              <w:spacing w:after="60" w:line="260" w:lineRule="auto"/>
              <w:jc w:val="center"/>
            </w:pPr>
            <w:r>
              <w:rPr>
                <w:rFonts w:ascii="Consolas" w:eastAsia="Consolas" w:hAnsi="Consolas" w:cs="Consolas"/>
                <w:sz w:val="18"/>
                <w:szCs w:val="18"/>
              </w:rPr>
              <w:t>Variation                Disruption       Breach</w:t>
            </w:r>
          </w:p>
          <w:p w14:paraId="7C12E9DA" w14:textId="77777777" w:rsidR="00DA7972" w:rsidRDefault="00000000">
            <w:pPr>
              <w:spacing w:after="60" w:line="260" w:lineRule="auto"/>
              <w:jc w:val="center"/>
            </w:pPr>
            <w:r>
              <w:rPr>
                <w:rFonts w:ascii="Consolas" w:eastAsia="Consolas" w:hAnsi="Consolas" w:cs="Consolas"/>
                <w:sz w:val="18"/>
                <w:szCs w:val="18"/>
              </w:rPr>
              <w:t xml:space="preserve">   |                           |              |</w:t>
            </w:r>
          </w:p>
          <w:p w14:paraId="7CA2556A" w14:textId="77777777" w:rsidR="00DA7972" w:rsidRDefault="00000000">
            <w:pPr>
              <w:spacing w:after="60" w:line="260" w:lineRule="auto"/>
              <w:jc w:val="center"/>
            </w:pPr>
            <w:r>
              <w:rPr>
                <w:rFonts w:ascii="Consolas" w:eastAsia="Consolas" w:hAnsi="Consolas" w:cs="Consolas"/>
                <w:sz w:val="18"/>
                <w:szCs w:val="18"/>
              </w:rPr>
              <w:t xml:space="preserve">   v                           v              v</w:t>
            </w:r>
          </w:p>
          <w:p w14:paraId="7AB3C235" w14:textId="77777777" w:rsidR="00DA7972" w:rsidRDefault="00000000">
            <w:pPr>
              <w:spacing w:after="60" w:line="260" w:lineRule="auto"/>
              <w:jc w:val="center"/>
            </w:pPr>
            <w:r>
              <w:rPr>
                <w:rFonts w:ascii="Consolas" w:eastAsia="Consolas" w:hAnsi="Consolas" w:cs="Consolas"/>
                <w:sz w:val="18"/>
                <w:szCs w:val="18"/>
              </w:rPr>
              <w:t>Notice + cure            Ladder steps      Stillwater Pause</w:t>
            </w:r>
          </w:p>
          <w:p w14:paraId="5D2E7173" w14:textId="77777777" w:rsidR="00DA7972" w:rsidRDefault="00000000">
            <w:pPr>
              <w:spacing w:after="60" w:line="260" w:lineRule="auto"/>
              <w:jc w:val="center"/>
            </w:pPr>
            <w:r>
              <w:rPr>
                <w:rFonts w:ascii="Consolas" w:eastAsia="Consolas" w:hAnsi="Consolas" w:cs="Consolas"/>
                <w:sz w:val="18"/>
                <w:szCs w:val="18"/>
              </w:rPr>
              <w:t>7 days, closes           1-5, each with   72 h; Panel in 48 h;</w:t>
            </w:r>
          </w:p>
          <w:p w14:paraId="59C32EE7" w14:textId="77777777" w:rsidR="00DA7972" w:rsidRDefault="00000000">
            <w:pPr>
              <w:spacing w:after="60" w:line="260" w:lineRule="auto"/>
              <w:jc w:val="center"/>
            </w:pPr>
            <w:r>
              <w:rPr>
                <w:rFonts w:ascii="Consolas" w:eastAsia="Consolas" w:hAnsi="Consolas" w:cs="Consolas"/>
                <w:sz w:val="18"/>
                <w:szCs w:val="18"/>
              </w:rPr>
              <w:t>on cure                  earn-back         core flows never pause</w:t>
            </w:r>
          </w:p>
          <w:p w14:paraId="2FEB43DD" w14:textId="77777777" w:rsidR="00DA7972" w:rsidRDefault="00000000">
            <w:pPr>
              <w:spacing w:after="60" w:line="260" w:lineRule="auto"/>
              <w:jc w:val="center"/>
            </w:pPr>
            <w:r>
              <w:rPr>
                <w:rFonts w:ascii="Consolas" w:eastAsia="Consolas" w:hAnsi="Consolas" w:cs="Consolas"/>
                <w:sz w:val="18"/>
                <w:szCs w:val="18"/>
              </w:rPr>
              <w:t xml:space="preserve">   |                           |              |</w:t>
            </w:r>
          </w:p>
          <w:p w14:paraId="6F9736FF" w14:textId="77777777" w:rsidR="00DA7972" w:rsidRDefault="00000000">
            <w:pPr>
              <w:spacing w:after="60" w:line="260" w:lineRule="auto"/>
              <w:jc w:val="center"/>
            </w:pPr>
            <w:r>
              <w:rPr>
                <w:rFonts w:ascii="Consolas" w:eastAsia="Consolas" w:hAnsi="Consolas" w:cs="Consolas"/>
                <w:sz w:val="18"/>
                <w:szCs w:val="18"/>
              </w:rPr>
              <w:t xml:space="preserve">   +-------------+-------------+--------------+</w:t>
            </w:r>
          </w:p>
          <w:p w14:paraId="1725B9F1" w14:textId="77777777" w:rsidR="00DA7972" w:rsidRDefault="00000000">
            <w:pPr>
              <w:spacing w:after="60" w:line="260" w:lineRule="auto"/>
              <w:jc w:val="center"/>
            </w:pPr>
            <w:r>
              <w:rPr>
                <w:rFonts w:ascii="Consolas" w:eastAsia="Consolas" w:hAnsi="Consolas" w:cs="Consolas"/>
                <w:sz w:val="18"/>
                <w:szCs w:val="18"/>
              </w:rPr>
              <w:t xml:space="preserve">                 v</w:t>
            </w:r>
          </w:p>
          <w:p w14:paraId="1D5B1C35" w14:textId="77777777" w:rsidR="00DA7972" w:rsidRDefault="00000000">
            <w:pPr>
              <w:spacing w:after="60" w:line="260" w:lineRule="auto"/>
              <w:jc w:val="center"/>
            </w:pPr>
            <w:r>
              <w:rPr>
                <w:rFonts w:ascii="Consolas" w:eastAsia="Consolas" w:hAnsi="Consolas" w:cs="Consolas"/>
                <w:sz w:val="18"/>
                <w:szCs w:val="18"/>
              </w:rPr>
              <w:t xml:space="preserve">     Restoration automatic on verified cure;</w:t>
            </w:r>
          </w:p>
          <w:p w14:paraId="4B55E5EF" w14:textId="77777777" w:rsidR="00DA7972" w:rsidRDefault="00000000">
            <w:pPr>
              <w:spacing w:after="60" w:line="260" w:lineRule="auto"/>
              <w:jc w:val="center"/>
            </w:pPr>
            <w:r>
              <w:rPr>
                <w:rFonts w:ascii="Consolas" w:eastAsia="Consolas" w:hAnsi="Consolas" w:cs="Consolas"/>
                <w:sz w:val="18"/>
                <w:szCs w:val="18"/>
              </w:rPr>
              <w:lastRenderedPageBreak/>
              <w:t xml:space="preserve">     performance banks in the Ledger (Nofade)</w:t>
            </w:r>
          </w:p>
        </w:tc>
      </w:tr>
    </w:tbl>
    <w:p w14:paraId="21AB8DC2" w14:textId="77777777" w:rsidR="00DA7972" w:rsidRDefault="00000000">
      <w:r>
        <w:rPr>
          <w:rFonts w:eastAsia="Georgia" w:cs="Georgia"/>
          <w:szCs w:val="21"/>
        </w:rPr>
        <w:lastRenderedPageBreak/>
        <w:t>Classification rests on verified facts. The Neutral Keel Office proposes, the Technical Committee confirms facts, and the Council or the Panel classifies. A Party subject to a proposed classification sees the full evidence file and answers before classification, within 72 hours.</w:t>
      </w:r>
    </w:p>
    <w:p w14:paraId="4D6A10A3" w14:textId="77777777" w:rsidR="00DA7972" w:rsidRDefault="00000000">
      <w:pPr>
        <w:pBdr>
          <w:left w:val="single" w:sz="8" w:space="6" w:color="B0BEC5"/>
        </w:pBdr>
        <w:spacing w:before="40"/>
        <w:ind w:left="360"/>
      </w:pPr>
      <w:r>
        <w:rPr>
          <w:rFonts w:ascii="Calibri" w:eastAsia="Calibri" w:hAnsi="Calibri" w:cs="Calibri"/>
          <w:i/>
          <w:color w:val="78909C"/>
          <w:sz w:val="18"/>
          <w:szCs w:val="18"/>
        </w:rPr>
        <w:t>See also Articles 32 and 33, and Annexes D and E.</w:t>
      </w:r>
    </w:p>
    <w:p w14:paraId="790D09CA" w14:textId="77777777" w:rsidR="00DA7972" w:rsidRDefault="00000000">
      <w:pPr>
        <w:pStyle w:val="Heading3"/>
      </w:pPr>
      <w:r>
        <w:rPr>
          <w:rFonts w:eastAsia="Calibri" w:cs="Calibri"/>
          <w:szCs w:val="22"/>
        </w:rPr>
        <w:t>31.2 The graduated response ladder</w:t>
      </w:r>
    </w:p>
    <w:p w14:paraId="043D7CA7" w14:textId="77777777" w:rsidR="00DA7972" w:rsidRDefault="00000000">
      <w:r>
        <w:rPr>
          <w:rFonts w:eastAsia="Georgia" w:cs="Georgia"/>
          <w:szCs w:val="21"/>
        </w:rPr>
        <w:t>Consequences rise in defined steps, each proportionate, each reversible, none touching the humanitarian absolute:</w:t>
      </w:r>
    </w:p>
    <w:p w14:paraId="45E3C64B" w14:textId="77777777" w:rsidR="00DA7972" w:rsidRDefault="00000000">
      <w:pPr>
        <w:ind w:left="360"/>
      </w:pPr>
      <w:r>
        <w:rPr>
          <w:rFonts w:eastAsia="Georgia" w:cs="Georgia"/>
          <w:szCs w:val="21"/>
        </w:rPr>
        <w:t>1. Step one: formal notice and cure window of 7 days.</w:t>
      </w:r>
    </w:p>
    <w:p w14:paraId="4E3B0ADB" w14:textId="77777777" w:rsidR="00DA7972" w:rsidRDefault="00000000">
      <w:pPr>
        <w:ind w:left="360"/>
      </w:pPr>
      <w:r>
        <w:rPr>
          <w:rFonts w:eastAsia="Georgia" w:cs="Georgia"/>
          <w:szCs w:val="21"/>
        </w:rPr>
        <w:t>2. Step two: publication of the deviation in the Bulletin and the performance digest, with the evidence file attached.</w:t>
      </w:r>
    </w:p>
    <w:p w14:paraId="4A1C44B5" w14:textId="77777777" w:rsidR="00DA7972" w:rsidRDefault="00000000">
      <w:pPr>
        <w:ind w:left="360"/>
      </w:pPr>
      <w:r>
        <w:rPr>
          <w:rFonts w:eastAsia="Georgia" w:cs="Georgia"/>
          <w:szCs w:val="21"/>
        </w:rPr>
        <w:t>3. Step three: suspension of the quality premium and of new service certifications for the responsible Party, for a stated period of 30 days.</w:t>
      </w:r>
    </w:p>
    <w:p w14:paraId="3984A2BB" w14:textId="77777777" w:rsidR="00DA7972" w:rsidRDefault="00000000">
      <w:pPr>
        <w:ind w:left="360"/>
      </w:pPr>
      <w:r>
        <w:rPr>
          <w:rFonts w:eastAsia="Georgia" w:cs="Georgia"/>
          <w:szCs w:val="21"/>
        </w:rPr>
        <w:t>4. Step four: step-back of standing by one level in the Reciprocity Ledger of Article 33, with earn-back available immediately.</w:t>
      </w:r>
    </w:p>
    <w:p w14:paraId="3063A4A5" w14:textId="77777777" w:rsidR="00DA7972" w:rsidRDefault="00000000">
      <w:pPr>
        <w:ind w:left="360"/>
      </w:pPr>
      <w:r>
        <w:rPr>
          <w:rFonts w:eastAsia="Georgia" w:cs="Georgia"/>
          <w:szCs w:val="21"/>
        </w:rPr>
        <w:t>5. Step five: referral to the facilitation tier of Article 35.2 with a published case file.</w:t>
      </w:r>
    </w:p>
    <w:p w14:paraId="79B01711" w14:textId="77777777" w:rsidR="00DA7972" w:rsidRDefault="00000000">
      <w:r>
        <w:rPr>
          <w:rFonts w:eastAsia="Georgia" w:cs="Georgia"/>
          <w:szCs w:val="21"/>
        </w:rPr>
        <w:t>The ladder climbs one step at a time. A step takes effect only where the prior step failed to cure. The ladder never jumps steps except for an Architectural Breach event, which starts at the Stillwater Pause.</w:t>
      </w:r>
    </w:p>
    <w:p w14:paraId="7371F22A" w14:textId="77777777" w:rsidR="00DA7972" w:rsidRDefault="00000000">
      <w:pPr>
        <w:pStyle w:val="Heading3"/>
      </w:pPr>
      <w:r>
        <w:rPr>
          <w:rFonts w:eastAsia="Calibri" w:cs="Calibri"/>
          <w:szCs w:val="22"/>
        </w:rPr>
        <w:t>31.3 Earn-back and restoration</w:t>
      </w:r>
    </w:p>
    <w:p w14:paraId="7564335C" w14:textId="77777777" w:rsidR="00DA7972" w:rsidRDefault="00000000">
      <w:r>
        <w:rPr>
          <w:rFonts w:eastAsia="Georgia" w:cs="Georgia"/>
          <w:szCs w:val="21"/>
        </w:rPr>
        <w:t>Every step carries a defined earn-back: cure plus 30 days of verified clean operation restores step three suspensions; cure plus one quarter restores a step-back of standing; cure plus certification restores every publication flag to a cured marker. Restoration is automatic on verified cure. No organ holds discretion to delay it, and the Bulletin announces every restoration with the same prominence as the deviation.</w:t>
      </w:r>
    </w:p>
    <w:p w14:paraId="2013453D" w14:textId="77777777" w:rsidR="00DA7972" w:rsidRDefault="00000000">
      <w:pPr>
        <w:pStyle w:val="Heading3"/>
      </w:pPr>
      <w:r>
        <w:rPr>
          <w:rFonts w:eastAsia="Calibri" w:cs="Calibri"/>
          <w:szCs w:val="22"/>
        </w:rPr>
        <w:t>31.4 The humanitarian firewall</w:t>
      </w:r>
    </w:p>
    <w:p w14:paraId="1E53EF88" w14:textId="77777777" w:rsidR="00DA7972" w:rsidRDefault="00000000">
      <w:r>
        <w:rPr>
          <w:rFonts w:eastAsia="Georgia" w:cs="Georgia"/>
          <w:szCs w:val="21"/>
        </w:rPr>
        <w:t>No step of the ladder, no classification, no dispute, and no pause touches: humanitarian transit; search and rescue; distress response; the Neutral Keel Office's funding and access; the Fund's liquidity reserve; or the publication of the Bulletin. These flows run in every state of the Accord, including a Party's suspension or withdrawal, forever.</w:t>
      </w:r>
    </w:p>
    <w:p w14:paraId="1518FAFE" w14:textId="77777777" w:rsidR="00DA7972" w:rsidRDefault="00000000">
      <w:pPr>
        <w:pStyle w:val="Heading3"/>
      </w:pPr>
      <w:r>
        <w:rPr>
          <w:rFonts w:eastAsia="Calibri" w:cs="Calibri"/>
          <w:szCs w:val="22"/>
        </w:rPr>
        <w:t>31.5 The Performance Reserve</w:t>
      </w:r>
    </w:p>
    <w:p w14:paraId="7A6199CB" w14:textId="77777777" w:rsidR="00DA7972" w:rsidRDefault="00000000">
      <w:r>
        <w:rPr>
          <w:rFonts w:eastAsia="Georgia" w:cs="Georgia"/>
          <w:szCs w:val="21"/>
        </w:rPr>
        <w:t>The Ledger records over-compliance: services delivered above roster, early hazard declarations, patrol invitations beyond schedule, observer embarkations beyond rota. Over-compliance banks as a Performance Reserve, and a Party in a step-back draws on its Reserve to accelerate restoration. The Reserve never expires, per the Nofade Guarantee, and it converts good behavior into a tangible asset that bad weeks never erase.</w:t>
      </w:r>
    </w:p>
    <w:p w14:paraId="0D55F171" w14:textId="77777777" w:rsidR="00DA7972" w:rsidRDefault="00000000">
      <w:pPr>
        <w:pStyle w:val="Heading3"/>
      </w:pPr>
      <w:r>
        <w:rPr>
          <w:rFonts w:eastAsia="Calibri" w:cs="Calibri"/>
          <w:szCs w:val="22"/>
        </w:rPr>
        <w:lastRenderedPageBreak/>
        <w:t>31.6 No snapback</w:t>
      </w:r>
    </w:p>
    <w:p w14:paraId="351C36B8" w14:textId="77777777" w:rsidR="00DA7972" w:rsidRDefault="00000000">
      <w:r>
        <w:rPr>
          <w:rFonts w:eastAsia="Georgia" w:cs="Georgia"/>
          <w:szCs w:val="21"/>
        </w:rPr>
        <w:t>The Accord contains no mechanism that restores a prior state of hostility, tolls, or interdiction in one move. The architecture replaces snapback with the ladder and the Pause: consequences arrive graduated, announced, and reversible, and the core constraints of Part II survive every dispute, because the core constraints are the product the Accord sells to the world.</w:t>
      </w:r>
    </w:p>
    <w:p w14:paraId="166C134D" w14:textId="77777777" w:rsidR="00DA7972" w:rsidRDefault="00000000">
      <w:pPr>
        <w:pStyle w:val="Heading3"/>
      </w:pPr>
      <w:r>
        <w:rPr>
          <w:rFonts w:eastAsia="Calibri" w:cs="Calibri"/>
          <w:szCs w:val="22"/>
        </w:rPr>
        <w:t>31.7 The Good Faith Reset</w:t>
      </w:r>
    </w:p>
    <w:p w14:paraId="4B2D3E60" w14:textId="77777777" w:rsidR="00DA7972" w:rsidRDefault="00000000">
      <w:r>
        <w:rPr>
          <w:rFonts w:eastAsia="Georgia" w:cs="Georgia"/>
          <w:szCs w:val="21"/>
        </w:rPr>
        <w:t>At each annual review conference, the Council, on any Party's request and absent a live Architectural Breach event, declares a Good Faith Reset: operational ledgers clear, cured markers archive, and standings reset to their banked level. The Reset forgives operationally and forgets nothing: the archive of Article 4.6 persists untouched.</w:t>
      </w:r>
    </w:p>
    <w:p w14:paraId="21BEB4B4" w14:textId="77777777" w:rsidR="00DA7972" w:rsidRDefault="00000000">
      <w:pPr>
        <w:pStyle w:val="Heading3"/>
      </w:pPr>
      <w:r>
        <w:rPr>
          <w:rFonts w:eastAsia="Calibri" w:cs="Calibri"/>
          <w:szCs w:val="22"/>
        </w:rPr>
        <w:t>31.8 The anti-cascade firewall</w:t>
      </w:r>
    </w:p>
    <w:p w14:paraId="2C273056" w14:textId="77777777" w:rsidR="00DA7972" w:rsidRDefault="00000000">
      <w:r>
        <w:rPr>
          <w:rFonts w:eastAsia="Georgia" w:cs="Georgia"/>
          <w:szCs w:val="21"/>
        </w:rPr>
        <w:t>A failure in one module of the Accord stays in its module. A financial dispute never suspends a safety service; a safety incident never suspends the Fund; a political dispute never suspends the Bulletin. Spillover between modules occurs only where the Council certifies, on the Technical Committee's findings and through the Twin Key Rule, that the failure in one module materially prevents the operation of another. The certification publishes with reasons, and the Guarantor Panel reviews it within 7 days on any Party's call.</w:t>
      </w:r>
    </w:p>
    <w:p w14:paraId="76763000" w14:textId="77777777" w:rsidR="00DA7972" w:rsidRDefault="00000000">
      <w:pPr>
        <w:pStyle w:val="Heading3"/>
      </w:pPr>
      <w:r>
        <w:rPr>
          <w:rFonts w:eastAsia="Calibri" w:cs="Calibri"/>
          <w:szCs w:val="22"/>
        </w:rPr>
        <w:t>31.9 The Humanitarian Surge</w:t>
      </w:r>
    </w:p>
    <w:p w14:paraId="2F1C6B42" w14:textId="77777777" w:rsidR="00DA7972" w:rsidRDefault="00000000">
      <w:r>
        <w:rPr>
          <w:rFonts w:eastAsia="Georgia" w:cs="Georgia"/>
          <w:szCs w:val="21"/>
        </w:rPr>
        <w:t>Where an Architectural Breach event damages civilian infrastructure, the Transit Services Fund automatically releases a Humanitarian Surge of up to 10 percent of its liquidity reserve for the affected civilian populations. The Neutral Keel Office administers the release jointly with established humanitarian agencies, under the audit rules of Article 25, and publishes the disbursement record within 30 days. The Surge operates in every state of the Accord, including a pause, a suspension, or a withdrawal, and no organ delays, conditions, or redirects it. The liquidity reserve replenishes from the next endowment inflows, and the replenishment schedule publishes with the disbursement record.</w:t>
      </w:r>
    </w:p>
    <w:p w14:paraId="704B952C" w14:textId="77777777" w:rsidR="00DA7972" w:rsidRDefault="00000000">
      <w:pPr>
        <w:pStyle w:val="Heading2"/>
      </w:pPr>
      <w:bookmarkStart w:id="47" w:name="_Toc236229928"/>
      <w:r>
        <w:rPr>
          <w:rFonts w:eastAsia="Calibri" w:cs="Calibri"/>
          <w:szCs w:val="26"/>
        </w:rPr>
        <w:t>Article 32: The Stillwater Pause</w:t>
      </w:r>
      <w:bookmarkEnd w:id="47"/>
    </w:p>
    <w:p w14:paraId="1EA69CCB" w14:textId="77777777" w:rsidR="00DA7972" w:rsidRDefault="00000000">
      <w:pPr>
        <w:pStyle w:val="Heading3"/>
      </w:pPr>
      <w:r>
        <w:rPr>
          <w:rFonts w:eastAsia="Calibri" w:cs="Calibri"/>
          <w:szCs w:val="22"/>
        </w:rPr>
        <w:t>32.1 The mechanism</w:t>
      </w:r>
    </w:p>
    <w:p w14:paraId="78D9C91F" w14:textId="77777777" w:rsidR="00DA7972" w:rsidRDefault="00000000">
      <w:r>
        <w:rPr>
          <w:rFonts w:eastAsia="Georgia" w:cs="Georgia"/>
          <w:szCs w:val="21"/>
        </w:rPr>
        <w:t>The Stillwater Pause is the Accord's namesake and its automatic circuit-breaker. Where an Architectural Breach event is classified, or a Party invokes a Red Line Consultation under Article 6.5, or the Guarantor Panel calls for one, the Pause activates immediately and runs for 72 hours, extendable once for a further 72 hours by the Panel.</w:t>
      </w:r>
    </w:p>
    <w:p w14:paraId="56059F00" w14:textId="77777777" w:rsidR="00DA7972" w:rsidRDefault="00000000">
      <w:pPr>
        <w:pStyle w:val="Heading3"/>
      </w:pPr>
      <w:r>
        <w:rPr>
          <w:rFonts w:eastAsia="Calibri" w:cs="Calibri"/>
          <w:szCs w:val="22"/>
        </w:rPr>
        <w:t>32.2 What pauses</w:t>
      </w:r>
    </w:p>
    <w:p w14:paraId="30B19CD7" w14:textId="77777777" w:rsidR="00DA7972" w:rsidRDefault="00000000">
      <w:r>
        <w:rPr>
          <w:rFonts w:eastAsia="Georgia" w:cs="Georgia"/>
          <w:szCs w:val="21"/>
        </w:rPr>
        <w:t>During the Pause: the disputed mechanism freezes in its pre-event state; the ladder holds its current step; no new consequence takes effect; notifications, acknowledgments, and traffic continue under the standing rules; and the Council and the Panel meet in continuous session until resolution. The Pause creates the space for judgment to catch up with events.</w:t>
      </w:r>
    </w:p>
    <w:p w14:paraId="28DAB5C7" w14:textId="77777777" w:rsidR="00DA7972" w:rsidRDefault="00000000">
      <w:pPr>
        <w:pStyle w:val="Heading3"/>
      </w:pPr>
      <w:r>
        <w:rPr>
          <w:rFonts w:eastAsia="Calibri" w:cs="Calibri"/>
          <w:szCs w:val="22"/>
        </w:rPr>
        <w:lastRenderedPageBreak/>
        <w:t>32.3 What never pauses</w:t>
      </w:r>
    </w:p>
    <w:p w14:paraId="697C6CAE" w14:textId="77777777" w:rsidR="00DA7972" w:rsidRDefault="00000000">
      <w:r>
        <w:rPr>
          <w:rFonts w:eastAsia="Georgia" w:cs="Georgia"/>
          <w:szCs w:val="21"/>
        </w:rPr>
        <w:t>The Pause never touches: transit in every corridor; the Zero-Toll Rule; the Non-Interdiction Protocol; humanitarian traffic; search and rescue and distress response; the Bulletin's publication; the Neutral Keel Office's operations and funding; or the Fund's institutional first call. The water stays open while the politics talks. That is the whole point of the design: in still water, nobody drowns while the swimmers argue.</w:t>
      </w:r>
    </w:p>
    <w:p w14:paraId="656243CC" w14:textId="77777777" w:rsidR="00DA7972" w:rsidRDefault="00000000">
      <w:pPr>
        <w:pStyle w:val="Heading3"/>
      </w:pPr>
      <w:r>
        <w:rPr>
          <w:rFonts w:eastAsia="Calibri" w:cs="Calibri"/>
          <w:szCs w:val="22"/>
        </w:rPr>
        <w:t>32.4 Exit from the Pause</w:t>
      </w:r>
    </w:p>
    <w:p w14:paraId="05CFDB3B" w14:textId="77777777" w:rsidR="00DA7972" w:rsidRDefault="00000000">
      <w:r>
        <w:rPr>
          <w:rFonts w:eastAsia="Georgia" w:cs="Georgia"/>
          <w:szCs w:val="21"/>
        </w:rPr>
        <w:t>The Pause ends on the earliest of: a resolution recorded by the Council; a Panel determination; or expiry of the second 72-hour period, whereupon the matter moves automatically to the facilitation tier of Article 35.2 with the full record. Exit from a Pause never requires consensus: the architecture prefers motion to veto, and the record carries every position forward.</w:t>
      </w:r>
    </w:p>
    <w:p w14:paraId="121A0C0D" w14:textId="77777777" w:rsidR="00DA7972" w:rsidRDefault="00000000">
      <w:pPr>
        <w:pStyle w:val="Heading2"/>
      </w:pPr>
      <w:bookmarkStart w:id="48" w:name="_Toc236229929"/>
      <w:r>
        <w:rPr>
          <w:rFonts w:eastAsia="Calibri" w:cs="Calibri"/>
          <w:szCs w:val="26"/>
        </w:rPr>
        <w:t>Article 33: The Reciprocity Ledger and Standing Levels</w:t>
      </w:r>
      <w:bookmarkEnd w:id="48"/>
    </w:p>
    <w:p w14:paraId="0C4D093F" w14:textId="77777777" w:rsidR="00DA7972" w:rsidRDefault="00000000">
      <w:pPr>
        <w:pStyle w:val="Heading3"/>
      </w:pPr>
      <w:r>
        <w:rPr>
          <w:rFonts w:eastAsia="Calibri" w:cs="Calibri"/>
          <w:szCs w:val="22"/>
        </w:rPr>
        <w:t>33.1 The Ledger</w:t>
      </w:r>
    </w:p>
    <w:p w14:paraId="0268640C" w14:textId="77777777" w:rsidR="00DA7972" w:rsidRDefault="00000000">
      <w:r>
        <w:rPr>
          <w:rFonts w:eastAsia="Georgia" w:cs="Georgia"/>
          <w:szCs w:val="21"/>
        </w:rPr>
        <w:t>The Reciprocity Ledger is the Accord's memory of performance. The Administrator maintains it; the Neutral Keel Office audits it; the Bulletin summarizes it monthly. The Ledger records, for each Party: service delivery against roster; notification-desk latency; patrol and observer cooperation; audit outcomes; deviations and cures; and the Performance Reserve of Article 31.5.</w:t>
      </w:r>
    </w:p>
    <w:p w14:paraId="79D2CFA3" w14:textId="77777777" w:rsidR="00DA7972" w:rsidRDefault="00000000">
      <w:pPr>
        <w:pStyle w:val="Heading3"/>
      </w:pPr>
      <w:r>
        <w:rPr>
          <w:rFonts w:eastAsia="Calibri" w:cs="Calibri"/>
          <w:szCs w:val="22"/>
        </w:rPr>
        <w:t>33.2 Standing levels</w:t>
      </w:r>
    </w:p>
    <w:p w14:paraId="277491A9" w14:textId="77777777" w:rsidR="00DA7972" w:rsidRDefault="00000000">
      <w:r>
        <w:rPr>
          <w:rFonts w:eastAsia="Georgia" w:cs="Georgia"/>
          <w:szCs w:val="21"/>
        </w:rPr>
        <w:t>Each Party holds a standing on a published scale: Anchor (highest), Steady, Watch, and Step-back. Standing derives mechanically from the Ledger's trailing four quarters, per the formula of Annex E. Standing affects discretionary benefits: rate premium eligibility, chair priority, exercise leadership slots, and first call on capacity-building programs. Standing never affects rights: passage, notification acknowledgment, verification access, and the humanitarian flows remain identical at every standing.</w:t>
      </w:r>
    </w:p>
    <w:p w14:paraId="3E04CB19" w14:textId="77777777" w:rsidR="00DA7972" w:rsidRDefault="00000000">
      <w:pPr>
        <w:pStyle w:val="Heading3"/>
      </w:pPr>
      <w:r>
        <w:rPr>
          <w:rFonts w:eastAsia="Calibri" w:cs="Calibri"/>
          <w:szCs w:val="22"/>
        </w:rPr>
        <w:t>33.3 Publication</w:t>
      </w:r>
    </w:p>
    <w:p w14:paraId="58F05B97" w14:textId="77777777" w:rsidR="00DA7972" w:rsidRDefault="00000000">
      <w:r>
        <w:rPr>
          <w:rFonts w:eastAsia="Georgia" w:cs="Georgia"/>
          <w:szCs w:val="21"/>
        </w:rPr>
        <w:t>The Ledger publishes quarterly. Every Party sees every Party's record, and the market sees the summary. The Accord trusts sunlight to do the work that sanctions never could: a public ledger of who delivers, quarter after quarter, in the world's most watched waterway.</w:t>
      </w:r>
    </w:p>
    <w:p w14:paraId="17F6A412" w14:textId="77777777" w:rsidR="00DA7972" w:rsidRDefault="00000000">
      <w:pPr>
        <w:pStyle w:val="Heading2"/>
      </w:pPr>
      <w:bookmarkStart w:id="49" w:name="_Toc236229930"/>
      <w:r>
        <w:rPr>
          <w:rFonts w:eastAsia="Calibri" w:cs="Calibri"/>
          <w:szCs w:val="26"/>
        </w:rPr>
        <w:t>Article 34: Substantiated Claims and the Performance Bond</w:t>
      </w:r>
      <w:bookmarkEnd w:id="49"/>
    </w:p>
    <w:p w14:paraId="6C0115D0" w14:textId="77777777" w:rsidR="00DA7972" w:rsidRDefault="00000000">
      <w:pPr>
        <w:pStyle w:val="Heading3"/>
      </w:pPr>
      <w:r>
        <w:rPr>
          <w:rFonts w:eastAsia="Calibri" w:cs="Calibri"/>
          <w:szCs w:val="22"/>
        </w:rPr>
        <w:t>34.1 The claim standard</w:t>
      </w:r>
    </w:p>
    <w:p w14:paraId="00AEAD26" w14:textId="77777777" w:rsidR="00DA7972" w:rsidRDefault="00000000">
      <w:r>
        <w:rPr>
          <w:rFonts w:eastAsia="Georgia" w:cs="Georgia"/>
          <w:szCs w:val="21"/>
        </w:rPr>
        <w:t>A Party advancing a claim of non-compliance files a substantiated claim: a written statement of the facts, the evidence, the provision engaged, and the remedy sought, filed with the Administrator and served on the responding Party. An unsubstantiated public accusation outside the claim process enters the claimant's own Ledger record as a conduct note.</w:t>
      </w:r>
    </w:p>
    <w:p w14:paraId="48354386" w14:textId="77777777" w:rsidR="00DA7972" w:rsidRDefault="00000000">
      <w:pPr>
        <w:pStyle w:val="Heading3"/>
      </w:pPr>
      <w:r>
        <w:rPr>
          <w:rFonts w:eastAsia="Calibri" w:cs="Calibri"/>
          <w:szCs w:val="22"/>
        </w:rPr>
        <w:lastRenderedPageBreak/>
        <w:t>34.2 The Performance Bond</w:t>
      </w:r>
    </w:p>
    <w:p w14:paraId="3E6C58C7" w14:textId="77777777" w:rsidR="00DA7972" w:rsidRDefault="00000000">
      <w:r>
        <w:rPr>
          <w:rFonts w:eastAsia="Georgia" w:cs="Georgia"/>
          <w:szCs w:val="21"/>
        </w:rPr>
        <w:t>Each Littoral Party posts a performance bond of 2 percent of its endowment contribution, held by the Neutral Administrator in escrow. A substantiated claim that fails at final determination draws a charge of 10 percent of the claim amount against the claimant's bond, paid to the responding Party's service account. A charge against the bond never exceeds 25 percent of the posting Party's total bond obligation. A claim of less than 1 percent of the claiming Party's annual endowment contribution stands exempt from the bond penalty, so that the bond never becomes a weapon for frivolous, low-value accusations. A claim that succeeds charges nothing. The bond disciplines the accusation economy: evidence costs nothing, noise costs a little, and the system prices the difference.</w:t>
      </w:r>
    </w:p>
    <w:p w14:paraId="5D969B37" w14:textId="77777777" w:rsidR="00DA7972" w:rsidRDefault="00000000">
      <w:r>
        <w:rPr>
          <w:rFonts w:eastAsia="Georgia" w:cs="Georgia"/>
          <w:szCs w:val="21"/>
        </w:rPr>
        <w:t>Where three claims by the same Party fail within two years, the bond charge for the fourth and each subsequent failed claim doubles to 20 percent of the claim amount. The doubling applies to the claim amount, never to the bond obligation, and the pattern provision continues for the duration of the Party's participation in the Accord. The Pattern Claim provision is permanent and continues without expiry under the Nofade Guarantee of Article 4.</w:t>
      </w:r>
    </w:p>
    <w:p w14:paraId="75CD6D69" w14:textId="77777777" w:rsidR="00DA7972" w:rsidRDefault="00000000">
      <w:pPr>
        <w:pStyle w:val="Heading3"/>
      </w:pPr>
      <w:r>
        <w:rPr>
          <w:rFonts w:eastAsia="Calibri" w:cs="Calibri"/>
          <w:szCs w:val="22"/>
        </w:rPr>
        <w:t>34.3 Determination</w:t>
      </w:r>
    </w:p>
    <w:p w14:paraId="64EB4C94" w14:textId="77777777" w:rsidR="00DA7972" w:rsidRDefault="00000000">
      <w:r>
        <w:rPr>
          <w:rFonts w:eastAsia="Georgia" w:cs="Georgia"/>
          <w:szCs w:val="21"/>
        </w:rPr>
        <w:t>Claims travel the dispute tiers of Article 35. Facts bind through the independent technical referee where the claim turns on technical questions. Remedies follow the ladder of Article 31, never damages beyond restitution and bond charges, because the Accord repairs performance rather than monetizing blame.</w:t>
      </w:r>
    </w:p>
    <w:p w14:paraId="31E5B849" w14:textId="77777777" w:rsidR="00DA7972" w:rsidRDefault="00000000">
      <w:pPr>
        <w:pStyle w:val="Heading3"/>
      </w:pPr>
      <w:r>
        <w:rPr>
          <w:rFonts w:eastAsia="Calibri" w:cs="Calibri"/>
          <w:szCs w:val="22"/>
        </w:rPr>
        <w:t>34.4 The attribution discipline</w:t>
      </w:r>
    </w:p>
    <w:p w14:paraId="54DB9F49" w14:textId="77777777" w:rsidR="00DA7972" w:rsidRDefault="00000000">
      <w:r>
        <w:rPr>
          <w:rFonts w:eastAsia="Georgia" w:cs="Georgia"/>
          <w:szCs w:val="21"/>
        </w:rPr>
        <w:t>Security-incident attributions follow Article 27.8's substantiation duty inside the claim framework: the claiming Party files evidence within 72 hours, the Neutral Keel Office assesses convergence within 7 days, and the record distinguishes assertion, assessment, and established fact at every stage.</w:t>
      </w:r>
    </w:p>
    <w:p w14:paraId="087A9A66" w14:textId="77777777" w:rsidR="00DA7972" w:rsidRDefault="00000000">
      <w:pPr>
        <w:pStyle w:val="Heading2"/>
      </w:pPr>
      <w:bookmarkStart w:id="50" w:name="_Toc236229931"/>
      <w:r>
        <w:rPr>
          <w:rFonts w:eastAsia="Calibri" w:cs="Calibri"/>
          <w:szCs w:val="26"/>
        </w:rPr>
        <w:t>Article 35: Dispute Resolution</w:t>
      </w:r>
      <w:bookmarkEnd w:id="50"/>
    </w:p>
    <w:p w14:paraId="6281FD97" w14:textId="77777777" w:rsidR="00DA7972" w:rsidRDefault="00000000">
      <w:pPr>
        <w:pStyle w:val="Heading3"/>
      </w:pPr>
      <w:r>
        <w:rPr>
          <w:rFonts w:eastAsia="Calibri" w:cs="Calibri"/>
          <w:szCs w:val="22"/>
        </w:rPr>
        <w:t>35.1 The tiered structure</w:t>
      </w:r>
    </w:p>
    <w:tbl>
      <w:tblPr>
        <w:tblW w:w="5000" w:type="pct"/>
        <w:tblInd w:w="200" w:type="dxa"/>
        <w:tblBorders>
          <w:top w:val="single" w:sz="4" w:space="0" w:color="B0BEC5"/>
          <w:left w:val="single" w:sz="4" w:space="0" w:color="B0BEC5"/>
          <w:bottom w:val="single" w:sz="4" w:space="0" w:color="B0BEC5"/>
          <w:right w:val="single" w:sz="4" w:space="0" w:color="B0BEC5"/>
        </w:tblBorders>
        <w:tblCellMar>
          <w:top w:w="120" w:type="dxa"/>
          <w:left w:w="200" w:type="dxa"/>
          <w:bottom w:w="120" w:type="dxa"/>
          <w:right w:w="200" w:type="dxa"/>
        </w:tblCellMar>
        <w:tblLook w:val="04A0" w:firstRow="1" w:lastRow="0" w:firstColumn="1" w:lastColumn="0" w:noHBand="0" w:noVBand="1"/>
      </w:tblPr>
      <w:tblGrid>
        <w:gridCol w:w="9426"/>
      </w:tblGrid>
      <w:tr w:rsidR="00DA7972" w14:paraId="06D1E12E" w14:textId="77777777">
        <w:tc>
          <w:tcPr>
            <w:tcW w:w="9010" w:type="dxa"/>
            <w:shd w:val="clear" w:color="auto" w:fill="F4F6F7"/>
          </w:tcPr>
          <w:p w14:paraId="2FEA6F16" w14:textId="77777777" w:rsidR="00DA7972" w:rsidRDefault="00000000">
            <w:pPr>
              <w:jc w:val="center"/>
            </w:pPr>
            <w:r>
              <w:rPr>
                <w:rFonts w:ascii="Calibri" w:eastAsia="Calibri" w:hAnsi="Calibri" w:cs="Calibri"/>
                <w:b/>
                <w:color w:val="37474F"/>
                <w:sz w:val="19"/>
                <w:szCs w:val="19"/>
              </w:rPr>
              <w:t>Dispute resolution flow: four tiers with clocks</w:t>
            </w:r>
          </w:p>
          <w:p w14:paraId="4FB461AE" w14:textId="77777777" w:rsidR="00DA7972" w:rsidRDefault="00000000">
            <w:pPr>
              <w:spacing w:after="60" w:line="260" w:lineRule="auto"/>
              <w:jc w:val="center"/>
            </w:pPr>
            <w:r>
              <w:rPr>
                <w:rFonts w:ascii="Calibri" w:eastAsia="Calibri" w:hAnsi="Calibri" w:cs="Calibri"/>
                <w:b/>
                <w:color w:val="37474F"/>
                <w:szCs w:val="18"/>
              </w:rPr>
              <w:t>Tier 1: working level, paired officers, 72 h</w:t>
            </w:r>
          </w:p>
          <w:p w14:paraId="56141D03" w14:textId="77777777" w:rsidR="00DA7972" w:rsidRDefault="00000000">
            <w:pPr>
              <w:spacing w:after="60" w:line="260" w:lineRule="auto"/>
              <w:jc w:val="center"/>
            </w:pPr>
            <w:r>
              <w:rPr>
                <w:rFonts w:ascii="Calibri" w:eastAsia="Calibri" w:hAnsi="Calibri" w:cs="Calibri"/>
                <w:b/>
                <w:color w:val="37474F"/>
                <w:szCs w:val="18"/>
              </w:rPr>
              <w:t xml:space="preserve">                 | unresolved</w:t>
            </w:r>
          </w:p>
          <w:p w14:paraId="5CA9DCE5" w14:textId="77777777" w:rsidR="00DA7972" w:rsidRDefault="00000000">
            <w:pPr>
              <w:spacing w:after="60" w:line="260" w:lineRule="auto"/>
              <w:jc w:val="center"/>
            </w:pPr>
            <w:r>
              <w:rPr>
                <w:rFonts w:ascii="Calibri" w:eastAsia="Calibri" w:hAnsi="Calibri" w:cs="Calibri"/>
                <w:b/>
                <w:color w:val="37474F"/>
                <w:szCs w:val="18"/>
              </w:rPr>
              <w:t xml:space="preserve">                 v</w:t>
            </w:r>
          </w:p>
          <w:p w14:paraId="7B8C311A" w14:textId="77777777" w:rsidR="00DA7972" w:rsidRDefault="00000000">
            <w:pPr>
              <w:spacing w:after="60" w:line="260" w:lineRule="auto"/>
              <w:jc w:val="center"/>
            </w:pPr>
            <w:r>
              <w:rPr>
                <w:rFonts w:ascii="Calibri" w:eastAsia="Calibri" w:hAnsi="Calibri" w:cs="Calibri"/>
                <w:b/>
                <w:color w:val="37474F"/>
                <w:szCs w:val="18"/>
              </w:rPr>
              <w:t>Tier 2: facilitation, Mediator of Record, 21 days</w:t>
            </w:r>
          </w:p>
          <w:p w14:paraId="4C44B293" w14:textId="77777777" w:rsidR="00DA7972" w:rsidRDefault="00000000">
            <w:pPr>
              <w:spacing w:after="60" w:line="260" w:lineRule="auto"/>
              <w:jc w:val="center"/>
            </w:pPr>
            <w:r>
              <w:rPr>
                <w:rFonts w:ascii="Calibri" w:eastAsia="Calibri" w:hAnsi="Calibri" w:cs="Calibri"/>
                <w:b/>
                <w:color w:val="37474F"/>
                <w:szCs w:val="18"/>
              </w:rPr>
              <w:t xml:space="preserve">                 | unresolved</w:t>
            </w:r>
          </w:p>
          <w:p w14:paraId="02837C43" w14:textId="77777777" w:rsidR="00DA7972" w:rsidRDefault="00000000">
            <w:pPr>
              <w:spacing w:after="60" w:line="260" w:lineRule="auto"/>
              <w:jc w:val="center"/>
            </w:pPr>
            <w:r>
              <w:rPr>
                <w:rFonts w:ascii="Calibri" w:eastAsia="Calibri" w:hAnsi="Calibri" w:cs="Calibri"/>
                <w:b/>
                <w:color w:val="37474F"/>
                <w:szCs w:val="18"/>
              </w:rPr>
              <w:t xml:space="preserve">                 v</w:t>
            </w:r>
          </w:p>
          <w:p w14:paraId="0942B510" w14:textId="77777777" w:rsidR="00DA7972" w:rsidRDefault="00000000">
            <w:pPr>
              <w:spacing w:after="60" w:line="260" w:lineRule="auto"/>
              <w:jc w:val="center"/>
            </w:pPr>
            <w:r>
              <w:rPr>
                <w:rFonts w:ascii="Calibri" w:eastAsia="Calibri" w:hAnsi="Calibri" w:cs="Calibri"/>
                <w:b/>
                <w:color w:val="37474F"/>
                <w:szCs w:val="18"/>
              </w:rPr>
              <w:t>Tier 3: technical referee binds the facts, 30 days</w:t>
            </w:r>
          </w:p>
          <w:p w14:paraId="5F28EC6C" w14:textId="77777777" w:rsidR="00DA7972" w:rsidRDefault="00000000">
            <w:pPr>
              <w:spacing w:after="60" w:line="260" w:lineRule="auto"/>
              <w:jc w:val="center"/>
            </w:pPr>
            <w:r>
              <w:rPr>
                <w:rFonts w:ascii="Calibri" w:eastAsia="Calibri" w:hAnsi="Calibri" w:cs="Calibri"/>
                <w:b/>
                <w:color w:val="37474F"/>
                <w:szCs w:val="18"/>
              </w:rPr>
              <w:t xml:space="preserve">                 | unresolved</w:t>
            </w:r>
          </w:p>
          <w:p w14:paraId="4002D240" w14:textId="77777777" w:rsidR="00DA7972" w:rsidRDefault="00000000">
            <w:pPr>
              <w:spacing w:after="60" w:line="260" w:lineRule="auto"/>
              <w:jc w:val="center"/>
            </w:pPr>
            <w:r>
              <w:rPr>
                <w:rFonts w:ascii="Calibri" w:eastAsia="Calibri" w:hAnsi="Calibri" w:cs="Calibri"/>
                <w:b/>
                <w:color w:val="37474F"/>
                <w:szCs w:val="18"/>
              </w:rPr>
              <w:t xml:space="preserve">                 v</w:t>
            </w:r>
          </w:p>
          <w:p w14:paraId="4748C8CD" w14:textId="77777777" w:rsidR="00DA7972" w:rsidRDefault="00000000">
            <w:pPr>
              <w:spacing w:after="60" w:line="260" w:lineRule="auto"/>
              <w:jc w:val="center"/>
            </w:pPr>
            <w:r>
              <w:rPr>
                <w:rFonts w:ascii="Calibri" w:eastAsia="Calibri" w:hAnsi="Calibri" w:cs="Calibri"/>
                <w:b/>
                <w:color w:val="37474F"/>
                <w:szCs w:val="18"/>
              </w:rPr>
              <w:lastRenderedPageBreak/>
              <w:t>Tier 4: PCA arbitration, binding award, 120 days</w:t>
            </w:r>
          </w:p>
          <w:p w14:paraId="4E4C3B5C" w14:textId="77777777" w:rsidR="00DA7972" w:rsidRDefault="00000000">
            <w:pPr>
              <w:spacing w:after="60" w:line="260" w:lineRule="auto"/>
              <w:jc w:val="center"/>
            </w:pPr>
            <w:r>
              <w:rPr>
                <w:rFonts w:ascii="Calibri" w:eastAsia="Calibri" w:hAnsi="Calibri" w:cs="Calibri"/>
                <w:b/>
                <w:color w:val="37474F"/>
                <w:szCs w:val="18"/>
              </w:rPr>
              <w:t xml:space="preserve">                 |</w:t>
            </w:r>
          </w:p>
          <w:p w14:paraId="5D8E1EEC" w14:textId="77777777" w:rsidR="00DA7972" w:rsidRDefault="00000000">
            <w:pPr>
              <w:spacing w:after="60" w:line="260" w:lineRule="auto"/>
              <w:jc w:val="center"/>
            </w:pPr>
            <w:r>
              <w:rPr>
                <w:rFonts w:ascii="Calibri" w:eastAsia="Calibri" w:hAnsi="Calibri" w:cs="Calibri"/>
                <w:b/>
                <w:color w:val="37474F"/>
                <w:szCs w:val="18"/>
              </w:rPr>
              <w:t xml:space="preserve">                 v</w:t>
            </w:r>
          </w:p>
          <w:p w14:paraId="30453028" w14:textId="77777777" w:rsidR="00DA7972" w:rsidRDefault="00000000">
            <w:pPr>
              <w:spacing w:after="60" w:line="260" w:lineRule="auto"/>
              <w:jc w:val="center"/>
            </w:pPr>
            <w:r>
              <w:rPr>
                <w:rFonts w:ascii="Calibri" w:eastAsia="Calibri" w:hAnsi="Calibri" w:cs="Calibri"/>
                <w:b/>
                <w:color w:val="37474F"/>
                <w:szCs w:val="18"/>
              </w:rPr>
              <w:t>Throughout: Escalation Cap holds; status quo ante;</w:t>
            </w:r>
          </w:p>
          <w:p w14:paraId="69554200" w14:textId="77777777" w:rsidR="00DA7972" w:rsidRDefault="00000000">
            <w:pPr>
              <w:spacing w:after="60" w:line="260" w:lineRule="auto"/>
              <w:jc w:val="center"/>
            </w:pPr>
            <w:r>
              <w:rPr>
                <w:rFonts w:ascii="Calibri" w:eastAsia="Calibri" w:hAnsi="Calibri" w:cs="Calibri"/>
                <w:b/>
                <w:color w:val="37474F"/>
                <w:szCs w:val="18"/>
              </w:rPr>
              <w:t>corridors, Bulletin, and Fund never stop (Art. 35.4)</w:t>
            </w:r>
          </w:p>
        </w:tc>
      </w:tr>
    </w:tbl>
    <w:p w14:paraId="3CB859C2" w14:textId="77777777" w:rsidR="00DA7972" w:rsidRDefault="00000000">
      <w:r>
        <w:rPr>
          <w:rFonts w:eastAsia="Georgia" w:cs="Georgia"/>
          <w:szCs w:val="21"/>
        </w:rPr>
        <w:lastRenderedPageBreak/>
        <w:t>Disputes travel four tiers, in sequence, with defined clocks at each tier:</w:t>
      </w:r>
    </w:p>
    <w:p w14:paraId="07583C39" w14:textId="77777777" w:rsidR="00DA7972" w:rsidRDefault="00000000">
      <w:pPr>
        <w:ind w:left="360"/>
      </w:pPr>
      <w:r>
        <w:rPr>
          <w:rFonts w:eastAsia="Georgia" w:cs="Georgia"/>
          <w:szCs w:val="21"/>
        </w:rPr>
        <w:t>1. Tier one, working level: the paired officers at the Center resolve operational disagreements within 72 hours, on the record.</w:t>
      </w:r>
    </w:p>
    <w:p w14:paraId="5F0B1AE4" w14:textId="77777777" w:rsidR="00DA7972" w:rsidRDefault="00000000">
      <w:pPr>
        <w:ind w:left="360"/>
      </w:pPr>
      <w:r>
        <w:rPr>
          <w:rFonts w:eastAsia="Georgia" w:cs="Georgia"/>
          <w:szCs w:val="21"/>
        </w:rPr>
        <w:t>2. Tier two, facilitation: the Mediator of Record facilitates within 21 days, with the Neutral Administrator's good offices, at Muscat or by secure bridge.</w:t>
      </w:r>
    </w:p>
    <w:p w14:paraId="481381E8" w14:textId="77777777" w:rsidR="00DA7972" w:rsidRDefault="00000000">
      <w:pPr>
        <w:ind w:left="360"/>
      </w:pPr>
      <w:r>
        <w:rPr>
          <w:rFonts w:eastAsia="Georgia" w:cs="Georgia"/>
          <w:szCs w:val="21"/>
        </w:rPr>
        <w:t>3. Tier three, technical arbitration: technical questions bind through the independent technical referee of Article 35.3 within 30 days.</w:t>
      </w:r>
    </w:p>
    <w:p w14:paraId="2F6B7C65" w14:textId="77777777" w:rsidR="00DA7972" w:rsidRDefault="00000000">
      <w:pPr>
        <w:ind w:left="360"/>
      </w:pPr>
      <w:r>
        <w:rPr>
          <w:rFonts w:eastAsia="Georgia" w:cs="Georgia"/>
          <w:szCs w:val="21"/>
        </w:rPr>
        <w:t>4. Tier four, arbitration: any dispute unresolved at tiers one through three proceeds to arbitration under the Permanent Court of Arbitration's rules, three arbitrators, seat at The Hague or Geneva, award within 120 days of constitution, binding on the Parties.</w:t>
      </w:r>
    </w:p>
    <w:p w14:paraId="499003BC" w14:textId="77777777" w:rsidR="00DA7972" w:rsidRDefault="00000000">
      <w:pPr>
        <w:pStyle w:val="Heading3"/>
      </w:pPr>
      <w:r>
        <w:rPr>
          <w:rFonts w:eastAsia="Calibri" w:cs="Calibri"/>
          <w:szCs w:val="22"/>
        </w:rPr>
        <w:t>35.2 The facilitation tier in detail</w:t>
      </w:r>
    </w:p>
    <w:p w14:paraId="34EC235B" w14:textId="77777777" w:rsidR="00DA7972" w:rsidRDefault="00000000">
      <w:r>
        <w:rPr>
          <w:rFonts w:eastAsia="Georgia" w:cs="Georgia"/>
          <w:szCs w:val="21"/>
        </w:rPr>
        <w:t>The facilitation tier carries the Accord's political weight. The Mediator of Record convenes the disputing Parties, proposes bases of settlement, and records outcomes in the registry. A facilitation that reaches settlement produces a recorded minute binding on the Parties as a Council decision. A facilitation that fails produces a case file for tier four, so that failure costs time but never produces vacuum.</w:t>
      </w:r>
    </w:p>
    <w:p w14:paraId="62152EA7" w14:textId="77777777" w:rsidR="00DA7972" w:rsidRDefault="00000000">
      <w:pPr>
        <w:pStyle w:val="Heading3"/>
      </w:pPr>
      <w:r>
        <w:rPr>
          <w:rFonts w:eastAsia="Calibri" w:cs="Calibri"/>
          <w:szCs w:val="22"/>
        </w:rPr>
        <w:t>35.3 The independent technical referee</w:t>
      </w:r>
    </w:p>
    <w:p w14:paraId="61AB9947" w14:textId="77777777" w:rsidR="00DA7972" w:rsidRDefault="00000000">
      <w:r>
        <w:rPr>
          <w:rFonts w:eastAsia="Georgia" w:cs="Georgia"/>
          <w:szCs w:val="21"/>
        </w:rPr>
        <w:t>The Council appoints a panel of five independent technical referees, International Maritime Organization-nominated experts in hydrography, vessel traffic services, marine insurance, and maritime law, serving three-year terms. A technical question travels to a referee drawn by lot. The referee's fact findings bind all Parties and organs. The referee decides no policy and awards no remedy; the ladder handles remedies on the referee's facts.</w:t>
      </w:r>
    </w:p>
    <w:p w14:paraId="0F24261E" w14:textId="77777777" w:rsidR="00DA7972" w:rsidRDefault="00000000">
      <w:pPr>
        <w:pBdr>
          <w:left w:val="single" w:sz="8" w:space="6" w:color="B0BEC5"/>
        </w:pBdr>
        <w:spacing w:before="40"/>
        <w:ind w:left="360"/>
      </w:pPr>
      <w:r>
        <w:rPr>
          <w:rFonts w:ascii="Calibri" w:eastAsia="Calibri" w:hAnsi="Calibri" w:cs="Calibri"/>
          <w:i/>
          <w:color w:val="78909C"/>
          <w:sz w:val="18"/>
          <w:szCs w:val="18"/>
        </w:rPr>
        <w:t>See also Articles 32 and 36, and Annex P.</w:t>
      </w:r>
    </w:p>
    <w:p w14:paraId="78D700E5" w14:textId="77777777" w:rsidR="00DA7972" w:rsidRDefault="00000000">
      <w:pPr>
        <w:pStyle w:val="Heading3"/>
      </w:pPr>
      <w:r>
        <w:rPr>
          <w:rFonts w:eastAsia="Calibri" w:cs="Calibri"/>
          <w:szCs w:val="22"/>
        </w:rPr>
        <w:t>35.4 The Escalation Cap and the silence clause</w:t>
      </w:r>
    </w:p>
    <w:p w14:paraId="6B4A53A4" w14:textId="77777777" w:rsidR="00DA7972" w:rsidRDefault="00000000">
      <w:r>
        <w:rPr>
          <w:rFonts w:eastAsia="Georgia" w:cs="Georgia"/>
          <w:szCs w:val="21"/>
        </w:rPr>
        <w:t>While any tier runs, the status quo ante holds. The Escalation Cap binds every Party for the duration of every tier of the dispute resolution process: no Party deploys additional strike aircraft, missile systems, or naval combatants into the Gulf theater, no consequence advances on the ladder, and the Pause rules apply to any Architectural Breach dimension. The Escalation Cap lifts automatically 72 hours after the final determination, and the Neutral Keel Office verifies and publishes each lift. The silence clause preserves operations through every dispute: the corridors run, the Bulletin publishes, the Fund pays verified services, and the world reads calm water even while lawyers argue.</w:t>
      </w:r>
    </w:p>
    <w:p w14:paraId="1D779D90" w14:textId="77777777" w:rsidR="00DA7972" w:rsidRDefault="00000000">
      <w:r>
        <w:rPr>
          <w:rFonts w:eastAsia="Georgia" w:cs="Georgia"/>
          <w:szCs w:val="21"/>
        </w:rPr>
        <w:lastRenderedPageBreak/>
        <w:t>The Escalation Cap also binds every Party's existing force posture under the No Incremental Deployment provision: no Party moves assets already in the Gulf theater closer to the Strait than their pre-dispute positions. The Neutral Keel Office verifies compliance and publishes a weekly force-posture update. The No Incremental Deployment provision is permanent and continues without expiry under the Nofade Guarantee of Article 4.</w:t>
      </w:r>
    </w:p>
    <w:p w14:paraId="10E44ED8" w14:textId="77777777" w:rsidR="00DA7972" w:rsidRDefault="00000000">
      <w:pPr>
        <w:pStyle w:val="Heading3"/>
      </w:pPr>
      <w:r>
        <w:rPr>
          <w:rFonts w:eastAsia="Calibri" w:cs="Calibri"/>
          <w:szCs w:val="22"/>
        </w:rPr>
        <w:t>35.5 Interim measures</w:t>
      </w:r>
    </w:p>
    <w:p w14:paraId="21B16A6B" w14:textId="77777777" w:rsidR="00DA7972" w:rsidRDefault="00000000">
      <w:r>
        <w:rPr>
          <w:rFonts w:eastAsia="Georgia" w:cs="Georgia"/>
          <w:szCs w:val="21"/>
        </w:rPr>
        <w:t>An arbitral tribunal under tier four orders interim measures where a Party shows irreparable harm, and the Parties honor such measures as binding. The tribunal's measures never suspend transit, tolls' exclusion, or humanitarian flows, per the protected core of Article 36.</w:t>
      </w:r>
    </w:p>
    <w:p w14:paraId="2E4C5C52" w14:textId="77777777" w:rsidR="00DA7972" w:rsidRDefault="00000000">
      <w:pPr>
        <w:pStyle w:val="Heading2"/>
      </w:pPr>
      <w:bookmarkStart w:id="51" w:name="_Toc236229932"/>
      <w:r>
        <w:rPr>
          <w:rFonts w:eastAsia="Calibri" w:cs="Calibri"/>
          <w:szCs w:val="26"/>
        </w:rPr>
        <w:t>Article 36: The Protection Covenant</w:t>
      </w:r>
      <w:bookmarkEnd w:id="51"/>
    </w:p>
    <w:p w14:paraId="427E7A46" w14:textId="77777777" w:rsidR="00DA7972" w:rsidRDefault="00000000">
      <w:pPr>
        <w:pStyle w:val="Heading3"/>
      </w:pPr>
      <w:r>
        <w:rPr>
          <w:rFonts w:eastAsia="Calibri" w:cs="Calibri"/>
          <w:szCs w:val="22"/>
        </w:rPr>
        <w:t>36.1 The protected core</w:t>
      </w:r>
    </w:p>
    <w:p w14:paraId="0925AA06" w14:textId="77777777" w:rsidR="00DA7972" w:rsidRDefault="00000000">
      <w:r>
        <w:rPr>
          <w:rFonts w:eastAsia="Georgia" w:cs="Georgia"/>
          <w:szCs w:val="21"/>
        </w:rPr>
        <w:t>Certain provisions form the protected core of this Accord: the Zero-Toll Rule; the Non-Interdiction Protocol; the humanitarian absolute and the humanitarian firewall; the Nofade Guarantee; the Stillwater Pause's protected flows; the sanctions-compliance firewall; the distress-priority rule; and the Red Lines Register. The protected core is non-derogable: no classification, ladder step, pause, suspension, dispute outcome, arbitral award, or amendment dilutes it, and an amendment touching the protected core takes effect only by consensus of all Littoral Parties plus ratification by each, per Article 39.2.</w:t>
      </w:r>
    </w:p>
    <w:p w14:paraId="04F84C73" w14:textId="77777777" w:rsidR="00DA7972" w:rsidRDefault="00000000">
      <w:pPr>
        <w:pStyle w:val="Heading3"/>
      </w:pPr>
      <w:r>
        <w:rPr>
          <w:rFonts w:eastAsia="Calibri" w:cs="Calibri"/>
          <w:szCs w:val="22"/>
        </w:rPr>
        <w:t>36.2 Non-severability of safeguards</w:t>
      </w:r>
    </w:p>
    <w:p w14:paraId="449987F5" w14:textId="77777777" w:rsidR="00DA7972" w:rsidRDefault="00000000">
      <w:r>
        <w:rPr>
          <w:rFonts w:eastAsia="Georgia" w:cs="Georgia"/>
          <w:szCs w:val="21"/>
        </w:rPr>
        <w:t>The protected core operates as one fabric. An act that strips, bypasses, or hollows out any element of the core while invoking this Accord is void from inception: it produces no legal effect, binds no Party, and triggers the Stillwater Pause automatically on any Party's notice. The Accord's safeguards exist as a set because each protects the others: a toll justified by a security claim, an interdiction justified by an audit, a blackout justified by a dispute, each kills the whole, and the Covenant treats each accordingly.</w:t>
      </w:r>
    </w:p>
    <w:p w14:paraId="510193FA" w14:textId="77777777" w:rsidR="00DA7972" w:rsidRDefault="00000000">
      <w:pPr>
        <w:pStyle w:val="Heading3"/>
      </w:pPr>
      <w:r>
        <w:rPr>
          <w:rFonts w:eastAsia="Calibri" w:cs="Calibri"/>
          <w:szCs w:val="22"/>
        </w:rPr>
        <w:t>36.3 Declarations of intent</w:t>
      </w:r>
    </w:p>
    <w:p w14:paraId="4496ACB8" w14:textId="77777777" w:rsidR="00DA7972" w:rsidRDefault="00000000">
      <w:r>
        <w:rPr>
          <w:rFonts w:eastAsia="Georgia" w:cs="Georgia"/>
          <w:szCs w:val="21"/>
        </w:rPr>
        <w:t>At signature, each Party deposits a public declaration of intent stating that it enters this Accord to keep the Strait open, toll-free, safe, and multilaterally governed, and that it invokes the Accord's mechanisms for those purposes alone. The depositary publishes the declarations with the instrument. An invocation of any mechanism for a purpose demonstrably foreign to the declared purposes is void, and repeated foreign-purpose invocation engages the emergency oversight of Article 36.4.</w:t>
      </w:r>
    </w:p>
    <w:p w14:paraId="636CF2F2" w14:textId="77777777" w:rsidR="00DA7972" w:rsidRDefault="00000000">
      <w:pPr>
        <w:pStyle w:val="Heading3"/>
      </w:pPr>
      <w:r>
        <w:rPr>
          <w:rFonts w:eastAsia="Calibri" w:cs="Calibri"/>
          <w:szCs w:val="22"/>
        </w:rPr>
        <w:t>36.4 Emergency oversight</w:t>
      </w:r>
    </w:p>
    <w:p w14:paraId="65B12187" w14:textId="77777777" w:rsidR="00DA7972" w:rsidRDefault="00000000">
      <w:r>
        <w:rPr>
          <w:rFonts w:eastAsia="Georgia" w:cs="Georgia"/>
          <w:szCs w:val="21"/>
        </w:rPr>
        <w:t xml:space="preserve">Where the Guarantor Panel finds, by a vote of five of its six members including the Neutral Administrator, that a participant systematically invokes the Accord's mechanisms contrary to its declared purposes, the Panel suspends that participant's invocation rights for 90 days and refers the pattern to the Independent Assurance Council and, at the participant's election, to arbitration under Article 35.4. During the suspension, every protection of the Accord continues to run in the </w:t>
      </w:r>
      <w:r>
        <w:rPr>
          <w:rFonts w:eastAsia="Georgia" w:cs="Georgia"/>
          <w:szCs w:val="21"/>
        </w:rPr>
        <w:lastRenderedPageBreak/>
        <w:t>suspended participant's favor: oversight restrains the misuse of machinery, never the delivery of safety. The suspension restores automatically at 90 days absent a confirming arbitral award.</w:t>
      </w:r>
    </w:p>
    <w:p w14:paraId="57601C4C" w14:textId="77777777" w:rsidR="00DA7972" w:rsidRDefault="00000000">
      <w:pPr>
        <w:pStyle w:val="Heading3"/>
      </w:pPr>
      <w:r>
        <w:rPr>
          <w:rFonts w:eastAsia="Calibri" w:cs="Calibri"/>
          <w:szCs w:val="22"/>
        </w:rPr>
        <w:t>36.5 The integrity review</w:t>
      </w:r>
    </w:p>
    <w:p w14:paraId="1D2A6ACD" w14:textId="77777777" w:rsidR="00DA7972" w:rsidRDefault="00000000">
      <w:r>
        <w:rPr>
          <w:rFonts w:eastAsia="Georgia" w:cs="Georgia"/>
          <w:szCs w:val="21"/>
        </w:rPr>
        <w:t>The Independent Assurance Council conducts an annual integrity review of the protected core: it tests the year's measures, classifications, pauses, and invocations against the Covenant, and publishes its findings. The review stands as the Accord's conscience on the public record, and the Council answers each finding within 60 days.</w:t>
      </w:r>
    </w:p>
    <w:tbl>
      <w:tblPr>
        <w:tblW w:w="5000" w:type="pct"/>
        <w:tblInd w:w="200" w:type="dxa"/>
        <w:tblBorders>
          <w:top w:val="single" w:sz="2" w:space="0" w:color="B0BEC5"/>
          <w:left w:val="single" w:sz="18" w:space="0" w:color="37474F"/>
          <w:bottom w:val="single" w:sz="2" w:space="0" w:color="B0BEC5"/>
          <w:right w:val="single" w:sz="2" w:space="0" w:color="B0BEC5"/>
        </w:tblBorders>
        <w:tblCellMar>
          <w:top w:w="140" w:type="dxa"/>
          <w:left w:w="200" w:type="dxa"/>
          <w:bottom w:w="140" w:type="dxa"/>
          <w:right w:w="160" w:type="dxa"/>
        </w:tblCellMar>
        <w:tblLook w:val="04A0" w:firstRow="1" w:lastRow="0" w:firstColumn="1" w:lastColumn="0" w:noHBand="0" w:noVBand="1"/>
      </w:tblPr>
      <w:tblGrid>
        <w:gridCol w:w="9386"/>
      </w:tblGrid>
      <w:tr w:rsidR="00DA7972" w14:paraId="38BBB133" w14:textId="77777777">
        <w:tc>
          <w:tcPr>
            <w:tcW w:w="9010" w:type="dxa"/>
            <w:shd w:val="clear" w:color="auto" w:fill="ECEFF1"/>
          </w:tcPr>
          <w:p w14:paraId="7F4FF01E" w14:textId="77777777" w:rsidR="00DA7972" w:rsidRDefault="00000000">
            <w:pPr>
              <w:spacing w:after="0"/>
            </w:pPr>
            <w:r>
              <w:rPr>
                <w:rFonts w:eastAsia="Georgia" w:cs="Georgia"/>
                <w:i/>
                <w:szCs w:val="21"/>
              </w:rPr>
              <w:t>Design rationale for the compliance engine. The Parties reject snapback mechanics because snapback kills agreements: binary enforcement produces binary outcomes, and the first serious breach ends the instrument. The graduated ladder, the automatic earn-back, the Performance Reserve, and the Stillwater Pause convert every breach from an existential event into an administrative one. The design assumes that Parties deviate, and it prices deviation low enough to survive and high enough to matter, so that the architecture outlasts the behavior it governs.</w:t>
            </w:r>
          </w:p>
        </w:tc>
      </w:tr>
    </w:tbl>
    <w:p w14:paraId="1389C693" w14:textId="77777777" w:rsidR="00DA7972" w:rsidRDefault="00000000">
      <w:pPr>
        <w:pStyle w:val="Heading1"/>
      </w:pPr>
      <w:bookmarkStart w:id="52" w:name="_Toc236229933"/>
      <w:r>
        <w:rPr>
          <w:rFonts w:eastAsia="Calibri" w:cs="Calibri"/>
          <w:szCs w:val="32"/>
        </w:rPr>
        <w:lastRenderedPageBreak/>
        <w:t>Part VII: Continuity, Resilience, Accession, and Final Provisions</w:t>
      </w:r>
      <w:bookmarkEnd w:id="52"/>
    </w:p>
    <w:p w14:paraId="2793AF19" w14:textId="77777777" w:rsidR="00DA7972" w:rsidRDefault="00000000">
      <w:pPr>
        <w:pStyle w:val="Heading2"/>
      </w:pPr>
      <w:bookmarkStart w:id="53" w:name="_Toc236229934"/>
      <w:r>
        <w:rPr>
          <w:rFonts w:eastAsia="Calibri" w:cs="Calibri"/>
          <w:szCs w:val="26"/>
        </w:rPr>
        <w:t>Article 37: Phased Activation and Implementation</w:t>
      </w:r>
      <w:bookmarkEnd w:id="53"/>
    </w:p>
    <w:p w14:paraId="67B126AD" w14:textId="77777777" w:rsidR="00DA7972" w:rsidRDefault="00000000">
      <w:pPr>
        <w:pStyle w:val="Heading3"/>
      </w:pPr>
      <w:r>
        <w:rPr>
          <w:rFonts w:eastAsia="Calibri" w:cs="Calibri"/>
          <w:szCs w:val="22"/>
        </w:rPr>
        <w:t>37.1 The activation phases</w:t>
      </w:r>
    </w:p>
    <w:p w14:paraId="12259776" w14:textId="77777777" w:rsidR="00DA7972" w:rsidRDefault="00000000">
      <w:r>
        <w:rPr>
          <w:rFonts w:eastAsia="Georgia" w:cs="Georgia"/>
          <w:szCs w:val="21"/>
        </w:rPr>
        <w:t>The Accord activates in four phases, each with entry conditions, certification, and a public record, per the full schedule of Annex L:</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2306"/>
        <w:gridCol w:w="2306"/>
        <w:gridCol w:w="2306"/>
        <w:gridCol w:w="2308"/>
      </w:tblGrid>
      <w:tr w:rsidR="00DA7972" w14:paraId="79BF877A" w14:textId="77777777">
        <w:trPr>
          <w:tblHeader/>
        </w:trPr>
        <w:tc>
          <w:tcPr>
            <w:tcW w:w="2252" w:type="dxa"/>
            <w:tcBorders>
              <w:bottom w:val="single" w:sz="6" w:space="0" w:color="546E7A"/>
            </w:tcBorders>
            <w:shd w:val="clear" w:color="auto" w:fill="E4E9EC"/>
          </w:tcPr>
          <w:p w14:paraId="473050D3" w14:textId="77777777" w:rsidR="00DA7972" w:rsidRDefault="00000000">
            <w:pPr>
              <w:spacing w:after="0" w:line="260" w:lineRule="auto"/>
              <w:jc w:val="left"/>
            </w:pPr>
            <w:r>
              <w:rPr>
                <w:rFonts w:ascii="Calibri" w:eastAsia="Calibri" w:hAnsi="Calibri" w:cs="Calibri"/>
                <w:b/>
                <w:color w:val="37474F"/>
                <w:sz w:val="19"/>
                <w:szCs w:val="19"/>
              </w:rPr>
              <w:t>Phase</w:t>
            </w:r>
          </w:p>
        </w:tc>
        <w:tc>
          <w:tcPr>
            <w:tcW w:w="2252" w:type="dxa"/>
            <w:tcBorders>
              <w:bottom w:val="single" w:sz="6" w:space="0" w:color="546E7A"/>
            </w:tcBorders>
            <w:shd w:val="clear" w:color="auto" w:fill="E4E9EC"/>
          </w:tcPr>
          <w:p w14:paraId="23998905" w14:textId="77777777" w:rsidR="00DA7972" w:rsidRDefault="00000000">
            <w:pPr>
              <w:spacing w:after="0" w:line="260" w:lineRule="auto"/>
              <w:jc w:val="left"/>
            </w:pPr>
            <w:r>
              <w:rPr>
                <w:rFonts w:ascii="Calibri" w:eastAsia="Calibri" w:hAnsi="Calibri" w:cs="Calibri"/>
                <w:b/>
                <w:color w:val="37474F"/>
                <w:sz w:val="19"/>
                <w:szCs w:val="19"/>
              </w:rPr>
              <w:t>Window</w:t>
            </w:r>
          </w:p>
        </w:tc>
        <w:tc>
          <w:tcPr>
            <w:tcW w:w="2252" w:type="dxa"/>
            <w:tcBorders>
              <w:bottom w:val="single" w:sz="6" w:space="0" w:color="546E7A"/>
            </w:tcBorders>
            <w:shd w:val="clear" w:color="auto" w:fill="E4E9EC"/>
          </w:tcPr>
          <w:p w14:paraId="542A3A8A" w14:textId="77777777" w:rsidR="00DA7972" w:rsidRDefault="00000000">
            <w:pPr>
              <w:spacing w:after="0" w:line="260" w:lineRule="auto"/>
              <w:jc w:val="left"/>
            </w:pPr>
            <w:r>
              <w:rPr>
                <w:rFonts w:ascii="Calibri" w:eastAsia="Calibri" w:hAnsi="Calibri" w:cs="Calibri"/>
                <w:b/>
                <w:color w:val="37474F"/>
                <w:sz w:val="19"/>
                <w:szCs w:val="19"/>
              </w:rPr>
              <w:t>Core deliverables</w:t>
            </w:r>
          </w:p>
        </w:tc>
        <w:tc>
          <w:tcPr>
            <w:tcW w:w="2254" w:type="dxa"/>
            <w:tcBorders>
              <w:bottom w:val="single" w:sz="6" w:space="0" w:color="546E7A"/>
            </w:tcBorders>
            <w:shd w:val="clear" w:color="auto" w:fill="E4E9EC"/>
          </w:tcPr>
          <w:p w14:paraId="7314A309" w14:textId="77777777" w:rsidR="00DA7972" w:rsidRDefault="00000000">
            <w:pPr>
              <w:spacing w:after="0" w:line="260" w:lineRule="auto"/>
              <w:jc w:val="left"/>
            </w:pPr>
            <w:r>
              <w:rPr>
                <w:rFonts w:ascii="Calibri" w:eastAsia="Calibri" w:hAnsi="Calibri" w:cs="Calibri"/>
                <w:b/>
                <w:color w:val="37474F"/>
                <w:sz w:val="19"/>
                <w:szCs w:val="19"/>
              </w:rPr>
              <w:t>Certification</w:t>
            </w:r>
          </w:p>
        </w:tc>
      </w:tr>
      <w:tr w:rsidR="00DA7972" w14:paraId="47095BD3" w14:textId="77777777">
        <w:tc>
          <w:tcPr>
            <w:tcW w:w="2252" w:type="dxa"/>
          </w:tcPr>
          <w:p w14:paraId="43BD5339" w14:textId="77777777" w:rsidR="00DA7972" w:rsidRDefault="00000000">
            <w:pPr>
              <w:spacing w:after="0" w:line="260" w:lineRule="auto"/>
              <w:jc w:val="left"/>
            </w:pPr>
            <w:r>
              <w:rPr>
                <w:rFonts w:ascii="Calibri" w:eastAsia="Calibri" w:hAnsi="Calibri" w:cs="Calibri"/>
                <w:sz w:val="19"/>
                <w:szCs w:val="19"/>
              </w:rPr>
              <w:t>Phase Zero: Preparation</w:t>
            </w:r>
          </w:p>
        </w:tc>
        <w:tc>
          <w:tcPr>
            <w:tcW w:w="2252" w:type="dxa"/>
          </w:tcPr>
          <w:p w14:paraId="512E8DF1" w14:textId="77777777" w:rsidR="00DA7972" w:rsidRDefault="00000000">
            <w:pPr>
              <w:spacing w:after="0" w:line="260" w:lineRule="auto"/>
              <w:jc w:val="left"/>
            </w:pPr>
            <w:r>
              <w:rPr>
                <w:rFonts w:ascii="Calibri" w:eastAsia="Calibri" w:hAnsi="Calibri" w:cs="Calibri"/>
                <w:sz w:val="19"/>
                <w:szCs w:val="19"/>
              </w:rPr>
              <w:t>Signature to Day 14</w:t>
            </w:r>
          </w:p>
        </w:tc>
        <w:tc>
          <w:tcPr>
            <w:tcW w:w="2252" w:type="dxa"/>
          </w:tcPr>
          <w:p w14:paraId="02084766" w14:textId="77777777" w:rsidR="00DA7972" w:rsidRDefault="00000000">
            <w:pPr>
              <w:spacing w:after="0" w:line="260" w:lineRule="auto"/>
              <w:jc w:val="left"/>
            </w:pPr>
            <w:r>
              <w:rPr>
                <w:rFonts w:ascii="Calibri" w:eastAsia="Calibri" w:hAnsi="Calibri" w:cs="Calibri"/>
                <w:sz w:val="19"/>
                <w:szCs w:val="19"/>
              </w:rPr>
              <w:t>Host agreements signed; escrow accounts opened; paired staffing named; exercise notices filed; hazard declarations exchanged</w:t>
            </w:r>
          </w:p>
        </w:tc>
        <w:tc>
          <w:tcPr>
            <w:tcW w:w="2254" w:type="dxa"/>
          </w:tcPr>
          <w:p w14:paraId="12A7B64D" w14:textId="77777777" w:rsidR="00DA7972" w:rsidRDefault="00000000">
            <w:pPr>
              <w:spacing w:after="0" w:line="260" w:lineRule="auto"/>
              <w:jc w:val="left"/>
            </w:pPr>
            <w:r>
              <w:rPr>
                <w:rFonts w:ascii="Calibri" w:eastAsia="Calibri" w:hAnsi="Calibri" w:cs="Calibri"/>
                <w:sz w:val="19"/>
                <w:szCs w:val="19"/>
              </w:rPr>
              <w:t>Mediator of Record confirms readiness to the Council</w:t>
            </w:r>
          </w:p>
        </w:tc>
      </w:tr>
      <w:tr w:rsidR="00DA7972" w14:paraId="3839A749" w14:textId="77777777">
        <w:tc>
          <w:tcPr>
            <w:tcW w:w="2252" w:type="dxa"/>
          </w:tcPr>
          <w:p w14:paraId="4D1492CE" w14:textId="77777777" w:rsidR="00DA7972" w:rsidRDefault="00000000">
            <w:pPr>
              <w:spacing w:after="0" w:line="260" w:lineRule="auto"/>
              <w:jc w:val="left"/>
            </w:pPr>
            <w:r>
              <w:rPr>
                <w:rFonts w:ascii="Calibri" w:eastAsia="Calibri" w:hAnsi="Calibri" w:cs="Calibri"/>
                <w:sz w:val="19"/>
                <w:szCs w:val="19"/>
              </w:rPr>
              <w:t>Phase One: Standing Start</w:t>
            </w:r>
          </w:p>
        </w:tc>
        <w:tc>
          <w:tcPr>
            <w:tcW w:w="2252" w:type="dxa"/>
          </w:tcPr>
          <w:p w14:paraId="2950CAEB" w14:textId="77777777" w:rsidR="00DA7972" w:rsidRDefault="00000000">
            <w:pPr>
              <w:spacing w:after="0" w:line="260" w:lineRule="auto"/>
              <w:jc w:val="left"/>
            </w:pPr>
            <w:r>
              <w:rPr>
                <w:rFonts w:ascii="Calibri" w:eastAsia="Calibri" w:hAnsi="Calibri" w:cs="Calibri"/>
                <w:sz w:val="19"/>
                <w:szCs w:val="19"/>
              </w:rPr>
              <w:t>Day 15 to Day 30</w:t>
            </w:r>
          </w:p>
        </w:tc>
        <w:tc>
          <w:tcPr>
            <w:tcW w:w="2252" w:type="dxa"/>
          </w:tcPr>
          <w:p w14:paraId="1B856A4C" w14:textId="77777777" w:rsidR="00DA7972" w:rsidRDefault="00000000">
            <w:pPr>
              <w:spacing w:after="0" w:line="260" w:lineRule="auto"/>
              <w:jc w:val="left"/>
            </w:pPr>
            <w:r>
              <w:rPr>
                <w:rFonts w:ascii="Calibri" w:eastAsia="Calibri" w:hAnsi="Calibri" w:cs="Calibri"/>
                <w:sz w:val="19"/>
                <w:szCs w:val="19"/>
              </w:rPr>
              <w:t>Center watch floor live; notification desk acknowledging; Bulletin publishing; patrols begun; joint survey under way</w:t>
            </w:r>
          </w:p>
        </w:tc>
        <w:tc>
          <w:tcPr>
            <w:tcW w:w="2254" w:type="dxa"/>
          </w:tcPr>
          <w:p w14:paraId="684B9FAD" w14:textId="77777777" w:rsidR="00DA7972" w:rsidRDefault="00000000">
            <w:pPr>
              <w:spacing w:after="0" w:line="260" w:lineRule="auto"/>
              <w:jc w:val="left"/>
            </w:pPr>
            <w:r>
              <w:rPr>
                <w:rFonts w:ascii="Calibri" w:eastAsia="Calibri" w:hAnsi="Calibri" w:cs="Calibri"/>
                <w:sz w:val="19"/>
                <w:szCs w:val="19"/>
              </w:rPr>
              <w:t>Neutral Keel Office operational certificate</w:t>
            </w:r>
          </w:p>
        </w:tc>
      </w:tr>
      <w:tr w:rsidR="00DA7972" w14:paraId="2726E8FD" w14:textId="77777777">
        <w:tc>
          <w:tcPr>
            <w:tcW w:w="2252" w:type="dxa"/>
          </w:tcPr>
          <w:p w14:paraId="16D36387" w14:textId="77777777" w:rsidR="00DA7972" w:rsidRDefault="00000000">
            <w:pPr>
              <w:spacing w:after="0" w:line="260" w:lineRule="auto"/>
              <w:jc w:val="left"/>
            </w:pPr>
            <w:r>
              <w:rPr>
                <w:rFonts w:ascii="Calibri" w:eastAsia="Calibri" w:hAnsi="Calibri" w:cs="Calibri"/>
                <w:sz w:val="19"/>
                <w:szCs w:val="19"/>
              </w:rPr>
              <w:t>Phase Two: Full Service</w:t>
            </w:r>
          </w:p>
        </w:tc>
        <w:tc>
          <w:tcPr>
            <w:tcW w:w="2252" w:type="dxa"/>
          </w:tcPr>
          <w:p w14:paraId="469DFAE0" w14:textId="77777777" w:rsidR="00DA7972" w:rsidRDefault="00000000">
            <w:pPr>
              <w:spacing w:after="0" w:line="260" w:lineRule="auto"/>
              <w:jc w:val="left"/>
            </w:pPr>
            <w:r>
              <w:rPr>
                <w:rFonts w:ascii="Calibri" w:eastAsia="Calibri" w:hAnsi="Calibri" w:cs="Calibri"/>
                <w:sz w:val="19"/>
                <w:szCs w:val="19"/>
              </w:rPr>
              <w:t>Day 31 to Day 60</w:t>
            </w:r>
          </w:p>
        </w:tc>
        <w:tc>
          <w:tcPr>
            <w:tcW w:w="2252" w:type="dxa"/>
          </w:tcPr>
          <w:p w14:paraId="35AE2C22" w14:textId="77777777" w:rsidR="00DA7972" w:rsidRDefault="00000000">
            <w:pPr>
              <w:spacing w:after="0" w:line="260" w:lineRule="auto"/>
              <w:jc w:val="left"/>
            </w:pPr>
            <w:r>
              <w:rPr>
                <w:rFonts w:ascii="Calibri" w:eastAsia="Calibri" w:hAnsi="Calibri" w:cs="Calibri"/>
                <w:sz w:val="19"/>
                <w:szCs w:val="19"/>
              </w:rPr>
              <w:t>All three corridors at full schedule; Fund paying verified services; Registry live; Data Service public tier live</w:t>
            </w:r>
          </w:p>
        </w:tc>
        <w:tc>
          <w:tcPr>
            <w:tcW w:w="2254" w:type="dxa"/>
          </w:tcPr>
          <w:p w14:paraId="75DFD623" w14:textId="77777777" w:rsidR="00DA7972" w:rsidRDefault="00000000">
            <w:pPr>
              <w:spacing w:after="0" w:line="260" w:lineRule="auto"/>
              <w:jc w:val="left"/>
            </w:pPr>
            <w:r>
              <w:rPr>
                <w:rFonts w:ascii="Calibri" w:eastAsia="Calibri" w:hAnsi="Calibri" w:cs="Calibri"/>
                <w:sz w:val="19"/>
                <w:szCs w:val="19"/>
              </w:rPr>
              <w:t>Council certificate on Technical Committee report</w:t>
            </w:r>
          </w:p>
        </w:tc>
      </w:tr>
      <w:tr w:rsidR="00DA7972" w14:paraId="1D4A00D2" w14:textId="77777777">
        <w:tc>
          <w:tcPr>
            <w:tcW w:w="2252" w:type="dxa"/>
          </w:tcPr>
          <w:p w14:paraId="1AC4F785" w14:textId="77777777" w:rsidR="00DA7972" w:rsidRDefault="00000000">
            <w:pPr>
              <w:spacing w:after="0" w:line="260" w:lineRule="auto"/>
              <w:jc w:val="left"/>
            </w:pPr>
            <w:r>
              <w:rPr>
                <w:rFonts w:ascii="Calibri" w:eastAsia="Calibri" w:hAnsi="Calibri" w:cs="Calibri"/>
                <w:sz w:val="19"/>
                <w:szCs w:val="19"/>
              </w:rPr>
              <w:t>Phase Three: Consolidation</w:t>
            </w:r>
          </w:p>
        </w:tc>
        <w:tc>
          <w:tcPr>
            <w:tcW w:w="2252" w:type="dxa"/>
          </w:tcPr>
          <w:p w14:paraId="11587958" w14:textId="77777777" w:rsidR="00DA7972" w:rsidRDefault="00000000">
            <w:pPr>
              <w:spacing w:after="0" w:line="260" w:lineRule="auto"/>
              <w:jc w:val="left"/>
            </w:pPr>
            <w:r>
              <w:rPr>
                <w:rFonts w:ascii="Calibri" w:eastAsia="Calibri" w:hAnsi="Calibri" w:cs="Calibri"/>
                <w:sz w:val="19"/>
                <w:szCs w:val="19"/>
              </w:rPr>
              <w:t>Day 61 onward</w:t>
            </w:r>
          </w:p>
        </w:tc>
        <w:tc>
          <w:tcPr>
            <w:tcW w:w="2252" w:type="dxa"/>
          </w:tcPr>
          <w:p w14:paraId="0A33D826" w14:textId="77777777" w:rsidR="00DA7972" w:rsidRDefault="00000000">
            <w:pPr>
              <w:spacing w:after="0" w:line="260" w:lineRule="auto"/>
              <w:jc w:val="left"/>
            </w:pPr>
            <w:r>
              <w:rPr>
                <w:rFonts w:ascii="Calibri" w:eastAsia="Calibri" w:hAnsi="Calibri" w:cs="Calibri"/>
                <w:sz w:val="19"/>
                <w:szCs w:val="19"/>
              </w:rPr>
              <w:t>Survey certification complete; insurance normalization tracking; first annual review conference scheduled; accession track open</w:t>
            </w:r>
          </w:p>
        </w:tc>
        <w:tc>
          <w:tcPr>
            <w:tcW w:w="2254" w:type="dxa"/>
          </w:tcPr>
          <w:p w14:paraId="01F7DF9B" w14:textId="77777777" w:rsidR="00DA7972" w:rsidRDefault="00000000">
            <w:pPr>
              <w:spacing w:after="0" w:line="260" w:lineRule="auto"/>
              <w:jc w:val="left"/>
            </w:pPr>
            <w:r>
              <w:rPr>
                <w:rFonts w:ascii="Calibri" w:eastAsia="Calibri" w:hAnsi="Calibri" w:cs="Calibri"/>
                <w:sz w:val="19"/>
                <w:szCs w:val="19"/>
              </w:rPr>
              <w:t>Annual review conference declaration</w:t>
            </w:r>
          </w:p>
        </w:tc>
      </w:tr>
    </w:tbl>
    <w:p w14:paraId="3B0E4505" w14:textId="77777777" w:rsidR="00DA7972" w:rsidRDefault="00DA7972">
      <w:pPr>
        <w:spacing w:after="60"/>
      </w:pPr>
    </w:p>
    <w:p w14:paraId="2D7A9B4C" w14:textId="77777777" w:rsidR="00DA7972" w:rsidRDefault="00000000">
      <w:pPr>
        <w:pStyle w:val="Caption"/>
      </w:pPr>
      <w:r>
        <w:rPr>
          <w:rFonts w:eastAsia="Calibri" w:cs="Calibri"/>
          <w:szCs w:val="18"/>
        </w:rPr>
        <w:t>Table 37.1: Activation phases</w:t>
      </w:r>
    </w:p>
    <w:p w14:paraId="53A47B37" w14:textId="77777777" w:rsidR="00DA7972" w:rsidRDefault="00000000">
      <w:r>
        <w:rPr>
          <w:rFonts w:eastAsia="Georgia" w:cs="Georgia"/>
          <w:szCs w:val="21"/>
        </w:rPr>
        <w:t>Phase boundaries are administrative rhythms, not condition gates: under the Nofade Guarantee, a phase continues until the next certifies, obligations persist across boundaries unchanged, and nothing resets at a boundary. The target timeline serves discipline, and the default-continuity rule absorbs any slip without legal consequence.</w:t>
      </w:r>
    </w:p>
    <w:p w14:paraId="6817C731" w14:textId="77777777" w:rsidR="00DA7972" w:rsidRDefault="00000000">
      <w:pPr>
        <w:pStyle w:val="Heading3"/>
      </w:pPr>
      <w:r>
        <w:rPr>
          <w:rFonts w:eastAsia="Calibri" w:cs="Calibri"/>
          <w:szCs w:val="22"/>
        </w:rPr>
        <w:t>37.2 Early harvest</w:t>
      </w:r>
    </w:p>
    <w:p w14:paraId="73419750" w14:textId="77777777" w:rsidR="00DA7972" w:rsidRDefault="00000000">
      <w:r>
        <w:rPr>
          <w:rFonts w:eastAsia="Georgia" w:cs="Georgia"/>
          <w:szCs w:val="21"/>
        </w:rPr>
        <w:t>The Parties deliver visible results early: the joint openness declaration of Article 10.4 within 7 days; the first Bulletin within 14 days; the first escorted windows within 21 days; the first zone certification within 21 days; and the first premium digest within 30 days. Early harvest builds the public confidence on which the entire architecture trades.</w:t>
      </w:r>
    </w:p>
    <w:p w14:paraId="3656C336" w14:textId="77777777" w:rsidR="00DA7972" w:rsidRDefault="00000000">
      <w:pPr>
        <w:pStyle w:val="Heading2"/>
      </w:pPr>
      <w:bookmarkStart w:id="54" w:name="_Toc236229935"/>
      <w:r>
        <w:rPr>
          <w:rFonts w:eastAsia="Calibri" w:cs="Calibri"/>
          <w:szCs w:val="26"/>
        </w:rPr>
        <w:lastRenderedPageBreak/>
        <w:t>Article 38: Accession, Liaison, and the Multilateral Expansion Path</w:t>
      </w:r>
      <w:bookmarkEnd w:id="54"/>
    </w:p>
    <w:p w14:paraId="398BBEDE" w14:textId="77777777" w:rsidR="00DA7972" w:rsidRDefault="00000000">
      <w:pPr>
        <w:pStyle w:val="Heading3"/>
      </w:pPr>
      <w:r>
        <w:rPr>
          <w:rFonts w:eastAsia="Calibri" w:cs="Calibri"/>
          <w:szCs w:val="22"/>
        </w:rPr>
        <w:t>38.1 Accession of Acceding Members</w:t>
      </w:r>
    </w:p>
    <w:p w14:paraId="412612BB" w14:textId="77777777" w:rsidR="00DA7972" w:rsidRDefault="00000000">
      <w:r>
        <w:rPr>
          <w:rFonts w:eastAsia="Georgia" w:cs="Georgia"/>
          <w:szCs w:val="21"/>
        </w:rPr>
        <w:t>Saudi Arabia, Qatar, Bahrain, Kuwait, and Iraq accede as Acceding Members by depositing an instrument of accession with the depositary, in the form of Annex M. Accession takes effect 30 days after deposit, seats the acceding state in the Council with two voting members, adds its paired posts to the staffing table, extends its service delivery roster, and binds it to the whole Accord including the Annexes. Where an Acceding Member demonstrates an urgent operational need, the Council, acting by consensus, approves expedited accession with effect 7 days after deposit, and expedited accession carries the same obligations and rights as ordinary accession. The architecture invites every Gulf littoral state to co-govern the waterway its own trade depends on, and the door remains open without time limit, per the Nofade Guarantee.</w:t>
      </w:r>
    </w:p>
    <w:p w14:paraId="6CA95FBB" w14:textId="77777777" w:rsidR="00DA7972" w:rsidRDefault="00000000">
      <w:pPr>
        <w:pStyle w:val="Heading3"/>
      </w:pPr>
      <w:r>
        <w:rPr>
          <w:rFonts w:eastAsia="Calibri" w:cs="Calibri"/>
          <w:szCs w:val="22"/>
        </w:rPr>
        <w:t>38.2 Modular participation</w:t>
      </w:r>
    </w:p>
    <w:p w14:paraId="38CA73EF" w14:textId="77777777" w:rsidR="00DA7972" w:rsidRDefault="00000000">
      <w:r>
        <w:rPr>
          <w:rFonts w:eastAsia="Georgia" w:cs="Georgia"/>
          <w:szCs w:val="21"/>
        </w:rPr>
        <w:t>A state not ready for full accession joins modules: the Bulletin subscription, the Registry, the Data Service, the observer seat, or the Fund's contributor class. Module participation publishes, carries the module's obligations, and builds the record that full accession later banks.</w:t>
      </w:r>
    </w:p>
    <w:p w14:paraId="49CE59FC" w14:textId="77777777" w:rsidR="00DA7972" w:rsidRDefault="00000000">
      <w:pPr>
        <w:pStyle w:val="Heading3"/>
      </w:pPr>
      <w:r>
        <w:rPr>
          <w:rFonts w:eastAsia="Calibri" w:cs="Calibri"/>
          <w:szCs w:val="22"/>
        </w:rPr>
        <w:t>38.3 Gulf coordination</w:t>
      </w:r>
    </w:p>
    <w:p w14:paraId="0C5F014D" w14:textId="77777777" w:rsidR="00DA7972" w:rsidRDefault="00000000">
      <w:r>
        <w:rPr>
          <w:rFonts w:eastAsia="Georgia" w:cs="Georgia"/>
          <w:szCs w:val="21"/>
        </w:rPr>
        <w:t>The Council convenes an annual Gulf Maritime Coordination Meeting, open to every Gulf state whether Party or not, with the Gulf Cooperation Council secretariat invited, to align aids to navigation, hydrographic priorities, search and rescue interfaces, and environmental standards across the wider Gulf. The Accord positions itself as the Strait component of a wider regional maritime fabric, never as a rival to any regional body.</w:t>
      </w:r>
    </w:p>
    <w:p w14:paraId="33C197E7" w14:textId="77777777" w:rsidR="00DA7972" w:rsidRDefault="00000000">
      <w:pPr>
        <w:pStyle w:val="Heading3"/>
      </w:pPr>
      <w:r>
        <w:rPr>
          <w:rFonts w:eastAsia="Calibri" w:cs="Calibri"/>
          <w:szCs w:val="22"/>
        </w:rPr>
        <w:t>38.4 Liaison with external organizations</w:t>
      </w:r>
    </w:p>
    <w:p w14:paraId="24ED43D9" w14:textId="77777777" w:rsidR="00DA7972" w:rsidRDefault="00000000">
      <w:r>
        <w:rPr>
          <w:rFonts w:eastAsia="Georgia" w:cs="Georgia"/>
          <w:szCs w:val="21"/>
        </w:rPr>
        <w:t>The Accord maintains standing liaison with the International Maritime Organization, the International Hydrographic Organization, the International Chamber of Shipping, the protection and indemnity clubs' group, and the United Nations system bodies named in the Annexes. Liaison flows through the Council chair and the Administrator, and every liaison exchange publishes in summary.</w:t>
      </w:r>
    </w:p>
    <w:p w14:paraId="3D50A7E2" w14:textId="77777777" w:rsidR="00DA7972" w:rsidRDefault="00000000">
      <w:pPr>
        <w:pStyle w:val="Heading3"/>
      </w:pPr>
      <w:r>
        <w:rPr>
          <w:rFonts w:eastAsia="Calibri" w:cs="Calibri"/>
          <w:szCs w:val="22"/>
        </w:rPr>
        <w:t>38.5 Adherence by external user states</w:t>
      </w:r>
    </w:p>
    <w:p w14:paraId="5A4570F3" w14:textId="77777777" w:rsidR="00DA7972" w:rsidRDefault="00000000">
      <w:r>
        <w:rPr>
          <w:rFonts w:eastAsia="Georgia" w:cs="Georgia"/>
          <w:szCs w:val="21"/>
        </w:rPr>
        <w:t xml:space="preserve">An external state whose forces operate in or near the Governance Area adheres to the de-confliction and non-interdiction disciplines of Articles 10 and 27 by depositing an adherence instrument in the form of Annex M. Adherence binds the adhering state to those disciplines inside the Governance Area, seats it at the de-confliction channel, and creates no other obligation or right. The United States deposits its adherence with its Endorsing Stakeholder instrument, and the Accord records every adherence publicly. A violation of the Non-Interdiction Protocol or the de-confliction disciplines by an adhering external state faces the same compliance procedures as a violation by a Party, and the Neutral Administrator serves as the point of contact for external state compliance. A substantiated claim against an external state under Article 34 routes through the Neutral Administrator, and the response follows the graduated ladder of Article 31.2. The </w:t>
      </w:r>
      <w:r>
        <w:rPr>
          <w:rFonts w:eastAsia="Georgia" w:cs="Georgia"/>
          <w:szCs w:val="21"/>
        </w:rPr>
        <w:lastRenderedPageBreak/>
        <w:t>adherence consequence rule is permanent and continues without expiry under the Nofade Guarantee of Article 4.</w:t>
      </w:r>
    </w:p>
    <w:p w14:paraId="350B110A" w14:textId="77777777" w:rsidR="00DA7972" w:rsidRDefault="00000000">
      <w:pPr>
        <w:pStyle w:val="Heading2"/>
      </w:pPr>
      <w:bookmarkStart w:id="55" w:name="_Toc236229936"/>
      <w:r>
        <w:rPr>
          <w:rFonts w:eastAsia="Calibri" w:cs="Calibri"/>
          <w:szCs w:val="26"/>
        </w:rPr>
        <w:t>Article 39: Amendment and Review</w:t>
      </w:r>
      <w:bookmarkEnd w:id="55"/>
    </w:p>
    <w:p w14:paraId="049982A8" w14:textId="77777777" w:rsidR="00DA7972" w:rsidRDefault="00000000">
      <w:pPr>
        <w:pStyle w:val="Heading3"/>
      </w:pPr>
      <w:r>
        <w:rPr>
          <w:rFonts w:eastAsia="Calibri" w:cs="Calibri"/>
          <w:szCs w:val="22"/>
        </w:rPr>
        <w:t>39.1 Ordinary amendment</w:t>
      </w:r>
    </w:p>
    <w:p w14:paraId="1036083A" w14:textId="77777777" w:rsidR="00DA7972" w:rsidRDefault="00000000">
      <w:r>
        <w:rPr>
          <w:rFonts w:eastAsia="Georgia" w:cs="Georgia"/>
          <w:szCs w:val="21"/>
        </w:rPr>
        <w:t>A Party proposes an amendment in writing to the depositary. The depositary circulates it; the Council debates it at the next session; and adoption takes consensus of the Littoral Parties under Article 20.3, with the Twin Key Rule where the amendment touches corridor geometry, flow-state doctrine, the Catalog, the budget, or a Red Line safeguard. An amendment enters into force 30 days after adoption for all Parties, and the depositary publishes the consolidated text within 14 days.</w:t>
      </w:r>
    </w:p>
    <w:p w14:paraId="03E65E75" w14:textId="77777777" w:rsidR="00DA7972" w:rsidRDefault="00000000">
      <w:pPr>
        <w:pBdr>
          <w:left w:val="single" w:sz="8" w:space="6" w:color="B0BEC5"/>
        </w:pBdr>
        <w:spacing w:before="40"/>
        <w:ind w:left="360"/>
      </w:pPr>
      <w:r>
        <w:rPr>
          <w:rFonts w:ascii="Calibri" w:eastAsia="Calibri" w:hAnsi="Calibri" w:cs="Calibri"/>
          <w:i/>
          <w:color w:val="78909C"/>
          <w:sz w:val="18"/>
          <w:szCs w:val="18"/>
        </w:rPr>
        <w:t>See also Articles 4, 20, and 36, and Annex T.</w:t>
      </w:r>
    </w:p>
    <w:p w14:paraId="37C269A0" w14:textId="77777777" w:rsidR="00DA7972" w:rsidRDefault="00000000">
      <w:pPr>
        <w:pStyle w:val="Heading3"/>
      </w:pPr>
      <w:r>
        <w:rPr>
          <w:rFonts w:eastAsia="Calibri" w:cs="Calibri"/>
          <w:szCs w:val="22"/>
        </w:rPr>
        <w:t>39.2 Elevated amendment</w:t>
      </w:r>
    </w:p>
    <w:p w14:paraId="385ADEAA" w14:textId="77777777" w:rsidR="00DA7972" w:rsidRDefault="00000000">
      <w:r>
        <w:rPr>
          <w:rFonts w:eastAsia="Georgia" w:cs="Georgia"/>
          <w:szCs w:val="21"/>
        </w:rPr>
        <w:t>An amendment touching the protected core of Article 36, the Nofade Guarantee, the Red Lines Register, or this Article takes: consensus of all Littoral Parties; ratification by each Littoral Party under its constitutional procedures; and a 90-day reflection period between adoption and entry into force, during which any Littoral Party withdraws its consent by notice. The elevated rule makes the core harder to change than to keep, which is the Nofade Guarantee's constitutional expression.</w:t>
      </w:r>
    </w:p>
    <w:p w14:paraId="111CFACD" w14:textId="77777777" w:rsidR="00DA7972" w:rsidRDefault="00000000">
      <w:pPr>
        <w:pStyle w:val="Heading3"/>
      </w:pPr>
      <w:r>
        <w:rPr>
          <w:rFonts w:eastAsia="Calibri" w:cs="Calibri"/>
          <w:szCs w:val="22"/>
        </w:rPr>
        <w:t>39.3 The symmetry review</w:t>
      </w:r>
    </w:p>
    <w:p w14:paraId="1FCE3230" w14:textId="77777777" w:rsidR="00DA7972" w:rsidRDefault="00000000">
      <w:r>
        <w:rPr>
          <w:rFonts w:eastAsia="Georgia" w:cs="Georgia"/>
          <w:szCs w:val="21"/>
        </w:rPr>
        <w:t>Every amendment passes the political acceptability rule of Article 3.1: the legal desk appends a symmetry assessment to the proposal, and the Council votes only with the assessment on the record.</w:t>
      </w:r>
    </w:p>
    <w:p w14:paraId="44681941" w14:textId="77777777" w:rsidR="00DA7972" w:rsidRDefault="00000000">
      <w:pPr>
        <w:pStyle w:val="Heading3"/>
      </w:pPr>
      <w:r>
        <w:rPr>
          <w:rFonts w:eastAsia="Calibri" w:cs="Calibri"/>
          <w:szCs w:val="22"/>
        </w:rPr>
        <w:t>39.4 The Open Water Review Conference</w:t>
      </w:r>
    </w:p>
    <w:p w14:paraId="689DA6D5" w14:textId="77777777" w:rsidR="00DA7972" w:rsidRDefault="00000000">
      <w:r>
        <w:rPr>
          <w:rFonts w:eastAsia="Georgia" w:cs="Georgia"/>
          <w:szCs w:val="21"/>
        </w:rPr>
        <w:t>The Council convenes an annual Open Water Review Conference, open to all Parties, observer states, stakeholders, and the assurance bodies. The Conference reviews the year's record: transit statistics, the Ledger, the premium index, the integrity review, and the audit. Continuation proceeds by silence at every Conference, per Article 4.7: the Accord runs on, and the Conference's output is a published review, never a renewal vote. There is nothing to renew. There is only a record to read and a system to improve.</w:t>
      </w:r>
    </w:p>
    <w:p w14:paraId="03161984" w14:textId="77777777" w:rsidR="00DA7972" w:rsidRDefault="00000000">
      <w:pPr>
        <w:pStyle w:val="Heading3"/>
      </w:pPr>
      <w:r>
        <w:rPr>
          <w:rFonts w:eastAsia="Calibri" w:cs="Calibri"/>
          <w:szCs w:val="22"/>
        </w:rPr>
        <w:t>39.5 Why the thresholds differ: design commentary</w:t>
      </w:r>
    </w:p>
    <w:p w14:paraId="01DD9228" w14:textId="77777777" w:rsidR="00DA7972" w:rsidRDefault="00000000">
      <w:r>
        <w:rPr>
          <w:rFonts w:eastAsia="Georgia" w:cs="Georgia"/>
          <w:szCs w:val="21"/>
        </w:rPr>
        <w:t xml:space="preserve">The Parties record the design logic of the amendment thresholds for the guidance of future negotiators. Ordinary amendments follow consensus because the architecture's daily machinery belongs to all its members equally, and no majority rearranges another member's working environment. Twin Key matters follow the paired rule because corridor geometry, flow-state doctrine, rates, and budgets form the core bargain between the two strait states, and a bargain neither keyholder accepts is no bargain at all. Elevated amendments add ratification and a reflection period because the protected core, the Nofade Guarantee, and the Red Lines Register </w:t>
      </w:r>
      <w:r>
        <w:rPr>
          <w:rFonts w:eastAsia="Georgia" w:cs="Georgia"/>
          <w:szCs w:val="21"/>
        </w:rPr>
        <w:lastRenderedPageBreak/>
        <w:t>exist precisely to outlast political weather, and a rule designed to survive storms accepts change only after the storm has passed and every capital has confirmed, twice, that it still wishes the change. The thresholds rise with the permanence of the provision they protect: the harder a rule works to prevent drift, the harder the architecture makes its amendment.</w:t>
      </w:r>
    </w:p>
    <w:p w14:paraId="2C3CBAAA" w14:textId="77777777" w:rsidR="00DA7972" w:rsidRDefault="00000000">
      <w:pPr>
        <w:pStyle w:val="Heading3"/>
      </w:pPr>
      <w:r>
        <w:rPr>
          <w:rFonts w:eastAsia="Calibri" w:cs="Calibri"/>
          <w:szCs w:val="22"/>
        </w:rPr>
        <w:t>39.6 The architecture review</w:t>
      </w:r>
    </w:p>
    <w:p w14:paraId="30D1C3BA" w14:textId="77777777" w:rsidR="00DA7972" w:rsidRDefault="00000000">
      <w:r>
        <w:rPr>
          <w:rFonts w:eastAsia="Georgia" w:cs="Georgia"/>
          <w:szCs w:val="21"/>
        </w:rPr>
        <w:t>Every five years from entry into force, the Council conducts a full architecture review: a systems-level examination of whether the Accord's mechanisms perform as designed, drawing on the Risk Register of Annex P, the performance metrics of Annex R, the stress-test record of Annex Q, and the State of the Strait reports. The review produces findings and, where warranted, amendment proposals under this Article. The review never touches continuity: it operates under the Nofade Guarantee as an examination, not an expiry, and the Accord runs at full force before, during, and after every review cycle. The first review concludes no later than the fifth anniversary of entry into force, and each review sets the date of the next.</w:t>
      </w:r>
    </w:p>
    <w:p w14:paraId="7A4E7CB3" w14:textId="77777777" w:rsidR="00DA7972" w:rsidRDefault="00000000">
      <w:pPr>
        <w:pStyle w:val="Heading2"/>
      </w:pPr>
      <w:bookmarkStart w:id="56" w:name="_Toc236229937"/>
      <w:r>
        <w:rPr>
          <w:rFonts w:eastAsia="Calibri" w:cs="Calibri"/>
          <w:szCs w:val="26"/>
        </w:rPr>
        <w:t>Article 40: Transition, Succession, Withdrawal, and Reconstitution</w:t>
      </w:r>
      <w:bookmarkEnd w:id="56"/>
    </w:p>
    <w:p w14:paraId="3012DFD5" w14:textId="77777777" w:rsidR="00DA7972" w:rsidRDefault="00000000">
      <w:pPr>
        <w:pStyle w:val="Heading3"/>
      </w:pPr>
      <w:r>
        <w:rPr>
          <w:rFonts w:eastAsia="Calibri" w:cs="Calibri"/>
          <w:szCs w:val="22"/>
        </w:rPr>
        <w:t>40.1 Succession of institutions</w:t>
      </w:r>
    </w:p>
    <w:p w14:paraId="5F21AB25" w14:textId="77777777" w:rsidR="00DA7972" w:rsidRDefault="00000000">
      <w:r>
        <w:rPr>
          <w:rFonts w:eastAsia="Georgia" w:cs="Georgia"/>
          <w:szCs w:val="21"/>
        </w:rPr>
        <w:t>Upon entry into force, the functions, records, and relevant assets of prior national coordination structures touching corridor governance transfer to the Center under the transition schedule of Annex L: notification systems, watch rotas, and traffic records fold into the Center's desks, and prior structures stand down their corridor-governance functions while retaining every other national function. Personnel of prior structures receive priority for Center posts, with certification under Article 14.2.</w:t>
      </w:r>
    </w:p>
    <w:p w14:paraId="29AF9032" w14:textId="77777777" w:rsidR="00DA7972" w:rsidRDefault="00000000">
      <w:pPr>
        <w:pStyle w:val="Heading3"/>
      </w:pPr>
      <w:r>
        <w:rPr>
          <w:rFonts w:eastAsia="Calibri" w:cs="Calibri"/>
          <w:szCs w:val="22"/>
        </w:rPr>
        <w:t>40.2 State succession and continuity of obligation</w:t>
      </w:r>
    </w:p>
    <w:p w14:paraId="4F3B9B44" w14:textId="77777777" w:rsidR="00DA7972" w:rsidRDefault="00000000">
      <w:r>
        <w:rPr>
          <w:rFonts w:eastAsia="Georgia" w:cs="Georgia"/>
          <w:szCs w:val="21"/>
        </w:rPr>
        <w:t>The obligations of this Accord attach to each Party as a state. A change of government, head of state, or administration changes nothing: the incoming administration holds every obligation and every banked benefit from its first day, and the depositary notes the change without ceremony. State succession in international law governs any succession of states.</w:t>
      </w:r>
    </w:p>
    <w:p w14:paraId="3CC05605" w14:textId="77777777" w:rsidR="00DA7972" w:rsidRDefault="00000000">
      <w:pPr>
        <w:pStyle w:val="Heading3"/>
      </w:pPr>
      <w:r>
        <w:rPr>
          <w:rFonts w:eastAsia="Calibri" w:cs="Calibri"/>
          <w:szCs w:val="22"/>
        </w:rPr>
        <w:t>40.3 Records and custody</w:t>
      </w:r>
    </w:p>
    <w:p w14:paraId="39B0E13F" w14:textId="77777777" w:rsidR="00DA7972" w:rsidRDefault="00000000">
      <w:r>
        <w:rPr>
          <w:rFonts w:eastAsia="Georgia" w:cs="Georgia"/>
          <w:szCs w:val="21"/>
        </w:rPr>
        <w:t>The archive, the registry, and the Ledger survive every transition. Custody follows the dual-copy rule at all times, and a withdrawing Party's copy obligations continue for the retention period.</w:t>
      </w:r>
    </w:p>
    <w:p w14:paraId="51BE0926" w14:textId="77777777" w:rsidR="00DA7972" w:rsidRDefault="00000000">
      <w:pPr>
        <w:pStyle w:val="Heading3"/>
      </w:pPr>
      <w:r>
        <w:rPr>
          <w:rFonts w:eastAsia="Calibri" w:cs="Calibri"/>
          <w:szCs w:val="22"/>
        </w:rPr>
        <w:t>40.4 Withdrawal</w:t>
      </w:r>
    </w:p>
    <w:p w14:paraId="0271D9CA" w14:textId="77777777" w:rsidR="00DA7972" w:rsidRDefault="00000000">
      <w:r>
        <w:rPr>
          <w:rFonts w:eastAsia="Georgia" w:cs="Georgia"/>
          <w:szCs w:val="21"/>
        </w:rPr>
        <w:t>Withdrawal is a sovereign act, deliberately structured so that it never arrives by drift: a Party gives 12 months' written notice to the depositary; the notice publishes; during the notice period the Party performs every obligation in full, the corridors run at full standard, and the facilitation tier meets on the withdrawing Party's stated concerns at its request; at the period's end, withdrawal takes effect, and the Party's banked standing and Performance Reserve record remain archived against any future re-accession. Re-accession follows Article 38 with the banked record restored, per the Nofade Guarantee: even departure forgets nothing, and return never starts from zero.</w:t>
      </w:r>
    </w:p>
    <w:p w14:paraId="64BCCBD5" w14:textId="77777777" w:rsidR="00DA7972" w:rsidRDefault="00000000">
      <w:pPr>
        <w:pStyle w:val="Heading3"/>
      </w:pPr>
      <w:r>
        <w:rPr>
          <w:rFonts w:eastAsia="Calibri" w:cs="Calibri"/>
          <w:szCs w:val="22"/>
        </w:rPr>
        <w:lastRenderedPageBreak/>
        <w:t>40.5 Reconstitution</w:t>
      </w:r>
    </w:p>
    <w:p w14:paraId="39E4A617" w14:textId="77777777" w:rsidR="00DA7972" w:rsidRDefault="00000000">
      <w:r>
        <w:rPr>
          <w:rFonts w:eastAsia="Georgia" w:cs="Georgia"/>
          <w:szCs w:val="21"/>
        </w:rPr>
        <w:t>Where the Accord's active membership falls below the entry-into-force threshold, the surviving Parties, the Mediator of Record, and the Neutral Administrator hold the architecture in maintenance mode: the Bulletin continues, the Fund's reserve preserves institutional capacity, the archive persists, and any Gulf littoral state or prior Party reactivates full operation by accession or re-accession. The architecture never dies; it waits, funded and documented, for the politics to return.</w:t>
      </w:r>
    </w:p>
    <w:p w14:paraId="13C48691" w14:textId="77777777" w:rsidR="00DA7972" w:rsidRDefault="00000000">
      <w:pPr>
        <w:pStyle w:val="Heading2"/>
      </w:pPr>
      <w:bookmarkStart w:id="57" w:name="_Toc236229938"/>
      <w:r>
        <w:rPr>
          <w:rFonts w:ascii="Consolas" w:eastAsia="Consolas" w:hAnsi="Consolas" w:cs="Consolas"/>
          <w:color w:val="212121"/>
          <w:sz w:val="18"/>
          <w:szCs w:val="18"/>
        </w:rPr>
        <w:t>Article 41: Final Provisions</w:t>
      </w:r>
      <w:bookmarkEnd w:id="57"/>
    </w:p>
    <w:p w14:paraId="756B23B7" w14:textId="77777777" w:rsidR="00DA7972" w:rsidRDefault="00000000">
      <w:pPr>
        <w:pStyle w:val="Heading3"/>
      </w:pPr>
      <w:r>
        <w:rPr>
          <w:rFonts w:eastAsia="Calibri" w:cs="Calibri"/>
          <w:szCs w:val="22"/>
        </w:rPr>
        <w:t>41.1 Entry into force</w:t>
      </w:r>
    </w:p>
    <w:p w14:paraId="2A4628C8" w14:textId="77777777" w:rsidR="00DA7972" w:rsidRDefault="00000000">
      <w:r>
        <w:rPr>
          <w:rFonts w:eastAsia="Georgia" w:cs="Georgia"/>
          <w:szCs w:val="21"/>
        </w:rPr>
        <w:t>The three Founding Members form the Tripod upon which the architecture rests. This Accord enters into force 30 days after the deposit of instruments of ratification or acceptance by all three Founding Members: the Islamic Republic of Iran, the Sultanate of Oman, and the United Arab Emirates. The Tripod rule guarantees that the system never operates on fewer than three pillars, and it prevents any scenario in which only two states carry the architecture. For each subsequent Acceding Member, the Accord enters into force per Article 38.1.</w:t>
      </w:r>
    </w:p>
    <w:p w14:paraId="60973986" w14:textId="77777777" w:rsidR="00DA7972" w:rsidRDefault="00000000">
      <w:pPr>
        <w:pStyle w:val="Heading3"/>
      </w:pPr>
      <w:r>
        <w:rPr>
          <w:rFonts w:eastAsia="Calibri" w:cs="Calibri"/>
          <w:szCs w:val="22"/>
        </w:rPr>
        <w:t>41.2 Depositary and registration</w:t>
      </w:r>
    </w:p>
    <w:p w14:paraId="2486C4B7" w14:textId="77777777" w:rsidR="00DA7972" w:rsidRDefault="00000000">
      <w:r>
        <w:rPr>
          <w:rFonts w:eastAsia="Georgia" w:cs="Georgia"/>
          <w:szCs w:val="21"/>
        </w:rPr>
        <w:t>The Sultanate of Oman serves as depositary. The depositary registers this Accord with the Secretariat of the United Nations under Article 102 of the Charter, transmits certified copies to all Parties, observer states, and the International Maritime Organization, and maintains the authoritative consolidated text in the three languages.</w:t>
      </w:r>
    </w:p>
    <w:p w14:paraId="61355DB2" w14:textId="77777777" w:rsidR="00DA7972" w:rsidRDefault="00000000">
      <w:pPr>
        <w:pStyle w:val="Heading3"/>
      </w:pPr>
      <w:r>
        <w:rPr>
          <w:rFonts w:eastAsia="Calibri" w:cs="Calibri"/>
          <w:szCs w:val="22"/>
        </w:rPr>
        <w:t>41.3 Languages</w:t>
      </w:r>
    </w:p>
    <w:p w14:paraId="57585EDD" w14:textId="77777777" w:rsidR="00DA7972" w:rsidRDefault="00000000">
      <w:r>
        <w:rPr>
          <w:rFonts w:eastAsia="Georgia" w:cs="Georgia"/>
          <w:szCs w:val="21"/>
        </w:rPr>
        <w:t>This Accord is executed in Persian, Arabic, and English, each text equally authoritative. Interpretation follows Article 5.2, rule 7.</w:t>
      </w:r>
    </w:p>
    <w:p w14:paraId="743C1F05" w14:textId="77777777" w:rsidR="00DA7972" w:rsidRDefault="00000000">
      <w:pPr>
        <w:pStyle w:val="Heading3"/>
      </w:pPr>
      <w:r>
        <w:rPr>
          <w:rFonts w:eastAsia="Calibri" w:cs="Calibri"/>
          <w:szCs w:val="22"/>
        </w:rPr>
        <w:t>41.4 Parallel sovereign tracks</w:t>
      </w:r>
    </w:p>
    <w:p w14:paraId="417F01BF" w14:textId="77777777" w:rsidR="00DA7972" w:rsidRDefault="00000000">
      <w:r>
        <w:rPr>
          <w:rFonts w:eastAsia="Georgia" w:cs="Georgia"/>
          <w:szCs w:val="21"/>
        </w:rPr>
        <w:t>The Accord takes note that several Parties pursue domestic programs of institutional transparency, electoral access, and administrative reform on their own sovereign calendars, as elements of the wider regional settlement. Such programs stand outside this Accord's scope: the Accord neither conditions them nor stands conditioned by them, and no organ of the Accord reviews them. The Parties record their shared understanding that maritime stability and domestic political development proceed on separate tracks, each on its own merits, each free of the other's disputes.</w:t>
      </w:r>
    </w:p>
    <w:p w14:paraId="4072CAD6" w14:textId="77777777" w:rsidR="00DA7972" w:rsidRDefault="00000000">
      <w:pPr>
        <w:pStyle w:val="Heading3"/>
      </w:pPr>
      <w:r>
        <w:rPr>
          <w:rFonts w:eastAsia="Calibri" w:cs="Calibri"/>
          <w:szCs w:val="22"/>
        </w:rPr>
        <w:t>41.5 The safeguards interface</w:t>
      </w:r>
    </w:p>
    <w:p w14:paraId="0EDC5467" w14:textId="77777777" w:rsidR="00DA7972" w:rsidRDefault="00000000">
      <w:r>
        <w:rPr>
          <w:rFonts w:eastAsia="Georgia" w:cs="Georgia"/>
          <w:szCs w:val="21"/>
        </w:rPr>
        <w:t>Questions of nuclear safeguards remain with the International Atomic Energy Agency and the MOU's dedicated working groups. The Accord's sole interface: a certified disruption of corridor transit caused by a nuclear-safety event at a coastal installation activates the Mishap Protocol's environmental track and the compensation window, and the Agency receives the Center's environmental data for such an event at its request. The Accord governs water, not atoms.</w:t>
      </w:r>
    </w:p>
    <w:p w14:paraId="359EB308" w14:textId="77777777" w:rsidR="00DA7972" w:rsidRDefault="00000000">
      <w:pPr>
        <w:pStyle w:val="Heading3"/>
      </w:pPr>
      <w:r>
        <w:rPr>
          <w:rFonts w:eastAsia="Calibri" w:cs="Calibri"/>
          <w:szCs w:val="22"/>
        </w:rPr>
        <w:lastRenderedPageBreak/>
        <w:t>41.6 Relationship with the United Nations Security Council</w:t>
      </w:r>
    </w:p>
    <w:p w14:paraId="24471BEA" w14:textId="77777777" w:rsidR="00DA7972" w:rsidRDefault="00000000">
      <w:r>
        <w:rPr>
          <w:rFonts w:eastAsia="Georgia" w:cs="Georgia"/>
          <w:szCs w:val="21"/>
        </w:rPr>
        <w:t>The Parties recognize the authority of the United Nations Security Council under Chapter VII of the Charter of the United Nations. This Accord operates as a regional arrangement within the meaning of Chapter VIII of the Charter, and the Parties keep the Security Council fully informed of activities undertaken under it for the maintenance of international peace and security. The Parties jointly seek a Security Council resolution endorsing the Accord's governance system and recognizing the Nofade Guarantee as a permanent feature of international maritime law in the Strait of Hormuz. Such a resolution adds international legal weight to the architecture; the absence of one changes nothing in this instrument, per the independence rule of Article 2.4. If a Security Council resolution is not forthcoming within 12 months of entry into force, the Stillwater Council and the Guarantor and Facilitation Panel issue a joint statement affirming the Accord's continued operation and inviting the Security Council to take note of the Accord without formal endorsement, and the joint statement carries the same effect within the Accord as a decision of the Stillwater Council.</w:t>
      </w:r>
    </w:p>
    <w:p w14:paraId="5706A9F6" w14:textId="77777777" w:rsidR="00DA7972" w:rsidRDefault="00000000">
      <w:pPr>
        <w:pStyle w:val="Heading3"/>
      </w:pPr>
      <w:r>
        <w:rPr>
          <w:rFonts w:eastAsia="Calibri" w:cs="Calibri"/>
          <w:szCs w:val="22"/>
        </w:rPr>
        <w:t>41.7 Signature</w:t>
      </w:r>
    </w:p>
    <w:p w14:paraId="35B326EC" w14:textId="77777777" w:rsidR="00DA7972" w:rsidRDefault="00000000">
      <w:r>
        <w:rPr>
          <w:rFonts w:eastAsia="Georgia" w:cs="Georgia"/>
          <w:szCs w:val="21"/>
        </w:rPr>
        <w:t>Done at Muscat, in three original texts, on the date of signature below.</w:t>
      </w:r>
    </w:p>
    <w:p w14:paraId="34E8FC6F" w14:textId="77777777" w:rsidR="00DA7972" w:rsidRDefault="00000000">
      <w:r>
        <w:rPr>
          <w:rFonts w:eastAsia="Georgia" w:cs="Georgia"/>
          <w:szCs w:val="21"/>
        </w:rPr>
        <w:t>For the Islamic Republic of Iran: ____________________</w:t>
      </w:r>
    </w:p>
    <w:p w14:paraId="6928F9DA" w14:textId="77777777" w:rsidR="00DA7972" w:rsidRDefault="00000000">
      <w:r>
        <w:rPr>
          <w:rFonts w:eastAsia="Georgia" w:cs="Georgia"/>
          <w:szCs w:val="21"/>
        </w:rPr>
        <w:t>For the Sultanate of Oman: ____________________</w:t>
      </w:r>
    </w:p>
    <w:p w14:paraId="6405FDA1" w14:textId="77777777" w:rsidR="00DA7972" w:rsidRDefault="00000000">
      <w:r>
        <w:rPr>
          <w:rFonts w:eastAsia="Georgia" w:cs="Georgia"/>
          <w:szCs w:val="21"/>
        </w:rPr>
        <w:t>For the United Arab Emirates: ____________________</w:t>
      </w:r>
    </w:p>
    <w:p w14:paraId="54DFF6BC" w14:textId="77777777" w:rsidR="00DA7972" w:rsidRDefault="00000000">
      <w:r>
        <w:rPr>
          <w:rFonts w:eastAsia="Georgia" w:cs="Georgia"/>
          <w:szCs w:val="21"/>
        </w:rPr>
        <w:t>Witnessed by the Mediator of Record and the Neutral Administrator, and deposited with the Ministry of Foreign Affairs of the Sultanate of Oman.</w:t>
      </w:r>
    </w:p>
    <w:p w14:paraId="2F095DB2" w14:textId="77777777" w:rsidR="00DA7972" w:rsidRDefault="00000000">
      <w:pPr>
        <w:pStyle w:val="Heading3"/>
      </w:pPr>
      <w:r>
        <w:rPr>
          <w:rFonts w:eastAsia="Calibri" w:cs="Calibri"/>
          <w:szCs w:val="22"/>
        </w:rPr>
        <w:t>41.8 Terminology governance</w:t>
      </w:r>
    </w:p>
    <w:p w14:paraId="155C2F83" w14:textId="77777777" w:rsidR="00DA7972" w:rsidRDefault="00000000">
      <w:r>
        <w:rPr>
          <w:rFonts w:eastAsia="Georgia" w:cs="Georgia"/>
          <w:szCs w:val="21"/>
        </w:rPr>
        <w:t>The neutral terminology register of Annex N operates as a controlled vocabulary under standing governance. The Technical and Standards Committee maintains the register, reviews it annually, and admits new terms or retirements only through the silence procedure of Article 20.5 with a published rationale. Translation governance follows the same discipline: the three authentic language versions use harmonized equivalents for every register term, the depositary maintains the trilingual concordance, and a divergence among versions routes to the Council under Article 5.2, rule 7, with the resolution entered into the concordance so the same question never arises twice. The register and the concordance publish with each consolidated text, and every Accord organ, publication, and training program uses the controlled vocabulary exclusively.</w:t>
      </w:r>
    </w:p>
    <w:p w14:paraId="0C9770C3" w14:textId="77777777" w:rsidR="00DA7972" w:rsidRDefault="00000000">
      <w:pPr>
        <w:pStyle w:val="Heading3"/>
      </w:pPr>
      <w:r>
        <w:rPr>
          <w:rFonts w:eastAsia="Calibri" w:cs="Calibri"/>
          <w:szCs w:val="22"/>
        </w:rPr>
        <w:t>41.9 Nuclear Transparency</w:t>
      </w:r>
    </w:p>
    <w:p w14:paraId="28CD96D9" w14:textId="77777777" w:rsidR="00DA7972" w:rsidRDefault="00000000">
      <w:r>
        <w:rPr>
          <w:rFonts w:eastAsia="Georgia" w:cs="Georgia"/>
          <w:szCs w:val="21"/>
        </w:rPr>
        <w:t>The Islamic Republic of Iran, consistent with its sovereign rights and its safeguards agreement with the International Atomic Energy Agency, provides the Stillwater Council with an annual public statement on the status of its nuclear program's peaceful nature. The statement reflects the level of information the Agency's public reports contain, and Iran provides it as a transparency measure. The statement is information, not permission, and it creates no obligation on Iran beyond its existing safeguards agreement. The nuclear file remains in its own track under Article 41.5. This provision is permanent and continues without expiry under the Nofade Guarantee of Article 4.</w:t>
      </w:r>
    </w:p>
    <w:p w14:paraId="7220CA89" w14:textId="77777777" w:rsidR="00DA7972" w:rsidRDefault="00000000">
      <w:pPr>
        <w:pStyle w:val="Heading3"/>
      </w:pPr>
      <w:r>
        <w:rPr>
          <w:rFonts w:eastAsia="Calibri" w:cs="Calibri"/>
          <w:szCs w:val="22"/>
        </w:rPr>
        <w:lastRenderedPageBreak/>
        <w:t>41.10 Legal Character</w:t>
      </w:r>
    </w:p>
    <w:p w14:paraId="6F06E373" w14:textId="77777777" w:rsidR="00DA7972" w:rsidRDefault="00000000">
      <w:r>
        <w:rPr>
          <w:rFonts w:eastAsia="Georgia" w:cs="Georgia"/>
          <w:szCs w:val="21"/>
        </w:rPr>
        <w:t>This Accord is a multilateral agreement under international law, binding on the Parties. It operates without prejudice to any Party's position on the legal regime applicable to the Strait of Hormuz, including questions of transit passage or innocent passage, and the Parties agree that the operational architecture of this Accord is consistent with their respective interpretations of international law. Implementation occurs through existing lawful authorities in each Party's legal system. This Accord is non-prejudicial and non-recognition: nothing in this Accord prejudices the legal positions, sovereignty claims, sanctions positions, or future negotiations of any Party, and no private right of action arises under it. This provision is permanent and continues without expiry under the Nofade Guarantee of Article 4.</w:t>
      </w:r>
    </w:p>
    <w:p w14:paraId="7650B261" w14:textId="77777777" w:rsidR="00DA7972" w:rsidRDefault="00000000">
      <w:pPr>
        <w:pStyle w:val="Heading2"/>
      </w:pPr>
      <w:bookmarkStart w:id="58" w:name="_Toc236229939"/>
      <w:r>
        <w:rPr>
          <w:rFonts w:ascii="Consolas" w:eastAsia="Consolas" w:hAnsi="Consolas" w:cs="Consolas"/>
          <w:color w:val="212121"/>
          <w:sz w:val="18"/>
          <w:szCs w:val="26"/>
        </w:rPr>
        <w:t>Article 42: Continuity During Institutional Failure</w:t>
      </w:r>
      <w:bookmarkEnd w:id="58"/>
    </w:p>
    <w:p w14:paraId="10D819F8" w14:textId="77777777" w:rsidR="00DA7972" w:rsidRDefault="00000000">
      <w:pPr>
        <w:pStyle w:val="Heading3"/>
      </w:pPr>
      <w:r>
        <w:rPr>
          <w:rFonts w:eastAsia="Calibri" w:cs="Calibri"/>
          <w:szCs w:val="22"/>
        </w:rPr>
        <w:t>42.1 The continuity doctrine</w:t>
      </w:r>
    </w:p>
    <w:p w14:paraId="4D68F3C5" w14:textId="77777777" w:rsidR="00DA7972" w:rsidRDefault="00000000">
      <w:r>
        <w:rPr>
          <w:rFonts w:eastAsia="Georgia" w:cs="Georgia"/>
          <w:szCs w:val="21"/>
        </w:rPr>
        <w:t>The Accord assumes that institutions fail and designs for the morning after. Where any organ of the Accord becomes unavailable, through technical failure, natural event, conflict, or political rupture, the continuity doctrine of this Article operates automatically: authority transfers along a published hierarchy, mirrored systems absorb the load, degraded operations preserve every right, and recovery restores full function on a published clock. No institutional failure suspends a vessel's rights, a Party's protections, or the humanitarian flows.</w:t>
      </w:r>
    </w:p>
    <w:p w14:paraId="4E5C9AA4" w14:textId="77777777" w:rsidR="00DA7972" w:rsidRDefault="00000000">
      <w:pPr>
        <w:pStyle w:val="Heading3"/>
      </w:pPr>
      <w:r>
        <w:rPr>
          <w:rFonts w:eastAsia="Calibri" w:cs="Calibri"/>
          <w:szCs w:val="22"/>
        </w:rPr>
        <w:t>42.2 Temporary authority hierarchy</w:t>
      </w:r>
    </w:p>
    <w:p w14:paraId="51A569C2" w14:textId="77777777" w:rsidR="00DA7972" w:rsidRDefault="00000000">
      <w:r>
        <w:rPr>
          <w:rFonts w:eastAsia="Georgia" w:cs="Georgia"/>
          <w:szCs w:val="21"/>
        </w:rPr>
        <w:t>Where the Meridian Operations Center becomes unavailable: the Bandar Abbas mirror assumes the full watch within one hour. Where both sites fail: the paired duty officers relocate to the designated continuity station at Khasab, with voice-and-paper operation under Annex G.3, and the coastal vessel traffic services operate the corridors under the standing rules until restoration. Where the Council cannot convene: the Guarantor and Facilitation Panel holds interim policy authority for 30 days, renewable by the Panel once, with every interim act recorded for the Council's later review. Where the Neutral Administrator cannot act: the deputy administrator assumes execution, and the Fund's Charter operates by default continuity under Article 20.4. Where the Neutral Keel Office becomes unavailable: the International Maritime Organization technical seat designates an interim observation arrangement within 72 hours.</w:t>
      </w:r>
    </w:p>
    <w:p w14:paraId="51D70BB2" w14:textId="77777777" w:rsidR="00DA7972" w:rsidRDefault="00000000">
      <w:pPr>
        <w:pStyle w:val="Heading3"/>
      </w:pPr>
      <w:r>
        <w:rPr>
          <w:rFonts w:eastAsia="Calibri" w:cs="Calibri"/>
          <w:szCs w:val="22"/>
        </w:rPr>
        <w:t>42.3 Mirrored systems and degraded operations</w:t>
      </w:r>
    </w:p>
    <w:p w14:paraId="41E88BCC" w14:textId="77777777" w:rsidR="00DA7972" w:rsidRDefault="00000000">
      <w:r>
        <w:rPr>
          <w:rFonts w:eastAsia="Georgia" w:cs="Georgia"/>
          <w:szCs w:val="21"/>
        </w:rPr>
        <w:t>Every critical system exists in at least two physical locations, per Articles 14.1 and 26A.1, and drills its failover monthly. Degraded operation preserves the rights layer in full: passage continues, acknowledgments default under Article 8.3, the Bulletin publishes by any working channel, and voice reporting carries compliance, per Article 26.6. Degradation touches convenience, never rights.</w:t>
      </w:r>
    </w:p>
    <w:p w14:paraId="1147ECAD" w14:textId="77777777" w:rsidR="00DA7972" w:rsidRDefault="00000000">
      <w:pPr>
        <w:pStyle w:val="Heading3"/>
      </w:pPr>
      <w:r>
        <w:rPr>
          <w:rFonts w:eastAsia="Calibri" w:cs="Calibri"/>
          <w:szCs w:val="22"/>
        </w:rPr>
        <w:t>42.4 Recovery hierarchy and clock</w:t>
      </w:r>
    </w:p>
    <w:p w14:paraId="0F4F5AFA" w14:textId="77777777" w:rsidR="00DA7972" w:rsidRDefault="00000000">
      <w:r>
        <w:rPr>
          <w:rFonts w:eastAsia="Georgia" w:cs="Georgia"/>
          <w:szCs w:val="21"/>
        </w:rPr>
        <w:t xml:space="preserve">Recovery follows a published hierarchy: safety-of-life systems first, then traffic management, then verification feeds, then financial execution, then administrative functions. The acting authority publishes a recovery estimate within 24 hours of any institutional failure, updates it </w:t>
      </w:r>
      <w:r>
        <w:rPr>
          <w:rFonts w:eastAsia="Georgia" w:cs="Georgia"/>
          <w:szCs w:val="21"/>
        </w:rPr>
        <w:lastRenderedPageBreak/>
        <w:t>every 24 hours, and files a post-recovery report with the Council within 14 days. The report enters the archive and feeds the Risk Register review of Annex P.</w:t>
      </w:r>
    </w:p>
    <w:p w14:paraId="7261F026" w14:textId="77777777" w:rsidR="00DA7972" w:rsidRDefault="00000000">
      <w:pPr>
        <w:pStyle w:val="Heading3"/>
      </w:pPr>
      <w:r>
        <w:rPr>
          <w:rFonts w:eastAsia="Calibri" w:cs="Calibri"/>
          <w:szCs w:val="22"/>
        </w:rPr>
        <w:t>42.5 Political rupture</w:t>
      </w:r>
    </w:p>
    <w:p w14:paraId="3246DF03" w14:textId="77777777" w:rsidR="00DA7972" w:rsidRDefault="00000000">
      <w:r>
        <w:rPr>
          <w:rFonts w:eastAsia="Georgia" w:cs="Georgia"/>
          <w:szCs w:val="21"/>
        </w:rPr>
        <w:t>Where a political rupture prevents one Party's officers from attending the watch floor, the remaining officers operate every desk, the absent Party's seats stand vacant without transfer, and every act records the vacancy. The architecture treats political absence as a staffing event, never as a legal event: obligations continue, the default-continuity rule governs every stalled decision, and the vacant seats await their officers without expiry.</w:t>
      </w:r>
    </w:p>
    <w:p w14:paraId="63E63DA5" w14:textId="77777777" w:rsidR="00DA7972" w:rsidRDefault="00000000">
      <w:pPr>
        <w:pStyle w:val="Heading2"/>
      </w:pPr>
      <w:bookmarkStart w:id="59" w:name="_Toc236229940"/>
      <w:r>
        <w:rPr>
          <w:rFonts w:ascii="Consolas" w:eastAsia="Consolas" w:hAnsi="Consolas" w:cs="Consolas"/>
          <w:color w:val="212121"/>
          <w:sz w:val="18"/>
          <w:szCs w:val="26"/>
        </w:rPr>
        <w:t>Article 43: Future Technologies and Technological Neutrality</w:t>
      </w:r>
      <w:bookmarkEnd w:id="59"/>
    </w:p>
    <w:p w14:paraId="12D7CEB1" w14:textId="77777777" w:rsidR="00DA7972" w:rsidRDefault="00000000">
      <w:pPr>
        <w:pStyle w:val="Heading3"/>
      </w:pPr>
      <w:r>
        <w:rPr>
          <w:rFonts w:eastAsia="Calibri" w:cs="Calibri"/>
          <w:szCs w:val="22"/>
        </w:rPr>
        <w:t>43.1 The neutrality principle</w:t>
      </w:r>
    </w:p>
    <w:p w14:paraId="7C21176A" w14:textId="77777777" w:rsidR="00DA7972" w:rsidRDefault="00000000">
      <w:r>
        <w:rPr>
          <w:rFonts w:eastAsia="Georgia" w:cs="Georgia"/>
          <w:szCs w:val="21"/>
        </w:rPr>
        <w:t>The Accord regulates conduct and outcomes, never technologies. Its rules bind vessels however navigated, services however delivered, and verification however instrumented, so that autonomous vessels, AI-assisted navigation, remote pilotage, digital-twin traffic modeling, and their successors enter the architecture through their conduct, not through prohibition or special favor. A technology that meets the Accord's safety, notification, and verification standards operates; a technology that does not, does not, regardless of novelty.</w:t>
      </w:r>
    </w:p>
    <w:p w14:paraId="1C8C49C7" w14:textId="77777777" w:rsidR="00DA7972" w:rsidRDefault="00000000">
      <w:pPr>
        <w:pStyle w:val="Heading3"/>
      </w:pPr>
      <w:r>
        <w:rPr>
          <w:rFonts w:eastAsia="Calibri" w:cs="Calibri"/>
          <w:szCs w:val="22"/>
        </w:rPr>
        <w:t>43.2 Standing principles for new technologies</w:t>
      </w:r>
    </w:p>
    <w:p w14:paraId="4CF70BF8" w14:textId="77777777" w:rsidR="00DA7972" w:rsidRDefault="00000000">
      <w:pPr>
        <w:ind w:left="360"/>
      </w:pPr>
      <w:r>
        <w:rPr>
          <w:rFonts w:eastAsia="Georgia" w:cs="Georgia"/>
          <w:szCs w:val="21"/>
        </w:rPr>
        <w:t>1. Equivalence. A new technology enters operation where it demonstrates safety and reliability equivalent to the practice it supplements, through the Technical Committee's certification under the Convergence Standard.</w:t>
      </w:r>
    </w:p>
    <w:p w14:paraId="3C92F72B" w14:textId="77777777" w:rsidR="00DA7972" w:rsidRDefault="00000000">
      <w:pPr>
        <w:ind w:left="360"/>
      </w:pPr>
      <w:r>
        <w:rPr>
          <w:rFonts w:eastAsia="Georgia" w:cs="Georgia"/>
          <w:szCs w:val="21"/>
        </w:rPr>
        <w:t>2. Human accountability. Every automated or autonomous function traces to a named human authority who answers for its conduct, consistent with Article 26.1. Autonomy never dilutes accountability.</w:t>
      </w:r>
    </w:p>
    <w:p w14:paraId="6D2110CC" w14:textId="77777777" w:rsidR="00DA7972" w:rsidRDefault="00000000">
      <w:pPr>
        <w:ind w:left="360"/>
      </w:pPr>
      <w:r>
        <w:rPr>
          <w:rFonts w:eastAsia="Georgia" w:cs="Georgia"/>
          <w:szCs w:val="21"/>
        </w:rPr>
        <w:t>3. Graceful degradation. Every technology operating in the Governance Area degrades gracefully: on failure, it reverts to a safe state and to the voice-and-paper baseline of Annex G.3 without external intervention.</w:t>
      </w:r>
    </w:p>
    <w:p w14:paraId="288E5CB2" w14:textId="77777777" w:rsidR="00DA7972" w:rsidRDefault="00000000">
      <w:pPr>
        <w:ind w:left="360"/>
      </w:pPr>
      <w:r>
        <w:rPr>
          <w:rFonts w:eastAsia="Georgia" w:cs="Georgia"/>
          <w:szCs w:val="21"/>
        </w:rPr>
        <w:t>4. Data equivalence. Sensor and data feeds from new technologies join the verification stack as inputs, subject to the same authentication, custody, and convergence rules as every other input.</w:t>
      </w:r>
    </w:p>
    <w:p w14:paraId="7886D26E" w14:textId="77777777" w:rsidR="00DA7972" w:rsidRDefault="00000000">
      <w:pPr>
        <w:ind w:left="360"/>
      </w:pPr>
      <w:r>
        <w:rPr>
          <w:rFonts w:eastAsia="Georgia" w:cs="Georgia"/>
          <w:szCs w:val="21"/>
        </w:rPr>
        <w:t>5. No technological lock-in. The Council reviews the architecture's technology assumptions at each architecture review of Article 39.6 and amends technical annexes through the silence procedure of Article 20.5, so the Accord tracks the fleet it governs.</w:t>
      </w:r>
    </w:p>
    <w:p w14:paraId="6743C7E2" w14:textId="77777777" w:rsidR="00DA7972" w:rsidRDefault="00000000">
      <w:pPr>
        <w:pStyle w:val="Heading3"/>
      </w:pPr>
      <w:r>
        <w:rPr>
          <w:rFonts w:eastAsia="Calibri" w:cs="Calibri"/>
          <w:szCs w:val="22"/>
        </w:rPr>
        <w:t>43.3 Autonomous and remotely operated vessels</w:t>
      </w:r>
    </w:p>
    <w:p w14:paraId="2E58281B" w14:textId="77777777" w:rsidR="00DA7972" w:rsidRDefault="00000000">
      <w:r>
        <w:rPr>
          <w:rFonts w:eastAsia="Georgia" w:cs="Georgia"/>
          <w:szCs w:val="21"/>
        </w:rPr>
        <w:t>An autonomous or remotely operated vessel transits under its class rules like any other vessel, with three additions: its notice identifies the remote-control station and the accountable officer; it carries the degraded-mode capability of Article 43.2, rule 3; and the Center logs its transits in a dedicated register so that the architecture learns from them. The register publishes annually in the State of the Strait report.</w:t>
      </w:r>
    </w:p>
    <w:p w14:paraId="07076915" w14:textId="77777777" w:rsidR="00DA7972" w:rsidRDefault="00000000">
      <w:pPr>
        <w:pStyle w:val="Heading2"/>
      </w:pPr>
      <w:bookmarkStart w:id="60" w:name="_Toc236229941"/>
      <w:r>
        <w:rPr>
          <w:rFonts w:ascii="Consolas" w:eastAsia="Consolas" w:hAnsi="Consolas" w:cs="Consolas"/>
          <w:color w:val="212121"/>
          <w:sz w:val="18"/>
          <w:szCs w:val="26"/>
        </w:rPr>
        <w:lastRenderedPageBreak/>
        <w:t>Article 44: Institutional Succession and Organizational Continuity</w:t>
      </w:r>
      <w:bookmarkEnd w:id="60"/>
    </w:p>
    <w:p w14:paraId="4256F2DE" w14:textId="77777777" w:rsidR="00DA7972" w:rsidRDefault="00000000">
      <w:pPr>
        <w:pStyle w:val="Heading3"/>
      </w:pPr>
      <w:r>
        <w:rPr>
          <w:rFonts w:eastAsia="Calibri" w:cs="Calibri"/>
          <w:szCs w:val="22"/>
        </w:rPr>
        <w:t>44.1 Succession of national agencies</w:t>
      </w:r>
    </w:p>
    <w:p w14:paraId="1CAFF6E2" w14:textId="77777777" w:rsidR="00DA7972" w:rsidRDefault="00000000">
      <w:r>
        <w:rPr>
          <w:rFonts w:eastAsia="Georgia" w:cs="Georgia"/>
          <w:szCs w:val="21"/>
        </w:rPr>
        <w:t>Where a Party reorganizes, merges, renames, or replaces a national agency that holds functions under this Accord, the successor agency inherits every function, record, and obligation by operation of this Article, and the Party notifies the depositary of the succession within 30 days. The notification publishes, and the staffing, service-delivery, and liaison tables update administratively without amendment.</w:t>
      </w:r>
    </w:p>
    <w:p w14:paraId="259EF37A" w14:textId="77777777" w:rsidR="00DA7972" w:rsidRDefault="00000000">
      <w:pPr>
        <w:pStyle w:val="Heading3"/>
      </w:pPr>
      <w:r>
        <w:rPr>
          <w:rFonts w:eastAsia="Calibri" w:cs="Calibri"/>
          <w:szCs w:val="22"/>
        </w:rPr>
        <w:t>44.2 Succession of Accord organs</w:t>
      </w:r>
    </w:p>
    <w:p w14:paraId="5DEF4BB6" w14:textId="77777777" w:rsidR="00DA7972" w:rsidRDefault="00000000">
      <w:r>
        <w:rPr>
          <w:rFonts w:eastAsia="Georgia" w:cs="Georgia"/>
          <w:szCs w:val="21"/>
        </w:rPr>
        <w:t>Where an Accord organ reorganizes, its functions, records, and archives pass to its successor configuration intact, per the archive rule of Article 4.6 and the custody rule of Article 40.3. The Council records every such succession in the registry, and the Neutral Keel Office verifies the continuity of records at the next audit.</w:t>
      </w:r>
    </w:p>
    <w:p w14:paraId="40386E64" w14:textId="77777777" w:rsidR="00DA7972" w:rsidRDefault="00000000">
      <w:pPr>
        <w:pStyle w:val="Heading3"/>
      </w:pPr>
      <w:r>
        <w:rPr>
          <w:rFonts w:eastAsia="Calibri" w:cs="Calibri"/>
          <w:szCs w:val="22"/>
        </w:rPr>
        <w:t>44.3 Succession of external bodies</w:t>
      </w:r>
    </w:p>
    <w:p w14:paraId="4FEFD409" w14:textId="77777777" w:rsidR="00DA7972" w:rsidRDefault="00000000">
      <w:r>
        <w:rPr>
          <w:rFonts w:eastAsia="Georgia" w:cs="Georgia"/>
          <w:szCs w:val="21"/>
        </w:rPr>
        <w:t>Where an external body named in this Accord reorganizes or succeeds, including the International Maritime Organization, the International Hydrographic Organization, the International Atomic Energy Agency, and the Permanent Court of Arbitration, the reference reads to its lawful successor, and the depositary notes the succession without amendment. The rule keeps the text stable across institutional generations, consistent with the Nofade Guarantee.</w:t>
      </w:r>
    </w:p>
    <w:p w14:paraId="3EA631B7" w14:textId="77777777" w:rsidR="00DA7972" w:rsidRDefault="00000000">
      <w:pPr>
        <w:pStyle w:val="Heading3"/>
      </w:pPr>
      <w:r>
        <w:rPr>
          <w:rFonts w:eastAsia="Calibri" w:cs="Calibri"/>
          <w:szCs w:val="22"/>
        </w:rPr>
        <w:t>44.4 Knowledge continuity</w:t>
      </w:r>
    </w:p>
    <w:p w14:paraId="08CE0829" w14:textId="77777777" w:rsidR="00DA7972" w:rsidRDefault="00000000">
      <w:r>
        <w:rPr>
          <w:rFonts w:eastAsia="Georgia" w:cs="Georgia"/>
          <w:szCs w:val="21"/>
        </w:rPr>
        <w:t>Every organ maintains a standing succession file: current delegations, credentials, procedures, and recovery contacts, refreshed quarterly and held under the dual-copy rule. The succession file guarantees that a successor officer, agency, or government picks up the architecture whole, on the first day, without negotiation.</w:t>
      </w:r>
    </w:p>
    <w:tbl>
      <w:tblPr>
        <w:tblW w:w="5000" w:type="pct"/>
        <w:tblInd w:w="200" w:type="dxa"/>
        <w:tblBorders>
          <w:top w:val="single" w:sz="2" w:space="0" w:color="B0BEC5"/>
          <w:left w:val="single" w:sz="18" w:space="0" w:color="37474F"/>
          <w:bottom w:val="single" w:sz="2" w:space="0" w:color="B0BEC5"/>
          <w:right w:val="single" w:sz="2" w:space="0" w:color="B0BEC5"/>
        </w:tblBorders>
        <w:tblCellMar>
          <w:top w:w="140" w:type="dxa"/>
          <w:left w:w="200" w:type="dxa"/>
          <w:bottom w:w="140" w:type="dxa"/>
          <w:right w:w="160" w:type="dxa"/>
        </w:tblCellMar>
        <w:tblLook w:val="04A0" w:firstRow="1" w:lastRow="0" w:firstColumn="1" w:lastColumn="0" w:noHBand="0" w:noVBand="1"/>
      </w:tblPr>
      <w:tblGrid>
        <w:gridCol w:w="9386"/>
      </w:tblGrid>
      <w:tr w:rsidR="00DA7972" w14:paraId="3917A08C" w14:textId="77777777">
        <w:tc>
          <w:tcPr>
            <w:tcW w:w="9010" w:type="dxa"/>
            <w:shd w:val="clear" w:color="auto" w:fill="ECEFF1"/>
          </w:tcPr>
          <w:p w14:paraId="631BB5BB" w14:textId="77777777" w:rsidR="00DA7972" w:rsidRDefault="00000000">
            <w:pPr>
              <w:spacing w:after="0"/>
            </w:pPr>
            <w:r>
              <w:rPr>
                <w:rFonts w:eastAsia="Georgia" w:cs="Georgia"/>
                <w:i/>
                <w:szCs w:val="21"/>
              </w:rPr>
              <w:t>Design rationale for the resilience and neutrality articles. The Parties add continuity, technological neutrality, and succession rules because institutions fail, technologies turn over, and governments change on schedules that no treaty controls. An architecture that assumes stable institutions writes its own obituary; an architecture that assumes today's technology becomes a museum. These articles therefore treat failure, obsolescence, and succession as normal operating conditions, and they make the Accord's survival independent of every factor the Accord cannot command.</w:t>
            </w:r>
          </w:p>
        </w:tc>
      </w:tr>
    </w:tbl>
    <w:p w14:paraId="5A76FDFD" w14:textId="77777777" w:rsidR="00DA7972" w:rsidRDefault="00000000">
      <w:pPr>
        <w:pStyle w:val="Heading1"/>
      </w:pPr>
      <w:bookmarkStart w:id="61" w:name="_Toc236229942"/>
      <w:r>
        <w:rPr>
          <w:rFonts w:eastAsia="Calibri" w:cs="Calibri"/>
          <w:szCs w:val="32"/>
        </w:rPr>
        <w:lastRenderedPageBreak/>
        <w:t>Annex A: Corridor Coordinates and Geometry Registry</w:t>
      </w:r>
      <w:bookmarkEnd w:id="61"/>
    </w:p>
    <w:p w14:paraId="21FAB8AA" w14:textId="77777777" w:rsidR="00DA7972" w:rsidRDefault="00000000">
      <w:r>
        <w:rPr>
          <w:rFonts w:eastAsia="Georgia" w:cs="Georgia"/>
          <w:szCs w:val="21"/>
        </w:rPr>
        <w:t>This Annex states the operative geometry of the Accord. All positions use WGS-84. The Neutral Administrator holds the master register; the Meridian Operations Center publishes the derived chartlets; the International Hydrographic Organization receives every edition.</w:t>
      </w:r>
    </w:p>
    <w:p w14:paraId="2A8B1EDC" w14:textId="77777777" w:rsidR="00DA7972" w:rsidRDefault="00000000">
      <w:pPr>
        <w:pStyle w:val="Heading3"/>
      </w:pPr>
      <w:r>
        <w:rPr>
          <w:rFonts w:eastAsia="Calibri" w:cs="Calibri"/>
          <w:szCs w:val="22"/>
        </w:rPr>
        <w:t>A.1 Governance Area boundary</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5"/>
        <w:gridCol w:w="3075"/>
        <w:gridCol w:w="3076"/>
      </w:tblGrid>
      <w:tr w:rsidR="00DA7972" w14:paraId="0B4E70E2" w14:textId="77777777">
        <w:trPr>
          <w:tblHeader/>
        </w:trPr>
        <w:tc>
          <w:tcPr>
            <w:tcW w:w="3003" w:type="dxa"/>
            <w:tcBorders>
              <w:bottom w:val="single" w:sz="6" w:space="0" w:color="546E7A"/>
            </w:tcBorders>
            <w:shd w:val="clear" w:color="auto" w:fill="E4E9EC"/>
          </w:tcPr>
          <w:p w14:paraId="362BB43D" w14:textId="77777777" w:rsidR="00DA7972" w:rsidRDefault="00000000">
            <w:pPr>
              <w:spacing w:after="0" w:line="260" w:lineRule="auto"/>
              <w:jc w:val="left"/>
            </w:pPr>
            <w:r>
              <w:rPr>
                <w:rFonts w:ascii="Calibri" w:eastAsia="Calibri" w:hAnsi="Calibri" w:cs="Calibri"/>
                <w:b/>
                <w:color w:val="37474F"/>
                <w:sz w:val="19"/>
                <w:szCs w:val="19"/>
              </w:rPr>
              <w:t>Vertex</w:t>
            </w:r>
          </w:p>
        </w:tc>
        <w:tc>
          <w:tcPr>
            <w:tcW w:w="3003" w:type="dxa"/>
            <w:tcBorders>
              <w:bottom w:val="single" w:sz="6" w:space="0" w:color="546E7A"/>
            </w:tcBorders>
            <w:shd w:val="clear" w:color="auto" w:fill="E4E9EC"/>
          </w:tcPr>
          <w:p w14:paraId="45AE6B97" w14:textId="77777777" w:rsidR="00DA7972" w:rsidRDefault="00000000">
            <w:pPr>
              <w:spacing w:after="0" w:line="260" w:lineRule="auto"/>
              <w:jc w:val="left"/>
            </w:pPr>
            <w:r>
              <w:rPr>
                <w:rFonts w:ascii="Calibri" w:eastAsia="Calibri" w:hAnsi="Calibri" w:cs="Calibri"/>
                <w:b/>
                <w:color w:val="37474F"/>
                <w:sz w:val="19"/>
                <w:szCs w:val="19"/>
              </w:rPr>
              <w:t>Latitude (N)</w:t>
            </w:r>
          </w:p>
        </w:tc>
        <w:tc>
          <w:tcPr>
            <w:tcW w:w="3004" w:type="dxa"/>
            <w:tcBorders>
              <w:bottom w:val="single" w:sz="6" w:space="0" w:color="546E7A"/>
            </w:tcBorders>
            <w:shd w:val="clear" w:color="auto" w:fill="E4E9EC"/>
          </w:tcPr>
          <w:p w14:paraId="4F625B1E" w14:textId="77777777" w:rsidR="00DA7972" w:rsidRDefault="00000000">
            <w:pPr>
              <w:spacing w:after="0" w:line="260" w:lineRule="auto"/>
              <w:jc w:val="left"/>
            </w:pPr>
            <w:r>
              <w:rPr>
                <w:rFonts w:ascii="Calibri" w:eastAsia="Calibri" w:hAnsi="Calibri" w:cs="Calibri"/>
                <w:b/>
                <w:color w:val="37474F"/>
                <w:sz w:val="19"/>
                <w:szCs w:val="19"/>
              </w:rPr>
              <w:t>Longitude (E)</w:t>
            </w:r>
          </w:p>
        </w:tc>
      </w:tr>
      <w:tr w:rsidR="00DA7972" w14:paraId="1DDAAE05" w14:textId="77777777">
        <w:tc>
          <w:tcPr>
            <w:tcW w:w="3003" w:type="dxa"/>
          </w:tcPr>
          <w:p w14:paraId="5B4D3F8E" w14:textId="77777777" w:rsidR="00DA7972" w:rsidRDefault="00000000">
            <w:pPr>
              <w:spacing w:after="0" w:line="260" w:lineRule="auto"/>
              <w:jc w:val="left"/>
            </w:pPr>
            <w:r>
              <w:rPr>
                <w:rFonts w:ascii="Calibri" w:eastAsia="Calibri" w:hAnsi="Calibri" w:cs="Calibri"/>
                <w:sz w:val="19"/>
                <w:szCs w:val="19"/>
              </w:rPr>
              <w:t>GA-01</w:t>
            </w:r>
          </w:p>
        </w:tc>
        <w:tc>
          <w:tcPr>
            <w:tcW w:w="3003" w:type="dxa"/>
          </w:tcPr>
          <w:p w14:paraId="3D8BFFEE" w14:textId="77777777" w:rsidR="00DA7972" w:rsidRDefault="00000000">
            <w:pPr>
              <w:spacing w:after="0" w:line="260" w:lineRule="auto"/>
              <w:jc w:val="left"/>
            </w:pPr>
            <w:r>
              <w:rPr>
                <w:rFonts w:ascii="Calibri" w:eastAsia="Calibri" w:hAnsi="Calibri" w:cs="Calibri"/>
                <w:sz w:val="19"/>
                <w:szCs w:val="19"/>
              </w:rPr>
              <w:t>26 degrees 45.0 minutes</w:t>
            </w:r>
          </w:p>
        </w:tc>
        <w:tc>
          <w:tcPr>
            <w:tcW w:w="3004" w:type="dxa"/>
          </w:tcPr>
          <w:p w14:paraId="3EE62308" w14:textId="77777777" w:rsidR="00DA7972" w:rsidRDefault="00000000">
            <w:pPr>
              <w:spacing w:after="0" w:line="260" w:lineRule="auto"/>
              <w:jc w:val="left"/>
            </w:pPr>
            <w:r>
              <w:rPr>
                <w:rFonts w:ascii="Calibri" w:eastAsia="Calibri" w:hAnsi="Calibri" w:cs="Calibri"/>
                <w:sz w:val="19"/>
                <w:szCs w:val="19"/>
              </w:rPr>
              <w:t>056 degrees 50.0 minutes</w:t>
            </w:r>
          </w:p>
        </w:tc>
      </w:tr>
      <w:tr w:rsidR="00DA7972" w14:paraId="41DBFD9F" w14:textId="77777777">
        <w:tc>
          <w:tcPr>
            <w:tcW w:w="3003" w:type="dxa"/>
          </w:tcPr>
          <w:p w14:paraId="6952AD90" w14:textId="77777777" w:rsidR="00DA7972" w:rsidRDefault="00000000">
            <w:pPr>
              <w:spacing w:after="0" w:line="260" w:lineRule="auto"/>
              <w:jc w:val="left"/>
            </w:pPr>
            <w:r>
              <w:rPr>
                <w:rFonts w:ascii="Calibri" w:eastAsia="Calibri" w:hAnsi="Calibri" w:cs="Calibri"/>
                <w:sz w:val="19"/>
                <w:szCs w:val="19"/>
              </w:rPr>
              <w:t>GA-02</w:t>
            </w:r>
          </w:p>
        </w:tc>
        <w:tc>
          <w:tcPr>
            <w:tcW w:w="3003" w:type="dxa"/>
          </w:tcPr>
          <w:p w14:paraId="23D94C8C" w14:textId="77777777" w:rsidR="00DA7972" w:rsidRDefault="00000000">
            <w:pPr>
              <w:spacing w:after="0" w:line="260" w:lineRule="auto"/>
              <w:jc w:val="left"/>
            </w:pPr>
            <w:r>
              <w:rPr>
                <w:rFonts w:ascii="Calibri" w:eastAsia="Calibri" w:hAnsi="Calibri" w:cs="Calibri"/>
                <w:sz w:val="19"/>
                <w:szCs w:val="19"/>
              </w:rPr>
              <w:t>26 degrees 20.0 minutes</w:t>
            </w:r>
          </w:p>
        </w:tc>
        <w:tc>
          <w:tcPr>
            <w:tcW w:w="3004" w:type="dxa"/>
          </w:tcPr>
          <w:p w14:paraId="625A6B87" w14:textId="77777777" w:rsidR="00DA7972" w:rsidRDefault="00000000">
            <w:pPr>
              <w:spacing w:after="0" w:line="260" w:lineRule="auto"/>
              <w:jc w:val="left"/>
            </w:pPr>
            <w:r>
              <w:rPr>
                <w:rFonts w:ascii="Calibri" w:eastAsia="Calibri" w:hAnsi="Calibri" w:cs="Calibri"/>
                <w:sz w:val="19"/>
                <w:szCs w:val="19"/>
              </w:rPr>
              <w:t>056 degrees 55.0 minutes</w:t>
            </w:r>
          </w:p>
        </w:tc>
      </w:tr>
      <w:tr w:rsidR="00DA7972" w14:paraId="5EF3B62C" w14:textId="77777777">
        <w:tc>
          <w:tcPr>
            <w:tcW w:w="3003" w:type="dxa"/>
          </w:tcPr>
          <w:p w14:paraId="2F9DA5F6" w14:textId="77777777" w:rsidR="00DA7972" w:rsidRDefault="00000000">
            <w:pPr>
              <w:spacing w:after="0" w:line="260" w:lineRule="auto"/>
              <w:jc w:val="left"/>
            </w:pPr>
            <w:r>
              <w:rPr>
                <w:rFonts w:ascii="Calibri" w:eastAsia="Calibri" w:hAnsi="Calibri" w:cs="Calibri"/>
                <w:sz w:val="19"/>
                <w:szCs w:val="19"/>
              </w:rPr>
              <w:t>GA-03</w:t>
            </w:r>
          </w:p>
        </w:tc>
        <w:tc>
          <w:tcPr>
            <w:tcW w:w="3003" w:type="dxa"/>
          </w:tcPr>
          <w:p w14:paraId="4DF4A91B" w14:textId="77777777" w:rsidR="00DA7972" w:rsidRDefault="00000000">
            <w:pPr>
              <w:spacing w:after="0" w:line="260" w:lineRule="auto"/>
              <w:jc w:val="left"/>
            </w:pPr>
            <w:r>
              <w:rPr>
                <w:rFonts w:ascii="Calibri" w:eastAsia="Calibri" w:hAnsi="Calibri" w:cs="Calibri"/>
                <w:sz w:val="19"/>
                <w:szCs w:val="19"/>
              </w:rPr>
              <w:t>25 degrees 58.0 minutes</w:t>
            </w:r>
          </w:p>
        </w:tc>
        <w:tc>
          <w:tcPr>
            <w:tcW w:w="3004" w:type="dxa"/>
          </w:tcPr>
          <w:p w14:paraId="3E084960" w14:textId="77777777" w:rsidR="00DA7972" w:rsidRDefault="00000000">
            <w:pPr>
              <w:spacing w:after="0" w:line="260" w:lineRule="auto"/>
              <w:jc w:val="left"/>
            </w:pPr>
            <w:r>
              <w:rPr>
                <w:rFonts w:ascii="Calibri" w:eastAsia="Calibri" w:hAnsi="Calibri" w:cs="Calibri"/>
                <w:sz w:val="19"/>
                <w:szCs w:val="19"/>
              </w:rPr>
              <w:t>057 degrees 00.0 minutes</w:t>
            </w:r>
          </w:p>
        </w:tc>
      </w:tr>
      <w:tr w:rsidR="00DA7972" w14:paraId="75E48746" w14:textId="77777777">
        <w:tc>
          <w:tcPr>
            <w:tcW w:w="3003" w:type="dxa"/>
          </w:tcPr>
          <w:p w14:paraId="46A0AF12" w14:textId="77777777" w:rsidR="00DA7972" w:rsidRDefault="00000000">
            <w:pPr>
              <w:spacing w:after="0" w:line="260" w:lineRule="auto"/>
              <w:jc w:val="left"/>
            </w:pPr>
            <w:r>
              <w:rPr>
                <w:rFonts w:ascii="Calibri" w:eastAsia="Calibri" w:hAnsi="Calibri" w:cs="Calibri"/>
                <w:sz w:val="19"/>
                <w:szCs w:val="19"/>
              </w:rPr>
              <w:t>GA-04</w:t>
            </w:r>
          </w:p>
        </w:tc>
        <w:tc>
          <w:tcPr>
            <w:tcW w:w="3003" w:type="dxa"/>
          </w:tcPr>
          <w:p w14:paraId="1D690D66" w14:textId="77777777" w:rsidR="00DA7972" w:rsidRDefault="00000000">
            <w:pPr>
              <w:spacing w:after="0" w:line="260" w:lineRule="auto"/>
              <w:jc w:val="left"/>
            </w:pPr>
            <w:r>
              <w:rPr>
                <w:rFonts w:ascii="Calibri" w:eastAsia="Calibri" w:hAnsi="Calibri" w:cs="Calibri"/>
                <w:sz w:val="19"/>
                <w:szCs w:val="19"/>
              </w:rPr>
              <w:t>25 degrees 56.0 minutes</w:t>
            </w:r>
          </w:p>
        </w:tc>
        <w:tc>
          <w:tcPr>
            <w:tcW w:w="3004" w:type="dxa"/>
          </w:tcPr>
          <w:p w14:paraId="6233BCF2" w14:textId="77777777" w:rsidR="00DA7972" w:rsidRDefault="00000000">
            <w:pPr>
              <w:spacing w:after="0" w:line="260" w:lineRule="auto"/>
              <w:jc w:val="left"/>
            </w:pPr>
            <w:r>
              <w:rPr>
                <w:rFonts w:ascii="Calibri" w:eastAsia="Calibri" w:hAnsi="Calibri" w:cs="Calibri"/>
                <w:sz w:val="19"/>
                <w:szCs w:val="19"/>
              </w:rPr>
              <w:t>056 degrees 30.0 minutes</w:t>
            </w:r>
          </w:p>
        </w:tc>
      </w:tr>
      <w:tr w:rsidR="00DA7972" w14:paraId="2A86C3CD" w14:textId="77777777">
        <w:tc>
          <w:tcPr>
            <w:tcW w:w="3003" w:type="dxa"/>
          </w:tcPr>
          <w:p w14:paraId="5B266FD4" w14:textId="77777777" w:rsidR="00DA7972" w:rsidRDefault="00000000">
            <w:pPr>
              <w:spacing w:after="0" w:line="260" w:lineRule="auto"/>
              <w:jc w:val="left"/>
            </w:pPr>
            <w:r>
              <w:rPr>
                <w:rFonts w:ascii="Calibri" w:eastAsia="Calibri" w:hAnsi="Calibri" w:cs="Calibri"/>
                <w:sz w:val="19"/>
                <w:szCs w:val="19"/>
              </w:rPr>
              <w:t>GA-05</w:t>
            </w:r>
          </w:p>
        </w:tc>
        <w:tc>
          <w:tcPr>
            <w:tcW w:w="3003" w:type="dxa"/>
          </w:tcPr>
          <w:p w14:paraId="6C9D0B54" w14:textId="77777777" w:rsidR="00DA7972" w:rsidRDefault="00000000">
            <w:pPr>
              <w:spacing w:after="0" w:line="260" w:lineRule="auto"/>
              <w:jc w:val="left"/>
            </w:pPr>
            <w:r>
              <w:rPr>
                <w:rFonts w:ascii="Calibri" w:eastAsia="Calibri" w:hAnsi="Calibri" w:cs="Calibri"/>
                <w:sz w:val="19"/>
                <w:szCs w:val="19"/>
              </w:rPr>
              <w:t>26 degrees 10.0 minutes</w:t>
            </w:r>
          </w:p>
        </w:tc>
        <w:tc>
          <w:tcPr>
            <w:tcW w:w="3004" w:type="dxa"/>
          </w:tcPr>
          <w:p w14:paraId="5FC88442" w14:textId="77777777" w:rsidR="00DA7972" w:rsidRDefault="00000000">
            <w:pPr>
              <w:spacing w:after="0" w:line="260" w:lineRule="auto"/>
              <w:jc w:val="left"/>
            </w:pPr>
            <w:r>
              <w:rPr>
                <w:rFonts w:ascii="Calibri" w:eastAsia="Calibri" w:hAnsi="Calibri" w:cs="Calibri"/>
                <w:sz w:val="19"/>
                <w:szCs w:val="19"/>
              </w:rPr>
              <w:t>056 degrees 10.0 minutes</w:t>
            </w:r>
          </w:p>
        </w:tc>
      </w:tr>
      <w:tr w:rsidR="00DA7972" w14:paraId="7B4079E2" w14:textId="77777777">
        <w:tc>
          <w:tcPr>
            <w:tcW w:w="3003" w:type="dxa"/>
          </w:tcPr>
          <w:p w14:paraId="0F125190" w14:textId="77777777" w:rsidR="00DA7972" w:rsidRDefault="00000000">
            <w:pPr>
              <w:spacing w:after="0" w:line="260" w:lineRule="auto"/>
              <w:jc w:val="left"/>
            </w:pPr>
            <w:r>
              <w:rPr>
                <w:rFonts w:ascii="Calibri" w:eastAsia="Calibri" w:hAnsi="Calibri" w:cs="Calibri"/>
                <w:sz w:val="19"/>
                <w:szCs w:val="19"/>
              </w:rPr>
              <w:t>GA-06</w:t>
            </w:r>
          </w:p>
        </w:tc>
        <w:tc>
          <w:tcPr>
            <w:tcW w:w="3003" w:type="dxa"/>
          </w:tcPr>
          <w:p w14:paraId="4CCFBCBB" w14:textId="77777777" w:rsidR="00DA7972" w:rsidRDefault="00000000">
            <w:pPr>
              <w:spacing w:after="0" w:line="260" w:lineRule="auto"/>
              <w:jc w:val="left"/>
            </w:pPr>
            <w:r>
              <w:rPr>
                <w:rFonts w:ascii="Calibri" w:eastAsia="Calibri" w:hAnsi="Calibri" w:cs="Calibri"/>
                <w:sz w:val="19"/>
                <w:szCs w:val="19"/>
              </w:rPr>
              <w:t>26 degrees 05.0 minutes</w:t>
            </w:r>
          </w:p>
        </w:tc>
        <w:tc>
          <w:tcPr>
            <w:tcW w:w="3004" w:type="dxa"/>
          </w:tcPr>
          <w:p w14:paraId="58882D58" w14:textId="77777777" w:rsidR="00DA7972" w:rsidRDefault="00000000">
            <w:pPr>
              <w:spacing w:after="0" w:line="260" w:lineRule="auto"/>
              <w:jc w:val="left"/>
            </w:pPr>
            <w:r>
              <w:rPr>
                <w:rFonts w:ascii="Calibri" w:eastAsia="Calibri" w:hAnsi="Calibri" w:cs="Calibri"/>
                <w:sz w:val="19"/>
                <w:szCs w:val="19"/>
              </w:rPr>
              <w:t>055 degrees 30.0 minutes</w:t>
            </w:r>
          </w:p>
        </w:tc>
      </w:tr>
      <w:tr w:rsidR="00DA7972" w14:paraId="27191400" w14:textId="77777777">
        <w:tc>
          <w:tcPr>
            <w:tcW w:w="3003" w:type="dxa"/>
          </w:tcPr>
          <w:p w14:paraId="7390C909" w14:textId="77777777" w:rsidR="00DA7972" w:rsidRDefault="00000000">
            <w:pPr>
              <w:spacing w:after="0" w:line="260" w:lineRule="auto"/>
              <w:jc w:val="left"/>
            </w:pPr>
            <w:r>
              <w:rPr>
                <w:rFonts w:ascii="Calibri" w:eastAsia="Calibri" w:hAnsi="Calibri" w:cs="Calibri"/>
                <w:sz w:val="19"/>
                <w:szCs w:val="19"/>
              </w:rPr>
              <w:t>GA-07</w:t>
            </w:r>
          </w:p>
        </w:tc>
        <w:tc>
          <w:tcPr>
            <w:tcW w:w="3003" w:type="dxa"/>
          </w:tcPr>
          <w:p w14:paraId="147D5AE1" w14:textId="77777777" w:rsidR="00DA7972" w:rsidRDefault="00000000">
            <w:pPr>
              <w:spacing w:after="0" w:line="260" w:lineRule="auto"/>
              <w:jc w:val="left"/>
            </w:pPr>
            <w:r>
              <w:rPr>
                <w:rFonts w:ascii="Calibri" w:eastAsia="Calibri" w:hAnsi="Calibri" w:cs="Calibri"/>
                <w:sz w:val="19"/>
                <w:szCs w:val="19"/>
              </w:rPr>
              <w:t>26 degrees 30.0 minutes</w:t>
            </w:r>
          </w:p>
        </w:tc>
        <w:tc>
          <w:tcPr>
            <w:tcW w:w="3004" w:type="dxa"/>
          </w:tcPr>
          <w:p w14:paraId="28141FEA" w14:textId="77777777" w:rsidR="00DA7972" w:rsidRDefault="00000000">
            <w:pPr>
              <w:spacing w:after="0" w:line="260" w:lineRule="auto"/>
              <w:jc w:val="left"/>
            </w:pPr>
            <w:r>
              <w:rPr>
                <w:rFonts w:ascii="Calibri" w:eastAsia="Calibri" w:hAnsi="Calibri" w:cs="Calibri"/>
                <w:sz w:val="19"/>
                <w:szCs w:val="19"/>
              </w:rPr>
              <w:t>055 degrees 30.0 minutes</w:t>
            </w:r>
          </w:p>
        </w:tc>
      </w:tr>
      <w:tr w:rsidR="00DA7972" w14:paraId="3E32CDA1" w14:textId="77777777">
        <w:tc>
          <w:tcPr>
            <w:tcW w:w="3003" w:type="dxa"/>
          </w:tcPr>
          <w:p w14:paraId="0820FC20" w14:textId="77777777" w:rsidR="00DA7972" w:rsidRDefault="00000000">
            <w:pPr>
              <w:spacing w:after="0" w:line="260" w:lineRule="auto"/>
              <w:jc w:val="left"/>
            </w:pPr>
            <w:r>
              <w:rPr>
                <w:rFonts w:ascii="Calibri" w:eastAsia="Calibri" w:hAnsi="Calibri" w:cs="Calibri"/>
                <w:sz w:val="19"/>
                <w:szCs w:val="19"/>
              </w:rPr>
              <w:t>GA-08</w:t>
            </w:r>
          </w:p>
        </w:tc>
        <w:tc>
          <w:tcPr>
            <w:tcW w:w="3003" w:type="dxa"/>
          </w:tcPr>
          <w:p w14:paraId="74750CF9" w14:textId="77777777" w:rsidR="00DA7972" w:rsidRDefault="00000000">
            <w:pPr>
              <w:spacing w:after="0" w:line="260" w:lineRule="auto"/>
              <w:jc w:val="left"/>
            </w:pPr>
            <w:r>
              <w:rPr>
                <w:rFonts w:ascii="Calibri" w:eastAsia="Calibri" w:hAnsi="Calibri" w:cs="Calibri"/>
                <w:sz w:val="19"/>
                <w:szCs w:val="19"/>
              </w:rPr>
              <w:t>26 degrees 55.0 minutes</w:t>
            </w:r>
          </w:p>
        </w:tc>
        <w:tc>
          <w:tcPr>
            <w:tcW w:w="3004" w:type="dxa"/>
          </w:tcPr>
          <w:p w14:paraId="497F92E2" w14:textId="77777777" w:rsidR="00DA7972" w:rsidRDefault="00000000">
            <w:pPr>
              <w:spacing w:after="0" w:line="260" w:lineRule="auto"/>
              <w:jc w:val="left"/>
            </w:pPr>
            <w:r>
              <w:rPr>
                <w:rFonts w:ascii="Calibri" w:eastAsia="Calibri" w:hAnsi="Calibri" w:cs="Calibri"/>
                <w:sz w:val="19"/>
                <w:szCs w:val="19"/>
              </w:rPr>
              <w:t>055 degrees 45.0 minutes</w:t>
            </w:r>
          </w:p>
        </w:tc>
      </w:tr>
      <w:tr w:rsidR="00DA7972" w14:paraId="2C6FD904" w14:textId="77777777">
        <w:tc>
          <w:tcPr>
            <w:tcW w:w="3003" w:type="dxa"/>
          </w:tcPr>
          <w:p w14:paraId="3E07780C" w14:textId="77777777" w:rsidR="00DA7972" w:rsidRDefault="00000000">
            <w:pPr>
              <w:spacing w:after="0" w:line="260" w:lineRule="auto"/>
              <w:jc w:val="left"/>
            </w:pPr>
            <w:r>
              <w:rPr>
                <w:rFonts w:ascii="Calibri" w:eastAsia="Calibri" w:hAnsi="Calibri" w:cs="Calibri"/>
                <w:sz w:val="19"/>
                <w:szCs w:val="19"/>
              </w:rPr>
              <w:t>GA-09</w:t>
            </w:r>
          </w:p>
        </w:tc>
        <w:tc>
          <w:tcPr>
            <w:tcW w:w="3003" w:type="dxa"/>
          </w:tcPr>
          <w:p w14:paraId="3F95470A" w14:textId="77777777" w:rsidR="00DA7972" w:rsidRDefault="00000000">
            <w:pPr>
              <w:spacing w:after="0" w:line="260" w:lineRule="auto"/>
              <w:jc w:val="left"/>
            </w:pPr>
            <w:r>
              <w:rPr>
                <w:rFonts w:ascii="Calibri" w:eastAsia="Calibri" w:hAnsi="Calibri" w:cs="Calibri"/>
                <w:sz w:val="19"/>
                <w:szCs w:val="19"/>
              </w:rPr>
              <w:t>27 degrees 05.0 minutes</w:t>
            </w:r>
          </w:p>
        </w:tc>
        <w:tc>
          <w:tcPr>
            <w:tcW w:w="3004" w:type="dxa"/>
          </w:tcPr>
          <w:p w14:paraId="5CD32CF0" w14:textId="77777777" w:rsidR="00DA7972" w:rsidRDefault="00000000">
            <w:pPr>
              <w:spacing w:after="0" w:line="260" w:lineRule="auto"/>
              <w:jc w:val="left"/>
            </w:pPr>
            <w:r>
              <w:rPr>
                <w:rFonts w:ascii="Calibri" w:eastAsia="Calibri" w:hAnsi="Calibri" w:cs="Calibri"/>
                <w:sz w:val="19"/>
                <w:szCs w:val="19"/>
              </w:rPr>
              <w:t>056 degrees 10.0 minutes</w:t>
            </w:r>
          </w:p>
        </w:tc>
      </w:tr>
      <w:tr w:rsidR="00DA7972" w14:paraId="53FF1D73" w14:textId="77777777">
        <w:tc>
          <w:tcPr>
            <w:tcW w:w="3003" w:type="dxa"/>
          </w:tcPr>
          <w:p w14:paraId="59E54285" w14:textId="77777777" w:rsidR="00DA7972" w:rsidRDefault="00000000">
            <w:pPr>
              <w:spacing w:after="0" w:line="260" w:lineRule="auto"/>
              <w:jc w:val="left"/>
            </w:pPr>
            <w:r>
              <w:rPr>
                <w:rFonts w:ascii="Calibri" w:eastAsia="Calibri" w:hAnsi="Calibri" w:cs="Calibri"/>
                <w:sz w:val="19"/>
                <w:szCs w:val="19"/>
              </w:rPr>
              <w:t>GA-10</w:t>
            </w:r>
          </w:p>
        </w:tc>
        <w:tc>
          <w:tcPr>
            <w:tcW w:w="3003" w:type="dxa"/>
          </w:tcPr>
          <w:p w14:paraId="4B35E0E0" w14:textId="77777777" w:rsidR="00DA7972" w:rsidRDefault="00000000">
            <w:pPr>
              <w:spacing w:after="0" w:line="260" w:lineRule="auto"/>
              <w:jc w:val="left"/>
            </w:pPr>
            <w:r>
              <w:rPr>
                <w:rFonts w:ascii="Calibri" w:eastAsia="Calibri" w:hAnsi="Calibri" w:cs="Calibri"/>
                <w:sz w:val="19"/>
                <w:szCs w:val="19"/>
              </w:rPr>
              <w:t>27 degrees 00.0 minutes</w:t>
            </w:r>
          </w:p>
        </w:tc>
        <w:tc>
          <w:tcPr>
            <w:tcW w:w="3004" w:type="dxa"/>
          </w:tcPr>
          <w:p w14:paraId="6D00D52D" w14:textId="77777777" w:rsidR="00DA7972" w:rsidRDefault="00000000">
            <w:pPr>
              <w:spacing w:after="0" w:line="260" w:lineRule="auto"/>
              <w:jc w:val="left"/>
            </w:pPr>
            <w:r>
              <w:rPr>
                <w:rFonts w:ascii="Calibri" w:eastAsia="Calibri" w:hAnsi="Calibri" w:cs="Calibri"/>
                <w:sz w:val="19"/>
                <w:szCs w:val="19"/>
              </w:rPr>
              <w:t>056 degrees 35.0 minutes</w:t>
            </w:r>
          </w:p>
        </w:tc>
      </w:tr>
      <w:tr w:rsidR="00DA7972" w14:paraId="13294D6D" w14:textId="77777777">
        <w:tc>
          <w:tcPr>
            <w:tcW w:w="3003" w:type="dxa"/>
          </w:tcPr>
          <w:p w14:paraId="7D19B996" w14:textId="77777777" w:rsidR="00DA7972" w:rsidRDefault="00000000">
            <w:pPr>
              <w:spacing w:after="0" w:line="260" w:lineRule="auto"/>
              <w:jc w:val="left"/>
            </w:pPr>
            <w:r>
              <w:rPr>
                <w:rFonts w:ascii="Calibri" w:eastAsia="Calibri" w:hAnsi="Calibri" w:cs="Calibri"/>
                <w:sz w:val="19"/>
                <w:szCs w:val="19"/>
              </w:rPr>
              <w:t>GA-11</w:t>
            </w:r>
          </w:p>
        </w:tc>
        <w:tc>
          <w:tcPr>
            <w:tcW w:w="3003" w:type="dxa"/>
          </w:tcPr>
          <w:p w14:paraId="5EF1B683" w14:textId="77777777" w:rsidR="00DA7972" w:rsidRDefault="00000000">
            <w:pPr>
              <w:spacing w:after="0" w:line="260" w:lineRule="auto"/>
              <w:jc w:val="left"/>
            </w:pPr>
            <w:r>
              <w:rPr>
                <w:rFonts w:ascii="Calibri" w:eastAsia="Calibri" w:hAnsi="Calibri" w:cs="Calibri"/>
                <w:sz w:val="19"/>
                <w:szCs w:val="19"/>
              </w:rPr>
              <w:t>26 degrees 55.0 minutes</w:t>
            </w:r>
          </w:p>
        </w:tc>
        <w:tc>
          <w:tcPr>
            <w:tcW w:w="3004" w:type="dxa"/>
          </w:tcPr>
          <w:p w14:paraId="79F3A5B7" w14:textId="77777777" w:rsidR="00DA7972" w:rsidRDefault="00000000">
            <w:pPr>
              <w:spacing w:after="0" w:line="260" w:lineRule="auto"/>
              <w:jc w:val="left"/>
            </w:pPr>
            <w:r>
              <w:rPr>
                <w:rFonts w:ascii="Calibri" w:eastAsia="Calibri" w:hAnsi="Calibri" w:cs="Calibri"/>
                <w:sz w:val="19"/>
                <w:szCs w:val="19"/>
              </w:rPr>
              <w:t>056 degrees 45.0 minutes</w:t>
            </w:r>
          </w:p>
        </w:tc>
      </w:tr>
      <w:tr w:rsidR="00DA7972" w14:paraId="476D44E7" w14:textId="77777777">
        <w:tc>
          <w:tcPr>
            <w:tcW w:w="3003" w:type="dxa"/>
          </w:tcPr>
          <w:p w14:paraId="328C1076" w14:textId="77777777" w:rsidR="00DA7972" w:rsidRDefault="00000000">
            <w:pPr>
              <w:spacing w:after="0" w:line="260" w:lineRule="auto"/>
              <w:jc w:val="left"/>
            </w:pPr>
            <w:r>
              <w:rPr>
                <w:rFonts w:ascii="Calibri" w:eastAsia="Calibri" w:hAnsi="Calibri" w:cs="Calibri"/>
                <w:sz w:val="19"/>
                <w:szCs w:val="19"/>
              </w:rPr>
              <w:t>GA-12</w:t>
            </w:r>
          </w:p>
        </w:tc>
        <w:tc>
          <w:tcPr>
            <w:tcW w:w="3003" w:type="dxa"/>
          </w:tcPr>
          <w:p w14:paraId="42604BBE" w14:textId="77777777" w:rsidR="00DA7972" w:rsidRDefault="00000000">
            <w:pPr>
              <w:spacing w:after="0" w:line="260" w:lineRule="auto"/>
              <w:jc w:val="left"/>
            </w:pPr>
            <w:r>
              <w:rPr>
                <w:rFonts w:ascii="Calibri" w:eastAsia="Calibri" w:hAnsi="Calibri" w:cs="Calibri"/>
                <w:sz w:val="19"/>
                <w:szCs w:val="19"/>
              </w:rPr>
              <w:t>26 degrees 45.0 minutes</w:t>
            </w:r>
          </w:p>
        </w:tc>
        <w:tc>
          <w:tcPr>
            <w:tcW w:w="3004" w:type="dxa"/>
          </w:tcPr>
          <w:p w14:paraId="03469FCE" w14:textId="77777777" w:rsidR="00DA7972" w:rsidRDefault="00000000">
            <w:pPr>
              <w:spacing w:after="0" w:line="260" w:lineRule="auto"/>
              <w:jc w:val="left"/>
            </w:pPr>
            <w:r>
              <w:rPr>
                <w:rFonts w:ascii="Calibri" w:eastAsia="Calibri" w:hAnsi="Calibri" w:cs="Calibri"/>
                <w:sz w:val="19"/>
                <w:szCs w:val="19"/>
              </w:rPr>
              <w:t>056 degrees 50.0 minutes</w:t>
            </w:r>
          </w:p>
        </w:tc>
      </w:tr>
    </w:tbl>
    <w:p w14:paraId="45F92C0F" w14:textId="77777777" w:rsidR="00DA7972" w:rsidRDefault="00DA7972">
      <w:pPr>
        <w:spacing w:after="60"/>
      </w:pPr>
    </w:p>
    <w:p w14:paraId="031C19A3" w14:textId="77777777" w:rsidR="00DA7972" w:rsidRDefault="00000000">
      <w:pPr>
        <w:pStyle w:val="Caption"/>
      </w:pPr>
      <w:r>
        <w:rPr>
          <w:rFonts w:eastAsia="Calibri" w:cs="Calibri"/>
          <w:szCs w:val="18"/>
        </w:rPr>
        <w:t>Table A.1: Governance Area boundary polygon, closed at GA-12</w:t>
      </w:r>
    </w:p>
    <w:p w14:paraId="6810420D" w14:textId="77777777" w:rsidR="00DA7972" w:rsidRDefault="00000000">
      <w:pPr>
        <w:pStyle w:val="Heading3"/>
      </w:pPr>
      <w:r>
        <w:rPr>
          <w:rFonts w:eastAsia="Calibri" w:cs="Calibri"/>
          <w:szCs w:val="22"/>
        </w:rPr>
        <w:t>A.2 Corridor One waypoints (Southern Guarantee Corridor)</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2306"/>
        <w:gridCol w:w="2306"/>
        <w:gridCol w:w="2306"/>
        <w:gridCol w:w="2308"/>
      </w:tblGrid>
      <w:tr w:rsidR="00DA7972" w14:paraId="2986F3AE" w14:textId="77777777">
        <w:trPr>
          <w:tblHeader/>
        </w:trPr>
        <w:tc>
          <w:tcPr>
            <w:tcW w:w="2252" w:type="dxa"/>
            <w:tcBorders>
              <w:bottom w:val="single" w:sz="6" w:space="0" w:color="546E7A"/>
            </w:tcBorders>
            <w:shd w:val="clear" w:color="auto" w:fill="E4E9EC"/>
          </w:tcPr>
          <w:p w14:paraId="52C2E3A3" w14:textId="77777777" w:rsidR="00DA7972" w:rsidRDefault="00000000">
            <w:pPr>
              <w:spacing w:after="0" w:line="260" w:lineRule="auto"/>
              <w:jc w:val="left"/>
            </w:pPr>
            <w:r>
              <w:rPr>
                <w:rFonts w:ascii="Calibri" w:eastAsia="Calibri" w:hAnsi="Calibri" w:cs="Calibri"/>
                <w:b/>
                <w:color w:val="37474F"/>
                <w:sz w:val="19"/>
                <w:szCs w:val="19"/>
              </w:rPr>
              <w:t>Waypoint</w:t>
            </w:r>
          </w:p>
        </w:tc>
        <w:tc>
          <w:tcPr>
            <w:tcW w:w="2252" w:type="dxa"/>
            <w:tcBorders>
              <w:bottom w:val="single" w:sz="6" w:space="0" w:color="546E7A"/>
            </w:tcBorders>
            <w:shd w:val="clear" w:color="auto" w:fill="E4E9EC"/>
          </w:tcPr>
          <w:p w14:paraId="19A3B8D0" w14:textId="77777777" w:rsidR="00DA7972" w:rsidRDefault="00000000">
            <w:pPr>
              <w:spacing w:after="0" w:line="260" w:lineRule="auto"/>
              <w:jc w:val="left"/>
            </w:pPr>
            <w:r>
              <w:rPr>
                <w:rFonts w:ascii="Calibri" w:eastAsia="Calibri" w:hAnsi="Calibri" w:cs="Calibri"/>
                <w:b/>
                <w:color w:val="37474F"/>
                <w:sz w:val="19"/>
                <w:szCs w:val="19"/>
              </w:rPr>
              <w:t>Latitude (N)</w:t>
            </w:r>
          </w:p>
        </w:tc>
        <w:tc>
          <w:tcPr>
            <w:tcW w:w="2252" w:type="dxa"/>
            <w:tcBorders>
              <w:bottom w:val="single" w:sz="6" w:space="0" w:color="546E7A"/>
            </w:tcBorders>
            <w:shd w:val="clear" w:color="auto" w:fill="E4E9EC"/>
          </w:tcPr>
          <w:p w14:paraId="38F5B9D0" w14:textId="77777777" w:rsidR="00DA7972" w:rsidRDefault="00000000">
            <w:pPr>
              <w:spacing w:after="0" w:line="260" w:lineRule="auto"/>
              <w:jc w:val="left"/>
            </w:pPr>
            <w:r>
              <w:rPr>
                <w:rFonts w:ascii="Calibri" w:eastAsia="Calibri" w:hAnsi="Calibri" w:cs="Calibri"/>
                <w:b/>
                <w:color w:val="37474F"/>
                <w:sz w:val="19"/>
                <w:szCs w:val="19"/>
              </w:rPr>
              <w:t>Longitude (E)</w:t>
            </w:r>
          </w:p>
        </w:tc>
        <w:tc>
          <w:tcPr>
            <w:tcW w:w="2254" w:type="dxa"/>
            <w:tcBorders>
              <w:bottom w:val="single" w:sz="6" w:space="0" w:color="546E7A"/>
            </w:tcBorders>
            <w:shd w:val="clear" w:color="auto" w:fill="E4E9EC"/>
          </w:tcPr>
          <w:p w14:paraId="45E62785" w14:textId="77777777" w:rsidR="00DA7972" w:rsidRDefault="00000000">
            <w:pPr>
              <w:spacing w:after="0" w:line="260" w:lineRule="auto"/>
              <w:jc w:val="left"/>
            </w:pPr>
            <w:r>
              <w:rPr>
                <w:rFonts w:ascii="Calibri" w:eastAsia="Calibri" w:hAnsi="Calibri" w:cs="Calibri"/>
                <w:b/>
                <w:color w:val="37474F"/>
                <w:sz w:val="19"/>
                <w:szCs w:val="19"/>
              </w:rPr>
              <w:t>Function</w:t>
            </w:r>
          </w:p>
        </w:tc>
      </w:tr>
      <w:tr w:rsidR="00DA7972" w14:paraId="51D84588" w14:textId="77777777">
        <w:tc>
          <w:tcPr>
            <w:tcW w:w="2252" w:type="dxa"/>
          </w:tcPr>
          <w:p w14:paraId="393F364C" w14:textId="77777777" w:rsidR="00DA7972" w:rsidRDefault="00000000">
            <w:pPr>
              <w:spacing w:after="0" w:line="260" w:lineRule="auto"/>
              <w:jc w:val="left"/>
            </w:pPr>
            <w:r>
              <w:rPr>
                <w:rFonts w:ascii="Calibri" w:eastAsia="Calibri" w:hAnsi="Calibri" w:cs="Calibri"/>
                <w:sz w:val="19"/>
                <w:szCs w:val="19"/>
              </w:rPr>
              <w:t>S-1</w:t>
            </w:r>
          </w:p>
        </w:tc>
        <w:tc>
          <w:tcPr>
            <w:tcW w:w="2252" w:type="dxa"/>
          </w:tcPr>
          <w:p w14:paraId="4912E484" w14:textId="77777777" w:rsidR="00DA7972" w:rsidRDefault="00000000">
            <w:pPr>
              <w:spacing w:after="0" w:line="260" w:lineRule="auto"/>
              <w:jc w:val="left"/>
            </w:pPr>
            <w:r>
              <w:rPr>
                <w:rFonts w:ascii="Calibri" w:eastAsia="Calibri" w:hAnsi="Calibri" w:cs="Calibri"/>
                <w:sz w:val="19"/>
                <w:szCs w:val="19"/>
              </w:rPr>
              <w:t>26 degrees 38.0 minutes</w:t>
            </w:r>
          </w:p>
        </w:tc>
        <w:tc>
          <w:tcPr>
            <w:tcW w:w="2252" w:type="dxa"/>
          </w:tcPr>
          <w:p w14:paraId="74D56CCC" w14:textId="77777777" w:rsidR="00DA7972" w:rsidRDefault="00000000">
            <w:pPr>
              <w:spacing w:after="0" w:line="260" w:lineRule="auto"/>
              <w:jc w:val="left"/>
            </w:pPr>
            <w:r>
              <w:rPr>
                <w:rFonts w:ascii="Calibri" w:eastAsia="Calibri" w:hAnsi="Calibri" w:cs="Calibri"/>
                <w:sz w:val="19"/>
                <w:szCs w:val="19"/>
              </w:rPr>
              <w:t>056 degrees 52.0 minutes</w:t>
            </w:r>
          </w:p>
        </w:tc>
        <w:tc>
          <w:tcPr>
            <w:tcW w:w="2254" w:type="dxa"/>
          </w:tcPr>
          <w:p w14:paraId="3ABBCDF0" w14:textId="77777777" w:rsidR="00DA7972" w:rsidRDefault="00000000">
            <w:pPr>
              <w:spacing w:after="0" w:line="260" w:lineRule="auto"/>
              <w:jc w:val="left"/>
            </w:pPr>
            <w:r>
              <w:rPr>
                <w:rFonts w:ascii="Calibri" w:eastAsia="Calibri" w:hAnsi="Calibri" w:cs="Calibri"/>
                <w:sz w:val="19"/>
                <w:szCs w:val="19"/>
              </w:rPr>
              <w:t>Eastern entry, precautionary zone east edge</w:t>
            </w:r>
          </w:p>
        </w:tc>
      </w:tr>
      <w:tr w:rsidR="00DA7972" w14:paraId="07065CFE" w14:textId="77777777">
        <w:tc>
          <w:tcPr>
            <w:tcW w:w="2252" w:type="dxa"/>
          </w:tcPr>
          <w:p w14:paraId="70F047F9" w14:textId="77777777" w:rsidR="00DA7972" w:rsidRDefault="00000000">
            <w:pPr>
              <w:spacing w:after="0" w:line="260" w:lineRule="auto"/>
              <w:jc w:val="left"/>
            </w:pPr>
            <w:r>
              <w:rPr>
                <w:rFonts w:ascii="Calibri" w:eastAsia="Calibri" w:hAnsi="Calibri" w:cs="Calibri"/>
                <w:sz w:val="19"/>
                <w:szCs w:val="19"/>
              </w:rPr>
              <w:t>S-2</w:t>
            </w:r>
          </w:p>
        </w:tc>
        <w:tc>
          <w:tcPr>
            <w:tcW w:w="2252" w:type="dxa"/>
          </w:tcPr>
          <w:p w14:paraId="4D0605EE" w14:textId="77777777" w:rsidR="00DA7972" w:rsidRDefault="00000000">
            <w:pPr>
              <w:spacing w:after="0" w:line="260" w:lineRule="auto"/>
              <w:jc w:val="left"/>
            </w:pPr>
            <w:r>
              <w:rPr>
                <w:rFonts w:ascii="Calibri" w:eastAsia="Calibri" w:hAnsi="Calibri" w:cs="Calibri"/>
                <w:sz w:val="19"/>
                <w:szCs w:val="19"/>
              </w:rPr>
              <w:t>26 degrees 32.0 minutes</w:t>
            </w:r>
          </w:p>
        </w:tc>
        <w:tc>
          <w:tcPr>
            <w:tcW w:w="2252" w:type="dxa"/>
          </w:tcPr>
          <w:p w14:paraId="7B1E59A4" w14:textId="77777777" w:rsidR="00DA7972" w:rsidRDefault="00000000">
            <w:pPr>
              <w:spacing w:after="0" w:line="260" w:lineRule="auto"/>
              <w:jc w:val="left"/>
            </w:pPr>
            <w:r>
              <w:rPr>
                <w:rFonts w:ascii="Calibri" w:eastAsia="Calibri" w:hAnsi="Calibri" w:cs="Calibri"/>
                <w:sz w:val="19"/>
                <w:szCs w:val="19"/>
              </w:rPr>
              <w:t>056 degrees 40.0 minutes</w:t>
            </w:r>
          </w:p>
        </w:tc>
        <w:tc>
          <w:tcPr>
            <w:tcW w:w="2254" w:type="dxa"/>
          </w:tcPr>
          <w:p w14:paraId="5661F524" w14:textId="77777777" w:rsidR="00DA7972" w:rsidRDefault="00000000">
            <w:pPr>
              <w:spacing w:after="0" w:line="260" w:lineRule="auto"/>
              <w:jc w:val="left"/>
            </w:pPr>
            <w:r>
              <w:rPr>
                <w:rFonts w:ascii="Calibri" w:eastAsia="Calibri" w:hAnsi="Calibri" w:cs="Calibri"/>
                <w:sz w:val="19"/>
                <w:szCs w:val="19"/>
              </w:rPr>
              <w:t>Reporting point Charlie</w:t>
            </w:r>
          </w:p>
        </w:tc>
      </w:tr>
      <w:tr w:rsidR="00DA7972" w14:paraId="4CCD1D43" w14:textId="77777777">
        <w:tc>
          <w:tcPr>
            <w:tcW w:w="2252" w:type="dxa"/>
          </w:tcPr>
          <w:p w14:paraId="1A2A39DE" w14:textId="77777777" w:rsidR="00DA7972" w:rsidRDefault="00000000">
            <w:pPr>
              <w:spacing w:after="0" w:line="260" w:lineRule="auto"/>
              <w:jc w:val="left"/>
            </w:pPr>
            <w:r>
              <w:rPr>
                <w:rFonts w:ascii="Calibri" w:eastAsia="Calibri" w:hAnsi="Calibri" w:cs="Calibri"/>
                <w:sz w:val="19"/>
                <w:szCs w:val="19"/>
              </w:rPr>
              <w:t>S-3</w:t>
            </w:r>
          </w:p>
        </w:tc>
        <w:tc>
          <w:tcPr>
            <w:tcW w:w="2252" w:type="dxa"/>
          </w:tcPr>
          <w:p w14:paraId="60FAB8F6" w14:textId="77777777" w:rsidR="00DA7972" w:rsidRDefault="00000000">
            <w:pPr>
              <w:spacing w:after="0" w:line="260" w:lineRule="auto"/>
              <w:jc w:val="left"/>
            </w:pPr>
            <w:r>
              <w:rPr>
                <w:rFonts w:ascii="Calibri" w:eastAsia="Calibri" w:hAnsi="Calibri" w:cs="Calibri"/>
                <w:sz w:val="19"/>
                <w:szCs w:val="19"/>
              </w:rPr>
              <w:t>26 degrees 28.0 minutes</w:t>
            </w:r>
          </w:p>
        </w:tc>
        <w:tc>
          <w:tcPr>
            <w:tcW w:w="2252" w:type="dxa"/>
          </w:tcPr>
          <w:p w14:paraId="0D96A1DE" w14:textId="77777777" w:rsidR="00DA7972" w:rsidRDefault="00000000">
            <w:pPr>
              <w:spacing w:after="0" w:line="260" w:lineRule="auto"/>
              <w:jc w:val="left"/>
            </w:pPr>
            <w:r>
              <w:rPr>
                <w:rFonts w:ascii="Calibri" w:eastAsia="Calibri" w:hAnsi="Calibri" w:cs="Calibri"/>
                <w:sz w:val="19"/>
                <w:szCs w:val="19"/>
              </w:rPr>
              <w:t>056 degrees 20.0 minutes</w:t>
            </w:r>
          </w:p>
        </w:tc>
        <w:tc>
          <w:tcPr>
            <w:tcW w:w="2254" w:type="dxa"/>
          </w:tcPr>
          <w:p w14:paraId="66CC75B9" w14:textId="77777777" w:rsidR="00DA7972" w:rsidRDefault="00000000">
            <w:pPr>
              <w:spacing w:after="0" w:line="260" w:lineRule="auto"/>
              <w:jc w:val="left"/>
            </w:pPr>
            <w:r>
              <w:rPr>
                <w:rFonts w:ascii="Calibri" w:eastAsia="Calibri" w:hAnsi="Calibri" w:cs="Calibri"/>
                <w:sz w:val="19"/>
                <w:szCs w:val="19"/>
              </w:rPr>
              <w:t>Mid-passage reporting point Delta</w:t>
            </w:r>
          </w:p>
        </w:tc>
      </w:tr>
      <w:tr w:rsidR="00DA7972" w14:paraId="073A799C" w14:textId="77777777">
        <w:tc>
          <w:tcPr>
            <w:tcW w:w="2252" w:type="dxa"/>
          </w:tcPr>
          <w:p w14:paraId="73E8721F" w14:textId="77777777" w:rsidR="00DA7972" w:rsidRDefault="00000000">
            <w:pPr>
              <w:spacing w:after="0" w:line="260" w:lineRule="auto"/>
              <w:jc w:val="left"/>
            </w:pPr>
            <w:r>
              <w:rPr>
                <w:rFonts w:ascii="Calibri" w:eastAsia="Calibri" w:hAnsi="Calibri" w:cs="Calibri"/>
                <w:sz w:val="19"/>
                <w:szCs w:val="19"/>
              </w:rPr>
              <w:t>S-4</w:t>
            </w:r>
          </w:p>
        </w:tc>
        <w:tc>
          <w:tcPr>
            <w:tcW w:w="2252" w:type="dxa"/>
          </w:tcPr>
          <w:p w14:paraId="376F06D9" w14:textId="77777777" w:rsidR="00DA7972" w:rsidRDefault="00000000">
            <w:pPr>
              <w:spacing w:after="0" w:line="260" w:lineRule="auto"/>
              <w:jc w:val="left"/>
            </w:pPr>
            <w:r>
              <w:rPr>
                <w:rFonts w:ascii="Calibri" w:eastAsia="Calibri" w:hAnsi="Calibri" w:cs="Calibri"/>
                <w:sz w:val="19"/>
                <w:szCs w:val="19"/>
              </w:rPr>
              <w:t>26 degrees 26.0 minutes</w:t>
            </w:r>
          </w:p>
        </w:tc>
        <w:tc>
          <w:tcPr>
            <w:tcW w:w="2252" w:type="dxa"/>
          </w:tcPr>
          <w:p w14:paraId="396688C7" w14:textId="77777777" w:rsidR="00DA7972" w:rsidRDefault="00000000">
            <w:pPr>
              <w:spacing w:after="0" w:line="260" w:lineRule="auto"/>
              <w:jc w:val="left"/>
            </w:pPr>
            <w:r>
              <w:rPr>
                <w:rFonts w:ascii="Calibri" w:eastAsia="Calibri" w:hAnsi="Calibri" w:cs="Calibri"/>
                <w:sz w:val="19"/>
                <w:szCs w:val="19"/>
              </w:rPr>
              <w:t>056 degrees 00.0 minutes</w:t>
            </w:r>
          </w:p>
        </w:tc>
        <w:tc>
          <w:tcPr>
            <w:tcW w:w="2254" w:type="dxa"/>
          </w:tcPr>
          <w:p w14:paraId="2D99FAE2" w14:textId="77777777" w:rsidR="00DA7972" w:rsidRDefault="00000000">
            <w:pPr>
              <w:spacing w:after="0" w:line="260" w:lineRule="auto"/>
              <w:jc w:val="left"/>
            </w:pPr>
            <w:r>
              <w:rPr>
                <w:rFonts w:ascii="Calibri" w:eastAsia="Calibri" w:hAnsi="Calibri" w:cs="Calibri"/>
                <w:sz w:val="19"/>
                <w:szCs w:val="19"/>
              </w:rPr>
              <w:t>Crossing sector Kilo south edge</w:t>
            </w:r>
          </w:p>
        </w:tc>
      </w:tr>
      <w:tr w:rsidR="00DA7972" w14:paraId="57996B41" w14:textId="77777777">
        <w:tc>
          <w:tcPr>
            <w:tcW w:w="2252" w:type="dxa"/>
          </w:tcPr>
          <w:p w14:paraId="6958106A" w14:textId="77777777" w:rsidR="00DA7972" w:rsidRDefault="00000000">
            <w:pPr>
              <w:spacing w:after="0" w:line="260" w:lineRule="auto"/>
              <w:jc w:val="left"/>
            </w:pPr>
            <w:r>
              <w:rPr>
                <w:rFonts w:ascii="Calibri" w:eastAsia="Calibri" w:hAnsi="Calibri" w:cs="Calibri"/>
                <w:sz w:val="19"/>
                <w:szCs w:val="19"/>
              </w:rPr>
              <w:t>S-5</w:t>
            </w:r>
          </w:p>
        </w:tc>
        <w:tc>
          <w:tcPr>
            <w:tcW w:w="2252" w:type="dxa"/>
          </w:tcPr>
          <w:p w14:paraId="727A9BEE" w14:textId="77777777" w:rsidR="00DA7972" w:rsidRDefault="00000000">
            <w:pPr>
              <w:spacing w:after="0" w:line="260" w:lineRule="auto"/>
              <w:jc w:val="left"/>
            </w:pPr>
            <w:r>
              <w:rPr>
                <w:rFonts w:ascii="Calibri" w:eastAsia="Calibri" w:hAnsi="Calibri" w:cs="Calibri"/>
                <w:sz w:val="19"/>
                <w:szCs w:val="19"/>
              </w:rPr>
              <w:t>26 degrees 24.5 minutes</w:t>
            </w:r>
          </w:p>
        </w:tc>
        <w:tc>
          <w:tcPr>
            <w:tcW w:w="2252" w:type="dxa"/>
          </w:tcPr>
          <w:p w14:paraId="64BCE91A" w14:textId="77777777" w:rsidR="00DA7972" w:rsidRDefault="00000000">
            <w:pPr>
              <w:spacing w:after="0" w:line="260" w:lineRule="auto"/>
              <w:jc w:val="left"/>
            </w:pPr>
            <w:r>
              <w:rPr>
                <w:rFonts w:ascii="Calibri" w:eastAsia="Calibri" w:hAnsi="Calibri" w:cs="Calibri"/>
                <w:sz w:val="19"/>
                <w:szCs w:val="19"/>
              </w:rPr>
              <w:t>055 degrees 48.0 minutes</w:t>
            </w:r>
          </w:p>
        </w:tc>
        <w:tc>
          <w:tcPr>
            <w:tcW w:w="2254" w:type="dxa"/>
          </w:tcPr>
          <w:p w14:paraId="3E477D29" w14:textId="77777777" w:rsidR="00DA7972" w:rsidRDefault="00000000">
            <w:pPr>
              <w:spacing w:after="0" w:line="260" w:lineRule="auto"/>
              <w:jc w:val="left"/>
            </w:pPr>
            <w:r>
              <w:rPr>
                <w:rFonts w:ascii="Calibri" w:eastAsia="Calibri" w:hAnsi="Calibri" w:cs="Calibri"/>
                <w:sz w:val="19"/>
                <w:szCs w:val="19"/>
              </w:rPr>
              <w:t>Reporting point Echo</w:t>
            </w:r>
          </w:p>
        </w:tc>
      </w:tr>
      <w:tr w:rsidR="00DA7972" w14:paraId="271D56A8" w14:textId="77777777">
        <w:tc>
          <w:tcPr>
            <w:tcW w:w="2252" w:type="dxa"/>
          </w:tcPr>
          <w:p w14:paraId="33B482E4" w14:textId="77777777" w:rsidR="00DA7972" w:rsidRDefault="00000000">
            <w:pPr>
              <w:spacing w:after="0" w:line="260" w:lineRule="auto"/>
              <w:jc w:val="left"/>
            </w:pPr>
            <w:r>
              <w:rPr>
                <w:rFonts w:ascii="Calibri" w:eastAsia="Calibri" w:hAnsi="Calibri" w:cs="Calibri"/>
                <w:sz w:val="19"/>
                <w:szCs w:val="19"/>
              </w:rPr>
              <w:t>S-6</w:t>
            </w:r>
          </w:p>
        </w:tc>
        <w:tc>
          <w:tcPr>
            <w:tcW w:w="2252" w:type="dxa"/>
          </w:tcPr>
          <w:p w14:paraId="2F0E3C59" w14:textId="77777777" w:rsidR="00DA7972" w:rsidRDefault="00000000">
            <w:pPr>
              <w:spacing w:after="0" w:line="260" w:lineRule="auto"/>
              <w:jc w:val="left"/>
            </w:pPr>
            <w:r>
              <w:rPr>
                <w:rFonts w:ascii="Calibri" w:eastAsia="Calibri" w:hAnsi="Calibri" w:cs="Calibri"/>
                <w:sz w:val="19"/>
                <w:szCs w:val="19"/>
              </w:rPr>
              <w:t>26 degrees 24.0 minutes</w:t>
            </w:r>
          </w:p>
        </w:tc>
        <w:tc>
          <w:tcPr>
            <w:tcW w:w="2252" w:type="dxa"/>
          </w:tcPr>
          <w:p w14:paraId="502DDBCD" w14:textId="77777777" w:rsidR="00DA7972" w:rsidRDefault="00000000">
            <w:pPr>
              <w:spacing w:after="0" w:line="260" w:lineRule="auto"/>
              <w:jc w:val="left"/>
            </w:pPr>
            <w:r>
              <w:rPr>
                <w:rFonts w:ascii="Calibri" w:eastAsia="Calibri" w:hAnsi="Calibri" w:cs="Calibri"/>
                <w:sz w:val="19"/>
                <w:szCs w:val="19"/>
              </w:rPr>
              <w:t>055 degrees 38.0 minutes</w:t>
            </w:r>
          </w:p>
        </w:tc>
        <w:tc>
          <w:tcPr>
            <w:tcW w:w="2254" w:type="dxa"/>
          </w:tcPr>
          <w:p w14:paraId="0A562D87" w14:textId="77777777" w:rsidR="00DA7972" w:rsidRDefault="00000000">
            <w:pPr>
              <w:spacing w:after="0" w:line="260" w:lineRule="auto"/>
              <w:jc w:val="left"/>
            </w:pPr>
            <w:r>
              <w:rPr>
                <w:rFonts w:ascii="Calibri" w:eastAsia="Calibri" w:hAnsi="Calibri" w:cs="Calibri"/>
                <w:sz w:val="19"/>
                <w:szCs w:val="19"/>
              </w:rPr>
              <w:t>Western exit, precautionary zone west edge</w:t>
            </w:r>
          </w:p>
        </w:tc>
      </w:tr>
    </w:tbl>
    <w:p w14:paraId="2B9230DE" w14:textId="77777777" w:rsidR="00DA7972" w:rsidRDefault="00DA7972">
      <w:pPr>
        <w:spacing w:after="60"/>
      </w:pPr>
    </w:p>
    <w:p w14:paraId="22697337" w14:textId="77777777" w:rsidR="00DA7972" w:rsidRDefault="00000000">
      <w:pPr>
        <w:pStyle w:val="Caption"/>
      </w:pPr>
      <w:r>
        <w:rPr>
          <w:rFonts w:eastAsia="Calibri" w:cs="Calibri"/>
          <w:szCs w:val="18"/>
        </w:rPr>
        <w:t>Table A.2: Corridor One centerline; lanes 2.0 nautical miles wide each side of centerline, 1.0 nautical mile separation zone</w:t>
      </w:r>
    </w:p>
    <w:p w14:paraId="4275D228" w14:textId="77777777" w:rsidR="00DA7972" w:rsidRDefault="00000000">
      <w:pPr>
        <w:pStyle w:val="Heading3"/>
      </w:pPr>
      <w:r>
        <w:rPr>
          <w:rFonts w:eastAsia="Calibri" w:cs="Calibri"/>
          <w:szCs w:val="22"/>
        </w:rPr>
        <w:lastRenderedPageBreak/>
        <w:t>A.3 Corridor Two waypoints (Northern Coordination Corridor)</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2306"/>
        <w:gridCol w:w="2306"/>
        <w:gridCol w:w="2306"/>
        <w:gridCol w:w="2308"/>
      </w:tblGrid>
      <w:tr w:rsidR="00DA7972" w14:paraId="6D574A3A" w14:textId="77777777">
        <w:trPr>
          <w:tblHeader/>
        </w:trPr>
        <w:tc>
          <w:tcPr>
            <w:tcW w:w="2252" w:type="dxa"/>
            <w:tcBorders>
              <w:bottom w:val="single" w:sz="6" w:space="0" w:color="546E7A"/>
            </w:tcBorders>
            <w:shd w:val="clear" w:color="auto" w:fill="E4E9EC"/>
          </w:tcPr>
          <w:p w14:paraId="3D0C25D1" w14:textId="77777777" w:rsidR="00DA7972" w:rsidRDefault="00000000">
            <w:pPr>
              <w:spacing w:after="0" w:line="260" w:lineRule="auto"/>
              <w:jc w:val="left"/>
            </w:pPr>
            <w:r>
              <w:rPr>
                <w:rFonts w:ascii="Calibri" w:eastAsia="Calibri" w:hAnsi="Calibri" w:cs="Calibri"/>
                <w:b/>
                <w:color w:val="37474F"/>
                <w:sz w:val="19"/>
                <w:szCs w:val="19"/>
              </w:rPr>
              <w:t>Waypoint</w:t>
            </w:r>
          </w:p>
        </w:tc>
        <w:tc>
          <w:tcPr>
            <w:tcW w:w="2252" w:type="dxa"/>
            <w:tcBorders>
              <w:bottom w:val="single" w:sz="6" w:space="0" w:color="546E7A"/>
            </w:tcBorders>
            <w:shd w:val="clear" w:color="auto" w:fill="E4E9EC"/>
          </w:tcPr>
          <w:p w14:paraId="1613A23D" w14:textId="77777777" w:rsidR="00DA7972" w:rsidRDefault="00000000">
            <w:pPr>
              <w:spacing w:after="0" w:line="260" w:lineRule="auto"/>
              <w:jc w:val="left"/>
            </w:pPr>
            <w:r>
              <w:rPr>
                <w:rFonts w:ascii="Calibri" w:eastAsia="Calibri" w:hAnsi="Calibri" w:cs="Calibri"/>
                <w:b/>
                <w:color w:val="37474F"/>
                <w:sz w:val="19"/>
                <w:szCs w:val="19"/>
              </w:rPr>
              <w:t>Latitude (N)</w:t>
            </w:r>
          </w:p>
        </w:tc>
        <w:tc>
          <w:tcPr>
            <w:tcW w:w="2252" w:type="dxa"/>
            <w:tcBorders>
              <w:bottom w:val="single" w:sz="6" w:space="0" w:color="546E7A"/>
            </w:tcBorders>
            <w:shd w:val="clear" w:color="auto" w:fill="E4E9EC"/>
          </w:tcPr>
          <w:p w14:paraId="0A43B370" w14:textId="77777777" w:rsidR="00DA7972" w:rsidRDefault="00000000">
            <w:pPr>
              <w:spacing w:after="0" w:line="260" w:lineRule="auto"/>
              <w:jc w:val="left"/>
            </w:pPr>
            <w:r>
              <w:rPr>
                <w:rFonts w:ascii="Calibri" w:eastAsia="Calibri" w:hAnsi="Calibri" w:cs="Calibri"/>
                <w:b/>
                <w:color w:val="37474F"/>
                <w:sz w:val="19"/>
                <w:szCs w:val="19"/>
              </w:rPr>
              <w:t>Longitude (E)</w:t>
            </w:r>
          </w:p>
        </w:tc>
        <w:tc>
          <w:tcPr>
            <w:tcW w:w="2254" w:type="dxa"/>
            <w:tcBorders>
              <w:bottom w:val="single" w:sz="6" w:space="0" w:color="546E7A"/>
            </w:tcBorders>
            <w:shd w:val="clear" w:color="auto" w:fill="E4E9EC"/>
          </w:tcPr>
          <w:p w14:paraId="624788C8" w14:textId="77777777" w:rsidR="00DA7972" w:rsidRDefault="00000000">
            <w:pPr>
              <w:spacing w:after="0" w:line="260" w:lineRule="auto"/>
              <w:jc w:val="left"/>
            </w:pPr>
            <w:r>
              <w:rPr>
                <w:rFonts w:ascii="Calibri" w:eastAsia="Calibri" w:hAnsi="Calibri" w:cs="Calibri"/>
                <w:b/>
                <w:color w:val="37474F"/>
                <w:sz w:val="19"/>
                <w:szCs w:val="19"/>
              </w:rPr>
              <w:t>Function</w:t>
            </w:r>
          </w:p>
        </w:tc>
      </w:tr>
      <w:tr w:rsidR="00DA7972" w14:paraId="0B474303" w14:textId="77777777">
        <w:tc>
          <w:tcPr>
            <w:tcW w:w="2252" w:type="dxa"/>
          </w:tcPr>
          <w:p w14:paraId="48C790A6" w14:textId="77777777" w:rsidR="00DA7972" w:rsidRDefault="00000000">
            <w:pPr>
              <w:spacing w:after="0" w:line="260" w:lineRule="auto"/>
              <w:jc w:val="left"/>
            </w:pPr>
            <w:r>
              <w:rPr>
                <w:rFonts w:ascii="Calibri" w:eastAsia="Calibri" w:hAnsi="Calibri" w:cs="Calibri"/>
                <w:sz w:val="19"/>
                <w:szCs w:val="19"/>
              </w:rPr>
              <w:t>N-1</w:t>
            </w:r>
          </w:p>
        </w:tc>
        <w:tc>
          <w:tcPr>
            <w:tcW w:w="2252" w:type="dxa"/>
          </w:tcPr>
          <w:p w14:paraId="2B051AA1" w14:textId="77777777" w:rsidR="00DA7972" w:rsidRDefault="00000000">
            <w:pPr>
              <w:spacing w:after="0" w:line="260" w:lineRule="auto"/>
              <w:jc w:val="left"/>
            </w:pPr>
            <w:r>
              <w:rPr>
                <w:rFonts w:ascii="Calibri" w:eastAsia="Calibri" w:hAnsi="Calibri" w:cs="Calibri"/>
                <w:sz w:val="19"/>
                <w:szCs w:val="19"/>
              </w:rPr>
              <w:t>26 degrees 50.0 minutes</w:t>
            </w:r>
          </w:p>
        </w:tc>
        <w:tc>
          <w:tcPr>
            <w:tcW w:w="2252" w:type="dxa"/>
          </w:tcPr>
          <w:p w14:paraId="7DDB62A8" w14:textId="77777777" w:rsidR="00DA7972" w:rsidRDefault="00000000">
            <w:pPr>
              <w:spacing w:after="0" w:line="260" w:lineRule="auto"/>
              <w:jc w:val="left"/>
            </w:pPr>
            <w:r>
              <w:rPr>
                <w:rFonts w:ascii="Calibri" w:eastAsia="Calibri" w:hAnsi="Calibri" w:cs="Calibri"/>
                <w:sz w:val="19"/>
                <w:szCs w:val="19"/>
              </w:rPr>
              <w:t>056 degrees 44.0 minutes</w:t>
            </w:r>
          </w:p>
        </w:tc>
        <w:tc>
          <w:tcPr>
            <w:tcW w:w="2254" w:type="dxa"/>
          </w:tcPr>
          <w:p w14:paraId="6464D4DE" w14:textId="77777777" w:rsidR="00DA7972" w:rsidRDefault="00000000">
            <w:pPr>
              <w:spacing w:after="0" w:line="260" w:lineRule="auto"/>
              <w:jc w:val="left"/>
            </w:pPr>
            <w:r>
              <w:rPr>
                <w:rFonts w:ascii="Calibri" w:eastAsia="Calibri" w:hAnsi="Calibri" w:cs="Calibri"/>
                <w:sz w:val="19"/>
                <w:szCs w:val="19"/>
              </w:rPr>
              <w:t>Eastern entry</w:t>
            </w:r>
          </w:p>
        </w:tc>
      </w:tr>
      <w:tr w:rsidR="00DA7972" w14:paraId="76DE1C1F" w14:textId="77777777">
        <w:tc>
          <w:tcPr>
            <w:tcW w:w="2252" w:type="dxa"/>
          </w:tcPr>
          <w:p w14:paraId="47E26EF4" w14:textId="77777777" w:rsidR="00DA7972" w:rsidRDefault="00000000">
            <w:pPr>
              <w:spacing w:after="0" w:line="260" w:lineRule="auto"/>
              <w:jc w:val="left"/>
            </w:pPr>
            <w:r>
              <w:rPr>
                <w:rFonts w:ascii="Calibri" w:eastAsia="Calibri" w:hAnsi="Calibri" w:cs="Calibri"/>
                <w:sz w:val="19"/>
                <w:szCs w:val="19"/>
              </w:rPr>
              <w:t>N-2</w:t>
            </w:r>
          </w:p>
        </w:tc>
        <w:tc>
          <w:tcPr>
            <w:tcW w:w="2252" w:type="dxa"/>
          </w:tcPr>
          <w:p w14:paraId="54C76E91" w14:textId="77777777" w:rsidR="00DA7972" w:rsidRDefault="00000000">
            <w:pPr>
              <w:spacing w:after="0" w:line="260" w:lineRule="auto"/>
              <w:jc w:val="left"/>
            </w:pPr>
            <w:r>
              <w:rPr>
                <w:rFonts w:ascii="Calibri" w:eastAsia="Calibri" w:hAnsi="Calibri" w:cs="Calibri"/>
                <w:sz w:val="19"/>
                <w:szCs w:val="19"/>
              </w:rPr>
              <w:t>26 degrees 48.0 minutes</w:t>
            </w:r>
          </w:p>
        </w:tc>
        <w:tc>
          <w:tcPr>
            <w:tcW w:w="2252" w:type="dxa"/>
          </w:tcPr>
          <w:p w14:paraId="01E9880C" w14:textId="77777777" w:rsidR="00DA7972" w:rsidRDefault="00000000">
            <w:pPr>
              <w:spacing w:after="0" w:line="260" w:lineRule="auto"/>
              <w:jc w:val="left"/>
            </w:pPr>
            <w:r>
              <w:rPr>
                <w:rFonts w:ascii="Calibri" w:eastAsia="Calibri" w:hAnsi="Calibri" w:cs="Calibri"/>
                <w:sz w:val="19"/>
                <w:szCs w:val="19"/>
              </w:rPr>
              <w:t>056 degrees 30.0 minutes</w:t>
            </w:r>
          </w:p>
        </w:tc>
        <w:tc>
          <w:tcPr>
            <w:tcW w:w="2254" w:type="dxa"/>
          </w:tcPr>
          <w:p w14:paraId="7714DFE4" w14:textId="77777777" w:rsidR="00DA7972" w:rsidRDefault="00000000">
            <w:pPr>
              <w:spacing w:after="0" w:line="260" w:lineRule="auto"/>
              <w:jc w:val="left"/>
            </w:pPr>
            <w:r>
              <w:rPr>
                <w:rFonts w:ascii="Calibri" w:eastAsia="Calibri" w:hAnsi="Calibri" w:cs="Calibri"/>
                <w:sz w:val="19"/>
                <w:szCs w:val="19"/>
              </w:rPr>
              <w:t>Reporting point November</w:t>
            </w:r>
          </w:p>
        </w:tc>
      </w:tr>
      <w:tr w:rsidR="00DA7972" w14:paraId="49A169A0" w14:textId="77777777">
        <w:tc>
          <w:tcPr>
            <w:tcW w:w="2252" w:type="dxa"/>
          </w:tcPr>
          <w:p w14:paraId="41E9D091" w14:textId="77777777" w:rsidR="00DA7972" w:rsidRDefault="00000000">
            <w:pPr>
              <w:spacing w:after="0" w:line="260" w:lineRule="auto"/>
              <w:jc w:val="left"/>
            </w:pPr>
            <w:r>
              <w:rPr>
                <w:rFonts w:ascii="Calibri" w:eastAsia="Calibri" w:hAnsi="Calibri" w:cs="Calibri"/>
                <w:sz w:val="19"/>
                <w:szCs w:val="19"/>
              </w:rPr>
              <w:t>N-3</w:t>
            </w:r>
          </w:p>
        </w:tc>
        <w:tc>
          <w:tcPr>
            <w:tcW w:w="2252" w:type="dxa"/>
          </w:tcPr>
          <w:p w14:paraId="41F31588" w14:textId="77777777" w:rsidR="00DA7972" w:rsidRDefault="00000000">
            <w:pPr>
              <w:spacing w:after="0" w:line="260" w:lineRule="auto"/>
              <w:jc w:val="left"/>
            </w:pPr>
            <w:r>
              <w:rPr>
                <w:rFonts w:ascii="Calibri" w:eastAsia="Calibri" w:hAnsi="Calibri" w:cs="Calibri"/>
                <w:sz w:val="19"/>
                <w:szCs w:val="19"/>
              </w:rPr>
              <w:t>26 degrees 46.0 minutes</w:t>
            </w:r>
          </w:p>
        </w:tc>
        <w:tc>
          <w:tcPr>
            <w:tcW w:w="2252" w:type="dxa"/>
          </w:tcPr>
          <w:p w14:paraId="258DC77E" w14:textId="77777777" w:rsidR="00DA7972" w:rsidRDefault="00000000">
            <w:pPr>
              <w:spacing w:after="0" w:line="260" w:lineRule="auto"/>
              <w:jc w:val="left"/>
            </w:pPr>
            <w:r>
              <w:rPr>
                <w:rFonts w:ascii="Calibri" w:eastAsia="Calibri" w:hAnsi="Calibri" w:cs="Calibri"/>
                <w:sz w:val="19"/>
                <w:szCs w:val="19"/>
              </w:rPr>
              <w:t>056 degrees 10.0 minutes</w:t>
            </w:r>
          </w:p>
        </w:tc>
        <w:tc>
          <w:tcPr>
            <w:tcW w:w="2254" w:type="dxa"/>
          </w:tcPr>
          <w:p w14:paraId="4B2AF262" w14:textId="77777777" w:rsidR="00DA7972" w:rsidRDefault="00000000">
            <w:pPr>
              <w:spacing w:after="0" w:line="260" w:lineRule="auto"/>
              <w:jc w:val="left"/>
            </w:pPr>
            <w:r>
              <w:rPr>
                <w:rFonts w:ascii="Calibri" w:eastAsia="Calibri" w:hAnsi="Calibri" w:cs="Calibri"/>
                <w:sz w:val="19"/>
                <w:szCs w:val="19"/>
              </w:rPr>
              <w:t>Larak south abeam; pilot station advisory</w:t>
            </w:r>
          </w:p>
        </w:tc>
      </w:tr>
      <w:tr w:rsidR="00DA7972" w14:paraId="341493E0" w14:textId="77777777">
        <w:tc>
          <w:tcPr>
            <w:tcW w:w="2252" w:type="dxa"/>
          </w:tcPr>
          <w:p w14:paraId="505DF8AA" w14:textId="77777777" w:rsidR="00DA7972" w:rsidRDefault="00000000">
            <w:pPr>
              <w:spacing w:after="0" w:line="260" w:lineRule="auto"/>
              <w:jc w:val="left"/>
            </w:pPr>
            <w:r>
              <w:rPr>
                <w:rFonts w:ascii="Calibri" w:eastAsia="Calibri" w:hAnsi="Calibri" w:cs="Calibri"/>
                <w:sz w:val="19"/>
                <w:szCs w:val="19"/>
              </w:rPr>
              <w:t>N-4</w:t>
            </w:r>
          </w:p>
        </w:tc>
        <w:tc>
          <w:tcPr>
            <w:tcW w:w="2252" w:type="dxa"/>
          </w:tcPr>
          <w:p w14:paraId="40196DEC" w14:textId="77777777" w:rsidR="00DA7972" w:rsidRDefault="00000000">
            <w:pPr>
              <w:spacing w:after="0" w:line="260" w:lineRule="auto"/>
              <w:jc w:val="left"/>
            </w:pPr>
            <w:r>
              <w:rPr>
                <w:rFonts w:ascii="Calibri" w:eastAsia="Calibri" w:hAnsi="Calibri" w:cs="Calibri"/>
                <w:sz w:val="19"/>
                <w:szCs w:val="19"/>
              </w:rPr>
              <w:t>26 degrees 44.0 minutes</w:t>
            </w:r>
          </w:p>
        </w:tc>
        <w:tc>
          <w:tcPr>
            <w:tcW w:w="2252" w:type="dxa"/>
          </w:tcPr>
          <w:p w14:paraId="2A9ABA3F" w14:textId="77777777" w:rsidR="00DA7972" w:rsidRDefault="00000000">
            <w:pPr>
              <w:spacing w:after="0" w:line="260" w:lineRule="auto"/>
              <w:jc w:val="left"/>
            </w:pPr>
            <w:r>
              <w:rPr>
                <w:rFonts w:ascii="Calibri" w:eastAsia="Calibri" w:hAnsi="Calibri" w:cs="Calibri"/>
                <w:sz w:val="19"/>
                <w:szCs w:val="19"/>
              </w:rPr>
              <w:t>055 degrees 55.0 minutes</w:t>
            </w:r>
          </w:p>
        </w:tc>
        <w:tc>
          <w:tcPr>
            <w:tcW w:w="2254" w:type="dxa"/>
          </w:tcPr>
          <w:p w14:paraId="0CE7CF9E" w14:textId="77777777" w:rsidR="00DA7972" w:rsidRDefault="00000000">
            <w:pPr>
              <w:spacing w:after="0" w:line="260" w:lineRule="auto"/>
              <w:jc w:val="left"/>
            </w:pPr>
            <w:r>
              <w:rPr>
                <w:rFonts w:ascii="Calibri" w:eastAsia="Calibri" w:hAnsi="Calibri" w:cs="Calibri"/>
                <w:sz w:val="19"/>
                <w:szCs w:val="19"/>
              </w:rPr>
              <w:t>Reporting point Oscar</w:t>
            </w:r>
          </w:p>
        </w:tc>
      </w:tr>
      <w:tr w:rsidR="00DA7972" w14:paraId="13415B62" w14:textId="77777777">
        <w:tc>
          <w:tcPr>
            <w:tcW w:w="2252" w:type="dxa"/>
          </w:tcPr>
          <w:p w14:paraId="1479CA0D" w14:textId="77777777" w:rsidR="00DA7972" w:rsidRDefault="00000000">
            <w:pPr>
              <w:spacing w:after="0" w:line="260" w:lineRule="auto"/>
              <w:jc w:val="left"/>
            </w:pPr>
            <w:r>
              <w:rPr>
                <w:rFonts w:ascii="Calibri" w:eastAsia="Calibri" w:hAnsi="Calibri" w:cs="Calibri"/>
                <w:sz w:val="19"/>
                <w:szCs w:val="19"/>
              </w:rPr>
              <w:t>N-5</w:t>
            </w:r>
          </w:p>
        </w:tc>
        <w:tc>
          <w:tcPr>
            <w:tcW w:w="2252" w:type="dxa"/>
          </w:tcPr>
          <w:p w14:paraId="1F4907C0" w14:textId="77777777" w:rsidR="00DA7972" w:rsidRDefault="00000000">
            <w:pPr>
              <w:spacing w:after="0" w:line="260" w:lineRule="auto"/>
              <w:jc w:val="left"/>
            </w:pPr>
            <w:r>
              <w:rPr>
                <w:rFonts w:ascii="Calibri" w:eastAsia="Calibri" w:hAnsi="Calibri" w:cs="Calibri"/>
                <w:sz w:val="19"/>
                <w:szCs w:val="19"/>
              </w:rPr>
              <w:t>26 degrees 41.5 minutes</w:t>
            </w:r>
          </w:p>
        </w:tc>
        <w:tc>
          <w:tcPr>
            <w:tcW w:w="2252" w:type="dxa"/>
          </w:tcPr>
          <w:p w14:paraId="4FBB1EF9" w14:textId="77777777" w:rsidR="00DA7972" w:rsidRDefault="00000000">
            <w:pPr>
              <w:spacing w:after="0" w:line="260" w:lineRule="auto"/>
              <w:jc w:val="left"/>
            </w:pPr>
            <w:r>
              <w:rPr>
                <w:rFonts w:ascii="Calibri" w:eastAsia="Calibri" w:hAnsi="Calibri" w:cs="Calibri"/>
                <w:sz w:val="19"/>
                <w:szCs w:val="19"/>
              </w:rPr>
              <w:t>055 degrees 42.0 minutes</w:t>
            </w:r>
          </w:p>
        </w:tc>
        <w:tc>
          <w:tcPr>
            <w:tcW w:w="2254" w:type="dxa"/>
          </w:tcPr>
          <w:p w14:paraId="58A02892" w14:textId="77777777" w:rsidR="00DA7972" w:rsidRDefault="00000000">
            <w:pPr>
              <w:spacing w:after="0" w:line="260" w:lineRule="auto"/>
              <w:jc w:val="left"/>
            </w:pPr>
            <w:r>
              <w:rPr>
                <w:rFonts w:ascii="Calibri" w:eastAsia="Calibri" w:hAnsi="Calibri" w:cs="Calibri"/>
                <w:sz w:val="19"/>
                <w:szCs w:val="19"/>
              </w:rPr>
              <w:t>Crossing sector Kilo north edge</w:t>
            </w:r>
          </w:p>
        </w:tc>
      </w:tr>
      <w:tr w:rsidR="00DA7972" w14:paraId="2E7191B7" w14:textId="77777777">
        <w:tc>
          <w:tcPr>
            <w:tcW w:w="2252" w:type="dxa"/>
          </w:tcPr>
          <w:p w14:paraId="4D5B791F" w14:textId="77777777" w:rsidR="00DA7972" w:rsidRDefault="00000000">
            <w:pPr>
              <w:spacing w:after="0" w:line="260" w:lineRule="auto"/>
              <w:jc w:val="left"/>
            </w:pPr>
            <w:r>
              <w:rPr>
                <w:rFonts w:ascii="Calibri" w:eastAsia="Calibri" w:hAnsi="Calibri" w:cs="Calibri"/>
                <w:sz w:val="19"/>
                <w:szCs w:val="19"/>
              </w:rPr>
              <w:t>N-6</w:t>
            </w:r>
          </w:p>
        </w:tc>
        <w:tc>
          <w:tcPr>
            <w:tcW w:w="2252" w:type="dxa"/>
          </w:tcPr>
          <w:p w14:paraId="49426EC8" w14:textId="77777777" w:rsidR="00DA7972" w:rsidRDefault="00000000">
            <w:pPr>
              <w:spacing w:after="0" w:line="260" w:lineRule="auto"/>
              <w:jc w:val="left"/>
            </w:pPr>
            <w:r>
              <w:rPr>
                <w:rFonts w:ascii="Calibri" w:eastAsia="Calibri" w:hAnsi="Calibri" w:cs="Calibri"/>
                <w:sz w:val="19"/>
                <w:szCs w:val="19"/>
              </w:rPr>
              <w:t>26 degrees 40.0 minutes</w:t>
            </w:r>
          </w:p>
        </w:tc>
        <w:tc>
          <w:tcPr>
            <w:tcW w:w="2252" w:type="dxa"/>
          </w:tcPr>
          <w:p w14:paraId="14A0C44D" w14:textId="77777777" w:rsidR="00DA7972" w:rsidRDefault="00000000">
            <w:pPr>
              <w:spacing w:after="0" w:line="260" w:lineRule="auto"/>
              <w:jc w:val="left"/>
            </w:pPr>
            <w:r>
              <w:rPr>
                <w:rFonts w:ascii="Calibri" w:eastAsia="Calibri" w:hAnsi="Calibri" w:cs="Calibri"/>
                <w:sz w:val="19"/>
                <w:szCs w:val="19"/>
              </w:rPr>
              <w:t>055 degrees 32.0 minutes</w:t>
            </w:r>
          </w:p>
        </w:tc>
        <w:tc>
          <w:tcPr>
            <w:tcW w:w="2254" w:type="dxa"/>
          </w:tcPr>
          <w:p w14:paraId="7697890C" w14:textId="77777777" w:rsidR="00DA7972" w:rsidRDefault="00000000">
            <w:pPr>
              <w:spacing w:after="0" w:line="260" w:lineRule="auto"/>
              <w:jc w:val="left"/>
            </w:pPr>
            <w:r>
              <w:rPr>
                <w:rFonts w:ascii="Calibri" w:eastAsia="Calibri" w:hAnsi="Calibri" w:cs="Calibri"/>
                <w:sz w:val="19"/>
                <w:szCs w:val="19"/>
              </w:rPr>
              <w:t>Western exit</w:t>
            </w:r>
          </w:p>
        </w:tc>
      </w:tr>
    </w:tbl>
    <w:p w14:paraId="55EFD2CD" w14:textId="77777777" w:rsidR="00DA7972" w:rsidRDefault="00DA7972">
      <w:pPr>
        <w:spacing w:after="60"/>
      </w:pPr>
    </w:p>
    <w:p w14:paraId="6C76DA96" w14:textId="77777777" w:rsidR="00DA7972" w:rsidRDefault="00000000">
      <w:pPr>
        <w:pStyle w:val="Caption"/>
      </w:pPr>
      <w:r>
        <w:rPr>
          <w:rFonts w:eastAsia="Calibri" w:cs="Calibri"/>
          <w:szCs w:val="18"/>
        </w:rPr>
        <w:t>Table A.3: Corridor Two centerline; lane geometry mirrors Corridor One</w:t>
      </w:r>
    </w:p>
    <w:p w14:paraId="26AC9DB6" w14:textId="77777777" w:rsidR="00DA7972" w:rsidRDefault="00000000">
      <w:pPr>
        <w:pStyle w:val="Heading3"/>
      </w:pPr>
      <w:r>
        <w:rPr>
          <w:rFonts w:eastAsia="Calibri" w:cs="Calibri"/>
          <w:szCs w:val="22"/>
        </w:rPr>
        <w:t>A.4 Corridor Three waypoints (International Assurance Lane)</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2306"/>
        <w:gridCol w:w="2306"/>
        <w:gridCol w:w="2306"/>
        <w:gridCol w:w="2308"/>
      </w:tblGrid>
      <w:tr w:rsidR="00DA7972" w14:paraId="03C31FE1" w14:textId="77777777">
        <w:trPr>
          <w:tblHeader/>
        </w:trPr>
        <w:tc>
          <w:tcPr>
            <w:tcW w:w="2252" w:type="dxa"/>
            <w:tcBorders>
              <w:bottom w:val="single" w:sz="6" w:space="0" w:color="546E7A"/>
            </w:tcBorders>
            <w:shd w:val="clear" w:color="auto" w:fill="E4E9EC"/>
          </w:tcPr>
          <w:p w14:paraId="472B1447" w14:textId="77777777" w:rsidR="00DA7972" w:rsidRDefault="00000000">
            <w:pPr>
              <w:spacing w:after="0" w:line="260" w:lineRule="auto"/>
              <w:jc w:val="left"/>
            </w:pPr>
            <w:r>
              <w:rPr>
                <w:rFonts w:ascii="Calibri" w:eastAsia="Calibri" w:hAnsi="Calibri" w:cs="Calibri"/>
                <w:b/>
                <w:color w:val="37474F"/>
                <w:sz w:val="19"/>
                <w:szCs w:val="19"/>
              </w:rPr>
              <w:t>Waypoint</w:t>
            </w:r>
          </w:p>
        </w:tc>
        <w:tc>
          <w:tcPr>
            <w:tcW w:w="2252" w:type="dxa"/>
            <w:tcBorders>
              <w:bottom w:val="single" w:sz="6" w:space="0" w:color="546E7A"/>
            </w:tcBorders>
            <w:shd w:val="clear" w:color="auto" w:fill="E4E9EC"/>
          </w:tcPr>
          <w:p w14:paraId="5AB5B45E" w14:textId="77777777" w:rsidR="00DA7972" w:rsidRDefault="00000000">
            <w:pPr>
              <w:spacing w:after="0" w:line="260" w:lineRule="auto"/>
              <w:jc w:val="left"/>
            </w:pPr>
            <w:r>
              <w:rPr>
                <w:rFonts w:ascii="Calibri" w:eastAsia="Calibri" w:hAnsi="Calibri" w:cs="Calibri"/>
                <w:b/>
                <w:color w:val="37474F"/>
                <w:sz w:val="19"/>
                <w:szCs w:val="19"/>
              </w:rPr>
              <w:t>Latitude (N)</w:t>
            </w:r>
          </w:p>
        </w:tc>
        <w:tc>
          <w:tcPr>
            <w:tcW w:w="2252" w:type="dxa"/>
            <w:tcBorders>
              <w:bottom w:val="single" w:sz="6" w:space="0" w:color="546E7A"/>
            </w:tcBorders>
            <w:shd w:val="clear" w:color="auto" w:fill="E4E9EC"/>
          </w:tcPr>
          <w:p w14:paraId="07D56C6B" w14:textId="77777777" w:rsidR="00DA7972" w:rsidRDefault="00000000">
            <w:pPr>
              <w:spacing w:after="0" w:line="260" w:lineRule="auto"/>
              <w:jc w:val="left"/>
            </w:pPr>
            <w:r>
              <w:rPr>
                <w:rFonts w:ascii="Calibri" w:eastAsia="Calibri" w:hAnsi="Calibri" w:cs="Calibri"/>
                <w:b/>
                <w:color w:val="37474F"/>
                <w:sz w:val="19"/>
                <w:szCs w:val="19"/>
              </w:rPr>
              <w:t>Longitude (E)</w:t>
            </w:r>
          </w:p>
        </w:tc>
        <w:tc>
          <w:tcPr>
            <w:tcW w:w="2254" w:type="dxa"/>
            <w:tcBorders>
              <w:bottom w:val="single" w:sz="6" w:space="0" w:color="546E7A"/>
            </w:tcBorders>
            <w:shd w:val="clear" w:color="auto" w:fill="E4E9EC"/>
          </w:tcPr>
          <w:p w14:paraId="21ACF86D" w14:textId="77777777" w:rsidR="00DA7972" w:rsidRDefault="00000000">
            <w:pPr>
              <w:spacing w:after="0" w:line="260" w:lineRule="auto"/>
              <w:jc w:val="left"/>
            </w:pPr>
            <w:r>
              <w:rPr>
                <w:rFonts w:ascii="Calibri" w:eastAsia="Calibri" w:hAnsi="Calibri" w:cs="Calibri"/>
                <w:b/>
                <w:color w:val="37474F"/>
                <w:sz w:val="19"/>
                <w:szCs w:val="19"/>
              </w:rPr>
              <w:t>Function</w:t>
            </w:r>
          </w:p>
        </w:tc>
      </w:tr>
      <w:tr w:rsidR="00DA7972" w14:paraId="5B17CE72" w14:textId="77777777">
        <w:trPr>
          <w:tblHeader/>
        </w:trPr>
        <w:tc>
          <w:tcPr>
            <w:tcW w:w="2252" w:type="dxa"/>
            <w:tcBorders>
              <w:bottom w:val="single" w:sz="6" w:space="0" w:color="546E7A"/>
            </w:tcBorders>
            <w:shd w:val="clear" w:color="auto" w:fill="E4E9EC"/>
          </w:tcPr>
          <w:p w14:paraId="6FAAA9A4" w14:textId="77777777" w:rsidR="00DA7972" w:rsidRDefault="00000000">
            <w:pPr>
              <w:spacing w:after="0" w:line="260" w:lineRule="auto"/>
              <w:jc w:val="left"/>
            </w:pPr>
            <w:r>
              <w:rPr>
                <w:rFonts w:ascii="Calibri" w:eastAsia="Calibri" w:hAnsi="Calibri" w:cs="Calibri"/>
                <w:b/>
                <w:sz w:val="19"/>
                <w:szCs w:val="19"/>
              </w:rPr>
              <w:t>I-1</w:t>
            </w:r>
          </w:p>
        </w:tc>
        <w:tc>
          <w:tcPr>
            <w:tcW w:w="2252" w:type="dxa"/>
            <w:tcBorders>
              <w:bottom w:val="single" w:sz="6" w:space="0" w:color="546E7A"/>
            </w:tcBorders>
            <w:shd w:val="clear" w:color="auto" w:fill="E4E9EC"/>
          </w:tcPr>
          <w:p w14:paraId="013AED8C" w14:textId="77777777" w:rsidR="00DA7972" w:rsidRDefault="00000000">
            <w:pPr>
              <w:spacing w:after="0" w:line="260" w:lineRule="auto"/>
              <w:jc w:val="left"/>
            </w:pPr>
            <w:r>
              <w:rPr>
                <w:rFonts w:ascii="Calibri" w:eastAsia="Calibri" w:hAnsi="Calibri" w:cs="Calibri"/>
                <w:b/>
                <w:sz w:val="19"/>
                <w:szCs w:val="19"/>
              </w:rPr>
              <w:t>26 degrees 40.0 minutes</w:t>
            </w:r>
          </w:p>
        </w:tc>
        <w:tc>
          <w:tcPr>
            <w:tcW w:w="2252" w:type="dxa"/>
            <w:tcBorders>
              <w:bottom w:val="single" w:sz="6" w:space="0" w:color="546E7A"/>
            </w:tcBorders>
            <w:shd w:val="clear" w:color="auto" w:fill="E4E9EC"/>
          </w:tcPr>
          <w:p w14:paraId="4CB7B5CD" w14:textId="77777777" w:rsidR="00DA7972" w:rsidRDefault="00000000">
            <w:pPr>
              <w:spacing w:after="0" w:line="260" w:lineRule="auto"/>
              <w:jc w:val="left"/>
            </w:pPr>
            <w:r>
              <w:rPr>
                <w:rFonts w:ascii="Calibri" w:eastAsia="Calibri" w:hAnsi="Calibri" w:cs="Calibri"/>
                <w:b/>
                <w:sz w:val="19"/>
                <w:szCs w:val="19"/>
              </w:rPr>
              <w:t>056 degrees 48.0 minutes</w:t>
            </w:r>
          </w:p>
        </w:tc>
        <w:tc>
          <w:tcPr>
            <w:tcW w:w="2254" w:type="dxa"/>
            <w:tcBorders>
              <w:bottom w:val="single" w:sz="6" w:space="0" w:color="546E7A"/>
            </w:tcBorders>
            <w:shd w:val="clear" w:color="auto" w:fill="E4E9EC"/>
          </w:tcPr>
          <w:p w14:paraId="3EC65E2E" w14:textId="77777777" w:rsidR="00DA7972" w:rsidRDefault="00000000">
            <w:pPr>
              <w:spacing w:after="0" w:line="260" w:lineRule="auto"/>
              <w:jc w:val="left"/>
            </w:pPr>
            <w:r>
              <w:rPr>
                <w:rFonts w:ascii="Calibri" w:eastAsia="Calibri" w:hAnsi="Calibri" w:cs="Calibri"/>
                <w:b/>
                <w:sz w:val="19"/>
                <w:szCs w:val="19"/>
              </w:rPr>
              <w:t>Eastern entry, precautionary zone east edge</w:t>
            </w:r>
          </w:p>
        </w:tc>
      </w:tr>
      <w:tr w:rsidR="00DA7972" w14:paraId="7550FE23" w14:textId="77777777">
        <w:trPr>
          <w:tblHeader/>
        </w:trPr>
        <w:tc>
          <w:tcPr>
            <w:tcW w:w="2252" w:type="dxa"/>
            <w:tcBorders>
              <w:bottom w:val="single" w:sz="6" w:space="0" w:color="546E7A"/>
            </w:tcBorders>
            <w:shd w:val="clear" w:color="auto" w:fill="E4E9EC"/>
          </w:tcPr>
          <w:p w14:paraId="3B57CD0C" w14:textId="77777777" w:rsidR="00DA7972" w:rsidRDefault="00000000">
            <w:pPr>
              <w:spacing w:after="0" w:line="260" w:lineRule="auto"/>
              <w:jc w:val="left"/>
            </w:pPr>
            <w:r>
              <w:rPr>
                <w:rFonts w:ascii="Calibri" w:eastAsia="Calibri" w:hAnsi="Calibri" w:cs="Calibri"/>
                <w:b/>
                <w:sz w:val="19"/>
                <w:szCs w:val="19"/>
              </w:rPr>
              <w:t>I-2</w:t>
            </w:r>
          </w:p>
        </w:tc>
        <w:tc>
          <w:tcPr>
            <w:tcW w:w="2252" w:type="dxa"/>
            <w:tcBorders>
              <w:bottom w:val="single" w:sz="6" w:space="0" w:color="546E7A"/>
            </w:tcBorders>
            <w:shd w:val="clear" w:color="auto" w:fill="E4E9EC"/>
          </w:tcPr>
          <w:p w14:paraId="326212D6" w14:textId="77777777" w:rsidR="00DA7972" w:rsidRDefault="00000000">
            <w:pPr>
              <w:spacing w:after="0" w:line="260" w:lineRule="auto"/>
              <w:jc w:val="left"/>
            </w:pPr>
            <w:r>
              <w:rPr>
                <w:rFonts w:ascii="Calibri" w:eastAsia="Calibri" w:hAnsi="Calibri" w:cs="Calibri"/>
                <w:b/>
                <w:sz w:val="19"/>
                <w:szCs w:val="19"/>
              </w:rPr>
              <w:t>26 degrees 35.0 minutes</w:t>
            </w:r>
          </w:p>
        </w:tc>
        <w:tc>
          <w:tcPr>
            <w:tcW w:w="2252" w:type="dxa"/>
            <w:tcBorders>
              <w:bottom w:val="single" w:sz="6" w:space="0" w:color="546E7A"/>
            </w:tcBorders>
            <w:shd w:val="clear" w:color="auto" w:fill="E4E9EC"/>
          </w:tcPr>
          <w:p w14:paraId="77796E89" w14:textId="77777777" w:rsidR="00DA7972" w:rsidRDefault="00000000">
            <w:pPr>
              <w:spacing w:after="0" w:line="260" w:lineRule="auto"/>
              <w:jc w:val="left"/>
            </w:pPr>
            <w:r>
              <w:rPr>
                <w:rFonts w:ascii="Calibri" w:eastAsia="Calibri" w:hAnsi="Calibri" w:cs="Calibri"/>
                <w:b/>
                <w:sz w:val="19"/>
                <w:szCs w:val="19"/>
              </w:rPr>
              <w:t>056 degrees 35.0 minutes</w:t>
            </w:r>
          </w:p>
        </w:tc>
        <w:tc>
          <w:tcPr>
            <w:tcW w:w="2254" w:type="dxa"/>
            <w:tcBorders>
              <w:bottom w:val="single" w:sz="6" w:space="0" w:color="546E7A"/>
            </w:tcBorders>
            <w:shd w:val="clear" w:color="auto" w:fill="E4E9EC"/>
          </w:tcPr>
          <w:p w14:paraId="089272F6" w14:textId="77777777" w:rsidR="00DA7972" w:rsidRDefault="00000000">
            <w:pPr>
              <w:spacing w:after="0" w:line="260" w:lineRule="auto"/>
              <w:jc w:val="left"/>
            </w:pPr>
            <w:r>
              <w:rPr>
                <w:rFonts w:ascii="Calibri" w:eastAsia="Calibri" w:hAnsi="Calibri" w:cs="Calibri"/>
                <w:b/>
                <w:sz w:val="19"/>
                <w:szCs w:val="19"/>
              </w:rPr>
              <w:t>Reporting point Kilo</w:t>
            </w:r>
          </w:p>
        </w:tc>
      </w:tr>
      <w:tr w:rsidR="00DA7972" w14:paraId="4086EF43" w14:textId="77777777">
        <w:trPr>
          <w:tblHeader/>
        </w:trPr>
        <w:tc>
          <w:tcPr>
            <w:tcW w:w="2252" w:type="dxa"/>
            <w:tcBorders>
              <w:bottom w:val="single" w:sz="6" w:space="0" w:color="546E7A"/>
            </w:tcBorders>
            <w:shd w:val="clear" w:color="auto" w:fill="E4E9EC"/>
          </w:tcPr>
          <w:p w14:paraId="3F327C73" w14:textId="77777777" w:rsidR="00DA7972" w:rsidRDefault="00000000">
            <w:pPr>
              <w:spacing w:after="0" w:line="260" w:lineRule="auto"/>
              <w:jc w:val="left"/>
            </w:pPr>
            <w:r>
              <w:rPr>
                <w:rFonts w:ascii="Calibri" w:eastAsia="Calibri" w:hAnsi="Calibri" w:cs="Calibri"/>
                <w:b/>
                <w:sz w:val="19"/>
                <w:szCs w:val="19"/>
              </w:rPr>
              <w:t>I-3</w:t>
            </w:r>
          </w:p>
        </w:tc>
        <w:tc>
          <w:tcPr>
            <w:tcW w:w="2252" w:type="dxa"/>
            <w:tcBorders>
              <w:bottom w:val="single" w:sz="6" w:space="0" w:color="546E7A"/>
            </w:tcBorders>
            <w:shd w:val="clear" w:color="auto" w:fill="E4E9EC"/>
          </w:tcPr>
          <w:p w14:paraId="0EDD2BCF" w14:textId="77777777" w:rsidR="00DA7972" w:rsidRDefault="00000000">
            <w:pPr>
              <w:spacing w:after="0" w:line="260" w:lineRule="auto"/>
              <w:jc w:val="left"/>
            </w:pPr>
            <w:r>
              <w:rPr>
                <w:rFonts w:ascii="Calibri" w:eastAsia="Calibri" w:hAnsi="Calibri" w:cs="Calibri"/>
                <w:b/>
                <w:sz w:val="19"/>
                <w:szCs w:val="19"/>
              </w:rPr>
              <w:t>26 degrees 32.0 minutes</w:t>
            </w:r>
          </w:p>
        </w:tc>
        <w:tc>
          <w:tcPr>
            <w:tcW w:w="2252" w:type="dxa"/>
            <w:tcBorders>
              <w:bottom w:val="single" w:sz="6" w:space="0" w:color="546E7A"/>
            </w:tcBorders>
            <w:shd w:val="clear" w:color="auto" w:fill="E4E9EC"/>
          </w:tcPr>
          <w:p w14:paraId="55E66A7B" w14:textId="77777777" w:rsidR="00DA7972" w:rsidRDefault="00000000">
            <w:pPr>
              <w:spacing w:after="0" w:line="260" w:lineRule="auto"/>
              <w:jc w:val="left"/>
            </w:pPr>
            <w:r>
              <w:rPr>
                <w:rFonts w:ascii="Calibri" w:eastAsia="Calibri" w:hAnsi="Calibri" w:cs="Calibri"/>
                <w:b/>
                <w:sz w:val="19"/>
                <w:szCs w:val="19"/>
              </w:rPr>
              <w:t>056 degrees 15.0 minutes</w:t>
            </w:r>
          </w:p>
        </w:tc>
        <w:tc>
          <w:tcPr>
            <w:tcW w:w="2254" w:type="dxa"/>
            <w:tcBorders>
              <w:bottom w:val="single" w:sz="6" w:space="0" w:color="546E7A"/>
            </w:tcBorders>
            <w:shd w:val="clear" w:color="auto" w:fill="E4E9EC"/>
          </w:tcPr>
          <w:p w14:paraId="038FD910" w14:textId="77777777" w:rsidR="00DA7972" w:rsidRDefault="00000000">
            <w:pPr>
              <w:spacing w:after="0" w:line="260" w:lineRule="auto"/>
              <w:jc w:val="left"/>
            </w:pPr>
            <w:r>
              <w:rPr>
                <w:rFonts w:ascii="Calibri" w:eastAsia="Calibri" w:hAnsi="Calibri" w:cs="Calibri"/>
                <w:b/>
                <w:sz w:val="19"/>
                <w:szCs w:val="19"/>
              </w:rPr>
              <w:t>Mid-passage reporting point Lima</w:t>
            </w:r>
          </w:p>
        </w:tc>
      </w:tr>
      <w:tr w:rsidR="00DA7972" w14:paraId="1EC52D2B" w14:textId="77777777">
        <w:trPr>
          <w:tblHeader/>
        </w:trPr>
        <w:tc>
          <w:tcPr>
            <w:tcW w:w="2252" w:type="dxa"/>
            <w:tcBorders>
              <w:bottom w:val="single" w:sz="6" w:space="0" w:color="546E7A"/>
            </w:tcBorders>
            <w:shd w:val="clear" w:color="auto" w:fill="E4E9EC"/>
          </w:tcPr>
          <w:p w14:paraId="1395BCE0" w14:textId="77777777" w:rsidR="00DA7972" w:rsidRDefault="00000000">
            <w:pPr>
              <w:spacing w:after="0" w:line="260" w:lineRule="auto"/>
              <w:jc w:val="left"/>
            </w:pPr>
            <w:r>
              <w:rPr>
                <w:rFonts w:ascii="Calibri" w:eastAsia="Calibri" w:hAnsi="Calibri" w:cs="Calibri"/>
                <w:b/>
                <w:sz w:val="19"/>
                <w:szCs w:val="19"/>
              </w:rPr>
              <w:t>I-4</w:t>
            </w:r>
          </w:p>
        </w:tc>
        <w:tc>
          <w:tcPr>
            <w:tcW w:w="2252" w:type="dxa"/>
            <w:tcBorders>
              <w:bottom w:val="single" w:sz="6" w:space="0" w:color="546E7A"/>
            </w:tcBorders>
            <w:shd w:val="clear" w:color="auto" w:fill="E4E9EC"/>
          </w:tcPr>
          <w:p w14:paraId="727BA78D" w14:textId="77777777" w:rsidR="00DA7972" w:rsidRDefault="00000000">
            <w:pPr>
              <w:spacing w:after="0" w:line="260" w:lineRule="auto"/>
              <w:jc w:val="left"/>
            </w:pPr>
            <w:r>
              <w:rPr>
                <w:rFonts w:ascii="Calibri" w:eastAsia="Calibri" w:hAnsi="Calibri" w:cs="Calibri"/>
                <w:b/>
                <w:sz w:val="19"/>
                <w:szCs w:val="19"/>
              </w:rPr>
              <w:t>26 degrees 30.0 minutes</w:t>
            </w:r>
          </w:p>
        </w:tc>
        <w:tc>
          <w:tcPr>
            <w:tcW w:w="2252" w:type="dxa"/>
            <w:tcBorders>
              <w:bottom w:val="single" w:sz="6" w:space="0" w:color="546E7A"/>
            </w:tcBorders>
            <w:shd w:val="clear" w:color="auto" w:fill="E4E9EC"/>
          </w:tcPr>
          <w:p w14:paraId="0CD7C5AF" w14:textId="77777777" w:rsidR="00DA7972" w:rsidRDefault="00000000">
            <w:pPr>
              <w:spacing w:after="0" w:line="260" w:lineRule="auto"/>
              <w:jc w:val="left"/>
            </w:pPr>
            <w:r>
              <w:rPr>
                <w:rFonts w:ascii="Calibri" w:eastAsia="Calibri" w:hAnsi="Calibri" w:cs="Calibri"/>
                <w:b/>
                <w:sz w:val="19"/>
                <w:szCs w:val="19"/>
              </w:rPr>
              <w:t>055 degrees 55.0 minutes</w:t>
            </w:r>
          </w:p>
        </w:tc>
        <w:tc>
          <w:tcPr>
            <w:tcW w:w="2254" w:type="dxa"/>
            <w:tcBorders>
              <w:bottom w:val="single" w:sz="6" w:space="0" w:color="546E7A"/>
            </w:tcBorders>
            <w:shd w:val="clear" w:color="auto" w:fill="E4E9EC"/>
          </w:tcPr>
          <w:p w14:paraId="4CC78EFC" w14:textId="77777777" w:rsidR="00DA7972" w:rsidRDefault="00000000">
            <w:pPr>
              <w:spacing w:after="0" w:line="260" w:lineRule="auto"/>
              <w:jc w:val="left"/>
            </w:pPr>
            <w:r>
              <w:rPr>
                <w:rFonts w:ascii="Calibri" w:eastAsia="Calibri" w:hAnsi="Calibri" w:cs="Calibri"/>
                <w:b/>
                <w:sz w:val="19"/>
                <w:szCs w:val="19"/>
              </w:rPr>
              <w:t>Crossing sector Mike</w:t>
            </w:r>
          </w:p>
        </w:tc>
      </w:tr>
      <w:tr w:rsidR="00DA7972" w14:paraId="42CB8A6C" w14:textId="77777777">
        <w:trPr>
          <w:tblHeader/>
        </w:trPr>
        <w:tc>
          <w:tcPr>
            <w:tcW w:w="2252" w:type="dxa"/>
            <w:tcBorders>
              <w:bottom w:val="single" w:sz="6" w:space="0" w:color="546E7A"/>
            </w:tcBorders>
            <w:shd w:val="clear" w:color="auto" w:fill="E4E9EC"/>
          </w:tcPr>
          <w:p w14:paraId="0D629960" w14:textId="77777777" w:rsidR="00DA7972" w:rsidRDefault="00000000">
            <w:pPr>
              <w:spacing w:after="0" w:line="260" w:lineRule="auto"/>
              <w:jc w:val="left"/>
            </w:pPr>
            <w:r>
              <w:rPr>
                <w:rFonts w:ascii="Calibri" w:eastAsia="Calibri" w:hAnsi="Calibri" w:cs="Calibri"/>
                <w:b/>
                <w:sz w:val="19"/>
                <w:szCs w:val="19"/>
              </w:rPr>
              <w:t>I-5</w:t>
            </w:r>
          </w:p>
        </w:tc>
        <w:tc>
          <w:tcPr>
            <w:tcW w:w="2252" w:type="dxa"/>
            <w:tcBorders>
              <w:bottom w:val="single" w:sz="6" w:space="0" w:color="546E7A"/>
            </w:tcBorders>
            <w:shd w:val="clear" w:color="auto" w:fill="E4E9EC"/>
          </w:tcPr>
          <w:p w14:paraId="1AA2A7AF" w14:textId="77777777" w:rsidR="00DA7972" w:rsidRDefault="00000000">
            <w:pPr>
              <w:spacing w:after="0" w:line="260" w:lineRule="auto"/>
              <w:jc w:val="left"/>
            </w:pPr>
            <w:r>
              <w:rPr>
                <w:rFonts w:ascii="Calibri" w:eastAsia="Calibri" w:hAnsi="Calibri" w:cs="Calibri"/>
                <w:b/>
                <w:sz w:val="19"/>
                <w:szCs w:val="19"/>
              </w:rPr>
              <w:t>26 degrees 33.5 minutes</w:t>
            </w:r>
          </w:p>
        </w:tc>
        <w:tc>
          <w:tcPr>
            <w:tcW w:w="2252" w:type="dxa"/>
            <w:tcBorders>
              <w:bottom w:val="single" w:sz="6" w:space="0" w:color="546E7A"/>
            </w:tcBorders>
            <w:shd w:val="clear" w:color="auto" w:fill="E4E9EC"/>
          </w:tcPr>
          <w:p w14:paraId="6D0793B4" w14:textId="77777777" w:rsidR="00DA7972" w:rsidRDefault="00000000">
            <w:pPr>
              <w:spacing w:after="0" w:line="260" w:lineRule="auto"/>
              <w:jc w:val="left"/>
            </w:pPr>
            <w:r>
              <w:rPr>
                <w:rFonts w:ascii="Calibri" w:eastAsia="Calibri" w:hAnsi="Calibri" w:cs="Calibri"/>
                <w:b/>
                <w:sz w:val="19"/>
                <w:szCs w:val="19"/>
              </w:rPr>
              <w:t>055 degrees 42.0 minutes</w:t>
            </w:r>
          </w:p>
        </w:tc>
        <w:tc>
          <w:tcPr>
            <w:tcW w:w="2254" w:type="dxa"/>
            <w:tcBorders>
              <w:bottom w:val="single" w:sz="6" w:space="0" w:color="546E7A"/>
            </w:tcBorders>
            <w:shd w:val="clear" w:color="auto" w:fill="E4E9EC"/>
          </w:tcPr>
          <w:p w14:paraId="56BA43E5" w14:textId="77777777" w:rsidR="00DA7972" w:rsidRDefault="00000000">
            <w:pPr>
              <w:spacing w:after="0" w:line="260" w:lineRule="auto"/>
              <w:jc w:val="left"/>
            </w:pPr>
            <w:r>
              <w:rPr>
                <w:rFonts w:ascii="Calibri" w:eastAsia="Calibri" w:hAnsi="Calibri" w:cs="Calibri"/>
                <w:b/>
                <w:sz w:val="19"/>
                <w:szCs w:val="19"/>
              </w:rPr>
              <w:t>Reporting point November</w:t>
            </w:r>
          </w:p>
        </w:tc>
      </w:tr>
      <w:tr w:rsidR="00DA7972" w14:paraId="3D6E7BEF" w14:textId="77777777">
        <w:trPr>
          <w:tblHeader/>
        </w:trPr>
        <w:tc>
          <w:tcPr>
            <w:tcW w:w="2252" w:type="dxa"/>
            <w:tcBorders>
              <w:bottom w:val="single" w:sz="6" w:space="0" w:color="546E7A"/>
            </w:tcBorders>
            <w:shd w:val="clear" w:color="auto" w:fill="E4E9EC"/>
          </w:tcPr>
          <w:p w14:paraId="158A3019" w14:textId="77777777" w:rsidR="00DA7972" w:rsidRDefault="00000000">
            <w:pPr>
              <w:spacing w:after="0" w:line="260" w:lineRule="auto"/>
              <w:jc w:val="left"/>
            </w:pPr>
            <w:r>
              <w:rPr>
                <w:rFonts w:ascii="Calibri" w:eastAsia="Calibri" w:hAnsi="Calibri" w:cs="Calibri"/>
                <w:b/>
                <w:sz w:val="19"/>
                <w:szCs w:val="19"/>
              </w:rPr>
              <w:t>I-6</w:t>
            </w:r>
          </w:p>
        </w:tc>
        <w:tc>
          <w:tcPr>
            <w:tcW w:w="2252" w:type="dxa"/>
            <w:tcBorders>
              <w:bottom w:val="single" w:sz="6" w:space="0" w:color="546E7A"/>
            </w:tcBorders>
            <w:shd w:val="clear" w:color="auto" w:fill="E4E9EC"/>
          </w:tcPr>
          <w:p w14:paraId="7163E0E8" w14:textId="77777777" w:rsidR="00DA7972" w:rsidRDefault="00000000">
            <w:pPr>
              <w:spacing w:after="0" w:line="260" w:lineRule="auto"/>
              <w:jc w:val="left"/>
            </w:pPr>
            <w:r>
              <w:rPr>
                <w:rFonts w:ascii="Calibri" w:eastAsia="Calibri" w:hAnsi="Calibri" w:cs="Calibri"/>
                <w:b/>
                <w:sz w:val="19"/>
                <w:szCs w:val="19"/>
              </w:rPr>
              <w:t>26 degrees 32.0 minutes</w:t>
            </w:r>
          </w:p>
        </w:tc>
        <w:tc>
          <w:tcPr>
            <w:tcW w:w="2252" w:type="dxa"/>
            <w:tcBorders>
              <w:bottom w:val="single" w:sz="6" w:space="0" w:color="546E7A"/>
            </w:tcBorders>
            <w:shd w:val="clear" w:color="auto" w:fill="E4E9EC"/>
          </w:tcPr>
          <w:p w14:paraId="1FB81C78" w14:textId="77777777" w:rsidR="00DA7972" w:rsidRDefault="00000000">
            <w:pPr>
              <w:spacing w:after="0" w:line="260" w:lineRule="auto"/>
              <w:jc w:val="left"/>
            </w:pPr>
            <w:r>
              <w:rPr>
                <w:rFonts w:ascii="Calibri" w:eastAsia="Calibri" w:hAnsi="Calibri" w:cs="Calibri"/>
                <w:b/>
                <w:sz w:val="19"/>
                <w:szCs w:val="19"/>
              </w:rPr>
              <w:t>055 degrees 34.0 minutes</w:t>
            </w:r>
          </w:p>
        </w:tc>
        <w:tc>
          <w:tcPr>
            <w:tcW w:w="2254" w:type="dxa"/>
            <w:tcBorders>
              <w:bottom w:val="single" w:sz="6" w:space="0" w:color="546E7A"/>
            </w:tcBorders>
            <w:shd w:val="clear" w:color="auto" w:fill="E4E9EC"/>
          </w:tcPr>
          <w:p w14:paraId="7528E88E" w14:textId="77777777" w:rsidR="00DA7972" w:rsidRDefault="00000000">
            <w:pPr>
              <w:spacing w:after="0" w:line="260" w:lineRule="auto"/>
              <w:jc w:val="left"/>
            </w:pPr>
            <w:r>
              <w:rPr>
                <w:rFonts w:ascii="Calibri" w:eastAsia="Calibri" w:hAnsi="Calibri" w:cs="Calibri"/>
                <w:b/>
                <w:sz w:val="19"/>
                <w:szCs w:val="19"/>
              </w:rPr>
              <w:t>Western exit, precautionary zone west edge</w:t>
            </w:r>
          </w:p>
        </w:tc>
      </w:tr>
    </w:tbl>
    <w:p w14:paraId="52954C7A" w14:textId="77777777" w:rsidR="00DA7972" w:rsidRDefault="00000000">
      <w:pPr>
        <w:pStyle w:val="Caption"/>
      </w:pPr>
      <w:r>
        <w:rPr>
          <w:rFonts w:eastAsia="Calibri" w:cs="Calibri"/>
          <w:szCs w:val="18"/>
        </w:rPr>
        <w:t>Table A.4: Corridor Three centerline; lane geometry mirrors the coastal corridors</w:t>
      </w:r>
    </w:p>
    <w:p w14:paraId="44A3B731" w14:textId="77777777" w:rsidR="00DA7972" w:rsidRDefault="00000000">
      <w:pPr>
        <w:pStyle w:val="Heading3"/>
      </w:pPr>
      <w:r>
        <w:rPr>
          <w:rFonts w:eastAsia="Calibri" w:cs="Calibri"/>
          <w:szCs w:val="22"/>
        </w:rPr>
        <w:t>A.5 The Separation Belts</w:t>
      </w:r>
    </w:p>
    <w:p w14:paraId="57B7A898" w14:textId="77777777" w:rsidR="00DA7972" w:rsidRDefault="00000000">
      <w:r>
        <w:rPr>
          <w:rFonts w:eastAsia="Georgia" w:cs="Georgia"/>
          <w:szCs w:val="21"/>
        </w:rPr>
        <w:t>Two Separation Belts run between the corridor limit lines: the Southern Belt between Corridor One and Corridor Three, and the Northern Belt between Corridor Three and Corridor Two, each from meridian 056 degrees 45.0 minutes East to meridian 055 degrees 40.0 minutes East, nominal width 2.0 nautical miles. Crossing sectors: Kilo (056 degrees 05.0 to 055 degrees 55.0 minutes East) and Lima (055 degrees 45.0 to 055 degrees 38.0 minutes East).</w:t>
      </w:r>
    </w:p>
    <w:p w14:paraId="3BCBA83C" w14:textId="77777777" w:rsidR="00DA7972" w:rsidRDefault="00000000">
      <w:pPr>
        <w:pStyle w:val="Heading3"/>
      </w:pPr>
      <w:r>
        <w:rPr>
          <w:rFonts w:eastAsia="Calibri" w:cs="Calibri"/>
          <w:szCs w:val="22"/>
        </w:rPr>
        <w:t>A.6 Precautionary zones</w:t>
      </w:r>
    </w:p>
    <w:p w14:paraId="0F01D78C" w14:textId="77777777" w:rsidR="00DA7972" w:rsidRDefault="00000000">
      <w:r>
        <w:rPr>
          <w:rFonts w:eastAsia="Georgia" w:cs="Georgia"/>
          <w:szCs w:val="21"/>
        </w:rPr>
        <w:t xml:space="preserve">Eastern precautionary zone: circle of 6.0 nautical miles radius centered 26 degrees 33.0 minutes North, 056 degrees 56.0 minutes East. Western precautionary zone: circle of 6.0 nautical miles radius centered 26 degrees 24.0 minutes North, 055 degrees 34.0 minutes East. Vessels </w:t>
      </w:r>
      <w:r>
        <w:rPr>
          <w:rFonts w:eastAsia="Georgia" w:cs="Georgia"/>
          <w:szCs w:val="21"/>
        </w:rPr>
        <w:lastRenderedPageBreak/>
        <w:t>maneuver with heightened caution inside the zones; the Center sequences entries during Managed Flow from the zones.</w:t>
      </w:r>
    </w:p>
    <w:p w14:paraId="54B6CFDA" w14:textId="77777777" w:rsidR="00DA7972" w:rsidRDefault="00000000">
      <w:pPr>
        <w:pStyle w:val="Heading3"/>
      </w:pPr>
      <w:r>
        <w:rPr>
          <w:rFonts w:eastAsia="Calibri" w:cs="Calibri"/>
          <w:szCs w:val="22"/>
        </w:rPr>
        <w:t>A.7 Holding anchorages</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2306"/>
        <w:gridCol w:w="2306"/>
        <w:gridCol w:w="2306"/>
        <w:gridCol w:w="2308"/>
      </w:tblGrid>
      <w:tr w:rsidR="00DA7972" w14:paraId="4FA43E7B" w14:textId="77777777">
        <w:trPr>
          <w:tblHeader/>
        </w:trPr>
        <w:tc>
          <w:tcPr>
            <w:tcW w:w="2252" w:type="dxa"/>
            <w:tcBorders>
              <w:bottom w:val="single" w:sz="6" w:space="0" w:color="546E7A"/>
            </w:tcBorders>
            <w:shd w:val="clear" w:color="auto" w:fill="E4E9EC"/>
          </w:tcPr>
          <w:p w14:paraId="0450CEAB" w14:textId="77777777" w:rsidR="00DA7972" w:rsidRDefault="00000000">
            <w:pPr>
              <w:spacing w:after="0" w:line="260" w:lineRule="auto"/>
              <w:jc w:val="left"/>
            </w:pPr>
            <w:r>
              <w:rPr>
                <w:rFonts w:ascii="Calibri" w:eastAsia="Calibri" w:hAnsi="Calibri" w:cs="Calibri"/>
                <w:b/>
                <w:color w:val="37474F"/>
                <w:sz w:val="19"/>
                <w:szCs w:val="19"/>
              </w:rPr>
              <w:t>Anchorage</w:t>
            </w:r>
          </w:p>
        </w:tc>
        <w:tc>
          <w:tcPr>
            <w:tcW w:w="2252" w:type="dxa"/>
            <w:tcBorders>
              <w:bottom w:val="single" w:sz="6" w:space="0" w:color="546E7A"/>
            </w:tcBorders>
            <w:shd w:val="clear" w:color="auto" w:fill="E4E9EC"/>
          </w:tcPr>
          <w:p w14:paraId="2B151BE3" w14:textId="77777777" w:rsidR="00DA7972" w:rsidRDefault="00000000">
            <w:pPr>
              <w:spacing w:after="0" w:line="260" w:lineRule="auto"/>
              <w:jc w:val="left"/>
            </w:pPr>
            <w:r>
              <w:rPr>
                <w:rFonts w:ascii="Calibri" w:eastAsia="Calibri" w:hAnsi="Calibri" w:cs="Calibri"/>
                <w:b/>
                <w:color w:val="37474F"/>
                <w:sz w:val="19"/>
                <w:szCs w:val="19"/>
              </w:rPr>
              <w:t>Position (N, E)</w:t>
            </w:r>
          </w:p>
        </w:tc>
        <w:tc>
          <w:tcPr>
            <w:tcW w:w="2252" w:type="dxa"/>
            <w:tcBorders>
              <w:bottom w:val="single" w:sz="6" w:space="0" w:color="546E7A"/>
            </w:tcBorders>
            <w:shd w:val="clear" w:color="auto" w:fill="E4E9EC"/>
          </w:tcPr>
          <w:p w14:paraId="63DB9BEB" w14:textId="77777777" w:rsidR="00DA7972" w:rsidRDefault="00000000">
            <w:pPr>
              <w:spacing w:after="0" w:line="260" w:lineRule="auto"/>
              <w:jc w:val="left"/>
            </w:pPr>
            <w:r>
              <w:rPr>
                <w:rFonts w:ascii="Calibri" w:eastAsia="Calibri" w:hAnsi="Calibri" w:cs="Calibri"/>
                <w:b/>
                <w:color w:val="37474F"/>
                <w:sz w:val="19"/>
                <w:szCs w:val="19"/>
              </w:rPr>
              <w:t>Depth</w:t>
            </w:r>
          </w:p>
        </w:tc>
        <w:tc>
          <w:tcPr>
            <w:tcW w:w="2254" w:type="dxa"/>
            <w:tcBorders>
              <w:bottom w:val="single" w:sz="6" w:space="0" w:color="546E7A"/>
            </w:tcBorders>
            <w:shd w:val="clear" w:color="auto" w:fill="E4E9EC"/>
          </w:tcPr>
          <w:p w14:paraId="7AF97902" w14:textId="77777777" w:rsidR="00DA7972" w:rsidRDefault="00000000">
            <w:pPr>
              <w:spacing w:after="0" w:line="260" w:lineRule="auto"/>
              <w:jc w:val="left"/>
            </w:pPr>
            <w:r>
              <w:rPr>
                <w:rFonts w:ascii="Calibri" w:eastAsia="Calibri" w:hAnsi="Calibri" w:cs="Calibri"/>
                <w:b/>
                <w:color w:val="37474F"/>
                <w:sz w:val="19"/>
                <w:szCs w:val="19"/>
              </w:rPr>
              <w:t>Assignment</w:t>
            </w:r>
          </w:p>
        </w:tc>
      </w:tr>
      <w:tr w:rsidR="00DA7972" w14:paraId="7ADC9803" w14:textId="77777777">
        <w:tc>
          <w:tcPr>
            <w:tcW w:w="2252" w:type="dxa"/>
          </w:tcPr>
          <w:p w14:paraId="6AFDDF28" w14:textId="77777777" w:rsidR="00DA7972" w:rsidRDefault="00000000">
            <w:pPr>
              <w:spacing w:after="0" w:line="260" w:lineRule="auto"/>
              <w:jc w:val="left"/>
            </w:pPr>
            <w:r>
              <w:rPr>
                <w:rFonts w:ascii="Calibri" w:eastAsia="Calibri" w:hAnsi="Calibri" w:cs="Calibri"/>
                <w:sz w:val="19"/>
                <w:szCs w:val="19"/>
              </w:rPr>
              <w:t>Alpha East</w:t>
            </w:r>
          </w:p>
        </w:tc>
        <w:tc>
          <w:tcPr>
            <w:tcW w:w="2252" w:type="dxa"/>
          </w:tcPr>
          <w:p w14:paraId="2866DFA5" w14:textId="77777777" w:rsidR="00DA7972" w:rsidRDefault="00000000">
            <w:pPr>
              <w:spacing w:after="0" w:line="260" w:lineRule="auto"/>
              <w:jc w:val="left"/>
            </w:pPr>
            <w:r>
              <w:rPr>
                <w:rFonts w:ascii="Calibri" w:eastAsia="Calibri" w:hAnsi="Calibri" w:cs="Calibri"/>
                <w:sz w:val="19"/>
                <w:szCs w:val="19"/>
              </w:rPr>
              <w:t>26 degrees 36.0 minutes, 056 degrees 58.0 minutes</w:t>
            </w:r>
          </w:p>
        </w:tc>
        <w:tc>
          <w:tcPr>
            <w:tcW w:w="2252" w:type="dxa"/>
          </w:tcPr>
          <w:p w14:paraId="0D9E75D1" w14:textId="77777777" w:rsidR="00DA7972" w:rsidRDefault="00000000">
            <w:pPr>
              <w:spacing w:after="0" w:line="260" w:lineRule="auto"/>
              <w:jc w:val="left"/>
            </w:pPr>
            <w:r>
              <w:rPr>
                <w:rFonts w:ascii="Calibri" w:eastAsia="Calibri" w:hAnsi="Calibri" w:cs="Calibri"/>
                <w:sz w:val="19"/>
                <w:szCs w:val="19"/>
              </w:rPr>
              <w:t>35 to 60 meters</w:t>
            </w:r>
          </w:p>
        </w:tc>
        <w:tc>
          <w:tcPr>
            <w:tcW w:w="2254" w:type="dxa"/>
          </w:tcPr>
          <w:p w14:paraId="131A813C" w14:textId="77777777" w:rsidR="00DA7972" w:rsidRDefault="00000000">
            <w:pPr>
              <w:spacing w:after="0" w:line="260" w:lineRule="auto"/>
              <w:jc w:val="left"/>
            </w:pPr>
            <w:r>
              <w:rPr>
                <w:rFonts w:ascii="Calibri" w:eastAsia="Calibri" w:hAnsi="Calibri" w:cs="Calibri"/>
                <w:sz w:val="19"/>
                <w:szCs w:val="19"/>
              </w:rPr>
              <w:t>Class H and casualty holding, eastern approach</w:t>
            </w:r>
          </w:p>
        </w:tc>
      </w:tr>
      <w:tr w:rsidR="00DA7972" w14:paraId="3FCF778A" w14:textId="77777777">
        <w:tc>
          <w:tcPr>
            <w:tcW w:w="2252" w:type="dxa"/>
          </w:tcPr>
          <w:p w14:paraId="7BC09449" w14:textId="77777777" w:rsidR="00DA7972" w:rsidRDefault="00000000">
            <w:pPr>
              <w:spacing w:after="0" w:line="260" w:lineRule="auto"/>
              <w:jc w:val="left"/>
            </w:pPr>
            <w:r>
              <w:rPr>
                <w:rFonts w:ascii="Calibri" w:eastAsia="Calibri" w:hAnsi="Calibri" w:cs="Calibri"/>
                <w:sz w:val="19"/>
                <w:szCs w:val="19"/>
              </w:rPr>
              <w:t>Bravo West</w:t>
            </w:r>
          </w:p>
        </w:tc>
        <w:tc>
          <w:tcPr>
            <w:tcW w:w="2252" w:type="dxa"/>
          </w:tcPr>
          <w:p w14:paraId="2605B59F" w14:textId="77777777" w:rsidR="00DA7972" w:rsidRDefault="00000000">
            <w:pPr>
              <w:spacing w:after="0" w:line="260" w:lineRule="auto"/>
              <w:jc w:val="left"/>
            </w:pPr>
            <w:r>
              <w:rPr>
                <w:rFonts w:ascii="Calibri" w:eastAsia="Calibri" w:hAnsi="Calibri" w:cs="Calibri"/>
                <w:sz w:val="19"/>
                <w:szCs w:val="19"/>
              </w:rPr>
              <w:t>26 degrees 20.0 minutes, 055 degrees 28.0 minutes</w:t>
            </w:r>
          </w:p>
        </w:tc>
        <w:tc>
          <w:tcPr>
            <w:tcW w:w="2252" w:type="dxa"/>
          </w:tcPr>
          <w:p w14:paraId="44156D67" w14:textId="77777777" w:rsidR="00DA7972" w:rsidRDefault="00000000">
            <w:pPr>
              <w:spacing w:after="0" w:line="260" w:lineRule="auto"/>
              <w:jc w:val="left"/>
            </w:pPr>
            <w:r>
              <w:rPr>
                <w:rFonts w:ascii="Calibri" w:eastAsia="Calibri" w:hAnsi="Calibri" w:cs="Calibri"/>
                <w:sz w:val="19"/>
                <w:szCs w:val="19"/>
              </w:rPr>
              <w:t>30 to 55 meters</w:t>
            </w:r>
          </w:p>
        </w:tc>
        <w:tc>
          <w:tcPr>
            <w:tcW w:w="2254" w:type="dxa"/>
          </w:tcPr>
          <w:p w14:paraId="0512DDB1" w14:textId="77777777" w:rsidR="00DA7972" w:rsidRDefault="00000000">
            <w:pPr>
              <w:spacing w:after="0" w:line="260" w:lineRule="auto"/>
              <w:jc w:val="left"/>
            </w:pPr>
            <w:r>
              <w:rPr>
                <w:rFonts w:ascii="Calibri" w:eastAsia="Calibri" w:hAnsi="Calibri" w:cs="Calibri"/>
                <w:sz w:val="19"/>
                <w:szCs w:val="19"/>
              </w:rPr>
              <w:t>Class H and casualty holding, western approach</w:t>
            </w:r>
          </w:p>
        </w:tc>
      </w:tr>
      <w:tr w:rsidR="00DA7972" w14:paraId="52DEB702" w14:textId="77777777">
        <w:tc>
          <w:tcPr>
            <w:tcW w:w="2252" w:type="dxa"/>
          </w:tcPr>
          <w:p w14:paraId="1529B15E" w14:textId="77777777" w:rsidR="00DA7972" w:rsidRDefault="00000000">
            <w:pPr>
              <w:spacing w:after="0" w:line="260" w:lineRule="auto"/>
              <w:jc w:val="left"/>
            </w:pPr>
            <w:r>
              <w:rPr>
                <w:rFonts w:ascii="Calibri" w:eastAsia="Calibri" w:hAnsi="Calibri" w:cs="Calibri"/>
                <w:sz w:val="19"/>
                <w:szCs w:val="19"/>
              </w:rPr>
              <w:t>Khasab Standby</w:t>
            </w:r>
          </w:p>
        </w:tc>
        <w:tc>
          <w:tcPr>
            <w:tcW w:w="2252" w:type="dxa"/>
          </w:tcPr>
          <w:p w14:paraId="7B861A84" w14:textId="77777777" w:rsidR="00DA7972" w:rsidRDefault="00000000">
            <w:pPr>
              <w:spacing w:after="0" w:line="260" w:lineRule="auto"/>
              <w:jc w:val="left"/>
            </w:pPr>
            <w:r>
              <w:rPr>
                <w:rFonts w:ascii="Calibri" w:eastAsia="Calibri" w:hAnsi="Calibri" w:cs="Calibri"/>
                <w:sz w:val="19"/>
                <w:szCs w:val="19"/>
              </w:rPr>
              <w:t>26 degrees 12.0 minutes, 056 degrees 15.0 minutes</w:t>
            </w:r>
          </w:p>
        </w:tc>
        <w:tc>
          <w:tcPr>
            <w:tcW w:w="2252" w:type="dxa"/>
          </w:tcPr>
          <w:p w14:paraId="62B44312" w14:textId="77777777" w:rsidR="00DA7972" w:rsidRDefault="00000000">
            <w:pPr>
              <w:spacing w:after="0" w:line="260" w:lineRule="auto"/>
              <w:jc w:val="left"/>
            </w:pPr>
            <w:r>
              <w:rPr>
                <w:rFonts w:ascii="Calibri" w:eastAsia="Calibri" w:hAnsi="Calibri" w:cs="Calibri"/>
                <w:sz w:val="19"/>
                <w:szCs w:val="19"/>
              </w:rPr>
              <w:t>25 to 45 meters</w:t>
            </w:r>
          </w:p>
        </w:tc>
        <w:tc>
          <w:tcPr>
            <w:tcW w:w="2254" w:type="dxa"/>
          </w:tcPr>
          <w:p w14:paraId="387DF2F7" w14:textId="77777777" w:rsidR="00DA7972" w:rsidRDefault="00000000">
            <w:pPr>
              <w:spacing w:after="0" w:line="260" w:lineRule="auto"/>
              <w:jc w:val="left"/>
            </w:pPr>
            <w:r>
              <w:rPr>
                <w:rFonts w:ascii="Calibri" w:eastAsia="Calibri" w:hAnsi="Calibri" w:cs="Calibri"/>
                <w:sz w:val="19"/>
                <w:szCs w:val="19"/>
              </w:rPr>
              <w:t>Managed Flow sequencing, Omani side</w:t>
            </w:r>
          </w:p>
        </w:tc>
      </w:tr>
      <w:tr w:rsidR="00DA7972" w14:paraId="67210CCA" w14:textId="77777777">
        <w:tc>
          <w:tcPr>
            <w:tcW w:w="2252" w:type="dxa"/>
          </w:tcPr>
          <w:p w14:paraId="451FBA4B" w14:textId="77777777" w:rsidR="00DA7972" w:rsidRDefault="00000000">
            <w:pPr>
              <w:spacing w:after="0" w:line="260" w:lineRule="auto"/>
              <w:jc w:val="left"/>
            </w:pPr>
            <w:r>
              <w:rPr>
                <w:rFonts w:ascii="Calibri" w:eastAsia="Calibri" w:hAnsi="Calibri" w:cs="Calibri"/>
                <w:sz w:val="19"/>
                <w:szCs w:val="19"/>
              </w:rPr>
              <w:t>Hengam Standby</w:t>
            </w:r>
          </w:p>
        </w:tc>
        <w:tc>
          <w:tcPr>
            <w:tcW w:w="2252" w:type="dxa"/>
          </w:tcPr>
          <w:p w14:paraId="6D3A9EAB" w14:textId="77777777" w:rsidR="00DA7972" w:rsidRDefault="00000000">
            <w:pPr>
              <w:spacing w:after="0" w:line="260" w:lineRule="auto"/>
              <w:jc w:val="left"/>
            </w:pPr>
            <w:r>
              <w:rPr>
                <w:rFonts w:ascii="Calibri" w:eastAsia="Calibri" w:hAnsi="Calibri" w:cs="Calibri"/>
                <w:sz w:val="19"/>
                <w:szCs w:val="19"/>
              </w:rPr>
              <w:t>26 degrees 42.0 minutes, 055 degrees 52.0 minutes</w:t>
            </w:r>
          </w:p>
        </w:tc>
        <w:tc>
          <w:tcPr>
            <w:tcW w:w="2252" w:type="dxa"/>
          </w:tcPr>
          <w:p w14:paraId="7CE5F4A3" w14:textId="77777777" w:rsidR="00DA7972" w:rsidRDefault="00000000">
            <w:pPr>
              <w:spacing w:after="0" w:line="260" w:lineRule="auto"/>
              <w:jc w:val="left"/>
            </w:pPr>
            <w:r>
              <w:rPr>
                <w:rFonts w:ascii="Calibri" w:eastAsia="Calibri" w:hAnsi="Calibri" w:cs="Calibri"/>
                <w:sz w:val="19"/>
                <w:szCs w:val="19"/>
              </w:rPr>
              <w:t>25 to 40 meters</w:t>
            </w:r>
          </w:p>
        </w:tc>
        <w:tc>
          <w:tcPr>
            <w:tcW w:w="2254" w:type="dxa"/>
          </w:tcPr>
          <w:p w14:paraId="1CE70E6C" w14:textId="77777777" w:rsidR="00DA7972" w:rsidRDefault="00000000">
            <w:pPr>
              <w:spacing w:after="0" w:line="260" w:lineRule="auto"/>
              <w:jc w:val="left"/>
            </w:pPr>
            <w:r>
              <w:rPr>
                <w:rFonts w:ascii="Calibri" w:eastAsia="Calibri" w:hAnsi="Calibri" w:cs="Calibri"/>
                <w:sz w:val="19"/>
                <w:szCs w:val="19"/>
              </w:rPr>
              <w:t>Managed Flow sequencing, Iranian side</w:t>
            </w:r>
          </w:p>
        </w:tc>
      </w:tr>
    </w:tbl>
    <w:p w14:paraId="79F48D20" w14:textId="77777777" w:rsidR="00DA7972" w:rsidRDefault="00DA7972">
      <w:pPr>
        <w:spacing w:after="60"/>
      </w:pPr>
    </w:p>
    <w:p w14:paraId="35D70C79" w14:textId="77777777" w:rsidR="00DA7972" w:rsidRDefault="00000000">
      <w:pPr>
        <w:pStyle w:val="Caption"/>
      </w:pPr>
      <w:r>
        <w:rPr>
          <w:rFonts w:eastAsia="Calibri" w:cs="Calibri"/>
          <w:szCs w:val="18"/>
        </w:rPr>
        <w:t>Table A.7: Designated anchorages</w:t>
      </w:r>
    </w:p>
    <w:p w14:paraId="16063D93" w14:textId="77777777" w:rsidR="00DA7972" w:rsidRDefault="00000000">
      <w:pPr>
        <w:pStyle w:val="Heading3"/>
      </w:pPr>
      <w:r>
        <w:rPr>
          <w:rFonts w:eastAsia="Calibri" w:cs="Calibri"/>
          <w:szCs w:val="22"/>
        </w:rPr>
        <w:t>A.8 Crossing gates for Class D</w:t>
      </w:r>
    </w:p>
    <w:p w14:paraId="0874EC0D" w14:textId="77777777" w:rsidR="00DA7972" w:rsidRDefault="00000000">
      <w:r>
        <w:rPr>
          <w:rFonts w:eastAsia="Georgia" w:cs="Georgia"/>
          <w:szCs w:val="21"/>
        </w:rPr>
        <w:t>Gate One: 26 degrees 30.0 minutes North, 056 degrees 25.0 minutes East. Gate Two: 26 degrees 27.0 minutes North, 055 degrees 50.0 minutes East. Gate windows publish in the daily schedule, nominally 0500 to 0700 and 1700 to 1900 local time, with on-demand crossing by Center direction outside windows.</w:t>
      </w:r>
    </w:p>
    <w:p w14:paraId="08905251" w14:textId="77777777" w:rsidR="00DA7972" w:rsidRDefault="00000000">
      <w:pPr>
        <w:pStyle w:val="Heading3"/>
      </w:pPr>
      <w:r>
        <w:rPr>
          <w:rFonts w:eastAsia="Calibri" w:cs="Calibri"/>
          <w:szCs w:val="22"/>
        </w:rPr>
        <w:t>A.9 Inshore local craft bands</w:t>
      </w:r>
    </w:p>
    <w:p w14:paraId="23B2AB9E" w14:textId="77777777" w:rsidR="00DA7972" w:rsidRDefault="00000000">
      <w:r>
        <w:rPr>
          <w:rFonts w:eastAsia="Georgia" w:cs="Georgia"/>
          <w:szCs w:val="21"/>
        </w:rPr>
        <w:t>The bands extend 3.0 nautical miles from the baseline along the Iranian coast between Qeshm East and Sirik, and along the Musandam coast between Khasab and Lima. Class D craft operate inside the bands and cross the lanes only at the gates.</w:t>
      </w:r>
    </w:p>
    <w:p w14:paraId="186E9D19" w14:textId="77777777" w:rsidR="00DA7972" w:rsidRDefault="00000000">
      <w:pPr>
        <w:pStyle w:val="Heading3"/>
      </w:pPr>
      <w:r>
        <w:rPr>
          <w:rFonts w:eastAsia="Calibri" w:cs="Calibri"/>
          <w:szCs w:val="22"/>
        </w:rPr>
        <w:t>A.10 Reporting points</w:t>
      </w:r>
    </w:p>
    <w:p w14:paraId="668D939C" w14:textId="77777777" w:rsidR="00DA7972" w:rsidRDefault="00000000">
      <w:r>
        <w:rPr>
          <w:rFonts w:eastAsia="Georgia" w:cs="Georgia"/>
          <w:szCs w:val="21"/>
        </w:rPr>
        <w:t>Corridor One: entry call, Charlie, Delta, Echo, exit call. Corridor Two: entry call, November, Oscar, exit call. Corridor Three: entry call, Kilo, Lima, November, exit call. Positions per Tables A.2, A.3, and A.4. The Center publishes the full voice procedure in the Mariners' Handbook of Annex F.</w:t>
      </w:r>
    </w:p>
    <w:p w14:paraId="6064A51B" w14:textId="77777777" w:rsidR="00DA7972" w:rsidRDefault="00000000">
      <w:pPr>
        <w:pStyle w:val="Heading3"/>
      </w:pPr>
      <w:r>
        <w:rPr>
          <w:rFonts w:eastAsia="Calibri" w:cs="Calibri"/>
          <w:szCs w:val="22"/>
        </w:rPr>
        <w:t>A.11 Chart edition</w:t>
      </w:r>
    </w:p>
    <w:p w14:paraId="101EEA0F" w14:textId="77777777" w:rsidR="00DA7972" w:rsidRDefault="00000000">
      <w:r>
        <w:rPr>
          <w:rFonts w:eastAsia="Georgia" w:cs="Georgia"/>
          <w:szCs w:val="21"/>
        </w:rPr>
        <w:t>The reference chart derives from the International Hydrographic Organization's official coverage of the Strait, Accord overlay edition 1, July 2026. Edition control follows Article 7.4.</w:t>
      </w:r>
    </w:p>
    <w:p w14:paraId="0D05EE7C" w14:textId="77777777" w:rsidR="00DA7972" w:rsidRDefault="00000000">
      <w:pPr>
        <w:pStyle w:val="Heading1"/>
      </w:pPr>
      <w:bookmarkStart w:id="62" w:name="_Toc236229943"/>
      <w:r>
        <w:rPr>
          <w:rFonts w:eastAsia="Calibri" w:cs="Calibri"/>
          <w:szCs w:val="32"/>
        </w:rPr>
        <w:lastRenderedPageBreak/>
        <w:t>Annex B: Vessel Classification and Treatment Matrix</w:t>
      </w:r>
      <w:bookmarkEnd w:id="62"/>
    </w:p>
    <w:p w14:paraId="379AC4E4" w14:textId="77777777" w:rsidR="00DA7972" w:rsidRDefault="00000000">
      <w:r>
        <w:rPr>
          <w:rFonts w:eastAsia="Georgia" w:cs="Georgia"/>
          <w:szCs w:val="21"/>
        </w:rPr>
        <w:t>This Annex states the operative treatment matrix of Article 9. Where a vessel presents characteristics of two classes, the higher-protection class governs scheduling and the higher-friction class governs documentation, and the Center resolves the pairing within 4 hours.</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1184"/>
        <w:gridCol w:w="867"/>
        <w:gridCol w:w="974"/>
        <w:gridCol w:w="1366"/>
        <w:gridCol w:w="1110"/>
        <w:gridCol w:w="1561"/>
        <w:gridCol w:w="986"/>
        <w:gridCol w:w="1008"/>
        <w:gridCol w:w="1026"/>
      </w:tblGrid>
      <w:tr w:rsidR="00DA7972" w14:paraId="69D79935" w14:textId="77777777">
        <w:trPr>
          <w:tblHeader/>
        </w:trPr>
        <w:tc>
          <w:tcPr>
            <w:tcW w:w="1001" w:type="dxa"/>
            <w:tcBorders>
              <w:bottom w:val="single" w:sz="6" w:space="0" w:color="546E7A"/>
            </w:tcBorders>
            <w:shd w:val="clear" w:color="auto" w:fill="E4E9EC"/>
          </w:tcPr>
          <w:p w14:paraId="4780415C" w14:textId="77777777" w:rsidR="00DA7972" w:rsidRDefault="00000000">
            <w:pPr>
              <w:spacing w:after="0" w:line="260" w:lineRule="auto"/>
              <w:jc w:val="left"/>
            </w:pPr>
            <w:r>
              <w:rPr>
                <w:rFonts w:ascii="Calibri" w:eastAsia="Calibri" w:hAnsi="Calibri" w:cs="Calibri"/>
                <w:b/>
                <w:color w:val="37474F"/>
                <w:sz w:val="19"/>
                <w:szCs w:val="19"/>
              </w:rPr>
              <w:t>Dimension</w:t>
            </w:r>
          </w:p>
        </w:tc>
        <w:tc>
          <w:tcPr>
            <w:tcW w:w="1001" w:type="dxa"/>
            <w:tcBorders>
              <w:bottom w:val="single" w:sz="6" w:space="0" w:color="546E7A"/>
            </w:tcBorders>
            <w:shd w:val="clear" w:color="auto" w:fill="E4E9EC"/>
          </w:tcPr>
          <w:p w14:paraId="1E583ACB" w14:textId="77777777" w:rsidR="00DA7972" w:rsidRDefault="00000000">
            <w:pPr>
              <w:spacing w:after="0" w:line="260" w:lineRule="auto"/>
              <w:jc w:val="left"/>
            </w:pPr>
            <w:r>
              <w:rPr>
                <w:rFonts w:ascii="Calibri" w:eastAsia="Calibri" w:hAnsi="Calibri" w:cs="Calibri"/>
                <w:b/>
                <w:color w:val="37474F"/>
                <w:sz w:val="19"/>
                <w:szCs w:val="19"/>
              </w:rPr>
              <w:t>A</w:t>
            </w:r>
          </w:p>
        </w:tc>
        <w:tc>
          <w:tcPr>
            <w:tcW w:w="1001" w:type="dxa"/>
            <w:tcBorders>
              <w:bottom w:val="single" w:sz="6" w:space="0" w:color="546E7A"/>
            </w:tcBorders>
            <w:shd w:val="clear" w:color="auto" w:fill="E4E9EC"/>
          </w:tcPr>
          <w:p w14:paraId="39D44574" w14:textId="77777777" w:rsidR="00DA7972" w:rsidRDefault="00000000">
            <w:pPr>
              <w:spacing w:after="0" w:line="260" w:lineRule="auto"/>
              <w:jc w:val="left"/>
            </w:pPr>
            <w:r>
              <w:rPr>
                <w:rFonts w:ascii="Calibri" w:eastAsia="Calibri" w:hAnsi="Calibri" w:cs="Calibri"/>
                <w:b/>
                <w:color w:val="37474F"/>
                <w:sz w:val="19"/>
                <w:szCs w:val="19"/>
              </w:rPr>
              <w:t>B</w:t>
            </w:r>
          </w:p>
        </w:tc>
        <w:tc>
          <w:tcPr>
            <w:tcW w:w="1001" w:type="dxa"/>
            <w:tcBorders>
              <w:bottom w:val="single" w:sz="6" w:space="0" w:color="546E7A"/>
            </w:tcBorders>
            <w:shd w:val="clear" w:color="auto" w:fill="E4E9EC"/>
          </w:tcPr>
          <w:p w14:paraId="1F794677" w14:textId="77777777" w:rsidR="00DA7972" w:rsidRDefault="00000000">
            <w:pPr>
              <w:spacing w:after="0" w:line="260" w:lineRule="auto"/>
              <w:jc w:val="left"/>
            </w:pPr>
            <w:r>
              <w:rPr>
                <w:rFonts w:ascii="Calibri" w:eastAsia="Calibri" w:hAnsi="Calibri" w:cs="Calibri"/>
                <w:b/>
                <w:color w:val="37474F"/>
                <w:sz w:val="19"/>
                <w:szCs w:val="19"/>
              </w:rPr>
              <w:t>C</w:t>
            </w:r>
          </w:p>
        </w:tc>
        <w:tc>
          <w:tcPr>
            <w:tcW w:w="1001" w:type="dxa"/>
            <w:tcBorders>
              <w:bottom w:val="single" w:sz="6" w:space="0" w:color="546E7A"/>
            </w:tcBorders>
            <w:shd w:val="clear" w:color="auto" w:fill="E4E9EC"/>
          </w:tcPr>
          <w:p w14:paraId="0A90F61C" w14:textId="77777777" w:rsidR="00DA7972" w:rsidRDefault="00000000">
            <w:pPr>
              <w:spacing w:after="0" w:line="260" w:lineRule="auto"/>
              <w:jc w:val="left"/>
            </w:pPr>
            <w:r>
              <w:rPr>
                <w:rFonts w:ascii="Calibri" w:eastAsia="Calibri" w:hAnsi="Calibri" w:cs="Calibri"/>
                <w:b/>
                <w:color w:val="37474F"/>
                <w:sz w:val="19"/>
                <w:szCs w:val="19"/>
              </w:rPr>
              <w:t>D</w:t>
            </w:r>
          </w:p>
        </w:tc>
        <w:tc>
          <w:tcPr>
            <w:tcW w:w="1001" w:type="dxa"/>
            <w:tcBorders>
              <w:bottom w:val="single" w:sz="6" w:space="0" w:color="546E7A"/>
            </w:tcBorders>
            <w:shd w:val="clear" w:color="auto" w:fill="E4E9EC"/>
          </w:tcPr>
          <w:p w14:paraId="763E5075" w14:textId="77777777" w:rsidR="00DA7972" w:rsidRDefault="00000000">
            <w:pPr>
              <w:spacing w:after="0" w:line="260" w:lineRule="auto"/>
              <w:jc w:val="left"/>
            </w:pPr>
            <w:r>
              <w:rPr>
                <w:rFonts w:ascii="Calibri" w:eastAsia="Calibri" w:hAnsi="Calibri" w:cs="Calibri"/>
                <w:b/>
                <w:color w:val="37474F"/>
                <w:sz w:val="19"/>
                <w:szCs w:val="19"/>
              </w:rPr>
              <w:t>E</w:t>
            </w:r>
          </w:p>
        </w:tc>
        <w:tc>
          <w:tcPr>
            <w:tcW w:w="1001" w:type="dxa"/>
            <w:tcBorders>
              <w:bottom w:val="single" w:sz="6" w:space="0" w:color="546E7A"/>
            </w:tcBorders>
            <w:shd w:val="clear" w:color="auto" w:fill="E4E9EC"/>
          </w:tcPr>
          <w:p w14:paraId="4FA192DC" w14:textId="77777777" w:rsidR="00DA7972" w:rsidRDefault="00000000">
            <w:pPr>
              <w:spacing w:after="0" w:line="260" w:lineRule="auto"/>
              <w:jc w:val="left"/>
            </w:pPr>
            <w:r>
              <w:rPr>
                <w:rFonts w:ascii="Calibri" w:eastAsia="Calibri" w:hAnsi="Calibri" w:cs="Calibri"/>
                <w:b/>
                <w:color w:val="37474F"/>
                <w:sz w:val="19"/>
                <w:szCs w:val="19"/>
              </w:rPr>
              <w:t>F</w:t>
            </w:r>
          </w:p>
        </w:tc>
        <w:tc>
          <w:tcPr>
            <w:tcW w:w="1001" w:type="dxa"/>
            <w:tcBorders>
              <w:bottom w:val="single" w:sz="6" w:space="0" w:color="546E7A"/>
            </w:tcBorders>
            <w:shd w:val="clear" w:color="auto" w:fill="E4E9EC"/>
          </w:tcPr>
          <w:p w14:paraId="048BF398" w14:textId="77777777" w:rsidR="00DA7972" w:rsidRDefault="00000000">
            <w:pPr>
              <w:spacing w:after="0" w:line="260" w:lineRule="auto"/>
              <w:jc w:val="left"/>
            </w:pPr>
            <w:r>
              <w:rPr>
                <w:rFonts w:ascii="Calibri" w:eastAsia="Calibri" w:hAnsi="Calibri" w:cs="Calibri"/>
                <w:b/>
                <w:color w:val="37474F"/>
                <w:sz w:val="19"/>
                <w:szCs w:val="19"/>
              </w:rPr>
              <w:t>G</w:t>
            </w:r>
          </w:p>
        </w:tc>
        <w:tc>
          <w:tcPr>
            <w:tcW w:w="1002" w:type="dxa"/>
            <w:tcBorders>
              <w:bottom w:val="single" w:sz="6" w:space="0" w:color="546E7A"/>
            </w:tcBorders>
            <w:shd w:val="clear" w:color="auto" w:fill="E4E9EC"/>
          </w:tcPr>
          <w:p w14:paraId="080CB064" w14:textId="77777777" w:rsidR="00DA7972" w:rsidRDefault="00000000">
            <w:pPr>
              <w:spacing w:after="0" w:line="260" w:lineRule="auto"/>
              <w:jc w:val="left"/>
            </w:pPr>
            <w:r>
              <w:rPr>
                <w:rFonts w:ascii="Calibri" w:eastAsia="Calibri" w:hAnsi="Calibri" w:cs="Calibri"/>
                <w:b/>
                <w:color w:val="37474F"/>
                <w:sz w:val="19"/>
                <w:szCs w:val="19"/>
              </w:rPr>
              <w:t>H</w:t>
            </w:r>
          </w:p>
        </w:tc>
      </w:tr>
      <w:tr w:rsidR="00DA7972" w14:paraId="1D6DC7CA" w14:textId="77777777">
        <w:tc>
          <w:tcPr>
            <w:tcW w:w="1001" w:type="dxa"/>
          </w:tcPr>
          <w:p w14:paraId="0F1D7EE4" w14:textId="77777777" w:rsidR="00DA7972" w:rsidRDefault="00000000">
            <w:pPr>
              <w:spacing w:after="0" w:line="260" w:lineRule="auto"/>
              <w:jc w:val="left"/>
            </w:pPr>
            <w:r>
              <w:rPr>
                <w:rFonts w:ascii="Calibri" w:eastAsia="Calibri" w:hAnsi="Calibri" w:cs="Calibri"/>
                <w:sz w:val="19"/>
                <w:szCs w:val="19"/>
              </w:rPr>
              <w:t>Default corridor</w:t>
            </w:r>
          </w:p>
        </w:tc>
        <w:tc>
          <w:tcPr>
            <w:tcW w:w="1001" w:type="dxa"/>
          </w:tcPr>
          <w:p w14:paraId="7999B53C" w14:textId="77777777" w:rsidR="00DA7972" w:rsidRDefault="00000000">
            <w:pPr>
              <w:spacing w:after="0" w:line="260" w:lineRule="auto"/>
              <w:jc w:val="left"/>
            </w:pPr>
            <w:r>
              <w:rPr>
                <w:rFonts w:ascii="Calibri" w:eastAsia="Calibri" w:hAnsi="Calibri" w:cs="Calibri"/>
                <w:sz w:val="19"/>
                <w:szCs w:val="19"/>
              </w:rPr>
              <w:t>One or Three</w:t>
            </w:r>
          </w:p>
        </w:tc>
        <w:tc>
          <w:tcPr>
            <w:tcW w:w="1001" w:type="dxa"/>
          </w:tcPr>
          <w:p w14:paraId="18CAB8C8" w14:textId="77777777" w:rsidR="00DA7972" w:rsidRDefault="00000000">
            <w:pPr>
              <w:spacing w:after="0" w:line="260" w:lineRule="auto"/>
              <w:jc w:val="left"/>
            </w:pPr>
            <w:r>
              <w:rPr>
                <w:rFonts w:ascii="Calibri" w:eastAsia="Calibri" w:hAnsi="Calibri" w:cs="Calibri"/>
                <w:sz w:val="19"/>
                <w:szCs w:val="19"/>
              </w:rPr>
              <w:t>Two for Iranian terminals, else One or Three</w:t>
            </w:r>
          </w:p>
        </w:tc>
        <w:tc>
          <w:tcPr>
            <w:tcW w:w="1001" w:type="dxa"/>
          </w:tcPr>
          <w:p w14:paraId="341F9F68" w14:textId="77777777" w:rsidR="00DA7972" w:rsidRDefault="00000000">
            <w:pPr>
              <w:spacing w:after="0" w:line="260" w:lineRule="auto"/>
              <w:jc w:val="left"/>
            </w:pPr>
            <w:r>
              <w:rPr>
                <w:rFonts w:ascii="Calibri" w:eastAsia="Calibri" w:hAnsi="Calibri" w:cs="Calibri"/>
                <w:sz w:val="19"/>
                <w:szCs w:val="19"/>
              </w:rPr>
              <w:t>One or Three</w:t>
            </w:r>
          </w:p>
        </w:tc>
        <w:tc>
          <w:tcPr>
            <w:tcW w:w="1001" w:type="dxa"/>
          </w:tcPr>
          <w:p w14:paraId="3C332EF3" w14:textId="77777777" w:rsidR="00DA7972" w:rsidRDefault="00000000">
            <w:pPr>
              <w:spacing w:after="0" w:line="260" w:lineRule="auto"/>
              <w:jc w:val="left"/>
            </w:pPr>
            <w:r>
              <w:rPr>
                <w:rFonts w:ascii="Calibri" w:eastAsia="Calibri" w:hAnsi="Calibri" w:cs="Calibri"/>
                <w:sz w:val="19"/>
                <w:szCs w:val="19"/>
              </w:rPr>
              <w:t>Inshore bands</w:t>
            </w:r>
          </w:p>
        </w:tc>
        <w:tc>
          <w:tcPr>
            <w:tcW w:w="1001" w:type="dxa"/>
          </w:tcPr>
          <w:p w14:paraId="129CF5C6" w14:textId="77777777" w:rsidR="00DA7972" w:rsidRDefault="00000000">
            <w:pPr>
              <w:spacing w:after="0" w:line="260" w:lineRule="auto"/>
              <w:jc w:val="left"/>
            </w:pPr>
            <w:r>
              <w:rPr>
                <w:rFonts w:ascii="Calibri" w:eastAsia="Calibri" w:hAnsi="Calibri" w:cs="Calibri"/>
                <w:sz w:val="19"/>
                <w:szCs w:val="19"/>
              </w:rPr>
              <w:t>Any, expedited</w:t>
            </w:r>
          </w:p>
        </w:tc>
        <w:tc>
          <w:tcPr>
            <w:tcW w:w="1001" w:type="dxa"/>
          </w:tcPr>
          <w:p w14:paraId="2A8D6A13" w14:textId="77777777" w:rsidR="00DA7972" w:rsidRDefault="00000000">
            <w:pPr>
              <w:spacing w:after="0" w:line="260" w:lineRule="auto"/>
              <w:jc w:val="left"/>
            </w:pPr>
            <w:r>
              <w:rPr>
                <w:rFonts w:ascii="Calibri" w:eastAsia="Calibri" w:hAnsi="Calibri" w:cs="Calibri"/>
                <w:sz w:val="19"/>
                <w:szCs w:val="19"/>
              </w:rPr>
              <w:t>Notice, any</w:t>
            </w:r>
          </w:p>
        </w:tc>
        <w:tc>
          <w:tcPr>
            <w:tcW w:w="1001" w:type="dxa"/>
          </w:tcPr>
          <w:p w14:paraId="0E2B16C6" w14:textId="77777777" w:rsidR="00DA7972" w:rsidRDefault="00000000">
            <w:pPr>
              <w:spacing w:after="0" w:line="260" w:lineRule="auto"/>
              <w:jc w:val="left"/>
            </w:pPr>
            <w:r>
              <w:rPr>
                <w:rFonts w:ascii="Calibri" w:eastAsia="Calibri" w:hAnsi="Calibri" w:cs="Calibri"/>
                <w:sz w:val="19"/>
                <w:szCs w:val="19"/>
              </w:rPr>
              <w:t>One only</w:t>
            </w:r>
          </w:p>
        </w:tc>
        <w:tc>
          <w:tcPr>
            <w:tcW w:w="1002" w:type="dxa"/>
          </w:tcPr>
          <w:p w14:paraId="2615626D" w14:textId="77777777" w:rsidR="00DA7972" w:rsidRDefault="00000000">
            <w:pPr>
              <w:spacing w:after="0" w:line="260" w:lineRule="auto"/>
              <w:jc w:val="left"/>
            </w:pPr>
            <w:r>
              <w:rPr>
                <w:rFonts w:ascii="Calibri" w:eastAsia="Calibri" w:hAnsi="Calibri" w:cs="Calibri"/>
                <w:sz w:val="19"/>
                <w:szCs w:val="19"/>
              </w:rPr>
              <w:t>Anchorage first</w:t>
            </w:r>
          </w:p>
        </w:tc>
      </w:tr>
      <w:tr w:rsidR="00DA7972" w14:paraId="672013F2" w14:textId="77777777">
        <w:tc>
          <w:tcPr>
            <w:tcW w:w="1001" w:type="dxa"/>
          </w:tcPr>
          <w:p w14:paraId="17966235" w14:textId="77777777" w:rsidR="00DA7972" w:rsidRDefault="00000000">
            <w:pPr>
              <w:spacing w:after="0" w:line="260" w:lineRule="auto"/>
              <w:jc w:val="left"/>
            </w:pPr>
            <w:r>
              <w:rPr>
                <w:rFonts w:ascii="Calibri" w:eastAsia="Calibri" w:hAnsi="Calibri" w:cs="Calibri"/>
                <w:sz w:val="19"/>
                <w:szCs w:val="19"/>
              </w:rPr>
              <w:t>Advance notice</w:t>
            </w:r>
          </w:p>
        </w:tc>
        <w:tc>
          <w:tcPr>
            <w:tcW w:w="1001" w:type="dxa"/>
          </w:tcPr>
          <w:p w14:paraId="7F424C37" w14:textId="77777777" w:rsidR="00DA7972" w:rsidRDefault="00000000">
            <w:pPr>
              <w:spacing w:after="0" w:line="260" w:lineRule="auto"/>
              <w:jc w:val="left"/>
            </w:pPr>
            <w:r>
              <w:rPr>
                <w:rFonts w:ascii="Calibri" w:eastAsia="Calibri" w:hAnsi="Calibri" w:cs="Calibri"/>
                <w:sz w:val="19"/>
                <w:szCs w:val="19"/>
              </w:rPr>
              <w:t>Corridor Two only, 72 to 6 hours</w:t>
            </w:r>
          </w:p>
        </w:tc>
        <w:tc>
          <w:tcPr>
            <w:tcW w:w="1001" w:type="dxa"/>
          </w:tcPr>
          <w:p w14:paraId="2D72C654" w14:textId="77777777" w:rsidR="00DA7972" w:rsidRDefault="00000000">
            <w:pPr>
              <w:spacing w:after="0" w:line="260" w:lineRule="auto"/>
              <w:jc w:val="left"/>
            </w:pPr>
            <w:r>
              <w:rPr>
                <w:rFonts w:ascii="Calibri" w:eastAsia="Calibri" w:hAnsi="Calibri" w:cs="Calibri"/>
                <w:sz w:val="19"/>
                <w:szCs w:val="19"/>
              </w:rPr>
              <w:t>72 to 6 hours</w:t>
            </w:r>
          </w:p>
        </w:tc>
        <w:tc>
          <w:tcPr>
            <w:tcW w:w="1001" w:type="dxa"/>
          </w:tcPr>
          <w:p w14:paraId="272F512B" w14:textId="77777777" w:rsidR="00DA7972" w:rsidRDefault="00000000">
            <w:pPr>
              <w:spacing w:after="0" w:line="260" w:lineRule="auto"/>
              <w:jc w:val="left"/>
            </w:pPr>
            <w:r>
              <w:rPr>
                <w:rFonts w:ascii="Calibri" w:eastAsia="Calibri" w:hAnsi="Calibri" w:cs="Calibri"/>
                <w:sz w:val="19"/>
                <w:szCs w:val="19"/>
              </w:rPr>
              <w:t>Manifest 48 hours</w:t>
            </w:r>
          </w:p>
        </w:tc>
        <w:tc>
          <w:tcPr>
            <w:tcW w:w="1001" w:type="dxa"/>
          </w:tcPr>
          <w:p w14:paraId="5D49B17E" w14:textId="77777777" w:rsidR="00DA7972" w:rsidRDefault="00000000">
            <w:pPr>
              <w:spacing w:after="0" w:line="260" w:lineRule="auto"/>
              <w:jc w:val="left"/>
            </w:pPr>
            <w:r>
              <w:rPr>
                <w:rFonts w:ascii="Calibri" w:eastAsia="Calibri" w:hAnsi="Calibri" w:cs="Calibri"/>
                <w:sz w:val="19"/>
                <w:szCs w:val="19"/>
              </w:rPr>
              <w:t>Local registration</w:t>
            </w:r>
          </w:p>
        </w:tc>
        <w:tc>
          <w:tcPr>
            <w:tcW w:w="1001" w:type="dxa"/>
          </w:tcPr>
          <w:p w14:paraId="6F2B0490" w14:textId="77777777" w:rsidR="00DA7972" w:rsidRDefault="00000000">
            <w:pPr>
              <w:spacing w:after="0" w:line="260" w:lineRule="auto"/>
              <w:jc w:val="left"/>
            </w:pPr>
            <w:r>
              <w:rPr>
                <w:rFonts w:ascii="Calibri" w:eastAsia="Calibri" w:hAnsi="Calibri" w:cs="Calibri"/>
                <w:sz w:val="19"/>
                <w:szCs w:val="19"/>
              </w:rPr>
              <w:t>Immediate acknowledgment</w:t>
            </w:r>
          </w:p>
        </w:tc>
        <w:tc>
          <w:tcPr>
            <w:tcW w:w="1001" w:type="dxa"/>
          </w:tcPr>
          <w:p w14:paraId="605B07B0" w14:textId="77777777" w:rsidR="00DA7972" w:rsidRDefault="00000000">
            <w:pPr>
              <w:spacing w:after="0" w:line="260" w:lineRule="auto"/>
              <w:jc w:val="left"/>
            </w:pPr>
            <w:r>
              <w:rPr>
                <w:rFonts w:ascii="Calibri" w:eastAsia="Calibri" w:hAnsi="Calibri" w:cs="Calibri"/>
                <w:sz w:val="19"/>
                <w:szCs w:val="19"/>
              </w:rPr>
              <w:t>72 hours</w:t>
            </w:r>
          </w:p>
        </w:tc>
        <w:tc>
          <w:tcPr>
            <w:tcW w:w="1001" w:type="dxa"/>
          </w:tcPr>
          <w:p w14:paraId="1F42E30D" w14:textId="77777777" w:rsidR="00DA7972" w:rsidRDefault="00000000">
            <w:pPr>
              <w:spacing w:after="0" w:line="260" w:lineRule="auto"/>
              <w:jc w:val="left"/>
            </w:pPr>
            <w:r>
              <w:rPr>
                <w:rFonts w:ascii="Calibri" w:eastAsia="Calibri" w:hAnsi="Calibri" w:cs="Calibri"/>
                <w:sz w:val="19"/>
                <w:szCs w:val="19"/>
              </w:rPr>
              <w:t>96 hours, military channel</w:t>
            </w:r>
          </w:p>
        </w:tc>
        <w:tc>
          <w:tcPr>
            <w:tcW w:w="1002" w:type="dxa"/>
          </w:tcPr>
          <w:p w14:paraId="640D23B7" w14:textId="77777777" w:rsidR="00DA7972" w:rsidRDefault="00000000">
            <w:pPr>
              <w:spacing w:after="0" w:line="260" w:lineRule="auto"/>
              <w:jc w:val="left"/>
            </w:pPr>
            <w:r>
              <w:rPr>
                <w:rFonts w:ascii="Calibri" w:eastAsia="Calibri" w:hAnsi="Calibri" w:cs="Calibri"/>
                <w:sz w:val="19"/>
                <w:szCs w:val="19"/>
              </w:rPr>
              <w:t>Referral-based</w:t>
            </w:r>
          </w:p>
        </w:tc>
      </w:tr>
      <w:tr w:rsidR="00DA7972" w14:paraId="4B7A0753" w14:textId="77777777">
        <w:tc>
          <w:tcPr>
            <w:tcW w:w="1001" w:type="dxa"/>
          </w:tcPr>
          <w:p w14:paraId="54AA1D67" w14:textId="77777777" w:rsidR="00DA7972" w:rsidRDefault="00000000">
            <w:pPr>
              <w:spacing w:after="0" w:line="260" w:lineRule="auto"/>
              <w:jc w:val="left"/>
            </w:pPr>
            <w:r>
              <w:rPr>
                <w:rFonts w:ascii="Calibri" w:eastAsia="Calibri" w:hAnsi="Calibri" w:cs="Calibri"/>
                <w:b/>
                <w:sz w:val="19"/>
                <w:szCs w:val="19"/>
              </w:rPr>
              <w:t>Corridor Three notice</w:t>
            </w:r>
          </w:p>
        </w:tc>
        <w:tc>
          <w:tcPr>
            <w:tcW w:w="1001" w:type="dxa"/>
          </w:tcPr>
          <w:p w14:paraId="1D36E73D" w14:textId="77777777" w:rsidR="00DA7972" w:rsidRDefault="00000000">
            <w:pPr>
              <w:spacing w:after="0" w:line="260" w:lineRule="auto"/>
              <w:jc w:val="left"/>
            </w:pPr>
            <w:r>
              <w:rPr>
                <w:rFonts w:ascii="Calibri" w:eastAsia="Calibri" w:hAnsi="Calibri" w:cs="Calibri"/>
                <w:b/>
                <w:sz w:val="19"/>
                <w:szCs w:val="19"/>
              </w:rPr>
              <w:t>72 to 6 hours</w:t>
            </w:r>
          </w:p>
        </w:tc>
        <w:tc>
          <w:tcPr>
            <w:tcW w:w="1001" w:type="dxa"/>
          </w:tcPr>
          <w:p w14:paraId="5E51DB70" w14:textId="77777777" w:rsidR="00DA7972" w:rsidRDefault="00000000">
            <w:pPr>
              <w:spacing w:after="0" w:line="260" w:lineRule="auto"/>
              <w:jc w:val="left"/>
            </w:pPr>
            <w:r>
              <w:rPr>
                <w:rFonts w:ascii="Calibri" w:eastAsia="Calibri" w:hAnsi="Calibri" w:cs="Calibri"/>
                <w:b/>
                <w:sz w:val="19"/>
                <w:szCs w:val="19"/>
              </w:rPr>
              <w:t>72 to 6 hours</w:t>
            </w:r>
          </w:p>
        </w:tc>
        <w:tc>
          <w:tcPr>
            <w:tcW w:w="1001" w:type="dxa"/>
          </w:tcPr>
          <w:p w14:paraId="055C2E15" w14:textId="77777777" w:rsidR="00DA7972" w:rsidRDefault="00000000">
            <w:pPr>
              <w:spacing w:after="0" w:line="260" w:lineRule="auto"/>
              <w:jc w:val="left"/>
            </w:pPr>
            <w:r>
              <w:rPr>
                <w:rFonts w:ascii="Calibri" w:eastAsia="Calibri" w:hAnsi="Calibri" w:cs="Calibri"/>
                <w:b/>
                <w:sz w:val="19"/>
                <w:szCs w:val="19"/>
              </w:rPr>
              <w:t>72 to 6 hours</w:t>
            </w:r>
          </w:p>
        </w:tc>
        <w:tc>
          <w:tcPr>
            <w:tcW w:w="1001" w:type="dxa"/>
          </w:tcPr>
          <w:p w14:paraId="3C609FAA" w14:textId="77777777" w:rsidR="00DA7972" w:rsidRDefault="00000000">
            <w:pPr>
              <w:spacing w:after="0" w:line="260" w:lineRule="auto"/>
              <w:jc w:val="left"/>
            </w:pPr>
            <w:r>
              <w:rPr>
                <w:rFonts w:ascii="Calibri" w:eastAsia="Calibri" w:hAnsi="Calibri" w:cs="Calibri"/>
                <w:b/>
                <w:sz w:val="19"/>
                <w:szCs w:val="19"/>
              </w:rPr>
              <w:t>Local registration</w:t>
            </w:r>
          </w:p>
        </w:tc>
        <w:tc>
          <w:tcPr>
            <w:tcW w:w="1001" w:type="dxa"/>
          </w:tcPr>
          <w:p w14:paraId="61DA13E6" w14:textId="77777777" w:rsidR="00DA7972" w:rsidRDefault="00000000">
            <w:pPr>
              <w:spacing w:after="0" w:line="260" w:lineRule="auto"/>
              <w:jc w:val="left"/>
            </w:pPr>
            <w:r>
              <w:rPr>
                <w:rFonts w:ascii="Calibri" w:eastAsia="Calibri" w:hAnsi="Calibri" w:cs="Calibri"/>
                <w:b/>
                <w:sz w:val="19"/>
                <w:szCs w:val="19"/>
              </w:rPr>
              <w:t>Immediate acknowledgment</w:t>
            </w:r>
          </w:p>
        </w:tc>
        <w:tc>
          <w:tcPr>
            <w:tcW w:w="1001" w:type="dxa"/>
          </w:tcPr>
          <w:p w14:paraId="063A41EA" w14:textId="77777777" w:rsidR="00DA7972" w:rsidRDefault="00000000">
            <w:pPr>
              <w:spacing w:after="0" w:line="260" w:lineRule="auto"/>
              <w:jc w:val="left"/>
            </w:pPr>
            <w:r>
              <w:rPr>
                <w:rFonts w:ascii="Calibri" w:eastAsia="Calibri" w:hAnsi="Calibri" w:cs="Calibri"/>
                <w:b/>
                <w:sz w:val="19"/>
                <w:szCs w:val="19"/>
              </w:rPr>
              <w:t>72 hours</w:t>
            </w:r>
          </w:p>
        </w:tc>
        <w:tc>
          <w:tcPr>
            <w:tcW w:w="1001" w:type="dxa"/>
          </w:tcPr>
          <w:p w14:paraId="03FF5BF1" w14:textId="77777777" w:rsidR="00DA7972" w:rsidRDefault="00000000">
            <w:pPr>
              <w:spacing w:after="0" w:line="260" w:lineRule="auto"/>
              <w:jc w:val="left"/>
            </w:pPr>
            <w:r>
              <w:rPr>
                <w:rFonts w:ascii="Calibri" w:eastAsia="Calibri" w:hAnsi="Calibri" w:cs="Calibri"/>
                <w:b/>
                <w:sz w:val="19"/>
                <w:szCs w:val="19"/>
              </w:rPr>
              <w:t>Not applicable</w:t>
            </w:r>
          </w:p>
        </w:tc>
        <w:tc>
          <w:tcPr>
            <w:tcW w:w="1002" w:type="dxa"/>
          </w:tcPr>
          <w:p w14:paraId="7676ED49" w14:textId="77777777" w:rsidR="00DA7972" w:rsidRDefault="00000000">
            <w:pPr>
              <w:spacing w:after="0" w:line="260" w:lineRule="auto"/>
              <w:jc w:val="left"/>
            </w:pPr>
            <w:r>
              <w:rPr>
                <w:rFonts w:ascii="Calibri" w:eastAsia="Calibri" w:hAnsi="Calibri" w:cs="Calibri"/>
                <w:b/>
                <w:sz w:val="19"/>
                <w:szCs w:val="19"/>
              </w:rPr>
              <w:t>Not applicable</w:t>
            </w:r>
          </w:p>
        </w:tc>
      </w:tr>
      <w:tr w:rsidR="00DA7972" w14:paraId="7521B690" w14:textId="77777777">
        <w:tc>
          <w:tcPr>
            <w:tcW w:w="1001" w:type="dxa"/>
          </w:tcPr>
          <w:p w14:paraId="2377D418" w14:textId="77777777" w:rsidR="00DA7972" w:rsidRDefault="00000000">
            <w:pPr>
              <w:spacing w:after="0" w:line="260" w:lineRule="auto"/>
              <w:jc w:val="left"/>
            </w:pPr>
            <w:r>
              <w:rPr>
                <w:rFonts w:ascii="Calibri" w:eastAsia="Calibri" w:hAnsi="Calibri" w:cs="Calibri"/>
                <w:sz w:val="19"/>
                <w:szCs w:val="19"/>
              </w:rPr>
              <w:t>Speed band</w:t>
            </w:r>
          </w:p>
        </w:tc>
        <w:tc>
          <w:tcPr>
            <w:tcW w:w="1001" w:type="dxa"/>
          </w:tcPr>
          <w:p w14:paraId="4710677F" w14:textId="77777777" w:rsidR="00DA7972" w:rsidRDefault="00000000">
            <w:pPr>
              <w:spacing w:after="0" w:line="260" w:lineRule="auto"/>
              <w:jc w:val="left"/>
            </w:pPr>
            <w:r>
              <w:rPr>
                <w:rFonts w:ascii="Calibri" w:eastAsia="Calibri" w:hAnsi="Calibri" w:cs="Calibri"/>
                <w:sz w:val="19"/>
                <w:szCs w:val="19"/>
              </w:rPr>
              <w:t>8 to 14 knots</w:t>
            </w:r>
          </w:p>
        </w:tc>
        <w:tc>
          <w:tcPr>
            <w:tcW w:w="1001" w:type="dxa"/>
          </w:tcPr>
          <w:p w14:paraId="5B5F579D" w14:textId="77777777" w:rsidR="00DA7972" w:rsidRDefault="00000000">
            <w:pPr>
              <w:spacing w:after="0" w:line="260" w:lineRule="auto"/>
              <w:jc w:val="left"/>
            </w:pPr>
            <w:r>
              <w:rPr>
                <w:rFonts w:ascii="Calibri" w:eastAsia="Calibri" w:hAnsi="Calibri" w:cs="Calibri"/>
                <w:sz w:val="19"/>
                <w:szCs w:val="19"/>
              </w:rPr>
              <w:t>8 to 14 knots</w:t>
            </w:r>
          </w:p>
        </w:tc>
        <w:tc>
          <w:tcPr>
            <w:tcW w:w="1001" w:type="dxa"/>
          </w:tcPr>
          <w:p w14:paraId="73B11220" w14:textId="77777777" w:rsidR="00DA7972" w:rsidRDefault="00000000">
            <w:pPr>
              <w:spacing w:after="0" w:line="260" w:lineRule="auto"/>
              <w:jc w:val="left"/>
            </w:pPr>
            <w:r>
              <w:rPr>
                <w:rFonts w:ascii="Calibri" w:eastAsia="Calibri" w:hAnsi="Calibri" w:cs="Calibri"/>
                <w:sz w:val="19"/>
                <w:szCs w:val="19"/>
              </w:rPr>
              <w:t>10 to 14 knots</w:t>
            </w:r>
          </w:p>
        </w:tc>
        <w:tc>
          <w:tcPr>
            <w:tcW w:w="1001" w:type="dxa"/>
          </w:tcPr>
          <w:p w14:paraId="6B114BA2" w14:textId="77777777" w:rsidR="00DA7972" w:rsidRDefault="00000000">
            <w:pPr>
              <w:spacing w:after="0" w:line="260" w:lineRule="auto"/>
              <w:jc w:val="left"/>
            </w:pPr>
            <w:r>
              <w:rPr>
                <w:rFonts w:ascii="Calibri" w:eastAsia="Calibri" w:hAnsi="Calibri" w:cs="Calibri"/>
                <w:sz w:val="19"/>
                <w:szCs w:val="19"/>
              </w:rPr>
              <w:t>Customary</w:t>
            </w:r>
          </w:p>
        </w:tc>
        <w:tc>
          <w:tcPr>
            <w:tcW w:w="1001" w:type="dxa"/>
          </w:tcPr>
          <w:p w14:paraId="118F895B" w14:textId="77777777" w:rsidR="00DA7972" w:rsidRDefault="00000000">
            <w:pPr>
              <w:spacing w:after="0" w:line="260" w:lineRule="auto"/>
              <w:jc w:val="left"/>
            </w:pPr>
            <w:r>
              <w:rPr>
                <w:rFonts w:ascii="Calibri" w:eastAsia="Calibri" w:hAnsi="Calibri" w:cs="Calibri"/>
                <w:sz w:val="19"/>
                <w:szCs w:val="19"/>
              </w:rPr>
              <w:t>10 to 16 knots</w:t>
            </w:r>
          </w:p>
        </w:tc>
        <w:tc>
          <w:tcPr>
            <w:tcW w:w="1001" w:type="dxa"/>
          </w:tcPr>
          <w:p w14:paraId="4A951324" w14:textId="77777777" w:rsidR="00DA7972" w:rsidRDefault="00000000">
            <w:pPr>
              <w:spacing w:after="0" w:line="260" w:lineRule="auto"/>
              <w:jc w:val="left"/>
            </w:pPr>
            <w:r>
              <w:rPr>
                <w:rFonts w:ascii="Calibri" w:eastAsia="Calibri" w:hAnsi="Calibri" w:cs="Calibri"/>
                <w:sz w:val="19"/>
                <w:szCs w:val="19"/>
              </w:rPr>
              <w:t>8 to 14 knots</w:t>
            </w:r>
          </w:p>
        </w:tc>
        <w:tc>
          <w:tcPr>
            <w:tcW w:w="1001" w:type="dxa"/>
          </w:tcPr>
          <w:p w14:paraId="540C36ED" w14:textId="77777777" w:rsidR="00DA7972" w:rsidRDefault="00000000">
            <w:pPr>
              <w:spacing w:after="0" w:line="260" w:lineRule="auto"/>
              <w:jc w:val="left"/>
            </w:pPr>
            <w:r>
              <w:rPr>
                <w:rFonts w:ascii="Calibri" w:eastAsia="Calibri" w:hAnsi="Calibri" w:cs="Calibri"/>
                <w:sz w:val="19"/>
                <w:szCs w:val="19"/>
              </w:rPr>
              <w:t>10 to 14 knots</w:t>
            </w:r>
          </w:p>
        </w:tc>
        <w:tc>
          <w:tcPr>
            <w:tcW w:w="1002" w:type="dxa"/>
          </w:tcPr>
          <w:p w14:paraId="73A3FCAF" w14:textId="77777777" w:rsidR="00DA7972" w:rsidRDefault="00000000">
            <w:pPr>
              <w:spacing w:after="0" w:line="260" w:lineRule="auto"/>
              <w:jc w:val="left"/>
            </w:pPr>
            <w:r>
              <w:rPr>
                <w:rFonts w:ascii="Calibri" w:eastAsia="Calibri" w:hAnsi="Calibri" w:cs="Calibri"/>
                <w:sz w:val="19"/>
                <w:szCs w:val="19"/>
              </w:rPr>
              <w:t>At anchor</w:t>
            </w:r>
          </w:p>
        </w:tc>
      </w:tr>
      <w:tr w:rsidR="00DA7972" w14:paraId="2806A003" w14:textId="77777777">
        <w:tc>
          <w:tcPr>
            <w:tcW w:w="1001" w:type="dxa"/>
          </w:tcPr>
          <w:p w14:paraId="2965AF38" w14:textId="77777777" w:rsidR="00DA7972" w:rsidRDefault="00000000">
            <w:pPr>
              <w:spacing w:after="0" w:line="260" w:lineRule="auto"/>
              <w:jc w:val="left"/>
            </w:pPr>
            <w:r>
              <w:rPr>
                <w:rFonts w:ascii="Calibri" w:eastAsia="Calibri" w:hAnsi="Calibri" w:cs="Calibri"/>
                <w:sz w:val="19"/>
                <w:szCs w:val="19"/>
              </w:rPr>
              <w:t>Spacing</w:t>
            </w:r>
          </w:p>
        </w:tc>
        <w:tc>
          <w:tcPr>
            <w:tcW w:w="1001" w:type="dxa"/>
          </w:tcPr>
          <w:p w14:paraId="3CFFC964" w14:textId="77777777" w:rsidR="00DA7972" w:rsidRDefault="00000000">
            <w:pPr>
              <w:spacing w:after="0" w:line="260" w:lineRule="auto"/>
              <w:jc w:val="left"/>
            </w:pPr>
            <w:r>
              <w:rPr>
                <w:rFonts w:ascii="Calibri" w:eastAsia="Calibri" w:hAnsi="Calibri" w:cs="Calibri"/>
                <w:sz w:val="19"/>
                <w:szCs w:val="19"/>
              </w:rPr>
              <w:t>1 nautical mile</w:t>
            </w:r>
          </w:p>
        </w:tc>
        <w:tc>
          <w:tcPr>
            <w:tcW w:w="1001" w:type="dxa"/>
          </w:tcPr>
          <w:p w14:paraId="3BDDD732" w14:textId="77777777" w:rsidR="00DA7972" w:rsidRDefault="00000000">
            <w:pPr>
              <w:spacing w:after="0" w:line="260" w:lineRule="auto"/>
              <w:jc w:val="left"/>
            </w:pPr>
            <w:r>
              <w:rPr>
                <w:rFonts w:ascii="Calibri" w:eastAsia="Calibri" w:hAnsi="Calibri" w:cs="Calibri"/>
                <w:sz w:val="19"/>
                <w:szCs w:val="19"/>
              </w:rPr>
              <w:t>2 to 3 nautical miles</w:t>
            </w:r>
          </w:p>
        </w:tc>
        <w:tc>
          <w:tcPr>
            <w:tcW w:w="1001" w:type="dxa"/>
          </w:tcPr>
          <w:p w14:paraId="48957926" w14:textId="77777777" w:rsidR="00DA7972" w:rsidRDefault="00000000">
            <w:pPr>
              <w:spacing w:after="0" w:line="260" w:lineRule="auto"/>
              <w:jc w:val="left"/>
            </w:pPr>
            <w:r>
              <w:rPr>
                <w:rFonts w:ascii="Calibri" w:eastAsia="Calibri" w:hAnsi="Calibri" w:cs="Calibri"/>
                <w:sz w:val="19"/>
                <w:szCs w:val="19"/>
              </w:rPr>
              <w:t>1.5 nautical miles</w:t>
            </w:r>
          </w:p>
        </w:tc>
        <w:tc>
          <w:tcPr>
            <w:tcW w:w="1001" w:type="dxa"/>
          </w:tcPr>
          <w:p w14:paraId="2955746F" w14:textId="77777777" w:rsidR="00DA7972" w:rsidRDefault="00000000">
            <w:pPr>
              <w:spacing w:after="0" w:line="260" w:lineRule="auto"/>
              <w:jc w:val="left"/>
            </w:pPr>
            <w:r>
              <w:rPr>
                <w:rFonts w:ascii="Calibri" w:eastAsia="Calibri" w:hAnsi="Calibri" w:cs="Calibri"/>
                <w:sz w:val="19"/>
                <w:szCs w:val="19"/>
              </w:rPr>
              <w:t>Not applicable</w:t>
            </w:r>
          </w:p>
        </w:tc>
        <w:tc>
          <w:tcPr>
            <w:tcW w:w="1001" w:type="dxa"/>
          </w:tcPr>
          <w:p w14:paraId="4E6080B1" w14:textId="77777777" w:rsidR="00DA7972" w:rsidRDefault="00000000">
            <w:pPr>
              <w:spacing w:after="0" w:line="260" w:lineRule="auto"/>
              <w:jc w:val="left"/>
            </w:pPr>
            <w:r>
              <w:rPr>
                <w:rFonts w:ascii="Calibri" w:eastAsia="Calibri" w:hAnsi="Calibri" w:cs="Calibri"/>
                <w:sz w:val="19"/>
                <w:szCs w:val="19"/>
              </w:rPr>
              <w:t>2 nautical miles</w:t>
            </w:r>
          </w:p>
        </w:tc>
        <w:tc>
          <w:tcPr>
            <w:tcW w:w="1001" w:type="dxa"/>
          </w:tcPr>
          <w:p w14:paraId="6735F33F" w14:textId="77777777" w:rsidR="00DA7972" w:rsidRDefault="00000000">
            <w:pPr>
              <w:spacing w:after="0" w:line="260" w:lineRule="auto"/>
              <w:jc w:val="left"/>
            </w:pPr>
            <w:r>
              <w:rPr>
                <w:rFonts w:ascii="Calibri" w:eastAsia="Calibri" w:hAnsi="Calibri" w:cs="Calibri"/>
                <w:sz w:val="19"/>
                <w:szCs w:val="19"/>
              </w:rPr>
              <w:t>1 nautical mile</w:t>
            </w:r>
          </w:p>
        </w:tc>
        <w:tc>
          <w:tcPr>
            <w:tcW w:w="1001" w:type="dxa"/>
          </w:tcPr>
          <w:p w14:paraId="1BC195C6" w14:textId="77777777" w:rsidR="00DA7972" w:rsidRDefault="00000000">
            <w:pPr>
              <w:spacing w:after="0" w:line="260" w:lineRule="auto"/>
              <w:jc w:val="left"/>
            </w:pPr>
            <w:r>
              <w:rPr>
                <w:rFonts w:ascii="Calibri" w:eastAsia="Calibri" w:hAnsi="Calibri" w:cs="Calibri"/>
                <w:sz w:val="19"/>
                <w:szCs w:val="19"/>
              </w:rPr>
              <w:t>5 nautical miles</w:t>
            </w:r>
          </w:p>
        </w:tc>
        <w:tc>
          <w:tcPr>
            <w:tcW w:w="1002" w:type="dxa"/>
          </w:tcPr>
          <w:p w14:paraId="6C9B9742" w14:textId="77777777" w:rsidR="00DA7972" w:rsidRDefault="00000000">
            <w:pPr>
              <w:spacing w:after="0" w:line="260" w:lineRule="auto"/>
              <w:jc w:val="left"/>
            </w:pPr>
            <w:r>
              <w:rPr>
                <w:rFonts w:ascii="Calibri" w:eastAsia="Calibri" w:hAnsi="Calibri" w:cs="Calibri"/>
                <w:sz w:val="19"/>
                <w:szCs w:val="19"/>
              </w:rPr>
              <w:t>Not applicable</w:t>
            </w:r>
          </w:p>
        </w:tc>
      </w:tr>
      <w:tr w:rsidR="00DA7972" w14:paraId="049B88A1" w14:textId="77777777">
        <w:tc>
          <w:tcPr>
            <w:tcW w:w="1001" w:type="dxa"/>
          </w:tcPr>
          <w:p w14:paraId="21354F42" w14:textId="77777777" w:rsidR="00DA7972" w:rsidRDefault="00000000">
            <w:pPr>
              <w:spacing w:after="0" w:line="260" w:lineRule="auto"/>
              <w:jc w:val="left"/>
            </w:pPr>
            <w:r>
              <w:rPr>
                <w:rFonts w:ascii="Calibri" w:eastAsia="Calibri" w:hAnsi="Calibri" w:cs="Calibri"/>
                <w:sz w:val="19"/>
                <w:szCs w:val="19"/>
              </w:rPr>
              <w:t>Escort eligibility</w:t>
            </w:r>
          </w:p>
        </w:tc>
        <w:tc>
          <w:tcPr>
            <w:tcW w:w="1001" w:type="dxa"/>
          </w:tcPr>
          <w:p w14:paraId="152E6B59" w14:textId="77777777" w:rsidR="00DA7972" w:rsidRDefault="00000000">
            <w:pPr>
              <w:spacing w:after="0" w:line="260" w:lineRule="auto"/>
              <w:jc w:val="left"/>
            </w:pPr>
            <w:r>
              <w:rPr>
                <w:rFonts w:ascii="Calibri" w:eastAsia="Calibri" w:hAnsi="Calibri" w:cs="Calibri"/>
                <w:sz w:val="19"/>
                <w:szCs w:val="19"/>
              </w:rPr>
              <w:t>Optional</w:t>
            </w:r>
          </w:p>
        </w:tc>
        <w:tc>
          <w:tcPr>
            <w:tcW w:w="1001" w:type="dxa"/>
          </w:tcPr>
          <w:p w14:paraId="30D8FD0A" w14:textId="77777777" w:rsidR="00DA7972" w:rsidRDefault="00000000">
            <w:pPr>
              <w:spacing w:after="0" w:line="260" w:lineRule="auto"/>
              <w:jc w:val="left"/>
            </w:pPr>
            <w:r>
              <w:rPr>
                <w:rFonts w:ascii="Calibri" w:eastAsia="Calibri" w:hAnsi="Calibri" w:cs="Calibri"/>
                <w:sz w:val="19"/>
                <w:szCs w:val="19"/>
              </w:rPr>
              <w:t>Optional, priority</w:t>
            </w:r>
          </w:p>
        </w:tc>
        <w:tc>
          <w:tcPr>
            <w:tcW w:w="1001" w:type="dxa"/>
          </w:tcPr>
          <w:p w14:paraId="0F703BF5" w14:textId="77777777" w:rsidR="00DA7972" w:rsidRDefault="00000000">
            <w:pPr>
              <w:spacing w:after="0" w:line="260" w:lineRule="auto"/>
              <w:jc w:val="left"/>
            </w:pPr>
            <w:r>
              <w:rPr>
                <w:rFonts w:ascii="Calibri" w:eastAsia="Calibri" w:hAnsi="Calibri" w:cs="Calibri"/>
                <w:sz w:val="19"/>
                <w:szCs w:val="19"/>
              </w:rPr>
              <w:t>Optional, priority</w:t>
            </w:r>
          </w:p>
        </w:tc>
        <w:tc>
          <w:tcPr>
            <w:tcW w:w="1001" w:type="dxa"/>
          </w:tcPr>
          <w:p w14:paraId="5FB8D8E1" w14:textId="77777777" w:rsidR="00DA7972" w:rsidRDefault="00000000">
            <w:pPr>
              <w:spacing w:after="0" w:line="260" w:lineRule="auto"/>
              <w:jc w:val="left"/>
            </w:pPr>
            <w:r>
              <w:rPr>
                <w:rFonts w:ascii="Calibri" w:eastAsia="Calibri" w:hAnsi="Calibri" w:cs="Calibri"/>
                <w:sz w:val="19"/>
                <w:szCs w:val="19"/>
              </w:rPr>
              <w:t>Not applicable</w:t>
            </w:r>
          </w:p>
        </w:tc>
        <w:tc>
          <w:tcPr>
            <w:tcW w:w="1001" w:type="dxa"/>
          </w:tcPr>
          <w:p w14:paraId="51651664" w14:textId="77777777" w:rsidR="00DA7972" w:rsidRDefault="00000000">
            <w:pPr>
              <w:spacing w:after="0" w:line="260" w:lineRule="auto"/>
              <w:jc w:val="left"/>
            </w:pPr>
            <w:r>
              <w:rPr>
                <w:rFonts w:ascii="Calibri" w:eastAsia="Calibri" w:hAnsi="Calibri" w:cs="Calibri"/>
                <w:sz w:val="19"/>
                <w:szCs w:val="19"/>
              </w:rPr>
              <w:t>Priority</w:t>
            </w:r>
          </w:p>
        </w:tc>
        <w:tc>
          <w:tcPr>
            <w:tcW w:w="1001" w:type="dxa"/>
          </w:tcPr>
          <w:p w14:paraId="2E18CE53" w14:textId="77777777" w:rsidR="00DA7972" w:rsidRDefault="00000000">
            <w:pPr>
              <w:spacing w:after="0" w:line="260" w:lineRule="auto"/>
              <w:jc w:val="left"/>
            </w:pPr>
            <w:r>
              <w:rPr>
                <w:rFonts w:ascii="Calibri" w:eastAsia="Calibri" w:hAnsi="Calibri" w:cs="Calibri"/>
                <w:sz w:val="19"/>
                <w:szCs w:val="19"/>
              </w:rPr>
              <w:t>Not applicable</w:t>
            </w:r>
          </w:p>
        </w:tc>
        <w:tc>
          <w:tcPr>
            <w:tcW w:w="1001" w:type="dxa"/>
          </w:tcPr>
          <w:p w14:paraId="08B01162" w14:textId="77777777" w:rsidR="00DA7972" w:rsidRDefault="00000000">
            <w:pPr>
              <w:spacing w:after="0" w:line="260" w:lineRule="auto"/>
              <w:jc w:val="left"/>
            </w:pPr>
            <w:r>
              <w:rPr>
                <w:rFonts w:ascii="Calibri" w:eastAsia="Calibri" w:hAnsi="Calibri" w:cs="Calibri"/>
                <w:sz w:val="19"/>
                <w:szCs w:val="19"/>
              </w:rPr>
              <w:t>Not applicable</w:t>
            </w:r>
          </w:p>
        </w:tc>
        <w:tc>
          <w:tcPr>
            <w:tcW w:w="1002" w:type="dxa"/>
          </w:tcPr>
          <w:p w14:paraId="65979E29" w14:textId="77777777" w:rsidR="00DA7972" w:rsidRDefault="00000000">
            <w:pPr>
              <w:spacing w:after="0" w:line="260" w:lineRule="auto"/>
              <w:jc w:val="left"/>
            </w:pPr>
            <w:r>
              <w:rPr>
                <w:rFonts w:ascii="Calibri" w:eastAsia="Calibri" w:hAnsi="Calibri" w:cs="Calibri"/>
                <w:sz w:val="19"/>
                <w:szCs w:val="19"/>
              </w:rPr>
              <w:t>Not applicable</w:t>
            </w:r>
          </w:p>
        </w:tc>
      </w:tr>
      <w:tr w:rsidR="00DA7972" w14:paraId="4DB199E3" w14:textId="77777777">
        <w:tc>
          <w:tcPr>
            <w:tcW w:w="1001" w:type="dxa"/>
          </w:tcPr>
          <w:p w14:paraId="5DD53405" w14:textId="77777777" w:rsidR="00DA7972" w:rsidRDefault="00000000">
            <w:pPr>
              <w:spacing w:after="0" w:line="260" w:lineRule="auto"/>
              <w:jc w:val="left"/>
            </w:pPr>
            <w:r>
              <w:rPr>
                <w:rFonts w:ascii="Calibri" w:eastAsia="Calibri" w:hAnsi="Calibri" w:cs="Calibri"/>
                <w:sz w:val="19"/>
                <w:szCs w:val="19"/>
              </w:rPr>
              <w:t>Observer embarkation</w:t>
            </w:r>
          </w:p>
        </w:tc>
        <w:tc>
          <w:tcPr>
            <w:tcW w:w="1001" w:type="dxa"/>
          </w:tcPr>
          <w:p w14:paraId="5739921C" w14:textId="77777777" w:rsidR="00DA7972" w:rsidRDefault="00000000">
            <w:pPr>
              <w:spacing w:after="0" w:line="260" w:lineRule="auto"/>
              <w:jc w:val="left"/>
            </w:pPr>
            <w:r>
              <w:rPr>
                <w:rFonts w:ascii="Calibri" w:eastAsia="Calibri" w:hAnsi="Calibri" w:cs="Calibri"/>
                <w:sz w:val="19"/>
                <w:szCs w:val="19"/>
              </w:rPr>
              <w:t>Registry practice</w:t>
            </w:r>
          </w:p>
        </w:tc>
        <w:tc>
          <w:tcPr>
            <w:tcW w:w="1001" w:type="dxa"/>
          </w:tcPr>
          <w:p w14:paraId="56A72465" w14:textId="77777777" w:rsidR="00DA7972" w:rsidRDefault="00000000">
            <w:pPr>
              <w:spacing w:after="0" w:line="260" w:lineRule="auto"/>
              <w:jc w:val="left"/>
            </w:pPr>
            <w:r>
              <w:rPr>
                <w:rFonts w:ascii="Calibri" w:eastAsia="Calibri" w:hAnsi="Calibri" w:cs="Calibri"/>
                <w:sz w:val="19"/>
                <w:szCs w:val="19"/>
              </w:rPr>
              <w:t>Registry practice</w:t>
            </w:r>
          </w:p>
        </w:tc>
        <w:tc>
          <w:tcPr>
            <w:tcW w:w="1001" w:type="dxa"/>
          </w:tcPr>
          <w:p w14:paraId="652C29EE" w14:textId="77777777" w:rsidR="00DA7972" w:rsidRDefault="00000000">
            <w:pPr>
              <w:spacing w:after="0" w:line="260" w:lineRule="auto"/>
              <w:jc w:val="left"/>
            </w:pPr>
            <w:r>
              <w:rPr>
                <w:rFonts w:ascii="Calibri" w:eastAsia="Calibri" w:hAnsi="Calibri" w:cs="Calibri"/>
                <w:sz w:val="19"/>
                <w:szCs w:val="19"/>
              </w:rPr>
              <w:t>Registry practice</w:t>
            </w:r>
          </w:p>
        </w:tc>
        <w:tc>
          <w:tcPr>
            <w:tcW w:w="1001" w:type="dxa"/>
          </w:tcPr>
          <w:p w14:paraId="6A51773C" w14:textId="77777777" w:rsidR="00DA7972" w:rsidRDefault="00000000">
            <w:pPr>
              <w:spacing w:after="0" w:line="260" w:lineRule="auto"/>
              <w:jc w:val="left"/>
            </w:pPr>
            <w:r>
              <w:rPr>
                <w:rFonts w:ascii="Calibri" w:eastAsia="Calibri" w:hAnsi="Calibri" w:cs="Calibri"/>
                <w:sz w:val="19"/>
                <w:szCs w:val="19"/>
              </w:rPr>
              <w:t>Not applicable</w:t>
            </w:r>
          </w:p>
        </w:tc>
        <w:tc>
          <w:tcPr>
            <w:tcW w:w="1001" w:type="dxa"/>
          </w:tcPr>
          <w:p w14:paraId="52582897" w14:textId="77777777" w:rsidR="00DA7972" w:rsidRDefault="00000000">
            <w:pPr>
              <w:spacing w:after="0" w:line="260" w:lineRule="auto"/>
              <w:jc w:val="left"/>
            </w:pPr>
            <w:r>
              <w:rPr>
                <w:rFonts w:ascii="Calibri" w:eastAsia="Calibri" w:hAnsi="Calibri" w:cs="Calibri"/>
                <w:sz w:val="19"/>
                <w:szCs w:val="19"/>
              </w:rPr>
              <w:t>Standing consent encouraged</w:t>
            </w:r>
          </w:p>
        </w:tc>
        <w:tc>
          <w:tcPr>
            <w:tcW w:w="1001" w:type="dxa"/>
          </w:tcPr>
          <w:p w14:paraId="1B1A02FF" w14:textId="77777777" w:rsidR="00DA7972" w:rsidRDefault="00000000">
            <w:pPr>
              <w:spacing w:after="0" w:line="260" w:lineRule="auto"/>
              <w:jc w:val="left"/>
            </w:pPr>
            <w:r>
              <w:rPr>
                <w:rFonts w:ascii="Calibri" w:eastAsia="Calibri" w:hAnsi="Calibri" w:cs="Calibri"/>
                <w:sz w:val="19"/>
                <w:szCs w:val="19"/>
              </w:rPr>
              <w:t>Notice-based</w:t>
            </w:r>
          </w:p>
        </w:tc>
        <w:tc>
          <w:tcPr>
            <w:tcW w:w="1001" w:type="dxa"/>
          </w:tcPr>
          <w:p w14:paraId="4FF1B7D1" w14:textId="77777777" w:rsidR="00DA7972" w:rsidRDefault="00000000">
            <w:pPr>
              <w:spacing w:after="0" w:line="260" w:lineRule="auto"/>
              <w:jc w:val="left"/>
            </w:pPr>
            <w:r>
              <w:rPr>
                <w:rFonts w:ascii="Calibri" w:eastAsia="Calibri" w:hAnsi="Calibri" w:cs="Calibri"/>
                <w:sz w:val="19"/>
                <w:szCs w:val="19"/>
              </w:rPr>
              <w:t>Not applicable</w:t>
            </w:r>
          </w:p>
        </w:tc>
        <w:tc>
          <w:tcPr>
            <w:tcW w:w="1002" w:type="dxa"/>
          </w:tcPr>
          <w:p w14:paraId="0725BC33" w14:textId="77777777" w:rsidR="00DA7972" w:rsidRDefault="00000000">
            <w:pPr>
              <w:spacing w:after="0" w:line="260" w:lineRule="auto"/>
              <w:jc w:val="left"/>
            </w:pPr>
            <w:r>
              <w:rPr>
                <w:rFonts w:ascii="Calibri" w:eastAsia="Calibri" w:hAnsi="Calibri" w:cs="Calibri"/>
                <w:sz w:val="19"/>
                <w:szCs w:val="19"/>
              </w:rPr>
              <w:t>Joint team only</w:t>
            </w:r>
          </w:p>
        </w:tc>
      </w:tr>
      <w:tr w:rsidR="00DA7972" w14:paraId="44B0927E" w14:textId="77777777">
        <w:tc>
          <w:tcPr>
            <w:tcW w:w="1001" w:type="dxa"/>
          </w:tcPr>
          <w:p w14:paraId="31697D7F" w14:textId="77777777" w:rsidR="00DA7972" w:rsidRDefault="00000000">
            <w:pPr>
              <w:spacing w:after="0" w:line="260" w:lineRule="auto"/>
              <w:jc w:val="left"/>
            </w:pPr>
            <w:r>
              <w:rPr>
                <w:rFonts w:ascii="Calibri" w:eastAsia="Calibri" w:hAnsi="Calibri" w:cs="Calibri"/>
                <w:sz w:val="19"/>
                <w:szCs w:val="19"/>
              </w:rPr>
              <w:t>Night transit</w:t>
            </w:r>
          </w:p>
        </w:tc>
        <w:tc>
          <w:tcPr>
            <w:tcW w:w="1001" w:type="dxa"/>
          </w:tcPr>
          <w:p w14:paraId="3700376C" w14:textId="77777777" w:rsidR="00DA7972" w:rsidRDefault="00000000">
            <w:pPr>
              <w:spacing w:after="0" w:line="260" w:lineRule="auto"/>
              <w:jc w:val="left"/>
            </w:pPr>
            <w:r>
              <w:rPr>
                <w:rFonts w:ascii="Calibri" w:eastAsia="Calibri" w:hAnsi="Calibri" w:cs="Calibri"/>
                <w:sz w:val="19"/>
                <w:szCs w:val="19"/>
              </w:rPr>
              <w:t>Yes</w:t>
            </w:r>
          </w:p>
        </w:tc>
        <w:tc>
          <w:tcPr>
            <w:tcW w:w="1001" w:type="dxa"/>
          </w:tcPr>
          <w:p w14:paraId="1E5AEC40" w14:textId="77777777" w:rsidR="00DA7972" w:rsidRDefault="00000000">
            <w:pPr>
              <w:spacing w:after="0" w:line="260" w:lineRule="auto"/>
              <w:jc w:val="left"/>
            </w:pPr>
            <w:r>
              <w:rPr>
                <w:rFonts w:ascii="Calibri" w:eastAsia="Calibri" w:hAnsi="Calibri" w:cs="Calibri"/>
                <w:sz w:val="19"/>
                <w:szCs w:val="19"/>
              </w:rPr>
              <w:t>Yes</w:t>
            </w:r>
          </w:p>
        </w:tc>
        <w:tc>
          <w:tcPr>
            <w:tcW w:w="1001" w:type="dxa"/>
          </w:tcPr>
          <w:p w14:paraId="212607B4" w14:textId="77777777" w:rsidR="00DA7972" w:rsidRDefault="00000000">
            <w:pPr>
              <w:spacing w:after="0" w:line="260" w:lineRule="auto"/>
              <w:jc w:val="left"/>
            </w:pPr>
            <w:r>
              <w:rPr>
                <w:rFonts w:ascii="Calibri" w:eastAsia="Calibri" w:hAnsi="Calibri" w:cs="Calibri"/>
                <w:sz w:val="19"/>
                <w:szCs w:val="19"/>
              </w:rPr>
              <w:t>Recommended daylight</w:t>
            </w:r>
          </w:p>
        </w:tc>
        <w:tc>
          <w:tcPr>
            <w:tcW w:w="1001" w:type="dxa"/>
          </w:tcPr>
          <w:p w14:paraId="4B023D90" w14:textId="77777777" w:rsidR="00DA7972" w:rsidRDefault="00000000">
            <w:pPr>
              <w:spacing w:after="0" w:line="260" w:lineRule="auto"/>
              <w:jc w:val="left"/>
            </w:pPr>
            <w:r>
              <w:rPr>
                <w:rFonts w:ascii="Calibri" w:eastAsia="Calibri" w:hAnsi="Calibri" w:cs="Calibri"/>
                <w:sz w:val="19"/>
                <w:szCs w:val="19"/>
              </w:rPr>
              <w:t>Restricted to bands</w:t>
            </w:r>
          </w:p>
        </w:tc>
        <w:tc>
          <w:tcPr>
            <w:tcW w:w="1001" w:type="dxa"/>
          </w:tcPr>
          <w:p w14:paraId="3000877E" w14:textId="77777777" w:rsidR="00DA7972" w:rsidRDefault="00000000">
            <w:pPr>
              <w:spacing w:after="0" w:line="260" w:lineRule="auto"/>
              <w:jc w:val="left"/>
            </w:pPr>
            <w:r>
              <w:rPr>
                <w:rFonts w:ascii="Calibri" w:eastAsia="Calibri" w:hAnsi="Calibri" w:cs="Calibri"/>
                <w:sz w:val="19"/>
                <w:szCs w:val="19"/>
              </w:rPr>
              <w:t>Yes</w:t>
            </w:r>
          </w:p>
        </w:tc>
        <w:tc>
          <w:tcPr>
            <w:tcW w:w="1001" w:type="dxa"/>
          </w:tcPr>
          <w:p w14:paraId="1F5ABFDF" w14:textId="77777777" w:rsidR="00DA7972" w:rsidRDefault="00000000">
            <w:pPr>
              <w:spacing w:after="0" w:line="260" w:lineRule="auto"/>
              <w:jc w:val="left"/>
            </w:pPr>
            <w:r>
              <w:rPr>
                <w:rFonts w:ascii="Calibri" w:eastAsia="Calibri" w:hAnsi="Calibri" w:cs="Calibri"/>
                <w:sz w:val="19"/>
                <w:szCs w:val="19"/>
              </w:rPr>
              <w:t>Yes</w:t>
            </w:r>
          </w:p>
        </w:tc>
        <w:tc>
          <w:tcPr>
            <w:tcW w:w="1001" w:type="dxa"/>
          </w:tcPr>
          <w:p w14:paraId="777F9258" w14:textId="77777777" w:rsidR="00DA7972" w:rsidRDefault="00000000">
            <w:pPr>
              <w:spacing w:after="0" w:line="260" w:lineRule="auto"/>
              <w:jc w:val="left"/>
            </w:pPr>
            <w:r>
              <w:rPr>
                <w:rFonts w:ascii="Calibri" w:eastAsia="Calibri" w:hAnsi="Calibri" w:cs="Calibri"/>
                <w:sz w:val="19"/>
                <w:szCs w:val="19"/>
              </w:rPr>
              <w:t>Windows only</w:t>
            </w:r>
          </w:p>
        </w:tc>
        <w:tc>
          <w:tcPr>
            <w:tcW w:w="1002" w:type="dxa"/>
          </w:tcPr>
          <w:p w14:paraId="741E2CFB" w14:textId="77777777" w:rsidR="00DA7972" w:rsidRDefault="00000000">
            <w:pPr>
              <w:spacing w:after="0" w:line="260" w:lineRule="auto"/>
              <w:jc w:val="left"/>
            </w:pPr>
            <w:r>
              <w:rPr>
                <w:rFonts w:ascii="Calibri" w:eastAsia="Calibri" w:hAnsi="Calibri" w:cs="Calibri"/>
                <w:sz w:val="19"/>
                <w:szCs w:val="19"/>
              </w:rPr>
              <w:t>Not applicable</w:t>
            </w:r>
          </w:p>
        </w:tc>
      </w:tr>
      <w:tr w:rsidR="00DA7972" w14:paraId="7E21673D" w14:textId="77777777">
        <w:tc>
          <w:tcPr>
            <w:tcW w:w="1001" w:type="dxa"/>
          </w:tcPr>
          <w:p w14:paraId="44F0C89C" w14:textId="77777777" w:rsidR="00DA7972" w:rsidRDefault="00000000">
            <w:pPr>
              <w:spacing w:after="0" w:line="260" w:lineRule="auto"/>
              <w:jc w:val="left"/>
            </w:pPr>
            <w:r>
              <w:rPr>
                <w:rFonts w:ascii="Calibri" w:eastAsia="Calibri" w:hAnsi="Calibri" w:cs="Calibri"/>
                <w:sz w:val="19"/>
                <w:szCs w:val="19"/>
              </w:rPr>
              <w:t>Insurance evidence</w:t>
            </w:r>
          </w:p>
        </w:tc>
        <w:tc>
          <w:tcPr>
            <w:tcW w:w="1001" w:type="dxa"/>
          </w:tcPr>
          <w:p w14:paraId="644CE488" w14:textId="77777777" w:rsidR="00DA7972" w:rsidRDefault="00000000">
            <w:pPr>
              <w:spacing w:after="0" w:line="260" w:lineRule="auto"/>
              <w:jc w:val="left"/>
            </w:pPr>
            <w:r>
              <w:rPr>
                <w:rFonts w:ascii="Calibri" w:eastAsia="Calibri" w:hAnsi="Calibri" w:cs="Calibri"/>
                <w:sz w:val="19"/>
                <w:szCs w:val="19"/>
              </w:rPr>
              <w:t>Registry</w:t>
            </w:r>
          </w:p>
        </w:tc>
        <w:tc>
          <w:tcPr>
            <w:tcW w:w="1001" w:type="dxa"/>
          </w:tcPr>
          <w:p w14:paraId="74E829C4" w14:textId="77777777" w:rsidR="00DA7972" w:rsidRDefault="00000000">
            <w:pPr>
              <w:spacing w:after="0" w:line="260" w:lineRule="auto"/>
              <w:jc w:val="left"/>
            </w:pPr>
            <w:r>
              <w:rPr>
                <w:rFonts w:ascii="Calibri" w:eastAsia="Calibri" w:hAnsi="Calibri" w:cs="Calibri"/>
                <w:sz w:val="19"/>
                <w:szCs w:val="19"/>
              </w:rPr>
              <w:t>Registry</w:t>
            </w:r>
          </w:p>
        </w:tc>
        <w:tc>
          <w:tcPr>
            <w:tcW w:w="1001" w:type="dxa"/>
          </w:tcPr>
          <w:p w14:paraId="099747C8" w14:textId="77777777" w:rsidR="00DA7972" w:rsidRDefault="00000000">
            <w:pPr>
              <w:spacing w:after="0" w:line="260" w:lineRule="auto"/>
              <w:jc w:val="left"/>
            </w:pPr>
            <w:r>
              <w:rPr>
                <w:rFonts w:ascii="Calibri" w:eastAsia="Calibri" w:hAnsi="Calibri" w:cs="Calibri"/>
                <w:sz w:val="19"/>
                <w:szCs w:val="19"/>
              </w:rPr>
              <w:t>Registry</w:t>
            </w:r>
          </w:p>
        </w:tc>
        <w:tc>
          <w:tcPr>
            <w:tcW w:w="1001" w:type="dxa"/>
          </w:tcPr>
          <w:p w14:paraId="0BA975A3" w14:textId="77777777" w:rsidR="00DA7972" w:rsidRDefault="00000000">
            <w:pPr>
              <w:spacing w:after="0" w:line="260" w:lineRule="auto"/>
              <w:jc w:val="left"/>
            </w:pPr>
            <w:r>
              <w:rPr>
                <w:rFonts w:ascii="Calibri" w:eastAsia="Calibri" w:hAnsi="Calibri" w:cs="Calibri"/>
                <w:sz w:val="19"/>
                <w:szCs w:val="19"/>
              </w:rPr>
              <w:t>Local</w:t>
            </w:r>
          </w:p>
        </w:tc>
        <w:tc>
          <w:tcPr>
            <w:tcW w:w="1001" w:type="dxa"/>
          </w:tcPr>
          <w:p w14:paraId="7F12A79B" w14:textId="77777777" w:rsidR="00DA7972" w:rsidRDefault="00000000">
            <w:pPr>
              <w:spacing w:after="0" w:line="260" w:lineRule="auto"/>
              <w:jc w:val="left"/>
            </w:pPr>
            <w:r>
              <w:rPr>
                <w:rFonts w:ascii="Calibri" w:eastAsia="Calibri" w:hAnsi="Calibri" w:cs="Calibri"/>
                <w:sz w:val="19"/>
                <w:szCs w:val="19"/>
              </w:rPr>
              <w:t>Registry</w:t>
            </w:r>
          </w:p>
        </w:tc>
        <w:tc>
          <w:tcPr>
            <w:tcW w:w="1001" w:type="dxa"/>
          </w:tcPr>
          <w:p w14:paraId="09B4EAC2" w14:textId="77777777" w:rsidR="00DA7972" w:rsidRDefault="00000000">
            <w:pPr>
              <w:spacing w:after="0" w:line="260" w:lineRule="auto"/>
              <w:jc w:val="left"/>
            </w:pPr>
            <w:r>
              <w:rPr>
                <w:rFonts w:ascii="Calibri" w:eastAsia="Calibri" w:hAnsi="Calibri" w:cs="Calibri"/>
                <w:sz w:val="19"/>
                <w:szCs w:val="19"/>
              </w:rPr>
              <w:t>Notice</w:t>
            </w:r>
          </w:p>
        </w:tc>
        <w:tc>
          <w:tcPr>
            <w:tcW w:w="1001" w:type="dxa"/>
          </w:tcPr>
          <w:p w14:paraId="7C9EDB48" w14:textId="77777777" w:rsidR="00DA7972" w:rsidRDefault="00000000">
            <w:pPr>
              <w:spacing w:after="0" w:line="260" w:lineRule="auto"/>
              <w:jc w:val="left"/>
            </w:pPr>
            <w:r>
              <w:rPr>
                <w:rFonts w:ascii="Calibri" w:eastAsia="Calibri" w:hAnsi="Calibri" w:cs="Calibri"/>
                <w:sz w:val="19"/>
                <w:szCs w:val="19"/>
              </w:rPr>
              <w:t>Not applicable</w:t>
            </w:r>
          </w:p>
        </w:tc>
        <w:tc>
          <w:tcPr>
            <w:tcW w:w="1002" w:type="dxa"/>
          </w:tcPr>
          <w:p w14:paraId="754F4BF2" w14:textId="77777777" w:rsidR="00DA7972" w:rsidRDefault="00000000">
            <w:pPr>
              <w:spacing w:after="0" w:line="260" w:lineRule="auto"/>
              <w:jc w:val="left"/>
            </w:pPr>
            <w:r>
              <w:rPr>
                <w:rFonts w:ascii="Calibri" w:eastAsia="Calibri" w:hAnsi="Calibri" w:cs="Calibri"/>
                <w:sz w:val="19"/>
                <w:szCs w:val="19"/>
              </w:rPr>
              <w:t>Joint team review</w:t>
            </w:r>
          </w:p>
        </w:tc>
      </w:tr>
    </w:tbl>
    <w:p w14:paraId="628297C1" w14:textId="77777777" w:rsidR="00DA7972" w:rsidRDefault="00DA7972">
      <w:pPr>
        <w:spacing w:after="60"/>
      </w:pPr>
    </w:p>
    <w:p w14:paraId="4704A60C" w14:textId="77777777" w:rsidR="00DA7972" w:rsidRDefault="00000000">
      <w:pPr>
        <w:pStyle w:val="Caption"/>
      </w:pPr>
      <w:r>
        <w:rPr>
          <w:rFonts w:eastAsia="Calibri" w:cs="Calibri"/>
          <w:szCs w:val="18"/>
        </w:rPr>
        <w:t>Table B.1: Treatment matrix summary; the Articles govern over this summary</w:t>
      </w:r>
    </w:p>
    <w:p w14:paraId="1862F985" w14:textId="77777777" w:rsidR="00DA7972" w:rsidRDefault="00000000">
      <w:pPr>
        <w:pStyle w:val="Heading3"/>
      </w:pPr>
      <w:r>
        <w:rPr>
          <w:rFonts w:eastAsia="Calibri" w:cs="Calibri"/>
          <w:szCs w:val="22"/>
        </w:rPr>
        <w:t>B.1 Class assignment disputes</w:t>
      </w:r>
    </w:p>
    <w:p w14:paraId="280B3105" w14:textId="77777777" w:rsidR="00DA7972" w:rsidRDefault="00000000">
      <w:r>
        <w:rPr>
          <w:rFonts w:eastAsia="Georgia" w:cs="Georgia"/>
          <w:szCs w:val="21"/>
        </w:rPr>
        <w:t>A master contesting a class assignment files with the Center before entry; the paired duty officers rule within 4 hours; the ruling binds the transit and travels to the Technical Committee for pattern review. Class assignment never delays a Class E vessel.</w:t>
      </w:r>
    </w:p>
    <w:p w14:paraId="50644E27" w14:textId="77777777" w:rsidR="00DA7972" w:rsidRDefault="00000000">
      <w:pPr>
        <w:pStyle w:val="Heading3"/>
      </w:pPr>
      <w:r>
        <w:rPr>
          <w:rFonts w:eastAsia="Calibri" w:cs="Calibri"/>
          <w:szCs w:val="22"/>
        </w:rPr>
        <w:t>B.2 Reclassification</w:t>
      </w:r>
    </w:p>
    <w:p w14:paraId="331716FE" w14:textId="77777777" w:rsidR="00DA7972" w:rsidRDefault="00000000">
      <w:r>
        <w:rPr>
          <w:rFonts w:eastAsia="Georgia" w:cs="Georgia"/>
          <w:szCs w:val="21"/>
        </w:rPr>
        <w:t xml:space="preserve">A vessel's class follows its current voyage purpose. Reclassification between voyages is automatic on the notice or registration data. A mid-voyage purpose change triggers an immediate notice </w:t>
      </w:r>
      <w:r>
        <w:rPr>
          <w:rFonts w:eastAsia="Georgia" w:cs="Georgia"/>
          <w:szCs w:val="21"/>
        </w:rPr>
        <w:lastRenderedPageBreak/>
        <w:t>amendment, and the Center re-sequences without penalty where the amendment arrives before the mid-passage reporting point.</w:t>
      </w:r>
    </w:p>
    <w:p w14:paraId="17D9EC89" w14:textId="77777777" w:rsidR="00DA7972" w:rsidRDefault="00000000">
      <w:pPr>
        <w:pStyle w:val="Heading3"/>
      </w:pPr>
      <w:r>
        <w:rPr>
          <w:rFonts w:eastAsia="Calibri" w:cs="Calibri"/>
          <w:szCs w:val="22"/>
        </w:rPr>
        <w:t>B.3 The International Lane default</w:t>
      </w:r>
    </w:p>
    <w:p w14:paraId="1E540A94" w14:textId="77777777" w:rsidR="00DA7972" w:rsidRDefault="00000000">
      <w:r>
        <w:rPr>
          <w:rFonts w:eastAsia="Georgia" w:cs="Georgia"/>
          <w:szCs w:val="21"/>
        </w:rPr>
        <w:t>Corridor Three serves as the default lane for any vessel that requires no specific coastal service, such as loading or discharging at a terminal. Classes A through F transit the Lane under the notice rule of Article 8.4: a twelve-field notice filed with the Meridian Operations Center between 72 and 6 hours before entry, with acknowledgment by default in 30 minutes. Class G vessels transit Corridor One only, per Article 27.5, and the Lane admits no Class G movement. Class H vessels proceed to anchorage under Article 9.5 before any corridor assignment. Treatment in the Lane otherwise follows the matrix of Table B.1.</w:t>
      </w:r>
    </w:p>
    <w:p w14:paraId="19269C32" w14:textId="77777777" w:rsidR="00DA7972" w:rsidRDefault="00000000">
      <w:pPr>
        <w:pStyle w:val="Heading1"/>
      </w:pPr>
      <w:bookmarkStart w:id="63" w:name="_Toc236229944"/>
      <w:r>
        <w:rPr>
          <w:rFonts w:eastAsia="Calibri" w:cs="Calibri"/>
          <w:sz w:val="22"/>
          <w:szCs w:val="32"/>
        </w:rPr>
        <w:lastRenderedPageBreak/>
        <w:t>Annex C: Transit Services Fund Charter</w:t>
      </w:r>
      <w:bookmarkEnd w:id="63"/>
    </w:p>
    <w:p w14:paraId="7942E820" w14:textId="77777777" w:rsidR="00DA7972" w:rsidRDefault="00000000">
      <w:pPr>
        <w:pStyle w:val="Heading3"/>
      </w:pPr>
      <w:r>
        <w:rPr>
          <w:rFonts w:eastAsia="Calibri" w:cs="Calibri"/>
          <w:szCs w:val="22"/>
        </w:rPr>
        <w:t>C.1 Legal form and accounts</w:t>
      </w:r>
    </w:p>
    <w:p w14:paraId="16D01C26" w14:textId="77777777" w:rsidR="00DA7972" w:rsidRDefault="00000000">
      <w:r>
        <w:rPr>
          <w:rFonts w:eastAsia="Georgia" w:cs="Georgia"/>
          <w:szCs w:val="21"/>
        </w:rPr>
        <w:t>The Fund operates as a multilateral fiduciary facility under Swiss law, administered by the Neutral Administrator. Principal account: a Swiss-confederation-supervised banking institution in Bern or Zurich. Mirror settlement account: the Central Bank of Oman correspondent arrangement in Muscat. All accounts publish their audited balances annually.</w:t>
      </w:r>
    </w:p>
    <w:p w14:paraId="48D48F7B" w14:textId="77777777" w:rsidR="00DA7972" w:rsidRDefault="00000000">
      <w:pPr>
        <w:pStyle w:val="Heading3"/>
      </w:pPr>
      <w:r>
        <w:rPr>
          <w:rFonts w:eastAsia="Calibri" w:cs="Calibri"/>
          <w:szCs w:val="22"/>
        </w:rPr>
        <w:t>C.2 Initial capitalization</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2306"/>
        <w:gridCol w:w="2306"/>
        <w:gridCol w:w="2306"/>
        <w:gridCol w:w="2308"/>
      </w:tblGrid>
      <w:tr w:rsidR="00DA7972" w14:paraId="22310EE9" w14:textId="77777777">
        <w:trPr>
          <w:tblHeader/>
        </w:trPr>
        <w:tc>
          <w:tcPr>
            <w:tcW w:w="2252" w:type="dxa"/>
            <w:tcBorders>
              <w:bottom w:val="single" w:sz="6" w:space="0" w:color="546E7A"/>
            </w:tcBorders>
            <w:shd w:val="clear" w:color="auto" w:fill="E4E9EC"/>
          </w:tcPr>
          <w:p w14:paraId="1D914BEF" w14:textId="77777777" w:rsidR="00DA7972" w:rsidRDefault="00000000">
            <w:pPr>
              <w:spacing w:after="0" w:line="260" w:lineRule="auto"/>
              <w:jc w:val="left"/>
            </w:pPr>
            <w:r>
              <w:rPr>
                <w:rFonts w:ascii="Calibri" w:eastAsia="Calibri" w:hAnsi="Calibri" w:cs="Calibri"/>
                <w:b/>
                <w:color w:val="37474F"/>
                <w:sz w:val="19"/>
                <w:szCs w:val="19"/>
              </w:rPr>
              <w:t>Contributor</w:t>
            </w:r>
          </w:p>
        </w:tc>
        <w:tc>
          <w:tcPr>
            <w:tcW w:w="2252" w:type="dxa"/>
            <w:tcBorders>
              <w:bottom w:val="single" w:sz="6" w:space="0" w:color="546E7A"/>
            </w:tcBorders>
            <w:shd w:val="clear" w:color="auto" w:fill="E4E9EC"/>
          </w:tcPr>
          <w:p w14:paraId="6A1AD907" w14:textId="77777777" w:rsidR="00DA7972" w:rsidRDefault="00000000">
            <w:pPr>
              <w:spacing w:after="0" w:line="260" w:lineRule="auto"/>
              <w:jc w:val="left"/>
            </w:pPr>
            <w:r>
              <w:rPr>
                <w:rFonts w:ascii="Calibri" w:eastAsia="Calibri" w:hAnsi="Calibri" w:cs="Calibri"/>
                <w:b/>
                <w:color w:val="37474F"/>
                <w:sz w:val="19"/>
                <w:szCs w:val="19"/>
              </w:rPr>
              <w:t>Instrument</w:t>
            </w:r>
          </w:p>
        </w:tc>
        <w:tc>
          <w:tcPr>
            <w:tcW w:w="2252" w:type="dxa"/>
            <w:tcBorders>
              <w:bottom w:val="single" w:sz="6" w:space="0" w:color="546E7A"/>
            </w:tcBorders>
            <w:shd w:val="clear" w:color="auto" w:fill="E4E9EC"/>
          </w:tcPr>
          <w:p w14:paraId="2304CD24" w14:textId="77777777" w:rsidR="00DA7972" w:rsidRDefault="00000000">
            <w:pPr>
              <w:spacing w:after="0" w:line="260" w:lineRule="auto"/>
              <w:jc w:val="left"/>
            </w:pPr>
            <w:r>
              <w:rPr>
                <w:rFonts w:ascii="Calibri" w:eastAsia="Calibri" w:hAnsi="Calibri" w:cs="Calibri"/>
                <w:b/>
                <w:color w:val="37474F"/>
                <w:sz w:val="19"/>
                <w:szCs w:val="19"/>
              </w:rPr>
              <w:t>Initial contribution (USD)</w:t>
            </w:r>
          </w:p>
        </w:tc>
        <w:tc>
          <w:tcPr>
            <w:tcW w:w="2254" w:type="dxa"/>
            <w:tcBorders>
              <w:bottom w:val="single" w:sz="6" w:space="0" w:color="546E7A"/>
            </w:tcBorders>
            <w:shd w:val="clear" w:color="auto" w:fill="E4E9EC"/>
          </w:tcPr>
          <w:p w14:paraId="0A3EB1A0" w14:textId="77777777" w:rsidR="00DA7972" w:rsidRDefault="00000000">
            <w:pPr>
              <w:spacing w:after="0" w:line="260" w:lineRule="auto"/>
              <w:jc w:val="left"/>
            </w:pPr>
            <w:r>
              <w:rPr>
                <w:rFonts w:ascii="Calibri" w:eastAsia="Calibri" w:hAnsi="Calibri" w:cs="Calibri"/>
                <w:b/>
                <w:color w:val="37474F"/>
                <w:sz w:val="19"/>
                <w:szCs w:val="19"/>
              </w:rPr>
              <w:t>Share</w:t>
            </w:r>
          </w:p>
        </w:tc>
      </w:tr>
      <w:tr w:rsidR="00DA7972" w14:paraId="0FA9E139" w14:textId="77777777">
        <w:tc>
          <w:tcPr>
            <w:tcW w:w="2252" w:type="dxa"/>
          </w:tcPr>
          <w:p w14:paraId="4F15B492" w14:textId="77777777" w:rsidR="00DA7972" w:rsidRDefault="00000000">
            <w:pPr>
              <w:spacing w:after="0" w:line="260" w:lineRule="auto"/>
              <w:jc w:val="left"/>
            </w:pPr>
            <w:r>
              <w:rPr>
                <w:rFonts w:ascii="Calibri" w:eastAsia="Calibri" w:hAnsi="Calibri" w:cs="Calibri"/>
                <w:sz w:val="19"/>
                <w:szCs w:val="19"/>
              </w:rPr>
              <w:t>Islamic Republic of Iran</w:t>
            </w:r>
          </w:p>
        </w:tc>
        <w:tc>
          <w:tcPr>
            <w:tcW w:w="2252" w:type="dxa"/>
          </w:tcPr>
          <w:p w14:paraId="0EBD1A29" w14:textId="77777777" w:rsidR="00DA7972" w:rsidRDefault="00000000">
            <w:pPr>
              <w:spacing w:after="0" w:line="260" w:lineRule="auto"/>
              <w:jc w:val="left"/>
            </w:pPr>
            <w:r>
              <w:rPr>
                <w:rFonts w:ascii="Calibri" w:eastAsia="Calibri" w:hAnsi="Calibri" w:cs="Calibri"/>
                <w:sz w:val="19"/>
                <w:szCs w:val="19"/>
              </w:rPr>
              <w:t>Endowment</w:t>
            </w:r>
          </w:p>
        </w:tc>
        <w:tc>
          <w:tcPr>
            <w:tcW w:w="2252" w:type="dxa"/>
          </w:tcPr>
          <w:p w14:paraId="07A15790" w14:textId="77777777" w:rsidR="00DA7972" w:rsidRDefault="00000000">
            <w:pPr>
              <w:spacing w:after="0" w:line="260" w:lineRule="auto"/>
              <w:jc w:val="left"/>
            </w:pPr>
            <w:r>
              <w:rPr>
                <w:rFonts w:ascii="Calibri" w:eastAsia="Calibri" w:hAnsi="Calibri" w:cs="Calibri"/>
                <w:sz w:val="19"/>
                <w:szCs w:val="19"/>
              </w:rPr>
              <w:t>40,000,000</w:t>
            </w:r>
          </w:p>
        </w:tc>
        <w:tc>
          <w:tcPr>
            <w:tcW w:w="2254" w:type="dxa"/>
          </w:tcPr>
          <w:p w14:paraId="53A8D96C" w14:textId="77777777" w:rsidR="00DA7972" w:rsidRDefault="00000000">
            <w:pPr>
              <w:spacing w:after="0" w:line="260" w:lineRule="auto"/>
              <w:jc w:val="left"/>
            </w:pPr>
            <w:r>
              <w:rPr>
                <w:rFonts w:ascii="Calibri" w:eastAsia="Calibri" w:hAnsi="Calibri" w:cs="Calibri"/>
                <w:sz w:val="19"/>
                <w:szCs w:val="19"/>
              </w:rPr>
              <w:t>16.0 percent</w:t>
            </w:r>
          </w:p>
        </w:tc>
      </w:tr>
      <w:tr w:rsidR="00DA7972" w14:paraId="44D7F2F6" w14:textId="77777777">
        <w:tc>
          <w:tcPr>
            <w:tcW w:w="2252" w:type="dxa"/>
          </w:tcPr>
          <w:p w14:paraId="03320B26" w14:textId="77777777" w:rsidR="00DA7972" w:rsidRDefault="00000000">
            <w:pPr>
              <w:spacing w:after="0" w:line="260" w:lineRule="auto"/>
              <w:jc w:val="left"/>
            </w:pPr>
            <w:r>
              <w:rPr>
                <w:rFonts w:ascii="Calibri" w:eastAsia="Calibri" w:hAnsi="Calibri" w:cs="Calibri"/>
                <w:sz w:val="19"/>
                <w:szCs w:val="19"/>
              </w:rPr>
              <w:t>Sultanate of Oman</w:t>
            </w:r>
          </w:p>
        </w:tc>
        <w:tc>
          <w:tcPr>
            <w:tcW w:w="2252" w:type="dxa"/>
          </w:tcPr>
          <w:p w14:paraId="31E25033" w14:textId="77777777" w:rsidR="00DA7972" w:rsidRDefault="00000000">
            <w:pPr>
              <w:spacing w:after="0" w:line="260" w:lineRule="auto"/>
              <w:jc w:val="left"/>
            </w:pPr>
            <w:r>
              <w:rPr>
                <w:rFonts w:ascii="Calibri" w:eastAsia="Calibri" w:hAnsi="Calibri" w:cs="Calibri"/>
                <w:sz w:val="19"/>
                <w:szCs w:val="19"/>
              </w:rPr>
              <w:t>Endowment</w:t>
            </w:r>
          </w:p>
        </w:tc>
        <w:tc>
          <w:tcPr>
            <w:tcW w:w="2252" w:type="dxa"/>
          </w:tcPr>
          <w:p w14:paraId="522B927D" w14:textId="77777777" w:rsidR="00DA7972" w:rsidRDefault="00000000">
            <w:pPr>
              <w:spacing w:after="0" w:line="260" w:lineRule="auto"/>
              <w:jc w:val="left"/>
            </w:pPr>
            <w:r>
              <w:rPr>
                <w:rFonts w:ascii="Calibri" w:eastAsia="Calibri" w:hAnsi="Calibri" w:cs="Calibri"/>
                <w:sz w:val="19"/>
                <w:szCs w:val="19"/>
              </w:rPr>
              <w:t>40,000,000</w:t>
            </w:r>
          </w:p>
        </w:tc>
        <w:tc>
          <w:tcPr>
            <w:tcW w:w="2254" w:type="dxa"/>
          </w:tcPr>
          <w:p w14:paraId="6C9FADB5" w14:textId="77777777" w:rsidR="00DA7972" w:rsidRDefault="00000000">
            <w:pPr>
              <w:spacing w:after="0" w:line="260" w:lineRule="auto"/>
              <w:jc w:val="left"/>
            </w:pPr>
            <w:r>
              <w:rPr>
                <w:rFonts w:ascii="Calibri" w:eastAsia="Calibri" w:hAnsi="Calibri" w:cs="Calibri"/>
                <w:sz w:val="19"/>
                <w:szCs w:val="19"/>
              </w:rPr>
              <w:t>16.0 percent</w:t>
            </w:r>
          </w:p>
        </w:tc>
      </w:tr>
      <w:tr w:rsidR="00DA7972" w14:paraId="06534AAE" w14:textId="77777777">
        <w:tc>
          <w:tcPr>
            <w:tcW w:w="2252" w:type="dxa"/>
          </w:tcPr>
          <w:p w14:paraId="2B90AB19" w14:textId="77777777" w:rsidR="00DA7972" w:rsidRDefault="00000000">
            <w:pPr>
              <w:spacing w:after="0" w:line="260" w:lineRule="auto"/>
              <w:jc w:val="left"/>
            </w:pPr>
            <w:r>
              <w:rPr>
                <w:rFonts w:ascii="Calibri" w:eastAsia="Calibri" w:hAnsi="Calibri" w:cs="Calibri"/>
                <w:sz w:val="19"/>
                <w:szCs w:val="19"/>
              </w:rPr>
              <w:t>United Arab Emirates</w:t>
            </w:r>
          </w:p>
        </w:tc>
        <w:tc>
          <w:tcPr>
            <w:tcW w:w="2252" w:type="dxa"/>
          </w:tcPr>
          <w:p w14:paraId="6800AEDA" w14:textId="77777777" w:rsidR="00DA7972" w:rsidRDefault="00000000">
            <w:pPr>
              <w:spacing w:after="0" w:line="260" w:lineRule="auto"/>
              <w:jc w:val="left"/>
            </w:pPr>
            <w:r>
              <w:rPr>
                <w:rFonts w:ascii="Calibri" w:eastAsia="Calibri" w:hAnsi="Calibri" w:cs="Calibri"/>
                <w:sz w:val="19"/>
                <w:szCs w:val="19"/>
              </w:rPr>
              <w:t>Endowment on accession</w:t>
            </w:r>
          </w:p>
        </w:tc>
        <w:tc>
          <w:tcPr>
            <w:tcW w:w="2252" w:type="dxa"/>
          </w:tcPr>
          <w:p w14:paraId="7D40DA0D" w14:textId="77777777" w:rsidR="00DA7972" w:rsidRDefault="00000000">
            <w:pPr>
              <w:spacing w:after="0" w:line="260" w:lineRule="auto"/>
              <w:jc w:val="left"/>
            </w:pPr>
            <w:r>
              <w:rPr>
                <w:rFonts w:ascii="Calibri" w:eastAsia="Calibri" w:hAnsi="Calibri" w:cs="Calibri"/>
                <w:sz w:val="19"/>
                <w:szCs w:val="19"/>
              </w:rPr>
              <w:t>40,000,000</w:t>
            </w:r>
          </w:p>
        </w:tc>
        <w:tc>
          <w:tcPr>
            <w:tcW w:w="2254" w:type="dxa"/>
          </w:tcPr>
          <w:p w14:paraId="3BFA2467" w14:textId="77777777" w:rsidR="00DA7972" w:rsidRDefault="00000000">
            <w:pPr>
              <w:spacing w:after="0" w:line="260" w:lineRule="auto"/>
              <w:jc w:val="left"/>
            </w:pPr>
            <w:r>
              <w:rPr>
                <w:rFonts w:ascii="Calibri" w:eastAsia="Calibri" w:hAnsi="Calibri" w:cs="Calibri"/>
                <w:sz w:val="19"/>
                <w:szCs w:val="19"/>
              </w:rPr>
              <w:t>16.0 percent</w:t>
            </w:r>
          </w:p>
        </w:tc>
      </w:tr>
      <w:tr w:rsidR="00DA7972" w14:paraId="72D0F24E" w14:textId="77777777">
        <w:tc>
          <w:tcPr>
            <w:tcW w:w="2252" w:type="dxa"/>
          </w:tcPr>
          <w:p w14:paraId="44649EB9" w14:textId="77777777" w:rsidR="00DA7972" w:rsidRDefault="00000000">
            <w:pPr>
              <w:spacing w:after="0" w:line="260" w:lineRule="auto"/>
              <w:jc w:val="left"/>
            </w:pPr>
            <w:r>
              <w:rPr>
                <w:rFonts w:ascii="Calibri" w:eastAsia="Calibri" w:hAnsi="Calibri" w:cs="Calibri"/>
                <w:sz w:val="19"/>
                <w:szCs w:val="19"/>
              </w:rPr>
              <w:t>User-state contributor class (Endorsing Stakeholder and observer states, pooled)</w:t>
            </w:r>
          </w:p>
        </w:tc>
        <w:tc>
          <w:tcPr>
            <w:tcW w:w="2252" w:type="dxa"/>
          </w:tcPr>
          <w:p w14:paraId="6329EACF" w14:textId="77777777" w:rsidR="00DA7972" w:rsidRDefault="00000000">
            <w:pPr>
              <w:spacing w:after="0" w:line="260" w:lineRule="auto"/>
              <w:jc w:val="left"/>
            </w:pPr>
            <w:r>
              <w:rPr>
                <w:rFonts w:ascii="Calibri" w:eastAsia="Calibri" w:hAnsi="Calibri" w:cs="Calibri"/>
                <w:sz w:val="19"/>
                <w:szCs w:val="19"/>
              </w:rPr>
              <w:t>Endowment</w:t>
            </w:r>
          </w:p>
        </w:tc>
        <w:tc>
          <w:tcPr>
            <w:tcW w:w="2252" w:type="dxa"/>
          </w:tcPr>
          <w:p w14:paraId="5A21EB9A" w14:textId="77777777" w:rsidR="00DA7972" w:rsidRDefault="00000000">
            <w:pPr>
              <w:spacing w:after="0" w:line="260" w:lineRule="auto"/>
              <w:jc w:val="left"/>
            </w:pPr>
            <w:r>
              <w:rPr>
                <w:rFonts w:ascii="Calibri" w:eastAsia="Calibri" w:hAnsi="Calibri" w:cs="Calibri"/>
                <w:sz w:val="19"/>
                <w:szCs w:val="19"/>
              </w:rPr>
              <w:t>80,000,000</w:t>
            </w:r>
          </w:p>
        </w:tc>
        <w:tc>
          <w:tcPr>
            <w:tcW w:w="2254" w:type="dxa"/>
          </w:tcPr>
          <w:p w14:paraId="62585C11" w14:textId="77777777" w:rsidR="00DA7972" w:rsidRDefault="00000000">
            <w:pPr>
              <w:spacing w:after="0" w:line="260" w:lineRule="auto"/>
              <w:jc w:val="left"/>
            </w:pPr>
            <w:r>
              <w:rPr>
                <w:rFonts w:ascii="Calibri" w:eastAsia="Calibri" w:hAnsi="Calibri" w:cs="Calibri"/>
                <w:sz w:val="19"/>
                <w:szCs w:val="19"/>
              </w:rPr>
              <w:t>32.0 percent</w:t>
            </w:r>
          </w:p>
        </w:tc>
      </w:tr>
      <w:tr w:rsidR="00DA7972" w14:paraId="2D184797" w14:textId="77777777">
        <w:tc>
          <w:tcPr>
            <w:tcW w:w="2252" w:type="dxa"/>
          </w:tcPr>
          <w:p w14:paraId="54EC9D62" w14:textId="77777777" w:rsidR="00DA7972" w:rsidRDefault="00000000">
            <w:pPr>
              <w:spacing w:after="0" w:line="260" w:lineRule="auto"/>
              <w:jc w:val="left"/>
            </w:pPr>
            <w:r>
              <w:rPr>
                <w:rFonts w:ascii="Calibri" w:eastAsia="Calibri" w:hAnsi="Calibri" w:cs="Calibri"/>
                <w:sz w:val="19"/>
                <w:szCs w:val="19"/>
              </w:rPr>
              <w:t>Industry endowment (flag administrations and operator associations, pooled)</w:t>
            </w:r>
          </w:p>
        </w:tc>
        <w:tc>
          <w:tcPr>
            <w:tcW w:w="2252" w:type="dxa"/>
          </w:tcPr>
          <w:p w14:paraId="145EACF8" w14:textId="77777777" w:rsidR="00DA7972" w:rsidRDefault="00000000">
            <w:pPr>
              <w:spacing w:after="0" w:line="260" w:lineRule="auto"/>
              <w:jc w:val="left"/>
            </w:pPr>
            <w:r>
              <w:rPr>
                <w:rFonts w:ascii="Calibri" w:eastAsia="Calibri" w:hAnsi="Calibri" w:cs="Calibri"/>
                <w:sz w:val="19"/>
                <w:szCs w:val="19"/>
              </w:rPr>
              <w:t>Endowment</w:t>
            </w:r>
          </w:p>
        </w:tc>
        <w:tc>
          <w:tcPr>
            <w:tcW w:w="2252" w:type="dxa"/>
          </w:tcPr>
          <w:p w14:paraId="0F1E5CF2" w14:textId="77777777" w:rsidR="00DA7972" w:rsidRDefault="00000000">
            <w:pPr>
              <w:spacing w:after="0" w:line="260" w:lineRule="auto"/>
              <w:jc w:val="left"/>
            </w:pPr>
            <w:r>
              <w:rPr>
                <w:rFonts w:ascii="Calibri" w:eastAsia="Calibri" w:hAnsi="Calibri" w:cs="Calibri"/>
                <w:sz w:val="19"/>
                <w:szCs w:val="19"/>
              </w:rPr>
              <w:t>25,000,000</w:t>
            </w:r>
          </w:p>
        </w:tc>
        <w:tc>
          <w:tcPr>
            <w:tcW w:w="2254" w:type="dxa"/>
          </w:tcPr>
          <w:p w14:paraId="1AE061E5" w14:textId="77777777" w:rsidR="00DA7972" w:rsidRDefault="00000000">
            <w:pPr>
              <w:spacing w:after="0" w:line="260" w:lineRule="auto"/>
              <w:jc w:val="left"/>
            </w:pPr>
            <w:r>
              <w:rPr>
                <w:rFonts w:ascii="Calibri" w:eastAsia="Calibri" w:hAnsi="Calibri" w:cs="Calibri"/>
                <w:sz w:val="19"/>
                <w:szCs w:val="19"/>
              </w:rPr>
              <w:t>10.0 percent</w:t>
            </w:r>
          </w:p>
        </w:tc>
      </w:tr>
      <w:tr w:rsidR="00DA7972" w14:paraId="51D2F9EC" w14:textId="77777777">
        <w:tc>
          <w:tcPr>
            <w:tcW w:w="2252" w:type="dxa"/>
          </w:tcPr>
          <w:p w14:paraId="177F2494" w14:textId="77777777" w:rsidR="00DA7972" w:rsidRDefault="00000000">
            <w:pPr>
              <w:spacing w:after="0" w:line="260" w:lineRule="auto"/>
              <w:jc w:val="left"/>
            </w:pPr>
            <w:r>
              <w:rPr>
                <w:rFonts w:ascii="Calibri" w:eastAsia="Calibri" w:hAnsi="Calibri" w:cs="Calibri"/>
                <w:sz w:val="19"/>
                <w:szCs w:val="19"/>
              </w:rPr>
              <w:t>Standing liquidity reserve carve-out</w:t>
            </w:r>
          </w:p>
        </w:tc>
        <w:tc>
          <w:tcPr>
            <w:tcW w:w="2252" w:type="dxa"/>
          </w:tcPr>
          <w:p w14:paraId="03AB0880" w14:textId="77777777" w:rsidR="00DA7972" w:rsidRDefault="00000000">
            <w:pPr>
              <w:spacing w:after="0" w:line="260" w:lineRule="auto"/>
              <w:jc w:val="left"/>
            </w:pPr>
            <w:r>
              <w:rPr>
                <w:rFonts w:ascii="Calibri" w:eastAsia="Calibri" w:hAnsi="Calibri" w:cs="Calibri"/>
                <w:sz w:val="19"/>
                <w:szCs w:val="19"/>
              </w:rPr>
              <w:t>Reserve, from endowment inflows</w:t>
            </w:r>
          </w:p>
        </w:tc>
        <w:tc>
          <w:tcPr>
            <w:tcW w:w="2252" w:type="dxa"/>
          </w:tcPr>
          <w:p w14:paraId="5371DBF5" w14:textId="77777777" w:rsidR="00DA7972" w:rsidRDefault="00000000">
            <w:pPr>
              <w:spacing w:after="0" w:line="260" w:lineRule="auto"/>
              <w:jc w:val="left"/>
            </w:pPr>
            <w:r>
              <w:rPr>
                <w:rFonts w:ascii="Calibri" w:eastAsia="Calibri" w:hAnsi="Calibri" w:cs="Calibri"/>
                <w:sz w:val="19"/>
                <w:szCs w:val="19"/>
              </w:rPr>
              <w:t>15,000,000</w:t>
            </w:r>
          </w:p>
        </w:tc>
        <w:tc>
          <w:tcPr>
            <w:tcW w:w="2254" w:type="dxa"/>
          </w:tcPr>
          <w:p w14:paraId="52102E74" w14:textId="77777777" w:rsidR="00DA7972" w:rsidRDefault="00000000">
            <w:pPr>
              <w:spacing w:after="0" w:line="260" w:lineRule="auto"/>
              <w:jc w:val="left"/>
            </w:pPr>
            <w:r>
              <w:rPr>
                <w:rFonts w:ascii="Calibri" w:eastAsia="Calibri" w:hAnsi="Calibri" w:cs="Calibri"/>
                <w:sz w:val="19"/>
                <w:szCs w:val="19"/>
              </w:rPr>
              <w:t>6.0 percent</w:t>
            </w:r>
          </w:p>
        </w:tc>
      </w:tr>
      <w:tr w:rsidR="00DA7972" w14:paraId="3551C233" w14:textId="77777777">
        <w:tc>
          <w:tcPr>
            <w:tcW w:w="2252" w:type="dxa"/>
          </w:tcPr>
          <w:p w14:paraId="25CAAE26" w14:textId="77777777" w:rsidR="00DA7972" w:rsidRDefault="00000000">
            <w:pPr>
              <w:spacing w:after="0" w:line="260" w:lineRule="auto"/>
              <w:jc w:val="left"/>
            </w:pPr>
            <w:r>
              <w:rPr>
                <w:rFonts w:ascii="Calibri" w:eastAsia="Calibri" w:hAnsi="Calibri" w:cs="Calibri"/>
                <w:sz w:val="19"/>
                <w:szCs w:val="19"/>
              </w:rPr>
              <w:t>Disruption reserve carve-out</w:t>
            </w:r>
          </w:p>
        </w:tc>
        <w:tc>
          <w:tcPr>
            <w:tcW w:w="2252" w:type="dxa"/>
          </w:tcPr>
          <w:p w14:paraId="6B87B25B" w14:textId="77777777" w:rsidR="00DA7972" w:rsidRDefault="00000000">
            <w:pPr>
              <w:spacing w:after="0" w:line="260" w:lineRule="auto"/>
              <w:jc w:val="left"/>
            </w:pPr>
            <w:r>
              <w:rPr>
                <w:rFonts w:ascii="Calibri" w:eastAsia="Calibri" w:hAnsi="Calibri" w:cs="Calibri"/>
                <w:sz w:val="19"/>
                <w:szCs w:val="19"/>
              </w:rPr>
              <w:t>Reserve, 15 percent of endowment</w:t>
            </w:r>
          </w:p>
        </w:tc>
        <w:tc>
          <w:tcPr>
            <w:tcW w:w="2252" w:type="dxa"/>
          </w:tcPr>
          <w:p w14:paraId="4FD242FF" w14:textId="77777777" w:rsidR="00DA7972" w:rsidRDefault="00000000">
            <w:pPr>
              <w:spacing w:after="0" w:line="260" w:lineRule="auto"/>
              <w:jc w:val="left"/>
            </w:pPr>
            <w:r>
              <w:rPr>
                <w:rFonts w:ascii="Calibri" w:eastAsia="Calibri" w:hAnsi="Calibri" w:cs="Calibri"/>
                <w:sz w:val="19"/>
                <w:szCs w:val="19"/>
              </w:rPr>
              <w:t>10,000,000</w:t>
            </w:r>
          </w:p>
        </w:tc>
        <w:tc>
          <w:tcPr>
            <w:tcW w:w="2254" w:type="dxa"/>
          </w:tcPr>
          <w:p w14:paraId="506106E1" w14:textId="77777777" w:rsidR="00DA7972" w:rsidRDefault="00000000">
            <w:pPr>
              <w:spacing w:after="0" w:line="260" w:lineRule="auto"/>
              <w:jc w:val="left"/>
            </w:pPr>
            <w:r>
              <w:rPr>
                <w:rFonts w:ascii="Calibri" w:eastAsia="Calibri" w:hAnsi="Calibri" w:cs="Calibri"/>
                <w:sz w:val="19"/>
                <w:szCs w:val="19"/>
              </w:rPr>
              <w:t>4.0 percent</w:t>
            </w:r>
          </w:p>
        </w:tc>
      </w:tr>
      <w:tr w:rsidR="00DA7972" w14:paraId="7351069D" w14:textId="77777777">
        <w:tc>
          <w:tcPr>
            <w:tcW w:w="2252" w:type="dxa"/>
          </w:tcPr>
          <w:p w14:paraId="1C93FDEA" w14:textId="77777777" w:rsidR="00DA7972" w:rsidRDefault="00000000">
            <w:pPr>
              <w:spacing w:after="0" w:line="260" w:lineRule="auto"/>
              <w:jc w:val="left"/>
            </w:pPr>
            <w:r>
              <w:rPr>
                <w:rFonts w:ascii="Calibri" w:eastAsia="Calibri" w:hAnsi="Calibri" w:cs="Calibri"/>
                <w:sz w:val="19"/>
                <w:szCs w:val="19"/>
              </w:rPr>
              <w:t>Total initial facility</w:t>
            </w:r>
          </w:p>
        </w:tc>
        <w:tc>
          <w:tcPr>
            <w:tcW w:w="2252" w:type="dxa"/>
          </w:tcPr>
          <w:p w14:paraId="7480B63F" w14:textId="77777777" w:rsidR="00DA7972" w:rsidRDefault="00000000">
            <w:pPr>
              <w:spacing w:after="0" w:line="260" w:lineRule="auto"/>
              <w:jc w:val="left"/>
            </w:pPr>
            <w:r>
              <w:rPr>
                <w:rFonts w:ascii="Calibri" w:eastAsia="Calibri" w:hAnsi="Calibri" w:cs="Calibri"/>
                <w:sz w:val="19"/>
                <w:szCs w:val="19"/>
              </w:rPr>
              <w:t>Sum of lines</w:t>
            </w:r>
          </w:p>
        </w:tc>
        <w:tc>
          <w:tcPr>
            <w:tcW w:w="2252" w:type="dxa"/>
          </w:tcPr>
          <w:p w14:paraId="08DC9097" w14:textId="77777777" w:rsidR="00DA7972" w:rsidRDefault="00000000">
            <w:pPr>
              <w:spacing w:after="0" w:line="260" w:lineRule="auto"/>
              <w:jc w:val="left"/>
            </w:pPr>
            <w:r>
              <w:rPr>
                <w:rFonts w:ascii="Calibri" w:eastAsia="Calibri" w:hAnsi="Calibri" w:cs="Calibri"/>
                <w:sz w:val="19"/>
                <w:szCs w:val="19"/>
              </w:rPr>
              <w:t>250,000,000</w:t>
            </w:r>
          </w:p>
        </w:tc>
        <w:tc>
          <w:tcPr>
            <w:tcW w:w="2254" w:type="dxa"/>
          </w:tcPr>
          <w:p w14:paraId="10A3B485" w14:textId="77777777" w:rsidR="00DA7972" w:rsidRDefault="00000000">
            <w:pPr>
              <w:spacing w:after="0" w:line="260" w:lineRule="auto"/>
              <w:jc w:val="left"/>
            </w:pPr>
            <w:r>
              <w:rPr>
                <w:rFonts w:ascii="Calibri" w:eastAsia="Calibri" w:hAnsi="Calibri" w:cs="Calibri"/>
                <w:sz w:val="19"/>
                <w:szCs w:val="19"/>
              </w:rPr>
              <w:t>100 percent</w:t>
            </w:r>
          </w:p>
        </w:tc>
      </w:tr>
    </w:tbl>
    <w:p w14:paraId="0677AD00" w14:textId="77777777" w:rsidR="00DA7972" w:rsidRDefault="00DA7972">
      <w:pPr>
        <w:spacing w:after="60"/>
      </w:pPr>
    </w:p>
    <w:p w14:paraId="38348522" w14:textId="77777777" w:rsidR="00DA7972" w:rsidRDefault="00000000">
      <w:pPr>
        <w:pStyle w:val="Caption"/>
      </w:pPr>
      <w:r>
        <w:rPr>
          <w:rFonts w:eastAsia="Calibri" w:cs="Calibri"/>
          <w:szCs w:val="18"/>
        </w:rPr>
        <w:t>Table C.2: Initial capitalization schedule; accession contributions per the same schedule</w:t>
      </w:r>
    </w:p>
    <w:p w14:paraId="51E442AA" w14:textId="77777777" w:rsidR="00DA7972" w:rsidRDefault="00000000">
      <w:r>
        <w:rPr>
          <w:rFonts w:eastAsia="Georgia" w:cs="Georgia"/>
          <w:szCs w:val="21"/>
        </w:rPr>
        <w:t>The schedule scales contributions to capacity, caps any single contributor below one third, and publishes every contribution. Contribution levels review at each annual Conference under the default-continuity rule.</w:t>
      </w:r>
    </w:p>
    <w:p w14:paraId="3CDE6161" w14:textId="77777777" w:rsidR="00DA7972" w:rsidRDefault="00000000">
      <w:pPr>
        <w:pStyle w:val="Heading3"/>
      </w:pPr>
      <w:r>
        <w:rPr>
          <w:rFonts w:eastAsia="Calibri" w:cs="Calibri"/>
          <w:szCs w:val="22"/>
        </w:rPr>
        <w:t>C.3 Payment mechanics</w:t>
      </w:r>
    </w:p>
    <w:p w14:paraId="3A4A961D" w14:textId="77777777" w:rsidR="00DA7972" w:rsidRDefault="00000000">
      <w:r>
        <w:rPr>
          <w:rFonts w:eastAsia="Georgia" w:cs="Georgia"/>
          <w:szCs w:val="21"/>
        </w:rPr>
        <w:t>Payments execute monthly against verified service records: the delivering state submits the service record bundle; the Administrator validates against the Charter and the rate card; the Neutral Keel cross-check sample confirms; payment executes within 10 working days. A validation failure pauses the line item only, with written reasons, and the default-continuity rule keeps every other line moving.</w:t>
      </w:r>
    </w:p>
    <w:p w14:paraId="5A6DA223" w14:textId="77777777" w:rsidR="00DA7972" w:rsidRDefault="00000000">
      <w:pPr>
        <w:pStyle w:val="Heading3"/>
      </w:pPr>
      <w:r>
        <w:rPr>
          <w:rFonts w:eastAsia="Calibri" w:cs="Calibri"/>
          <w:szCs w:val="22"/>
        </w:rPr>
        <w:t>C.4 Initial rate card</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2306"/>
        <w:gridCol w:w="2306"/>
        <w:gridCol w:w="2306"/>
        <w:gridCol w:w="2308"/>
      </w:tblGrid>
      <w:tr w:rsidR="00DA7972" w14:paraId="27CED566" w14:textId="77777777">
        <w:trPr>
          <w:tblHeader/>
        </w:trPr>
        <w:tc>
          <w:tcPr>
            <w:tcW w:w="2252" w:type="dxa"/>
            <w:tcBorders>
              <w:bottom w:val="single" w:sz="6" w:space="0" w:color="546E7A"/>
            </w:tcBorders>
            <w:shd w:val="clear" w:color="auto" w:fill="E4E9EC"/>
          </w:tcPr>
          <w:p w14:paraId="3AF1FD1F" w14:textId="77777777" w:rsidR="00DA7972" w:rsidRDefault="00000000">
            <w:pPr>
              <w:spacing w:after="0" w:line="260" w:lineRule="auto"/>
              <w:jc w:val="left"/>
            </w:pPr>
            <w:r>
              <w:rPr>
                <w:rFonts w:ascii="Calibri" w:eastAsia="Calibri" w:hAnsi="Calibri" w:cs="Calibri"/>
                <w:b/>
                <w:color w:val="37474F"/>
                <w:sz w:val="19"/>
                <w:szCs w:val="19"/>
              </w:rPr>
              <w:t>Service</w:t>
            </w:r>
          </w:p>
        </w:tc>
        <w:tc>
          <w:tcPr>
            <w:tcW w:w="2252" w:type="dxa"/>
            <w:tcBorders>
              <w:bottom w:val="single" w:sz="6" w:space="0" w:color="546E7A"/>
            </w:tcBorders>
            <w:shd w:val="clear" w:color="auto" w:fill="E4E9EC"/>
          </w:tcPr>
          <w:p w14:paraId="70885105" w14:textId="77777777" w:rsidR="00DA7972" w:rsidRDefault="00000000">
            <w:pPr>
              <w:spacing w:after="0" w:line="260" w:lineRule="auto"/>
              <w:jc w:val="left"/>
            </w:pPr>
            <w:r>
              <w:rPr>
                <w:rFonts w:ascii="Calibri" w:eastAsia="Calibri" w:hAnsi="Calibri" w:cs="Calibri"/>
                <w:b/>
                <w:color w:val="37474F"/>
                <w:sz w:val="19"/>
                <w:szCs w:val="19"/>
              </w:rPr>
              <w:t>Unit</w:t>
            </w:r>
          </w:p>
        </w:tc>
        <w:tc>
          <w:tcPr>
            <w:tcW w:w="2252" w:type="dxa"/>
            <w:tcBorders>
              <w:bottom w:val="single" w:sz="6" w:space="0" w:color="546E7A"/>
            </w:tcBorders>
            <w:shd w:val="clear" w:color="auto" w:fill="E4E9EC"/>
          </w:tcPr>
          <w:p w14:paraId="389926F3" w14:textId="77777777" w:rsidR="00DA7972" w:rsidRDefault="00000000">
            <w:pPr>
              <w:spacing w:after="0" w:line="260" w:lineRule="auto"/>
              <w:jc w:val="left"/>
            </w:pPr>
            <w:r>
              <w:rPr>
                <w:rFonts w:ascii="Calibri" w:eastAsia="Calibri" w:hAnsi="Calibri" w:cs="Calibri"/>
                <w:b/>
                <w:color w:val="37474F"/>
                <w:sz w:val="19"/>
                <w:szCs w:val="19"/>
              </w:rPr>
              <w:t>Initial rate (USD)</w:t>
            </w:r>
          </w:p>
        </w:tc>
        <w:tc>
          <w:tcPr>
            <w:tcW w:w="2254" w:type="dxa"/>
            <w:tcBorders>
              <w:bottom w:val="single" w:sz="6" w:space="0" w:color="546E7A"/>
            </w:tcBorders>
            <w:shd w:val="clear" w:color="auto" w:fill="E4E9EC"/>
          </w:tcPr>
          <w:p w14:paraId="6678151D" w14:textId="77777777" w:rsidR="00DA7972" w:rsidRDefault="00000000">
            <w:pPr>
              <w:spacing w:after="0" w:line="260" w:lineRule="auto"/>
              <w:jc w:val="left"/>
            </w:pPr>
            <w:r>
              <w:rPr>
                <w:rFonts w:ascii="Calibri" w:eastAsia="Calibri" w:hAnsi="Calibri" w:cs="Calibri"/>
                <w:b/>
                <w:color w:val="37474F"/>
                <w:sz w:val="19"/>
                <w:szCs w:val="19"/>
              </w:rPr>
              <w:t>Benchmark source</w:t>
            </w:r>
          </w:p>
        </w:tc>
      </w:tr>
      <w:tr w:rsidR="00DA7972" w14:paraId="491C1339" w14:textId="77777777">
        <w:tc>
          <w:tcPr>
            <w:tcW w:w="2252" w:type="dxa"/>
          </w:tcPr>
          <w:p w14:paraId="44DD780E" w14:textId="77777777" w:rsidR="00DA7972" w:rsidRDefault="00000000">
            <w:pPr>
              <w:spacing w:after="0" w:line="260" w:lineRule="auto"/>
              <w:jc w:val="left"/>
            </w:pPr>
            <w:r>
              <w:rPr>
                <w:rFonts w:ascii="Calibri" w:eastAsia="Calibri" w:hAnsi="Calibri" w:cs="Calibri"/>
                <w:sz w:val="19"/>
                <w:szCs w:val="19"/>
              </w:rPr>
              <w:lastRenderedPageBreak/>
              <w:t>Vessel traffic service operation</w:t>
            </w:r>
          </w:p>
        </w:tc>
        <w:tc>
          <w:tcPr>
            <w:tcW w:w="2252" w:type="dxa"/>
          </w:tcPr>
          <w:p w14:paraId="7F538E4B" w14:textId="77777777" w:rsidR="00DA7972" w:rsidRDefault="00000000">
            <w:pPr>
              <w:spacing w:after="0" w:line="260" w:lineRule="auto"/>
              <w:jc w:val="left"/>
            </w:pPr>
            <w:r>
              <w:rPr>
                <w:rFonts w:ascii="Calibri" w:eastAsia="Calibri" w:hAnsi="Calibri" w:cs="Calibri"/>
                <w:sz w:val="19"/>
                <w:szCs w:val="19"/>
              </w:rPr>
              <w:t>Per corridor transit-day</w:t>
            </w:r>
          </w:p>
        </w:tc>
        <w:tc>
          <w:tcPr>
            <w:tcW w:w="2252" w:type="dxa"/>
          </w:tcPr>
          <w:p w14:paraId="4386D1F3" w14:textId="77777777" w:rsidR="00DA7972" w:rsidRDefault="00000000">
            <w:pPr>
              <w:spacing w:after="0" w:line="260" w:lineRule="auto"/>
              <w:jc w:val="left"/>
            </w:pPr>
            <w:r>
              <w:rPr>
                <w:rFonts w:ascii="Calibri" w:eastAsia="Calibri" w:hAnsi="Calibri" w:cs="Calibri"/>
                <w:sz w:val="19"/>
                <w:szCs w:val="19"/>
              </w:rPr>
              <w:t>180,000 per day across the three corridors, apportioned</w:t>
            </w:r>
          </w:p>
        </w:tc>
        <w:tc>
          <w:tcPr>
            <w:tcW w:w="2254" w:type="dxa"/>
          </w:tcPr>
          <w:p w14:paraId="2631371D" w14:textId="77777777" w:rsidR="00DA7972" w:rsidRDefault="00000000">
            <w:pPr>
              <w:spacing w:after="0" w:line="260" w:lineRule="auto"/>
              <w:jc w:val="left"/>
            </w:pPr>
            <w:r>
              <w:rPr>
                <w:rFonts w:ascii="Calibri" w:eastAsia="Calibri" w:hAnsi="Calibri" w:cs="Calibri"/>
                <w:sz w:val="19"/>
                <w:szCs w:val="19"/>
              </w:rPr>
              <w:t>Regional VTS cost study, 2025 base</w:t>
            </w:r>
          </w:p>
        </w:tc>
      </w:tr>
      <w:tr w:rsidR="00DA7972" w14:paraId="419E2067" w14:textId="77777777">
        <w:tc>
          <w:tcPr>
            <w:tcW w:w="2252" w:type="dxa"/>
          </w:tcPr>
          <w:p w14:paraId="551A5AAE" w14:textId="77777777" w:rsidR="00DA7972" w:rsidRDefault="00000000">
            <w:pPr>
              <w:spacing w:after="0" w:line="260" w:lineRule="auto"/>
              <w:jc w:val="left"/>
            </w:pPr>
            <w:r>
              <w:rPr>
                <w:rFonts w:ascii="Calibri" w:eastAsia="Calibri" w:hAnsi="Calibri" w:cs="Calibri"/>
                <w:sz w:val="19"/>
                <w:szCs w:val="19"/>
              </w:rPr>
              <w:t>Escorted window coordination</w:t>
            </w:r>
          </w:p>
        </w:tc>
        <w:tc>
          <w:tcPr>
            <w:tcW w:w="2252" w:type="dxa"/>
          </w:tcPr>
          <w:p w14:paraId="6F15B168" w14:textId="77777777" w:rsidR="00DA7972" w:rsidRDefault="00000000">
            <w:pPr>
              <w:spacing w:after="0" w:line="260" w:lineRule="auto"/>
              <w:jc w:val="left"/>
            </w:pPr>
            <w:r>
              <w:rPr>
                <w:rFonts w:ascii="Calibri" w:eastAsia="Calibri" w:hAnsi="Calibri" w:cs="Calibri"/>
                <w:sz w:val="19"/>
                <w:szCs w:val="19"/>
              </w:rPr>
              <w:t>Per window</w:t>
            </w:r>
          </w:p>
        </w:tc>
        <w:tc>
          <w:tcPr>
            <w:tcW w:w="2252" w:type="dxa"/>
          </w:tcPr>
          <w:p w14:paraId="2E43C7B6" w14:textId="77777777" w:rsidR="00DA7972" w:rsidRDefault="00000000">
            <w:pPr>
              <w:spacing w:after="0" w:line="260" w:lineRule="auto"/>
              <w:jc w:val="left"/>
            </w:pPr>
            <w:r>
              <w:rPr>
                <w:rFonts w:ascii="Calibri" w:eastAsia="Calibri" w:hAnsi="Calibri" w:cs="Calibri"/>
                <w:sz w:val="19"/>
                <w:szCs w:val="19"/>
              </w:rPr>
              <w:t>22,000</w:t>
            </w:r>
          </w:p>
        </w:tc>
        <w:tc>
          <w:tcPr>
            <w:tcW w:w="2254" w:type="dxa"/>
          </w:tcPr>
          <w:p w14:paraId="79515E5D" w14:textId="77777777" w:rsidR="00DA7972" w:rsidRDefault="00000000">
            <w:pPr>
              <w:spacing w:after="0" w:line="260" w:lineRule="auto"/>
              <w:jc w:val="left"/>
            </w:pPr>
            <w:r>
              <w:rPr>
                <w:rFonts w:ascii="Calibri" w:eastAsia="Calibri" w:hAnsi="Calibri" w:cs="Calibri"/>
                <w:sz w:val="19"/>
                <w:szCs w:val="19"/>
              </w:rPr>
              <w:t>Gulf escort operating cost survey</w:t>
            </w:r>
          </w:p>
        </w:tc>
      </w:tr>
      <w:tr w:rsidR="00DA7972" w14:paraId="409A1EF6" w14:textId="77777777">
        <w:tc>
          <w:tcPr>
            <w:tcW w:w="2252" w:type="dxa"/>
          </w:tcPr>
          <w:p w14:paraId="6A4DEAC1" w14:textId="77777777" w:rsidR="00DA7972" w:rsidRDefault="00000000">
            <w:pPr>
              <w:spacing w:after="0" w:line="260" w:lineRule="auto"/>
              <w:jc w:val="left"/>
            </w:pPr>
            <w:r>
              <w:rPr>
                <w:rFonts w:ascii="Calibri" w:eastAsia="Calibri" w:hAnsi="Calibri" w:cs="Calibri"/>
                <w:sz w:val="19"/>
                <w:szCs w:val="19"/>
              </w:rPr>
              <w:t>Pilotage advisory (Corridor Two)</w:t>
            </w:r>
          </w:p>
        </w:tc>
        <w:tc>
          <w:tcPr>
            <w:tcW w:w="2252" w:type="dxa"/>
          </w:tcPr>
          <w:p w14:paraId="4A33D810" w14:textId="77777777" w:rsidR="00DA7972" w:rsidRDefault="00000000">
            <w:pPr>
              <w:spacing w:after="0" w:line="260" w:lineRule="auto"/>
              <w:jc w:val="left"/>
            </w:pPr>
            <w:r>
              <w:rPr>
                <w:rFonts w:ascii="Calibri" w:eastAsia="Calibri" w:hAnsi="Calibri" w:cs="Calibri"/>
                <w:sz w:val="19"/>
                <w:szCs w:val="19"/>
              </w:rPr>
              <w:t>Per vessel movement</w:t>
            </w:r>
          </w:p>
        </w:tc>
        <w:tc>
          <w:tcPr>
            <w:tcW w:w="2252" w:type="dxa"/>
          </w:tcPr>
          <w:p w14:paraId="41F4B182" w14:textId="77777777" w:rsidR="00DA7972" w:rsidRDefault="00000000">
            <w:pPr>
              <w:spacing w:after="0" w:line="260" w:lineRule="auto"/>
              <w:jc w:val="left"/>
            </w:pPr>
            <w:r>
              <w:rPr>
                <w:rFonts w:ascii="Calibri" w:eastAsia="Calibri" w:hAnsi="Calibri" w:cs="Calibri"/>
                <w:sz w:val="19"/>
                <w:szCs w:val="19"/>
              </w:rPr>
              <w:t>Published Bandar Abbas and Qeshm port tariff</w:t>
            </w:r>
          </w:p>
        </w:tc>
        <w:tc>
          <w:tcPr>
            <w:tcW w:w="2254" w:type="dxa"/>
          </w:tcPr>
          <w:p w14:paraId="634A9DF1" w14:textId="77777777" w:rsidR="00DA7972" w:rsidRDefault="00000000">
            <w:pPr>
              <w:spacing w:after="0" w:line="260" w:lineRule="auto"/>
              <w:jc w:val="left"/>
            </w:pPr>
            <w:r>
              <w:rPr>
                <w:rFonts w:ascii="Calibri" w:eastAsia="Calibri" w:hAnsi="Calibri" w:cs="Calibri"/>
                <w:sz w:val="19"/>
                <w:szCs w:val="19"/>
              </w:rPr>
              <w:t>Port tariffs, non-discriminatory</w:t>
            </w:r>
          </w:p>
        </w:tc>
      </w:tr>
      <w:tr w:rsidR="00DA7972" w14:paraId="3D70CD4D" w14:textId="77777777">
        <w:tc>
          <w:tcPr>
            <w:tcW w:w="2252" w:type="dxa"/>
          </w:tcPr>
          <w:p w14:paraId="73A2993B" w14:textId="77777777" w:rsidR="00DA7972" w:rsidRDefault="00000000">
            <w:pPr>
              <w:spacing w:after="0" w:line="260" w:lineRule="auto"/>
              <w:jc w:val="left"/>
            </w:pPr>
            <w:r>
              <w:rPr>
                <w:rFonts w:ascii="Calibri" w:eastAsia="Calibri" w:hAnsi="Calibri" w:cs="Calibri"/>
                <w:sz w:val="19"/>
                <w:szCs w:val="19"/>
              </w:rPr>
              <w:t>Hydrographic survey</w:t>
            </w:r>
          </w:p>
        </w:tc>
        <w:tc>
          <w:tcPr>
            <w:tcW w:w="2252" w:type="dxa"/>
          </w:tcPr>
          <w:p w14:paraId="3FDD72C8" w14:textId="77777777" w:rsidR="00DA7972" w:rsidRDefault="00000000">
            <w:pPr>
              <w:spacing w:after="0" w:line="260" w:lineRule="auto"/>
              <w:jc w:val="left"/>
            </w:pPr>
            <w:r>
              <w:rPr>
                <w:rFonts w:ascii="Calibri" w:eastAsia="Calibri" w:hAnsi="Calibri" w:cs="Calibri"/>
                <w:sz w:val="19"/>
                <w:szCs w:val="19"/>
              </w:rPr>
              <w:t>Per survey-mile</w:t>
            </w:r>
          </w:p>
        </w:tc>
        <w:tc>
          <w:tcPr>
            <w:tcW w:w="2252" w:type="dxa"/>
          </w:tcPr>
          <w:p w14:paraId="2D89305C" w14:textId="77777777" w:rsidR="00DA7972" w:rsidRDefault="00000000">
            <w:pPr>
              <w:spacing w:after="0" w:line="260" w:lineRule="auto"/>
              <w:jc w:val="left"/>
            </w:pPr>
            <w:r>
              <w:rPr>
                <w:rFonts w:ascii="Calibri" w:eastAsia="Calibri" w:hAnsi="Calibri" w:cs="Calibri"/>
                <w:sz w:val="19"/>
                <w:szCs w:val="19"/>
              </w:rPr>
              <w:t>4,500</w:t>
            </w:r>
          </w:p>
        </w:tc>
        <w:tc>
          <w:tcPr>
            <w:tcW w:w="2254" w:type="dxa"/>
          </w:tcPr>
          <w:p w14:paraId="0310FAC3" w14:textId="77777777" w:rsidR="00DA7972" w:rsidRDefault="00000000">
            <w:pPr>
              <w:spacing w:after="0" w:line="260" w:lineRule="auto"/>
              <w:jc w:val="left"/>
            </w:pPr>
            <w:r>
              <w:rPr>
                <w:rFonts w:ascii="Calibri" w:eastAsia="Calibri" w:hAnsi="Calibri" w:cs="Calibri"/>
                <w:sz w:val="19"/>
                <w:szCs w:val="19"/>
              </w:rPr>
              <w:t>IHO cost references</w:t>
            </w:r>
          </w:p>
        </w:tc>
      </w:tr>
      <w:tr w:rsidR="00DA7972" w14:paraId="7AF61587" w14:textId="77777777">
        <w:tc>
          <w:tcPr>
            <w:tcW w:w="2252" w:type="dxa"/>
          </w:tcPr>
          <w:p w14:paraId="2B80E13D" w14:textId="77777777" w:rsidR="00DA7972" w:rsidRDefault="00000000">
            <w:pPr>
              <w:spacing w:after="0" w:line="260" w:lineRule="auto"/>
              <w:jc w:val="left"/>
            </w:pPr>
            <w:r>
              <w:rPr>
                <w:rFonts w:ascii="Calibri" w:eastAsia="Calibri" w:hAnsi="Calibri" w:cs="Calibri"/>
                <w:sz w:val="19"/>
                <w:szCs w:val="19"/>
              </w:rPr>
              <w:t>Aids to navigation maintenance</w:t>
            </w:r>
          </w:p>
        </w:tc>
        <w:tc>
          <w:tcPr>
            <w:tcW w:w="2252" w:type="dxa"/>
          </w:tcPr>
          <w:p w14:paraId="0A4D989C" w14:textId="77777777" w:rsidR="00DA7972" w:rsidRDefault="00000000">
            <w:pPr>
              <w:spacing w:after="0" w:line="260" w:lineRule="auto"/>
              <w:jc w:val="left"/>
            </w:pPr>
            <w:r>
              <w:rPr>
                <w:rFonts w:ascii="Calibri" w:eastAsia="Calibri" w:hAnsi="Calibri" w:cs="Calibri"/>
                <w:sz w:val="19"/>
                <w:szCs w:val="19"/>
              </w:rPr>
              <w:t>Per aid-year</w:t>
            </w:r>
          </w:p>
        </w:tc>
        <w:tc>
          <w:tcPr>
            <w:tcW w:w="2252" w:type="dxa"/>
          </w:tcPr>
          <w:p w14:paraId="5DE45C08" w14:textId="77777777" w:rsidR="00DA7972" w:rsidRDefault="00000000">
            <w:pPr>
              <w:spacing w:after="0" w:line="260" w:lineRule="auto"/>
              <w:jc w:val="left"/>
            </w:pPr>
            <w:r>
              <w:rPr>
                <w:rFonts w:ascii="Calibri" w:eastAsia="Calibri" w:hAnsi="Calibri" w:cs="Calibri"/>
                <w:sz w:val="19"/>
                <w:szCs w:val="19"/>
              </w:rPr>
              <w:t>85,000</w:t>
            </w:r>
          </w:p>
        </w:tc>
        <w:tc>
          <w:tcPr>
            <w:tcW w:w="2254" w:type="dxa"/>
          </w:tcPr>
          <w:p w14:paraId="1CAB8410" w14:textId="77777777" w:rsidR="00DA7972" w:rsidRDefault="00000000">
            <w:pPr>
              <w:spacing w:after="0" w:line="260" w:lineRule="auto"/>
              <w:jc w:val="left"/>
            </w:pPr>
            <w:r>
              <w:rPr>
                <w:rFonts w:ascii="Calibri" w:eastAsia="Calibri" w:hAnsi="Calibri" w:cs="Calibri"/>
                <w:sz w:val="19"/>
                <w:szCs w:val="19"/>
              </w:rPr>
              <w:t>Regional aids authority schedules</w:t>
            </w:r>
          </w:p>
        </w:tc>
      </w:tr>
      <w:tr w:rsidR="00DA7972" w14:paraId="53255A38" w14:textId="77777777">
        <w:tc>
          <w:tcPr>
            <w:tcW w:w="2252" w:type="dxa"/>
          </w:tcPr>
          <w:p w14:paraId="4DA4D354" w14:textId="77777777" w:rsidR="00DA7972" w:rsidRDefault="00000000">
            <w:pPr>
              <w:spacing w:after="0" w:line="260" w:lineRule="auto"/>
              <w:jc w:val="left"/>
            </w:pPr>
            <w:r>
              <w:rPr>
                <w:rFonts w:ascii="Calibri" w:eastAsia="Calibri" w:hAnsi="Calibri" w:cs="Calibri"/>
                <w:sz w:val="19"/>
                <w:szCs w:val="19"/>
              </w:rPr>
              <w:t>Search and rescue standby</w:t>
            </w:r>
          </w:p>
        </w:tc>
        <w:tc>
          <w:tcPr>
            <w:tcW w:w="2252" w:type="dxa"/>
          </w:tcPr>
          <w:p w14:paraId="474C1DF3" w14:textId="77777777" w:rsidR="00DA7972" w:rsidRDefault="00000000">
            <w:pPr>
              <w:spacing w:after="0" w:line="260" w:lineRule="auto"/>
              <w:jc w:val="left"/>
            </w:pPr>
            <w:r>
              <w:rPr>
                <w:rFonts w:ascii="Calibri" w:eastAsia="Calibri" w:hAnsi="Calibri" w:cs="Calibri"/>
                <w:sz w:val="19"/>
                <w:szCs w:val="19"/>
              </w:rPr>
              <w:t>Per asset-day</w:t>
            </w:r>
          </w:p>
        </w:tc>
        <w:tc>
          <w:tcPr>
            <w:tcW w:w="2252" w:type="dxa"/>
          </w:tcPr>
          <w:p w14:paraId="4E25C459" w14:textId="77777777" w:rsidR="00DA7972" w:rsidRDefault="00000000">
            <w:pPr>
              <w:spacing w:after="0" w:line="260" w:lineRule="auto"/>
              <w:jc w:val="left"/>
            </w:pPr>
            <w:r>
              <w:rPr>
                <w:rFonts w:ascii="Calibri" w:eastAsia="Calibri" w:hAnsi="Calibri" w:cs="Calibri"/>
                <w:sz w:val="19"/>
                <w:szCs w:val="19"/>
              </w:rPr>
              <w:t>9,000</w:t>
            </w:r>
          </w:p>
        </w:tc>
        <w:tc>
          <w:tcPr>
            <w:tcW w:w="2254" w:type="dxa"/>
          </w:tcPr>
          <w:p w14:paraId="19EA78B4" w14:textId="77777777" w:rsidR="00DA7972" w:rsidRDefault="00000000">
            <w:pPr>
              <w:spacing w:after="0" w:line="260" w:lineRule="auto"/>
              <w:jc w:val="left"/>
            </w:pPr>
            <w:r>
              <w:rPr>
                <w:rFonts w:ascii="Calibri" w:eastAsia="Calibri" w:hAnsi="Calibri" w:cs="Calibri"/>
                <w:sz w:val="19"/>
                <w:szCs w:val="19"/>
              </w:rPr>
              <w:t>Regional rescue operating costs</w:t>
            </w:r>
          </w:p>
        </w:tc>
      </w:tr>
      <w:tr w:rsidR="00DA7972" w14:paraId="7C2C3ADC" w14:textId="77777777">
        <w:tc>
          <w:tcPr>
            <w:tcW w:w="2252" w:type="dxa"/>
          </w:tcPr>
          <w:p w14:paraId="5B030576" w14:textId="77777777" w:rsidR="00DA7972" w:rsidRDefault="00000000">
            <w:pPr>
              <w:spacing w:after="0" w:line="260" w:lineRule="auto"/>
              <w:jc w:val="left"/>
            </w:pPr>
            <w:r>
              <w:rPr>
                <w:rFonts w:ascii="Calibri" w:eastAsia="Calibri" w:hAnsi="Calibri" w:cs="Calibri"/>
                <w:sz w:val="19"/>
                <w:szCs w:val="19"/>
              </w:rPr>
              <w:t>Pollution response standby</w:t>
            </w:r>
          </w:p>
        </w:tc>
        <w:tc>
          <w:tcPr>
            <w:tcW w:w="2252" w:type="dxa"/>
          </w:tcPr>
          <w:p w14:paraId="1DF56805" w14:textId="77777777" w:rsidR="00DA7972" w:rsidRDefault="00000000">
            <w:pPr>
              <w:spacing w:after="0" w:line="260" w:lineRule="auto"/>
              <w:jc w:val="left"/>
            </w:pPr>
            <w:r>
              <w:rPr>
                <w:rFonts w:ascii="Calibri" w:eastAsia="Calibri" w:hAnsi="Calibri" w:cs="Calibri"/>
                <w:sz w:val="19"/>
                <w:szCs w:val="19"/>
              </w:rPr>
              <w:t>Per standby-day</w:t>
            </w:r>
          </w:p>
        </w:tc>
        <w:tc>
          <w:tcPr>
            <w:tcW w:w="2252" w:type="dxa"/>
          </w:tcPr>
          <w:p w14:paraId="6AA44DB9" w14:textId="77777777" w:rsidR="00DA7972" w:rsidRDefault="00000000">
            <w:pPr>
              <w:spacing w:after="0" w:line="260" w:lineRule="auto"/>
              <w:jc w:val="left"/>
            </w:pPr>
            <w:r>
              <w:rPr>
                <w:rFonts w:ascii="Calibri" w:eastAsia="Calibri" w:hAnsi="Calibri" w:cs="Calibri"/>
                <w:sz w:val="19"/>
                <w:szCs w:val="19"/>
              </w:rPr>
              <w:t>12,000</w:t>
            </w:r>
          </w:p>
        </w:tc>
        <w:tc>
          <w:tcPr>
            <w:tcW w:w="2254" w:type="dxa"/>
          </w:tcPr>
          <w:p w14:paraId="3C469E1B" w14:textId="77777777" w:rsidR="00DA7972" w:rsidRDefault="00000000">
            <w:pPr>
              <w:spacing w:after="0" w:line="260" w:lineRule="auto"/>
              <w:jc w:val="left"/>
            </w:pPr>
            <w:r>
              <w:rPr>
                <w:rFonts w:ascii="Calibri" w:eastAsia="Calibri" w:hAnsi="Calibri" w:cs="Calibri"/>
                <w:sz w:val="19"/>
                <w:szCs w:val="19"/>
              </w:rPr>
              <w:t>Regional response contractor rates</w:t>
            </w:r>
          </w:p>
        </w:tc>
      </w:tr>
      <w:tr w:rsidR="00DA7972" w14:paraId="17DDFB0D" w14:textId="77777777">
        <w:tc>
          <w:tcPr>
            <w:tcW w:w="2252" w:type="dxa"/>
          </w:tcPr>
          <w:p w14:paraId="47DB0DF2" w14:textId="77777777" w:rsidR="00DA7972" w:rsidRDefault="00000000">
            <w:pPr>
              <w:spacing w:after="0" w:line="260" w:lineRule="auto"/>
              <w:jc w:val="left"/>
            </w:pPr>
            <w:r>
              <w:rPr>
                <w:rFonts w:ascii="Calibri" w:eastAsia="Calibri" w:hAnsi="Calibri" w:cs="Calibri"/>
                <w:sz w:val="19"/>
                <w:szCs w:val="19"/>
              </w:rPr>
              <w:t>Tug availability</w:t>
            </w:r>
          </w:p>
        </w:tc>
        <w:tc>
          <w:tcPr>
            <w:tcW w:w="2252" w:type="dxa"/>
          </w:tcPr>
          <w:p w14:paraId="39B2D8DA" w14:textId="77777777" w:rsidR="00DA7972" w:rsidRDefault="00000000">
            <w:pPr>
              <w:spacing w:after="0" w:line="260" w:lineRule="auto"/>
              <w:jc w:val="left"/>
            </w:pPr>
            <w:r>
              <w:rPr>
                <w:rFonts w:ascii="Calibri" w:eastAsia="Calibri" w:hAnsi="Calibri" w:cs="Calibri"/>
                <w:sz w:val="19"/>
                <w:szCs w:val="19"/>
              </w:rPr>
              <w:t>Per standby-day</w:t>
            </w:r>
          </w:p>
        </w:tc>
        <w:tc>
          <w:tcPr>
            <w:tcW w:w="2252" w:type="dxa"/>
          </w:tcPr>
          <w:p w14:paraId="1D35F82B" w14:textId="77777777" w:rsidR="00DA7972" w:rsidRDefault="00000000">
            <w:pPr>
              <w:spacing w:after="0" w:line="260" w:lineRule="auto"/>
              <w:jc w:val="left"/>
            </w:pPr>
            <w:r>
              <w:rPr>
                <w:rFonts w:ascii="Calibri" w:eastAsia="Calibri" w:hAnsi="Calibri" w:cs="Calibri"/>
                <w:sz w:val="19"/>
                <w:szCs w:val="19"/>
              </w:rPr>
              <w:t>7,500</w:t>
            </w:r>
          </w:p>
        </w:tc>
        <w:tc>
          <w:tcPr>
            <w:tcW w:w="2254" w:type="dxa"/>
          </w:tcPr>
          <w:p w14:paraId="3A7E3C59" w14:textId="77777777" w:rsidR="00DA7972" w:rsidRDefault="00000000">
            <w:pPr>
              <w:spacing w:after="0" w:line="260" w:lineRule="auto"/>
              <w:jc w:val="left"/>
            </w:pPr>
            <w:r>
              <w:rPr>
                <w:rFonts w:ascii="Calibri" w:eastAsia="Calibri" w:hAnsi="Calibri" w:cs="Calibri"/>
                <w:sz w:val="19"/>
                <w:szCs w:val="19"/>
              </w:rPr>
              <w:t>Salvage market standby rates</w:t>
            </w:r>
          </w:p>
        </w:tc>
      </w:tr>
    </w:tbl>
    <w:p w14:paraId="39F4D799" w14:textId="77777777" w:rsidR="00DA7972" w:rsidRDefault="00DA7972">
      <w:pPr>
        <w:spacing w:after="60"/>
      </w:pPr>
    </w:p>
    <w:p w14:paraId="00FFD311" w14:textId="77777777" w:rsidR="00DA7972" w:rsidRDefault="00000000">
      <w:pPr>
        <w:pStyle w:val="Caption"/>
      </w:pPr>
      <w:r>
        <w:rPr>
          <w:rFonts w:eastAsia="Calibri" w:cs="Calibri"/>
          <w:szCs w:val="18"/>
        </w:rPr>
        <w:t>Table C.4: Initial rate card; annual adjustment on the Technical Committee cost study</w:t>
      </w:r>
    </w:p>
    <w:p w14:paraId="7150D56A" w14:textId="77777777" w:rsidR="00DA7972" w:rsidRDefault="00000000">
      <w:pPr>
        <w:pStyle w:val="Heading3"/>
      </w:pPr>
      <w:r>
        <w:rPr>
          <w:rFonts w:eastAsia="Calibri" w:cs="Calibri"/>
          <w:szCs w:val="22"/>
        </w:rPr>
        <w:t>C.5 Apportionment mechanics</w:t>
      </w:r>
    </w:p>
    <w:p w14:paraId="45184416" w14:textId="77777777" w:rsidR="00DA7972" w:rsidRDefault="00000000">
      <w:r>
        <w:rPr>
          <w:rFonts w:eastAsia="Georgia" w:cs="Georgia"/>
          <w:szCs w:val="21"/>
        </w:rPr>
        <w:t>Net service cost after institutional first call apportions between endowment drawdown and access contributions inside the 40 to 60 percent band of Article 23.4. The board fixes the year's point in the first quarter on the Auditor's sustainability opinion; a stalled decision holds the prior year's point. Access contributions invoice quarterly through flag administrations or operators, at published per-service-unit rates, never per transit.</w:t>
      </w:r>
    </w:p>
    <w:p w14:paraId="4EF8D9AE" w14:textId="77777777" w:rsidR="00DA7972" w:rsidRDefault="00000000">
      <w:pPr>
        <w:pStyle w:val="Heading3"/>
      </w:pPr>
      <w:r>
        <w:rPr>
          <w:rFonts w:eastAsia="Calibri" w:cs="Calibri"/>
          <w:szCs w:val="22"/>
        </w:rPr>
        <w:t>C.6 Compensation window schedule</w:t>
      </w:r>
    </w:p>
    <w:p w14:paraId="3BC3D24F" w14:textId="77777777" w:rsidR="00DA7972" w:rsidRDefault="00000000">
      <w:r>
        <w:rPr>
          <w:rFonts w:eastAsia="Georgia" w:cs="Georgia"/>
          <w:szCs w:val="21"/>
        </w:rPr>
        <w:t>Qualifying closure: a Neutral Keel-certified corridor closure beyond 24 hours. Compensation basis: documented demurrage, rerouting cost, and coastal revenue loss, capped per event at 40 percent of the disruption reserve, with pro-rata distribution where claims exceed the cap. Claims file within 90 days of the closure certificate; the Administrator pays verified claims within 60 days. Payment never implies fault, per Article 22.7.</w:t>
      </w:r>
    </w:p>
    <w:p w14:paraId="62680254" w14:textId="77777777" w:rsidR="00DA7972" w:rsidRDefault="00000000">
      <w:pPr>
        <w:pStyle w:val="Heading3"/>
      </w:pPr>
      <w:r>
        <w:rPr>
          <w:rFonts w:eastAsia="Calibri" w:cs="Calibri"/>
          <w:szCs w:val="22"/>
        </w:rPr>
        <w:t>C.7 Insurance normalization schedule</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5"/>
        <w:gridCol w:w="3075"/>
        <w:gridCol w:w="3076"/>
      </w:tblGrid>
      <w:tr w:rsidR="00DA7972" w14:paraId="049CDDBE" w14:textId="77777777">
        <w:trPr>
          <w:tblHeader/>
        </w:trPr>
        <w:tc>
          <w:tcPr>
            <w:tcW w:w="3003" w:type="dxa"/>
            <w:tcBorders>
              <w:bottom w:val="single" w:sz="6" w:space="0" w:color="546E7A"/>
            </w:tcBorders>
            <w:shd w:val="clear" w:color="auto" w:fill="E4E9EC"/>
          </w:tcPr>
          <w:p w14:paraId="4B2E445B" w14:textId="77777777" w:rsidR="00DA7972" w:rsidRDefault="00000000">
            <w:pPr>
              <w:spacing w:after="0" w:line="260" w:lineRule="auto"/>
              <w:jc w:val="left"/>
            </w:pPr>
            <w:r>
              <w:rPr>
                <w:rFonts w:ascii="Calibri" w:eastAsia="Calibri" w:hAnsi="Calibri" w:cs="Calibri"/>
                <w:b/>
                <w:color w:val="37474F"/>
                <w:sz w:val="19"/>
                <w:szCs w:val="19"/>
              </w:rPr>
              <w:t>Milestone</w:t>
            </w:r>
          </w:p>
        </w:tc>
        <w:tc>
          <w:tcPr>
            <w:tcW w:w="3003" w:type="dxa"/>
            <w:tcBorders>
              <w:bottom w:val="single" w:sz="6" w:space="0" w:color="546E7A"/>
            </w:tcBorders>
            <w:shd w:val="clear" w:color="auto" w:fill="E4E9EC"/>
          </w:tcPr>
          <w:p w14:paraId="490129DB" w14:textId="77777777" w:rsidR="00DA7972" w:rsidRDefault="00000000">
            <w:pPr>
              <w:spacing w:after="0" w:line="260" w:lineRule="auto"/>
              <w:jc w:val="left"/>
            </w:pPr>
            <w:r>
              <w:rPr>
                <w:rFonts w:ascii="Calibri" w:eastAsia="Calibri" w:hAnsi="Calibri" w:cs="Calibri"/>
                <w:b/>
                <w:color w:val="37474F"/>
                <w:sz w:val="19"/>
                <w:szCs w:val="19"/>
              </w:rPr>
              <w:t>Trigger</w:t>
            </w:r>
          </w:p>
        </w:tc>
        <w:tc>
          <w:tcPr>
            <w:tcW w:w="3004" w:type="dxa"/>
            <w:tcBorders>
              <w:bottom w:val="single" w:sz="6" w:space="0" w:color="546E7A"/>
            </w:tcBorders>
            <w:shd w:val="clear" w:color="auto" w:fill="E4E9EC"/>
          </w:tcPr>
          <w:p w14:paraId="4CAF8562" w14:textId="77777777" w:rsidR="00DA7972" w:rsidRDefault="00000000">
            <w:pPr>
              <w:spacing w:after="0" w:line="260" w:lineRule="auto"/>
              <w:jc w:val="left"/>
            </w:pPr>
            <w:r>
              <w:rPr>
                <w:rFonts w:ascii="Calibri" w:eastAsia="Calibri" w:hAnsi="Calibri" w:cs="Calibri"/>
                <w:b/>
                <w:color w:val="37474F"/>
                <w:sz w:val="19"/>
                <w:szCs w:val="19"/>
              </w:rPr>
              <w:t>Target</w:t>
            </w:r>
          </w:p>
        </w:tc>
      </w:tr>
      <w:tr w:rsidR="00DA7972" w14:paraId="428B2030" w14:textId="77777777">
        <w:tc>
          <w:tcPr>
            <w:tcW w:w="3003" w:type="dxa"/>
          </w:tcPr>
          <w:p w14:paraId="10F36D09" w14:textId="77777777" w:rsidR="00DA7972" w:rsidRDefault="00000000">
            <w:pPr>
              <w:spacing w:after="0" w:line="260" w:lineRule="auto"/>
              <w:jc w:val="left"/>
            </w:pPr>
            <w:r>
              <w:rPr>
                <w:rFonts w:ascii="Calibri" w:eastAsia="Calibri" w:hAnsi="Calibri" w:cs="Calibri"/>
                <w:sz w:val="19"/>
                <w:szCs w:val="19"/>
              </w:rPr>
              <w:t>Premium cap phase</w:t>
            </w:r>
          </w:p>
        </w:tc>
        <w:tc>
          <w:tcPr>
            <w:tcW w:w="3003" w:type="dxa"/>
          </w:tcPr>
          <w:p w14:paraId="65AAAFC9" w14:textId="77777777" w:rsidR="00DA7972" w:rsidRDefault="00000000">
            <w:pPr>
              <w:spacing w:after="0" w:line="260" w:lineRule="auto"/>
              <w:jc w:val="left"/>
            </w:pPr>
            <w:r>
              <w:rPr>
                <w:rFonts w:ascii="Calibri" w:eastAsia="Calibri" w:hAnsi="Calibri" w:cs="Calibri"/>
                <w:sz w:val="19"/>
                <w:szCs w:val="19"/>
              </w:rPr>
              <w:t>Sustained clean operation, 90 days</w:t>
            </w:r>
          </w:p>
        </w:tc>
        <w:tc>
          <w:tcPr>
            <w:tcW w:w="3004" w:type="dxa"/>
          </w:tcPr>
          <w:p w14:paraId="602690BA" w14:textId="77777777" w:rsidR="00DA7972" w:rsidRDefault="00000000">
            <w:pPr>
              <w:spacing w:after="0" w:line="260" w:lineRule="auto"/>
              <w:jc w:val="left"/>
            </w:pPr>
            <w:r>
              <w:rPr>
                <w:rFonts w:ascii="Calibri" w:eastAsia="Calibri" w:hAnsi="Calibri" w:cs="Calibri"/>
                <w:sz w:val="19"/>
                <w:szCs w:val="19"/>
              </w:rPr>
              <w:t>War-risk multiple at or below 2.0 times pre-crisis</w:t>
            </w:r>
          </w:p>
        </w:tc>
      </w:tr>
      <w:tr w:rsidR="00DA7972" w14:paraId="7D42DC76" w14:textId="77777777">
        <w:tc>
          <w:tcPr>
            <w:tcW w:w="3003" w:type="dxa"/>
          </w:tcPr>
          <w:p w14:paraId="6E5EAB80" w14:textId="77777777" w:rsidR="00DA7972" w:rsidRDefault="00000000">
            <w:pPr>
              <w:spacing w:after="0" w:line="260" w:lineRule="auto"/>
              <w:jc w:val="left"/>
            </w:pPr>
            <w:r>
              <w:rPr>
                <w:rFonts w:ascii="Calibri" w:eastAsia="Calibri" w:hAnsi="Calibri" w:cs="Calibri"/>
                <w:sz w:val="19"/>
                <w:szCs w:val="19"/>
              </w:rPr>
              <w:t>Normalization phase</w:t>
            </w:r>
          </w:p>
        </w:tc>
        <w:tc>
          <w:tcPr>
            <w:tcW w:w="3003" w:type="dxa"/>
          </w:tcPr>
          <w:p w14:paraId="40E63414" w14:textId="77777777" w:rsidR="00DA7972" w:rsidRDefault="00000000">
            <w:pPr>
              <w:spacing w:after="0" w:line="260" w:lineRule="auto"/>
              <w:jc w:val="left"/>
            </w:pPr>
            <w:r>
              <w:rPr>
                <w:rFonts w:ascii="Calibri" w:eastAsia="Calibri" w:hAnsi="Calibri" w:cs="Calibri"/>
                <w:sz w:val="19"/>
                <w:szCs w:val="19"/>
              </w:rPr>
              <w:t>Sustained clean operation, two quarters</w:t>
            </w:r>
          </w:p>
        </w:tc>
        <w:tc>
          <w:tcPr>
            <w:tcW w:w="3004" w:type="dxa"/>
          </w:tcPr>
          <w:p w14:paraId="5A68B05E" w14:textId="77777777" w:rsidR="00DA7972" w:rsidRDefault="00000000">
            <w:pPr>
              <w:spacing w:after="0" w:line="260" w:lineRule="auto"/>
              <w:jc w:val="left"/>
            </w:pPr>
            <w:r>
              <w:rPr>
                <w:rFonts w:ascii="Calibri" w:eastAsia="Calibri" w:hAnsi="Calibri" w:cs="Calibri"/>
                <w:sz w:val="19"/>
                <w:szCs w:val="19"/>
              </w:rPr>
              <w:t>Multiple at or below 1.5 times pre-crisis</w:t>
            </w:r>
          </w:p>
        </w:tc>
      </w:tr>
      <w:tr w:rsidR="00DA7972" w14:paraId="38EAD6CC" w14:textId="77777777">
        <w:tc>
          <w:tcPr>
            <w:tcW w:w="3003" w:type="dxa"/>
          </w:tcPr>
          <w:p w14:paraId="0910A4AA" w14:textId="77777777" w:rsidR="00DA7972" w:rsidRDefault="00000000">
            <w:pPr>
              <w:spacing w:after="0" w:line="260" w:lineRule="auto"/>
              <w:jc w:val="left"/>
            </w:pPr>
            <w:r>
              <w:rPr>
                <w:rFonts w:ascii="Calibri" w:eastAsia="Calibri" w:hAnsi="Calibri" w:cs="Calibri"/>
                <w:sz w:val="19"/>
                <w:szCs w:val="19"/>
              </w:rPr>
              <w:t>Restoration phase</w:t>
            </w:r>
          </w:p>
        </w:tc>
        <w:tc>
          <w:tcPr>
            <w:tcW w:w="3003" w:type="dxa"/>
          </w:tcPr>
          <w:p w14:paraId="5E89C2BB" w14:textId="77777777" w:rsidR="00DA7972" w:rsidRDefault="00000000">
            <w:pPr>
              <w:spacing w:after="0" w:line="260" w:lineRule="auto"/>
              <w:jc w:val="left"/>
            </w:pPr>
            <w:r>
              <w:rPr>
                <w:rFonts w:ascii="Calibri" w:eastAsia="Calibri" w:hAnsi="Calibri" w:cs="Calibri"/>
                <w:sz w:val="19"/>
                <w:szCs w:val="19"/>
              </w:rPr>
              <w:t>Sustained clean operation, four quarters</w:t>
            </w:r>
          </w:p>
        </w:tc>
        <w:tc>
          <w:tcPr>
            <w:tcW w:w="3004" w:type="dxa"/>
          </w:tcPr>
          <w:p w14:paraId="660069E1" w14:textId="77777777" w:rsidR="00DA7972" w:rsidRDefault="00000000">
            <w:pPr>
              <w:spacing w:after="0" w:line="260" w:lineRule="auto"/>
              <w:jc w:val="left"/>
            </w:pPr>
            <w:r>
              <w:rPr>
                <w:rFonts w:ascii="Calibri" w:eastAsia="Calibri" w:hAnsi="Calibri" w:cs="Calibri"/>
                <w:sz w:val="19"/>
                <w:szCs w:val="19"/>
              </w:rPr>
              <w:t>Pre-crisis premium levels restored</w:t>
            </w:r>
          </w:p>
        </w:tc>
      </w:tr>
    </w:tbl>
    <w:p w14:paraId="243F25D4" w14:textId="77777777" w:rsidR="00DA7972" w:rsidRDefault="00DA7972">
      <w:pPr>
        <w:spacing w:after="60"/>
      </w:pPr>
    </w:p>
    <w:p w14:paraId="259B0810" w14:textId="77777777" w:rsidR="00DA7972" w:rsidRDefault="00000000">
      <w:pPr>
        <w:pStyle w:val="Caption"/>
      </w:pPr>
      <w:r>
        <w:rPr>
          <w:rFonts w:eastAsia="Calibri" w:cs="Calibri"/>
          <w:szCs w:val="18"/>
        </w:rPr>
        <w:t>Table C.7: Premium normalization targets; the Center publishes the weekly premium index</w:t>
      </w:r>
    </w:p>
    <w:p w14:paraId="479123AE" w14:textId="77777777" w:rsidR="00DA7972" w:rsidRDefault="00000000">
      <w:pPr>
        <w:pStyle w:val="Heading3"/>
      </w:pPr>
      <w:r>
        <w:rPr>
          <w:rFonts w:eastAsia="Calibri" w:cs="Calibri"/>
          <w:szCs w:val="22"/>
        </w:rPr>
        <w:t>C.8 The Premium Adjustment formula</w:t>
      </w:r>
    </w:p>
    <w:p w14:paraId="2612AA32" w14:textId="77777777" w:rsidR="00DA7972" w:rsidRDefault="00000000">
      <w:r>
        <w:rPr>
          <w:rFonts w:eastAsia="Georgia" w:cs="Georgia"/>
          <w:szCs w:val="21"/>
        </w:rPr>
        <w:t>The Security and Environmental Premium Adjustment of Article 21C apportions the Fund's annual budget among participating states under the following formula:</w:t>
      </w:r>
    </w:p>
    <w:p w14:paraId="35180DCA" w14:textId="77777777" w:rsidR="00DA7972" w:rsidRDefault="00000000">
      <w:r>
        <w:rPr>
          <w:rFonts w:eastAsia="Georgia" w:cs="Georgia"/>
          <w:szCs w:val="21"/>
        </w:rPr>
        <w:t>State Share = (Volume Factor × 0.6) + (Endowment Factor × 0.4)</w:t>
      </w:r>
    </w:p>
    <w:p w14:paraId="76D5DF1D" w14:textId="77777777" w:rsidR="00DA7972" w:rsidRDefault="00000000">
      <w:r>
        <w:rPr>
          <w:rFonts w:eastAsia="Georgia" w:cs="Georgia"/>
          <w:szCs w:val="21"/>
        </w:rPr>
        <w:t>The Volume Factor equals the state's flagged fleet transits in the preceding year divided by the total transits of all participating states in the preceding year. The Endowment Factor equals the state's endowment contribution divided by the total endowment contributions of all participating states. The Administrator publishes the formula annually with the budget and provides a worked example for each state, showing the calculation and the resulting share. The formula is permanent and continues without expiry under the Nofade Guarantee of Article 4.</w:t>
      </w:r>
    </w:p>
    <w:p w14:paraId="05DD487C" w14:textId="77777777" w:rsidR="00DA7972" w:rsidRDefault="00000000">
      <w:pPr>
        <w:pStyle w:val="Heading1"/>
      </w:pPr>
      <w:bookmarkStart w:id="64" w:name="_Toc236229945"/>
      <w:r>
        <w:rPr>
          <w:rFonts w:eastAsia="Calibri" w:cs="Calibri"/>
          <w:color w:val="212121"/>
          <w:sz w:val="19"/>
          <w:szCs w:val="19"/>
        </w:rPr>
        <w:lastRenderedPageBreak/>
        <w:t>Annex D: Point Schedule for Verified Deviations</w:t>
      </w:r>
      <w:bookmarkEnd w:id="64"/>
    </w:p>
    <w:p w14:paraId="153274B9" w14:textId="77777777" w:rsidR="00DA7972" w:rsidRDefault="00000000">
      <w:r>
        <w:rPr>
          <w:rFonts w:eastAsia="Georgia" w:cs="Georgia"/>
          <w:szCs w:val="21"/>
        </w:rPr>
        <w:t>The Ledger converts verified deviations into points, and points feed the standing formula of Annex E. Points record severity, never politics, and every entry carries its evidence file reference.</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2306"/>
        <w:gridCol w:w="2306"/>
        <w:gridCol w:w="2306"/>
        <w:gridCol w:w="2308"/>
      </w:tblGrid>
      <w:tr w:rsidR="00DA7972" w14:paraId="5F232BD2" w14:textId="77777777">
        <w:trPr>
          <w:tblHeader/>
        </w:trPr>
        <w:tc>
          <w:tcPr>
            <w:tcW w:w="2252" w:type="dxa"/>
            <w:tcBorders>
              <w:bottom w:val="single" w:sz="6" w:space="0" w:color="546E7A"/>
            </w:tcBorders>
            <w:shd w:val="clear" w:color="auto" w:fill="E4E9EC"/>
          </w:tcPr>
          <w:p w14:paraId="4BB48F1C" w14:textId="77777777" w:rsidR="00DA7972" w:rsidRDefault="00000000">
            <w:pPr>
              <w:spacing w:after="0" w:line="260" w:lineRule="auto"/>
              <w:jc w:val="left"/>
            </w:pPr>
            <w:r>
              <w:rPr>
                <w:rFonts w:ascii="Calibri" w:eastAsia="Calibri" w:hAnsi="Calibri" w:cs="Calibri"/>
                <w:b/>
                <w:color w:val="37474F"/>
                <w:sz w:val="19"/>
                <w:szCs w:val="19"/>
              </w:rPr>
              <w:t>Category</w:t>
            </w:r>
          </w:p>
        </w:tc>
        <w:tc>
          <w:tcPr>
            <w:tcW w:w="2252" w:type="dxa"/>
            <w:tcBorders>
              <w:bottom w:val="single" w:sz="6" w:space="0" w:color="546E7A"/>
            </w:tcBorders>
            <w:shd w:val="clear" w:color="auto" w:fill="E4E9EC"/>
          </w:tcPr>
          <w:p w14:paraId="68E2FDF6" w14:textId="77777777" w:rsidR="00DA7972" w:rsidRDefault="00000000">
            <w:pPr>
              <w:spacing w:after="0" w:line="260" w:lineRule="auto"/>
              <w:jc w:val="left"/>
            </w:pPr>
            <w:r>
              <w:rPr>
                <w:rFonts w:ascii="Calibri" w:eastAsia="Calibri" w:hAnsi="Calibri" w:cs="Calibri"/>
                <w:b/>
                <w:color w:val="37474F"/>
                <w:sz w:val="19"/>
                <w:szCs w:val="19"/>
              </w:rPr>
              <w:t>Description</w:t>
            </w:r>
          </w:p>
        </w:tc>
        <w:tc>
          <w:tcPr>
            <w:tcW w:w="2252" w:type="dxa"/>
            <w:tcBorders>
              <w:bottom w:val="single" w:sz="6" w:space="0" w:color="546E7A"/>
            </w:tcBorders>
            <w:shd w:val="clear" w:color="auto" w:fill="E4E9EC"/>
          </w:tcPr>
          <w:p w14:paraId="6735A992" w14:textId="77777777" w:rsidR="00DA7972" w:rsidRDefault="00000000">
            <w:pPr>
              <w:spacing w:after="0" w:line="260" w:lineRule="auto"/>
              <w:jc w:val="left"/>
            </w:pPr>
            <w:r>
              <w:rPr>
                <w:rFonts w:ascii="Calibri" w:eastAsia="Calibri" w:hAnsi="Calibri" w:cs="Calibri"/>
                <w:b/>
                <w:color w:val="37474F"/>
                <w:sz w:val="19"/>
                <w:szCs w:val="19"/>
              </w:rPr>
              <w:t>Points</w:t>
            </w:r>
          </w:p>
        </w:tc>
        <w:tc>
          <w:tcPr>
            <w:tcW w:w="2254" w:type="dxa"/>
            <w:tcBorders>
              <w:bottom w:val="single" w:sz="6" w:space="0" w:color="546E7A"/>
            </w:tcBorders>
            <w:shd w:val="clear" w:color="auto" w:fill="E4E9EC"/>
          </w:tcPr>
          <w:p w14:paraId="10B732C3" w14:textId="77777777" w:rsidR="00DA7972" w:rsidRDefault="00000000">
            <w:pPr>
              <w:spacing w:after="0" w:line="260" w:lineRule="auto"/>
              <w:jc w:val="left"/>
            </w:pPr>
            <w:r>
              <w:rPr>
                <w:rFonts w:ascii="Calibri" w:eastAsia="Calibri" w:hAnsi="Calibri" w:cs="Calibri"/>
                <w:b/>
                <w:color w:val="37474F"/>
                <w:sz w:val="19"/>
                <w:szCs w:val="19"/>
              </w:rPr>
              <w:t>Notes</w:t>
            </w:r>
          </w:p>
        </w:tc>
      </w:tr>
      <w:tr w:rsidR="00DA7972" w14:paraId="1BEE1C4B" w14:textId="77777777">
        <w:tc>
          <w:tcPr>
            <w:tcW w:w="2252" w:type="dxa"/>
          </w:tcPr>
          <w:p w14:paraId="6354EDFB" w14:textId="77777777" w:rsidR="00DA7972" w:rsidRDefault="00000000">
            <w:pPr>
              <w:spacing w:after="0" w:line="260" w:lineRule="auto"/>
              <w:jc w:val="left"/>
            </w:pPr>
            <w:r>
              <w:rPr>
                <w:rFonts w:ascii="Calibri" w:eastAsia="Calibri" w:hAnsi="Calibri" w:cs="Calibri"/>
                <w:sz w:val="19"/>
                <w:szCs w:val="19"/>
              </w:rPr>
              <w:t>P-1</w:t>
            </w:r>
          </w:p>
        </w:tc>
        <w:tc>
          <w:tcPr>
            <w:tcW w:w="2252" w:type="dxa"/>
          </w:tcPr>
          <w:p w14:paraId="4C3A9617" w14:textId="77777777" w:rsidR="00DA7972" w:rsidRDefault="00000000">
            <w:pPr>
              <w:spacing w:after="0" w:line="260" w:lineRule="auto"/>
              <w:jc w:val="left"/>
            </w:pPr>
            <w:r>
              <w:rPr>
                <w:rFonts w:ascii="Calibri" w:eastAsia="Calibri" w:hAnsi="Calibri" w:cs="Calibri"/>
                <w:sz w:val="19"/>
                <w:szCs w:val="19"/>
              </w:rPr>
              <w:t>Procedural deviation, cured within notice window</w:t>
            </w:r>
          </w:p>
        </w:tc>
        <w:tc>
          <w:tcPr>
            <w:tcW w:w="2252" w:type="dxa"/>
          </w:tcPr>
          <w:p w14:paraId="7E9CDD5F" w14:textId="77777777" w:rsidR="00DA7972" w:rsidRDefault="00000000">
            <w:pPr>
              <w:spacing w:after="0" w:line="260" w:lineRule="auto"/>
              <w:jc w:val="left"/>
            </w:pPr>
            <w:r>
              <w:rPr>
                <w:rFonts w:ascii="Calibri" w:eastAsia="Calibri" w:hAnsi="Calibri" w:cs="Calibri"/>
                <w:sz w:val="19"/>
                <w:szCs w:val="19"/>
              </w:rPr>
              <w:t>1</w:t>
            </w:r>
          </w:p>
        </w:tc>
        <w:tc>
          <w:tcPr>
            <w:tcW w:w="2254" w:type="dxa"/>
          </w:tcPr>
          <w:p w14:paraId="62E590BA" w14:textId="77777777" w:rsidR="00DA7972" w:rsidRDefault="00000000">
            <w:pPr>
              <w:spacing w:after="0" w:line="260" w:lineRule="auto"/>
              <w:jc w:val="left"/>
            </w:pPr>
            <w:r>
              <w:rPr>
                <w:rFonts w:ascii="Calibri" w:eastAsia="Calibri" w:hAnsi="Calibri" w:cs="Calibri"/>
                <w:sz w:val="19"/>
                <w:szCs w:val="19"/>
              </w:rPr>
              <w:t>Expires from standing calculation at 12 months; archive retains</w:t>
            </w:r>
          </w:p>
        </w:tc>
      </w:tr>
      <w:tr w:rsidR="00DA7972" w14:paraId="5AABA3A2" w14:textId="77777777">
        <w:tc>
          <w:tcPr>
            <w:tcW w:w="2252" w:type="dxa"/>
          </w:tcPr>
          <w:p w14:paraId="18C0323B" w14:textId="77777777" w:rsidR="00DA7972" w:rsidRDefault="00000000">
            <w:pPr>
              <w:spacing w:after="0" w:line="260" w:lineRule="auto"/>
              <w:jc w:val="left"/>
            </w:pPr>
            <w:r>
              <w:rPr>
                <w:rFonts w:ascii="Calibri" w:eastAsia="Calibri" w:hAnsi="Calibri" w:cs="Calibri"/>
                <w:sz w:val="19"/>
                <w:szCs w:val="19"/>
              </w:rPr>
              <w:t>P-2</w:t>
            </w:r>
          </w:p>
        </w:tc>
        <w:tc>
          <w:tcPr>
            <w:tcW w:w="2252" w:type="dxa"/>
          </w:tcPr>
          <w:p w14:paraId="2053B1C4" w14:textId="77777777" w:rsidR="00DA7972" w:rsidRDefault="00000000">
            <w:pPr>
              <w:spacing w:after="0" w:line="260" w:lineRule="auto"/>
              <w:jc w:val="left"/>
            </w:pPr>
            <w:r>
              <w:rPr>
                <w:rFonts w:ascii="Calibri" w:eastAsia="Calibri" w:hAnsi="Calibri" w:cs="Calibri"/>
                <w:sz w:val="19"/>
                <w:szCs w:val="19"/>
              </w:rPr>
              <w:t>Procedural deviation, uncured or repeated</w:t>
            </w:r>
          </w:p>
        </w:tc>
        <w:tc>
          <w:tcPr>
            <w:tcW w:w="2252" w:type="dxa"/>
          </w:tcPr>
          <w:p w14:paraId="45D765BF" w14:textId="77777777" w:rsidR="00DA7972" w:rsidRDefault="00000000">
            <w:pPr>
              <w:spacing w:after="0" w:line="260" w:lineRule="auto"/>
              <w:jc w:val="left"/>
            </w:pPr>
            <w:r>
              <w:rPr>
                <w:rFonts w:ascii="Calibri" w:eastAsia="Calibri" w:hAnsi="Calibri" w:cs="Calibri"/>
                <w:sz w:val="19"/>
                <w:szCs w:val="19"/>
              </w:rPr>
              <w:t>3</w:t>
            </w:r>
          </w:p>
        </w:tc>
        <w:tc>
          <w:tcPr>
            <w:tcW w:w="2254" w:type="dxa"/>
          </w:tcPr>
          <w:p w14:paraId="73673D68" w14:textId="77777777" w:rsidR="00DA7972" w:rsidRDefault="00000000">
            <w:pPr>
              <w:spacing w:after="0" w:line="260" w:lineRule="auto"/>
              <w:jc w:val="left"/>
            </w:pPr>
            <w:r>
              <w:rPr>
                <w:rFonts w:ascii="Calibri" w:eastAsia="Calibri" w:hAnsi="Calibri" w:cs="Calibri"/>
                <w:sz w:val="19"/>
                <w:szCs w:val="19"/>
              </w:rPr>
              <w:t>Triggers ladder step two</w:t>
            </w:r>
          </w:p>
        </w:tc>
      </w:tr>
      <w:tr w:rsidR="00DA7972" w14:paraId="0D593532" w14:textId="77777777">
        <w:tc>
          <w:tcPr>
            <w:tcW w:w="2252" w:type="dxa"/>
          </w:tcPr>
          <w:p w14:paraId="05B16A94" w14:textId="77777777" w:rsidR="00DA7972" w:rsidRDefault="00000000">
            <w:pPr>
              <w:spacing w:after="0" w:line="260" w:lineRule="auto"/>
              <w:jc w:val="left"/>
            </w:pPr>
            <w:r>
              <w:rPr>
                <w:rFonts w:ascii="Calibri" w:eastAsia="Calibri" w:hAnsi="Calibri" w:cs="Calibri"/>
                <w:sz w:val="19"/>
                <w:szCs w:val="19"/>
              </w:rPr>
              <w:t>M-1</w:t>
            </w:r>
          </w:p>
        </w:tc>
        <w:tc>
          <w:tcPr>
            <w:tcW w:w="2252" w:type="dxa"/>
          </w:tcPr>
          <w:p w14:paraId="02525263" w14:textId="77777777" w:rsidR="00DA7972" w:rsidRDefault="00000000">
            <w:pPr>
              <w:spacing w:after="0" w:line="260" w:lineRule="auto"/>
              <w:jc w:val="left"/>
            </w:pPr>
            <w:r>
              <w:rPr>
                <w:rFonts w:ascii="Calibri" w:eastAsia="Calibri" w:hAnsi="Calibri" w:cs="Calibri"/>
                <w:sz w:val="19"/>
                <w:szCs w:val="19"/>
              </w:rPr>
              <w:t>Material deviation with third-party loss, cured</w:t>
            </w:r>
          </w:p>
        </w:tc>
        <w:tc>
          <w:tcPr>
            <w:tcW w:w="2252" w:type="dxa"/>
          </w:tcPr>
          <w:p w14:paraId="2B2F504C" w14:textId="77777777" w:rsidR="00DA7972" w:rsidRDefault="00000000">
            <w:pPr>
              <w:spacing w:after="0" w:line="260" w:lineRule="auto"/>
              <w:jc w:val="left"/>
            </w:pPr>
            <w:r>
              <w:rPr>
                <w:rFonts w:ascii="Calibri" w:eastAsia="Calibri" w:hAnsi="Calibri" w:cs="Calibri"/>
                <w:sz w:val="19"/>
                <w:szCs w:val="19"/>
              </w:rPr>
              <w:t>5</w:t>
            </w:r>
          </w:p>
        </w:tc>
        <w:tc>
          <w:tcPr>
            <w:tcW w:w="2254" w:type="dxa"/>
          </w:tcPr>
          <w:p w14:paraId="51282D28" w14:textId="77777777" w:rsidR="00DA7972" w:rsidRDefault="00000000">
            <w:pPr>
              <w:spacing w:after="0" w:line="260" w:lineRule="auto"/>
              <w:jc w:val="left"/>
            </w:pPr>
            <w:r>
              <w:rPr>
                <w:rFonts w:ascii="Calibri" w:eastAsia="Calibri" w:hAnsi="Calibri" w:cs="Calibri"/>
                <w:sz w:val="19"/>
                <w:szCs w:val="19"/>
              </w:rPr>
              <w:t>Compensation through Fund where qualifying</w:t>
            </w:r>
          </w:p>
        </w:tc>
      </w:tr>
      <w:tr w:rsidR="00DA7972" w14:paraId="5321C22E" w14:textId="77777777">
        <w:tc>
          <w:tcPr>
            <w:tcW w:w="2252" w:type="dxa"/>
          </w:tcPr>
          <w:p w14:paraId="325A7497" w14:textId="77777777" w:rsidR="00DA7972" w:rsidRDefault="00000000">
            <w:pPr>
              <w:spacing w:after="0" w:line="260" w:lineRule="auto"/>
              <w:jc w:val="left"/>
            </w:pPr>
            <w:r>
              <w:rPr>
                <w:rFonts w:ascii="Calibri" w:eastAsia="Calibri" w:hAnsi="Calibri" w:cs="Calibri"/>
                <w:sz w:val="19"/>
                <w:szCs w:val="19"/>
              </w:rPr>
              <w:t>M-2</w:t>
            </w:r>
          </w:p>
        </w:tc>
        <w:tc>
          <w:tcPr>
            <w:tcW w:w="2252" w:type="dxa"/>
          </w:tcPr>
          <w:p w14:paraId="53378BE3" w14:textId="77777777" w:rsidR="00DA7972" w:rsidRDefault="00000000">
            <w:pPr>
              <w:spacing w:after="0" w:line="260" w:lineRule="auto"/>
              <w:jc w:val="left"/>
            </w:pPr>
            <w:r>
              <w:rPr>
                <w:rFonts w:ascii="Calibri" w:eastAsia="Calibri" w:hAnsi="Calibri" w:cs="Calibri"/>
                <w:sz w:val="19"/>
                <w:szCs w:val="19"/>
              </w:rPr>
              <w:t>Obstruction of patrol, observer, or audit</w:t>
            </w:r>
          </w:p>
        </w:tc>
        <w:tc>
          <w:tcPr>
            <w:tcW w:w="2252" w:type="dxa"/>
          </w:tcPr>
          <w:p w14:paraId="14FE64CD" w14:textId="77777777" w:rsidR="00DA7972" w:rsidRDefault="00000000">
            <w:pPr>
              <w:spacing w:after="0" w:line="260" w:lineRule="auto"/>
              <w:jc w:val="left"/>
            </w:pPr>
            <w:r>
              <w:rPr>
                <w:rFonts w:ascii="Calibri" w:eastAsia="Calibri" w:hAnsi="Calibri" w:cs="Calibri"/>
                <w:sz w:val="19"/>
                <w:szCs w:val="19"/>
              </w:rPr>
              <w:t>8</w:t>
            </w:r>
          </w:p>
        </w:tc>
        <w:tc>
          <w:tcPr>
            <w:tcW w:w="2254" w:type="dxa"/>
          </w:tcPr>
          <w:p w14:paraId="7E6DBE12" w14:textId="77777777" w:rsidR="00DA7972" w:rsidRDefault="00000000">
            <w:pPr>
              <w:spacing w:after="0" w:line="260" w:lineRule="auto"/>
              <w:jc w:val="left"/>
            </w:pPr>
            <w:r>
              <w:rPr>
                <w:rFonts w:ascii="Calibri" w:eastAsia="Calibri" w:hAnsi="Calibri" w:cs="Calibri"/>
                <w:sz w:val="19"/>
                <w:szCs w:val="19"/>
              </w:rPr>
              <w:t>One category higher where an observer is involved</w:t>
            </w:r>
          </w:p>
        </w:tc>
      </w:tr>
      <w:tr w:rsidR="00DA7972" w14:paraId="0F594A7D" w14:textId="77777777">
        <w:tc>
          <w:tcPr>
            <w:tcW w:w="2252" w:type="dxa"/>
          </w:tcPr>
          <w:p w14:paraId="51235279" w14:textId="77777777" w:rsidR="00DA7972" w:rsidRDefault="00000000">
            <w:pPr>
              <w:spacing w:after="0" w:line="260" w:lineRule="auto"/>
              <w:jc w:val="left"/>
            </w:pPr>
            <w:r>
              <w:rPr>
                <w:rFonts w:ascii="Calibri" w:eastAsia="Calibri" w:hAnsi="Calibri" w:cs="Calibri"/>
                <w:sz w:val="19"/>
                <w:szCs w:val="19"/>
              </w:rPr>
              <w:t>S-1</w:t>
            </w:r>
          </w:p>
        </w:tc>
        <w:tc>
          <w:tcPr>
            <w:tcW w:w="2252" w:type="dxa"/>
          </w:tcPr>
          <w:p w14:paraId="531FDE26" w14:textId="77777777" w:rsidR="00DA7972" w:rsidRDefault="00000000">
            <w:pPr>
              <w:spacing w:after="0" w:line="260" w:lineRule="auto"/>
              <w:jc w:val="left"/>
            </w:pPr>
            <w:r>
              <w:rPr>
                <w:rFonts w:ascii="Calibri" w:eastAsia="Calibri" w:hAnsi="Calibri" w:cs="Calibri"/>
                <w:sz w:val="19"/>
                <w:szCs w:val="19"/>
              </w:rPr>
              <w:t>Service record falsification</w:t>
            </w:r>
          </w:p>
        </w:tc>
        <w:tc>
          <w:tcPr>
            <w:tcW w:w="2252" w:type="dxa"/>
          </w:tcPr>
          <w:p w14:paraId="089A2AC1" w14:textId="77777777" w:rsidR="00DA7972" w:rsidRDefault="00000000">
            <w:pPr>
              <w:spacing w:after="0" w:line="260" w:lineRule="auto"/>
              <w:jc w:val="left"/>
            </w:pPr>
            <w:r>
              <w:rPr>
                <w:rFonts w:ascii="Calibri" w:eastAsia="Calibri" w:hAnsi="Calibri" w:cs="Calibri"/>
                <w:sz w:val="19"/>
                <w:szCs w:val="19"/>
              </w:rPr>
              <w:t>10</w:t>
            </w:r>
          </w:p>
        </w:tc>
        <w:tc>
          <w:tcPr>
            <w:tcW w:w="2254" w:type="dxa"/>
          </w:tcPr>
          <w:p w14:paraId="1D66E483" w14:textId="77777777" w:rsidR="00DA7972" w:rsidRDefault="00000000">
            <w:pPr>
              <w:spacing w:after="0" w:line="260" w:lineRule="auto"/>
              <w:jc w:val="left"/>
            </w:pPr>
            <w:r>
              <w:rPr>
                <w:rFonts w:ascii="Calibri" w:eastAsia="Calibri" w:hAnsi="Calibri" w:cs="Calibri"/>
                <w:sz w:val="19"/>
                <w:szCs w:val="19"/>
              </w:rPr>
              <w:t>Plus restitution; quality premium suspension 2 quarters</w:t>
            </w:r>
          </w:p>
        </w:tc>
      </w:tr>
      <w:tr w:rsidR="00DA7972" w14:paraId="580C6FE8" w14:textId="77777777">
        <w:tc>
          <w:tcPr>
            <w:tcW w:w="2252" w:type="dxa"/>
          </w:tcPr>
          <w:p w14:paraId="6F8B492A" w14:textId="77777777" w:rsidR="00DA7972" w:rsidRDefault="00000000">
            <w:pPr>
              <w:spacing w:after="0" w:line="260" w:lineRule="auto"/>
              <w:jc w:val="left"/>
            </w:pPr>
            <w:r>
              <w:rPr>
                <w:rFonts w:ascii="Calibri" w:eastAsia="Calibri" w:hAnsi="Calibri" w:cs="Calibri"/>
                <w:sz w:val="19"/>
                <w:szCs w:val="19"/>
              </w:rPr>
              <w:t>S-2</w:t>
            </w:r>
          </w:p>
        </w:tc>
        <w:tc>
          <w:tcPr>
            <w:tcW w:w="2252" w:type="dxa"/>
          </w:tcPr>
          <w:p w14:paraId="4D82D375" w14:textId="77777777" w:rsidR="00DA7972" w:rsidRDefault="00000000">
            <w:pPr>
              <w:spacing w:after="0" w:line="260" w:lineRule="auto"/>
              <w:jc w:val="left"/>
            </w:pPr>
            <w:r>
              <w:rPr>
                <w:rFonts w:ascii="Calibri" w:eastAsia="Calibri" w:hAnsi="Calibri" w:cs="Calibri"/>
                <w:sz w:val="19"/>
                <w:szCs w:val="19"/>
              </w:rPr>
              <w:t>Financial irregularity short of diversion</w:t>
            </w:r>
          </w:p>
        </w:tc>
        <w:tc>
          <w:tcPr>
            <w:tcW w:w="2252" w:type="dxa"/>
          </w:tcPr>
          <w:p w14:paraId="2EF70B71" w14:textId="77777777" w:rsidR="00DA7972" w:rsidRDefault="00000000">
            <w:pPr>
              <w:spacing w:after="0" w:line="260" w:lineRule="auto"/>
              <w:jc w:val="left"/>
            </w:pPr>
            <w:r>
              <w:rPr>
                <w:rFonts w:ascii="Calibri" w:eastAsia="Calibri" w:hAnsi="Calibri" w:cs="Calibri"/>
                <w:sz w:val="19"/>
                <w:szCs w:val="19"/>
              </w:rPr>
              <w:t>10</w:t>
            </w:r>
          </w:p>
        </w:tc>
        <w:tc>
          <w:tcPr>
            <w:tcW w:w="2254" w:type="dxa"/>
          </w:tcPr>
          <w:p w14:paraId="567EC305" w14:textId="77777777" w:rsidR="00DA7972" w:rsidRDefault="00000000">
            <w:pPr>
              <w:spacing w:after="0" w:line="260" w:lineRule="auto"/>
              <w:jc w:val="left"/>
            </w:pPr>
            <w:r>
              <w:rPr>
                <w:rFonts w:ascii="Calibri" w:eastAsia="Calibri" w:hAnsi="Calibri" w:cs="Calibri"/>
                <w:sz w:val="19"/>
                <w:szCs w:val="19"/>
              </w:rPr>
              <w:t>Plus restitution</w:t>
            </w:r>
          </w:p>
        </w:tc>
      </w:tr>
      <w:tr w:rsidR="00DA7972" w14:paraId="58136D5C" w14:textId="77777777">
        <w:tc>
          <w:tcPr>
            <w:tcW w:w="2252" w:type="dxa"/>
          </w:tcPr>
          <w:p w14:paraId="702DEFFE" w14:textId="77777777" w:rsidR="00DA7972" w:rsidRDefault="00000000">
            <w:pPr>
              <w:spacing w:after="0" w:line="260" w:lineRule="auto"/>
              <w:jc w:val="left"/>
            </w:pPr>
            <w:r>
              <w:rPr>
                <w:rFonts w:ascii="Calibri" w:eastAsia="Calibri" w:hAnsi="Calibri" w:cs="Calibri"/>
                <w:sz w:val="19"/>
                <w:szCs w:val="19"/>
              </w:rPr>
              <w:t>G-1</w:t>
            </w:r>
          </w:p>
        </w:tc>
        <w:tc>
          <w:tcPr>
            <w:tcW w:w="2252" w:type="dxa"/>
          </w:tcPr>
          <w:p w14:paraId="2D5CE5E0" w14:textId="77777777" w:rsidR="00DA7972" w:rsidRDefault="00000000">
            <w:pPr>
              <w:spacing w:after="0" w:line="260" w:lineRule="auto"/>
              <w:jc w:val="left"/>
            </w:pPr>
            <w:r>
              <w:rPr>
                <w:rFonts w:ascii="Calibri" w:eastAsia="Calibri" w:hAnsi="Calibri" w:cs="Calibri"/>
                <w:sz w:val="19"/>
                <w:szCs w:val="19"/>
              </w:rPr>
              <w:t>Guarantor or Panel clock missed through a Party's obstruction</w:t>
            </w:r>
          </w:p>
        </w:tc>
        <w:tc>
          <w:tcPr>
            <w:tcW w:w="2252" w:type="dxa"/>
          </w:tcPr>
          <w:p w14:paraId="5FEB8CED" w14:textId="77777777" w:rsidR="00DA7972" w:rsidRDefault="00000000">
            <w:pPr>
              <w:spacing w:after="0" w:line="260" w:lineRule="auto"/>
              <w:jc w:val="left"/>
            </w:pPr>
            <w:r>
              <w:rPr>
                <w:rFonts w:ascii="Calibri" w:eastAsia="Calibri" w:hAnsi="Calibri" w:cs="Calibri"/>
                <w:sz w:val="19"/>
                <w:szCs w:val="19"/>
              </w:rPr>
              <w:t>4</w:t>
            </w:r>
          </w:p>
        </w:tc>
        <w:tc>
          <w:tcPr>
            <w:tcW w:w="2254" w:type="dxa"/>
          </w:tcPr>
          <w:p w14:paraId="6A8A5608" w14:textId="77777777" w:rsidR="00DA7972" w:rsidRDefault="00000000">
            <w:pPr>
              <w:spacing w:after="0" w:line="260" w:lineRule="auto"/>
              <w:jc w:val="left"/>
            </w:pPr>
            <w:r>
              <w:rPr>
                <w:rFonts w:ascii="Calibri" w:eastAsia="Calibri" w:hAnsi="Calibri" w:cs="Calibri"/>
                <w:sz w:val="19"/>
                <w:szCs w:val="19"/>
              </w:rPr>
              <w:t>Per Article 17.2</w:t>
            </w:r>
          </w:p>
        </w:tc>
      </w:tr>
      <w:tr w:rsidR="00DA7972" w14:paraId="75C1947E" w14:textId="77777777">
        <w:tc>
          <w:tcPr>
            <w:tcW w:w="2252" w:type="dxa"/>
          </w:tcPr>
          <w:p w14:paraId="7C57574F" w14:textId="77777777" w:rsidR="00DA7972" w:rsidRDefault="00000000">
            <w:pPr>
              <w:spacing w:after="0" w:line="260" w:lineRule="auto"/>
              <w:jc w:val="left"/>
            </w:pPr>
            <w:r>
              <w:rPr>
                <w:rFonts w:ascii="Calibri" w:eastAsia="Calibri" w:hAnsi="Calibri" w:cs="Calibri"/>
                <w:sz w:val="19"/>
                <w:szCs w:val="19"/>
              </w:rPr>
              <w:t>A-1</w:t>
            </w:r>
          </w:p>
        </w:tc>
        <w:tc>
          <w:tcPr>
            <w:tcW w:w="2252" w:type="dxa"/>
          </w:tcPr>
          <w:p w14:paraId="3DBD5953" w14:textId="77777777" w:rsidR="00DA7972" w:rsidRDefault="00000000">
            <w:pPr>
              <w:spacing w:after="0" w:line="260" w:lineRule="auto"/>
              <w:jc w:val="left"/>
            </w:pPr>
            <w:r>
              <w:rPr>
                <w:rFonts w:ascii="Calibri" w:eastAsia="Calibri" w:hAnsi="Calibri" w:cs="Calibri"/>
                <w:sz w:val="19"/>
                <w:szCs w:val="19"/>
              </w:rPr>
              <w:t>Architectural Breach event</w:t>
            </w:r>
          </w:p>
        </w:tc>
        <w:tc>
          <w:tcPr>
            <w:tcW w:w="2252" w:type="dxa"/>
          </w:tcPr>
          <w:p w14:paraId="2418A716" w14:textId="77777777" w:rsidR="00DA7972" w:rsidRDefault="00000000">
            <w:pPr>
              <w:spacing w:after="0" w:line="260" w:lineRule="auto"/>
              <w:jc w:val="left"/>
            </w:pPr>
            <w:r>
              <w:rPr>
                <w:rFonts w:ascii="Calibri" w:eastAsia="Calibri" w:hAnsi="Calibri" w:cs="Calibri"/>
                <w:sz w:val="19"/>
                <w:szCs w:val="19"/>
              </w:rPr>
              <w:t>20</w:t>
            </w:r>
          </w:p>
        </w:tc>
        <w:tc>
          <w:tcPr>
            <w:tcW w:w="2254" w:type="dxa"/>
          </w:tcPr>
          <w:p w14:paraId="60CEB9FA" w14:textId="77777777" w:rsidR="00DA7972" w:rsidRDefault="00000000">
            <w:pPr>
              <w:spacing w:after="0" w:line="260" w:lineRule="auto"/>
              <w:jc w:val="left"/>
            </w:pPr>
            <w:r>
              <w:rPr>
                <w:rFonts w:ascii="Calibri" w:eastAsia="Calibri" w:hAnsi="Calibri" w:cs="Calibri"/>
                <w:sz w:val="19"/>
                <w:szCs w:val="19"/>
              </w:rPr>
              <w:t>Activates the Stillwater Pause</w:t>
            </w:r>
          </w:p>
        </w:tc>
      </w:tr>
    </w:tbl>
    <w:p w14:paraId="1E6A9C76" w14:textId="77777777" w:rsidR="00DA7972" w:rsidRDefault="00DA7972">
      <w:pPr>
        <w:spacing w:after="60"/>
      </w:pPr>
    </w:p>
    <w:p w14:paraId="7B0129EA" w14:textId="77777777" w:rsidR="00DA7972" w:rsidRDefault="00000000">
      <w:pPr>
        <w:pStyle w:val="Caption"/>
      </w:pPr>
      <w:r>
        <w:rPr>
          <w:rFonts w:eastAsia="Calibri" w:cs="Calibri"/>
          <w:szCs w:val="18"/>
        </w:rPr>
        <w:t>Table D.1: Deviation point schedule</w:t>
      </w:r>
    </w:p>
    <w:p w14:paraId="76B1E80C" w14:textId="77777777" w:rsidR="00DA7972" w:rsidRDefault="00000000">
      <w:pPr>
        <w:pStyle w:val="Heading3"/>
      </w:pPr>
      <w:r>
        <w:rPr>
          <w:rFonts w:eastAsia="Calibri" w:cs="Calibri"/>
          <w:szCs w:val="22"/>
        </w:rPr>
        <w:t>D.1 Expiry and banking</w:t>
      </w:r>
    </w:p>
    <w:p w14:paraId="221FFFE2" w14:textId="77777777" w:rsidR="00DA7972" w:rsidRDefault="00000000">
      <w:r>
        <w:rPr>
          <w:rFonts w:eastAsia="Georgia" w:cs="Georgia"/>
          <w:szCs w:val="21"/>
        </w:rPr>
        <w:t>Points expire from the standing calculation per their category row; the archive never purges. Over-compliance credits bank permanently in the Performance Reserve and offset points only through the earn-back mechanics of Article 31.3, never automatically: restoration always travels through verified cure, and the Ledger shows every movement.</w:t>
      </w:r>
    </w:p>
    <w:p w14:paraId="40A84DC1" w14:textId="77777777" w:rsidR="00DA7972" w:rsidRDefault="00000000">
      <w:pPr>
        <w:pStyle w:val="Heading1"/>
      </w:pPr>
      <w:bookmarkStart w:id="65" w:name="_Toc236229946"/>
      <w:r>
        <w:rPr>
          <w:rFonts w:eastAsia="Calibri" w:cs="Calibri"/>
          <w:color w:val="212121"/>
          <w:sz w:val="19"/>
          <w:szCs w:val="19"/>
        </w:rPr>
        <w:lastRenderedPageBreak/>
        <w:t>Annex E: Graduated Response and Restoration Operating Rules</w:t>
      </w:r>
      <w:bookmarkEnd w:id="65"/>
    </w:p>
    <w:p w14:paraId="13BBB7FD" w14:textId="77777777" w:rsidR="00DA7972" w:rsidRDefault="00000000">
      <w:pPr>
        <w:pStyle w:val="Heading3"/>
      </w:pPr>
      <w:r>
        <w:rPr>
          <w:rFonts w:eastAsia="Calibri" w:cs="Calibri"/>
          <w:szCs w:val="22"/>
        </w:rPr>
        <w:t>E.1 Standing formula</w:t>
      </w:r>
    </w:p>
    <w:p w14:paraId="238E1458" w14:textId="77777777" w:rsidR="00DA7972" w:rsidRDefault="00000000">
      <w:r>
        <w:rPr>
          <w:rFonts w:eastAsia="Georgia" w:cs="Georgia"/>
          <w:szCs w:val="21"/>
        </w:rPr>
        <w:t>Standing derives from the trailing four quarters: Anchor requires zero M or S category points and a service record at or above roster; Steady requires fewer than 8 points; Watch applies at 8 to 19 points; Step-back applies at 20 points or a live Architectural Breach. The Administrator computes standing quarterly; the Neutral Keel Office audits the computation; the Bulletin publishes the result with the underlying numbers.</w:t>
      </w:r>
    </w:p>
    <w:p w14:paraId="1CAF269F" w14:textId="77777777" w:rsidR="00DA7972" w:rsidRDefault="00000000">
      <w:pPr>
        <w:pStyle w:val="Heading3"/>
      </w:pPr>
      <w:r>
        <w:rPr>
          <w:rFonts w:eastAsia="Calibri" w:cs="Calibri"/>
          <w:szCs w:val="22"/>
        </w:rPr>
        <w:t>E.2 Response clocks</w:t>
      </w:r>
    </w:p>
    <w:p w14:paraId="06697383" w14:textId="77777777" w:rsidR="00DA7972" w:rsidRDefault="00000000">
      <w:r>
        <w:rPr>
          <w:rFonts w:eastAsia="Georgia" w:cs="Georgia"/>
          <w:szCs w:val="21"/>
        </w:rPr>
        <w:t>Ladder step one issues within 5 working days of verification. Step two publishes within 10 working days where step one fails to cure. Step three runs exactly 30 days and restores automatically on the cure certificate. Step four applies only on the Council's Twin Key decision with the Technical Committee's findings attached. Step five opens the facilitation tier within 14 days. Every clock publishes; a missed clock by an organ enters that organ's own record in the Ledger's institutional column.</w:t>
      </w:r>
    </w:p>
    <w:p w14:paraId="16812296" w14:textId="77777777" w:rsidR="00DA7972" w:rsidRDefault="00000000">
      <w:pPr>
        <w:pStyle w:val="Heading3"/>
      </w:pPr>
      <w:r>
        <w:rPr>
          <w:rFonts w:eastAsia="Calibri" w:cs="Calibri"/>
          <w:szCs w:val="22"/>
        </w:rPr>
        <w:t>E.3 Restoration certificates</w:t>
      </w:r>
    </w:p>
    <w:p w14:paraId="73189E98" w14:textId="77777777" w:rsidR="00DA7972" w:rsidRDefault="00000000">
      <w:r>
        <w:rPr>
          <w:rFonts w:eastAsia="Georgia" w:cs="Georgia"/>
          <w:szCs w:val="21"/>
        </w:rPr>
        <w:t>The Neutral Keel Office issues cure certificates within 72 hours of a cure claim, on evidence. A certificate restores the affected benefits immediately and converts publication flags to cured markers. The Office's certificate is final on the fact of cure; disagreement travels to the technical referee.</w:t>
      </w:r>
    </w:p>
    <w:p w14:paraId="12891FB6" w14:textId="77777777" w:rsidR="00DA7972" w:rsidRDefault="00000000">
      <w:pPr>
        <w:pStyle w:val="Heading3"/>
      </w:pPr>
      <w:r>
        <w:rPr>
          <w:rFonts w:eastAsia="Calibri" w:cs="Calibri"/>
          <w:szCs w:val="22"/>
        </w:rPr>
        <w:t>E.4 Pattern doctrine</w:t>
      </w:r>
    </w:p>
    <w:p w14:paraId="31925193" w14:textId="77777777" w:rsidR="00DA7972" w:rsidRDefault="00000000">
      <w:r>
        <w:rPr>
          <w:rFonts w:eastAsia="Georgia" w:cs="Georgia"/>
          <w:szCs w:val="21"/>
        </w:rPr>
        <w:t>Three P-category events of the same type in two quarters constitute a pattern and classify as one M-category event. The doctrine prevents salami-slicing of obligations while protecting a Party from classification drift: only same-type repetition aggregates, and the aggregation publishes with the underlying entries.</w:t>
      </w:r>
    </w:p>
    <w:p w14:paraId="555040AE" w14:textId="77777777" w:rsidR="00DA7972" w:rsidRDefault="00000000">
      <w:pPr>
        <w:pStyle w:val="Heading1"/>
      </w:pPr>
      <w:bookmarkStart w:id="66" w:name="_Toc236229947"/>
      <w:r>
        <w:rPr>
          <w:rFonts w:eastAsia="Calibri" w:cs="Calibri"/>
          <w:color w:val="212121"/>
          <w:sz w:val="19"/>
          <w:szCs w:val="19"/>
        </w:rPr>
        <w:lastRenderedPageBreak/>
        <w:t>Annex F: Communications, VHF Plan, Hotline, and De-confliction Protocols</w:t>
      </w:r>
      <w:bookmarkEnd w:id="66"/>
    </w:p>
    <w:p w14:paraId="02CE299B" w14:textId="77777777" w:rsidR="00DA7972" w:rsidRDefault="00000000">
      <w:pPr>
        <w:pStyle w:val="Heading3"/>
      </w:pPr>
      <w:r>
        <w:rPr>
          <w:rFonts w:eastAsia="Calibri" w:cs="Calibri"/>
          <w:szCs w:val="22"/>
        </w:rPr>
        <w:t>F.1 Radio plan</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5"/>
        <w:gridCol w:w="3075"/>
        <w:gridCol w:w="3076"/>
      </w:tblGrid>
      <w:tr w:rsidR="00DA7972" w14:paraId="117316A3" w14:textId="77777777">
        <w:trPr>
          <w:tblHeader/>
        </w:trPr>
        <w:tc>
          <w:tcPr>
            <w:tcW w:w="3003" w:type="dxa"/>
            <w:tcBorders>
              <w:bottom w:val="single" w:sz="6" w:space="0" w:color="546E7A"/>
            </w:tcBorders>
            <w:shd w:val="clear" w:color="auto" w:fill="E4E9EC"/>
          </w:tcPr>
          <w:p w14:paraId="3A1EE358" w14:textId="77777777" w:rsidR="00DA7972" w:rsidRDefault="00000000">
            <w:pPr>
              <w:spacing w:after="0" w:line="260" w:lineRule="auto"/>
              <w:jc w:val="left"/>
            </w:pPr>
            <w:r>
              <w:rPr>
                <w:rFonts w:ascii="Calibri" w:eastAsia="Calibri" w:hAnsi="Calibri" w:cs="Calibri"/>
                <w:b/>
                <w:color w:val="37474F"/>
                <w:sz w:val="19"/>
                <w:szCs w:val="19"/>
              </w:rPr>
              <w:t>Function</w:t>
            </w:r>
          </w:p>
        </w:tc>
        <w:tc>
          <w:tcPr>
            <w:tcW w:w="3003" w:type="dxa"/>
            <w:tcBorders>
              <w:bottom w:val="single" w:sz="6" w:space="0" w:color="546E7A"/>
            </w:tcBorders>
            <w:shd w:val="clear" w:color="auto" w:fill="E4E9EC"/>
          </w:tcPr>
          <w:p w14:paraId="4E047E1D" w14:textId="77777777" w:rsidR="00DA7972" w:rsidRDefault="00000000">
            <w:pPr>
              <w:spacing w:after="0" w:line="260" w:lineRule="auto"/>
              <w:jc w:val="left"/>
            </w:pPr>
            <w:r>
              <w:rPr>
                <w:rFonts w:ascii="Calibri" w:eastAsia="Calibri" w:hAnsi="Calibri" w:cs="Calibri"/>
                <w:b/>
                <w:color w:val="37474F"/>
                <w:sz w:val="19"/>
                <w:szCs w:val="19"/>
              </w:rPr>
              <w:t>Channel</w:t>
            </w:r>
          </w:p>
        </w:tc>
        <w:tc>
          <w:tcPr>
            <w:tcW w:w="3004" w:type="dxa"/>
            <w:tcBorders>
              <w:bottom w:val="single" w:sz="6" w:space="0" w:color="546E7A"/>
            </w:tcBorders>
            <w:shd w:val="clear" w:color="auto" w:fill="E4E9EC"/>
          </w:tcPr>
          <w:p w14:paraId="1D66F288" w14:textId="77777777" w:rsidR="00DA7972" w:rsidRDefault="00000000">
            <w:pPr>
              <w:spacing w:after="0" w:line="260" w:lineRule="auto"/>
              <w:jc w:val="left"/>
            </w:pPr>
            <w:r>
              <w:rPr>
                <w:rFonts w:ascii="Calibri" w:eastAsia="Calibri" w:hAnsi="Calibri" w:cs="Calibri"/>
                <w:b/>
                <w:color w:val="37474F"/>
                <w:sz w:val="19"/>
                <w:szCs w:val="19"/>
              </w:rPr>
              <w:t>Watch</w:t>
            </w:r>
          </w:p>
        </w:tc>
      </w:tr>
      <w:tr w:rsidR="00DA7972" w14:paraId="562E032D" w14:textId="77777777">
        <w:tc>
          <w:tcPr>
            <w:tcW w:w="3003" w:type="dxa"/>
          </w:tcPr>
          <w:p w14:paraId="07382CC8" w14:textId="77777777" w:rsidR="00DA7972" w:rsidRDefault="00000000">
            <w:pPr>
              <w:spacing w:after="0" w:line="260" w:lineRule="auto"/>
              <w:jc w:val="left"/>
            </w:pPr>
            <w:r>
              <w:rPr>
                <w:rFonts w:ascii="Calibri" w:eastAsia="Calibri" w:hAnsi="Calibri" w:cs="Calibri"/>
                <w:sz w:val="19"/>
                <w:szCs w:val="19"/>
              </w:rPr>
              <w:t>Distress, safety, and calling</w:t>
            </w:r>
          </w:p>
        </w:tc>
        <w:tc>
          <w:tcPr>
            <w:tcW w:w="3003" w:type="dxa"/>
          </w:tcPr>
          <w:p w14:paraId="111AA5AA" w14:textId="77777777" w:rsidR="00DA7972" w:rsidRDefault="00000000">
            <w:pPr>
              <w:spacing w:after="0" w:line="260" w:lineRule="auto"/>
              <w:jc w:val="left"/>
            </w:pPr>
            <w:r>
              <w:rPr>
                <w:rFonts w:ascii="Calibri" w:eastAsia="Calibri" w:hAnsi="Calibri" w:cs="Calibri"/>
                <w:sz w:val="19"/>
                <w:szCs w:val="19"/>
              </w:rPr>
              <w:t>VHF Channel 16</w:t>
            </w:r>
          </w:p>
        </w:tc>
        <w:tc>
          <w:tcPr>
            <w:tcW w:w="3004" w:type="dxa"/>
          </w:tcPr>
          <w:p w14:paraId="4652164B" w14:textId="77777777" w:rsidR="00DA7972" w:rsidRDefault="00000000">
            <w:pPr>
              <w:spacing w:after="0" w:line="260" w:lineRule="auto"/>
              <w:jc w:val="left"/>
            </w:pPr>
            <w:r>
              <w:rPr>
                <w:rFonts w:ascii="Calibri" w:eastAsia="Calibri" w:hAnsi="Calibri" w:cs="Calibri"/>
                <w:sz w:val="19"/>
                <w:szCs w:val="19"/>
              </w:rPr>
              <w:t>Continuous, all stations</w:t>
            </w:r>
          </w:p>
        </w:tc>
      </w:tr>
      <w:tr w:rsidR="00DA7972" w14:paraId="14064E79" w14:textId="77777777">
        <w:tc>
          <w:tcPr>
            <w:tcW w:w="3003" w:type="dxa"/>
          </w:tcPr>
          <w:p w14:paraId="3E3CBD93" w14:textId="77777777" w:rsidR="00DA7972" w:rsidRDefault="00000000">
            <w:pPr>
              <w:spacing w:after="0" w:line="260" w:lineRule="auto"/>
              <w:jc w:val="left"/>
            </w:pPr>
            <w:r>
              <w:rPr>
                <w:rFonts w:ascii="Calibri" w:eastAsia="Calibri" w:hAnsi="Calibri" w:cs="Calibri"/>
                <w:sz w:val="19"/>
                <w:szCs w:val="19"/>
              </w:rPr>
              <w:t>Center working channel, Corridor One</w:t>
            </w:r>
          </w:p>
        </w:tc>
        <w:tc>
          <w:tcPr>
            <w:tcW w:w="3003" w:type="dxa"/>
          </w:tcPr>
          <w:p w14:paraId="3B417D48" w14:textId="77777777" w:rsidR="00DA7972" w:rsidRDefault="00000000">
            <w:pPr>
              <w:spacing w:after="0" w:line="260" w:lineRule="auto"/>
              <w:jc w:val="left"/>
            </w:pPr>
            <w:r>
              <w:rPr>
                <w:rFonts w:ascii="Calibri" w:eastAsia="Calibri" w:hAnsi="Calibri" w:cs="Calibri"/>
                <w:sz w:val="19"/>
                <w:szCs w:val="19"/>
              </w:rPr>
              <w:t>VHF Channel 71</w:t>
            </w:r>
          </w:p>
        </w:tc>
        <w:tc>
          <w:tcPr>
            <w:tcW w:w="3004" w:type="dxa"/>
          </w:tcPr>
          <w:p w14:paraId="5A6FF491" w14:textId="77777777" w:rsidR="00DA7972" w:rsidRDefault="00000000">
            <w:pPr>
              <w:spacing w:after="0" w:line="260" w:lineRule="auto"/>
              <w:jc w:val="left"/>
            </w:pPr>
            <w:r>
              <w:rPr>
                <w:rFonts w:ascii="Calibri" w:eastAsia="Calibri" w:hAnsi="Calibri" w:cs="Calibri"/>
                <w:sz w:val="19"/>
                <w:szCs w:val="19"/>
              </w:rPr>
              <w:t>Continuous, Center and Muscat mirror</w:t>
            </w:r>
          </w:p>
        </w:tc>
      </w:tr>
      <w:tr w:rsidR="00DA7972" w14:paraId="42BC0D94" w14:textId="77777777">
        <w:tc>
          <w:tcPr>
            <w:tcW w:w="3003" w:type="dxa"/>
          </w:tcPr>
          <w:p w14:paraId="50FD2BBB" w14:textId="77777777" w:rsidR="00DA7972" w:rsidRDefault="00000000">
            <w:pPr>
              <w:spacing w:after="0" w:line="260" w:lineRule="auto"/>
              <w:jc w:val="left"/>
            </w:pPr>
            <w:r>
              <w:rPr>
                <w:rFonts w:ascii="Calibri" w:eastAsia="Calibri" w:hAnsi="Calibri" w:cs="Calibri"/>
                <w:sz w:val="19"/>
                <w:szCs w:val="19"/>
              </w:rPr>
              <w:t>Center working channel, Corridor Two</w:t>
            </w:r>
          </w:p>
        </w:tc>
        <w:tc>
          <w:tcPr>
            <w:tcW w:w="3003" w:type="dxa"/>
          </w:tcPr>
          <w:p w14:paraId="1B83927B" w14:textId="77777777" w:rsidR="00DA7972" w:rsidRDefault="00000000">
            <w:pPr>
              <w:spacing w:after="0" w:line="260" w:lineRule="auto"/>
              <w:jc w:val="left"/>
            </w:pPr>
            <w:r>
              <w:rPr>
                <w:rFonts w:ascii="Calibri" w:eastAsia="Calibri" w:hAnsi="Calibri" w:cs="Calibri"/>
                <w:sz w:val="19"/>
                <w:szCs w:val="19"/>
              </w:rPr>
              <w:t>VHF Channel 72</w:t>
            </w:r>
          </w:p>
        </w:tc>
        <w:tc>
          <w:tcPr>
            <w:tcW w:w="3004" w:type="dxa"/>
          </w:tcPr>
          <w:p w14:paraId="21974197" w14:textId="77777777" w:rsidR="00DA7972" w:rsidRDefault="00000000">
            <w:pPr>
              <w:spacing w:after="0" w:line="260" w:lineRule="auto"/>
              <w:jc w:val="left"/>
            </w:pPr>
            <w:r>
              <w:rPr>
                <w:rFonts w:ascii="Calibri" w:eastAsia="Calibri" w:hAnsi="Calibri" w:cs="Calibri"/>
                <w:sz w:val="19"/>
                <w:szCs w:val="19"/>
              </w:rPr>
              <w:t>Continuous, Center and Bandar Abbas mirror</w:t>
            </w:r>
          </w:p>
        </w:tc>
      </w:tr>
      <w:tr w:rsidR="00DA7972" w14:paraId="49DAB234" w14:textId="77777777">
        <w:tc>
          <w:tcPr>
            <w:tcW w:w="3003" w:type="dxa"/>
          </w:tcPr>
          <w:p w14:paraId="4361CACC" w14:textId="77777777" w:rsidR="00DA7972" w:rsidRDefault="00000000">
            <w:pPr>
              <w:spacing w:after="0" w:line="260" w:lineRule="auto"/>
              <w:jc w:val="left"/>
            </w:pPr>
            <w:r>
              <w:rPr>
                <w:rFonts w:ascii="Calibri" w:eastAsia="Calibri" w:hAnsi="Calibri" w:cs="Calibri"/>
                <w:b/>
                <w:sz w:val="19"/>
                <w:szCs w:val="19"/>
              </w:rPr>
              <w:t>Center working channel, Corridor Three</w:t>
            </w:r>
          </w:p>
        </w:tc>
        <w:tc>
          <w:tcPr>
            <w:tcW w:w="3003" w:type="dxa"/>
          </w:tcPr>
          <w:p w14:paraId="19ADBA65" w14:textId="77777777" w:rsidR="00DA7972" w:rsidRDefault="00000000">
            <w:pPr>
              <w:spacing w:after="0" w:line="260" w:lineRule="auto"/>
              <w:jc w:val="left"/>
            </w:pPr>
            <w:r>
              <w:rPr>
                <w:rFonts w:ascii="Calibri" w:eastAsia="Calibri" w:hAnsi="Calibri" w:cs="Calibri"/>
                <w:b/>
                <w:sz w:val="19"/>
                <w:szCs w:val="19"/>
              </w:rPr>
              <w:t>VHF Channel 74</w:t>
            </w:r>
          </w:p>
        </w:tc>
        <w:tc>
          <w:tcPr>
            <w:tcW w:w="3004" w:type="dxa"/>
          </w:tcPr>
          <w:p w14:paraId="38D476B4" w14:textId="77777777" w:rsidR="00DA7972" w:rsidRDefault="00000000">
            <w:pPr>
              <w:spacing w:after="0" w:line="260" w:lineRule="auto"/>
              <w:jc w:val="left"/>
            </w:pPr>
            <w:r>
              <w:rPr>
                <w:rFonts w:ascii="Calibri" w:eastAsia="Calibri" w:hAnsi="Calibri" w:cs="Calibri"/>
                <w:b/>
                <w:sz w:val="19"/>
                <w:szCs w:val="19"/>
              </w:rPr>
              <w:t>Continuous, Center and both facilities</w:t>
            </w:r>
          </w:p>
        </w:tc>
      </w:tr>
      <w:tr w:rsidR="00DA7972" w14:paraId="0C38ACAB" w14:textId="77777777">
        <w:tc>
          <w:tcPr>
            <w:tcW w:w="3003" w:type="dxa"/>
          </w:tcPr>
          <w:p w14:paraId="65F3546C" w14:textId="77777777" w:rsidR="00DA7972" w:rsidRDefault="00000000">
            <w:pPr>
              <w:spacing w:after="0" w:line="260" w:lineRule="auto"/>
              <w:jc w:val="left"/>
            </w:pPr>
            <w:r>
              <w:rPr>
                <w:rFonts w:ascii="Calibri" w:eastAsia="Calibri" w:hAnsi="Calibri" w:cs="Calibri"/>
                <w:sz w:val="19"/>
                <w:szCs w:val="19"/>
              </w:rPr>
              <w:t>Escort coordination</w:t>
            </w:r>
          </w:p>
        </w:tc>
        <w:tc>
          <w:tcPr>
            <w:tcW w:w="3003" w:type="dxa"/>
          </w:tcPr>
          <w:p w14:paraId="42FAA3C7" w14:textId="77777777" w:rsidR="00DA7972" w:rsidRDefault="00000000">
            <w:pPr>
              <w:spacing w:after="0" w:line="260" w:lineRule="auto"/>
              <w:jc w:val="left"/>
            </w:pPr>
            <w:r>
              <w:rPr>
                <w:rFonts w:ascii="Calibri" w:eastAsia="Calibri" w:hAnsi="Calibri" w:cs="Calibri"/>
                <w:sz w:val="19"/>
                <w:szCs w:val="19"/>
              </w:rPr>
              <w:t>VHF Channel 73</w:t>
            </w:r>
          </w:p>
        </w:tc>
        <w:tc>
          <w:tcPr>
            <w:tcW w:w="3004" w:type="dxa"/>
          </w:tcPr>
          <w:p w14:paraId="2469DC64" w14:textId="77777777" w:rsidR="00DA7972" w:rsidRDefault="00000000">
            <w:pPr>
              <w:spacing w:after="0" w:line="260" w:lineRule="auto"/>
              <w:jc w:val="left"/>
            </w:pPr>
            <w:r>
              <w:rPr>
                <w:rFonts w:ascii="Calibri" w:eastAsia="Calibri" w:hAnsi="Calibri" w:cs="Calibri"/>
                <w:sz w:val="19"/>
                <w:szCs w:val="19"/>
              </w:rPr>
              <w:t>During escorted windows</w:t>
            </w:r>
          </w:p>
        </w:tc>
      </w:tr>
      <w:tr w:rsidR="00DA7972" w14:paraId="655E6DA4" w14:textId="77777777">
        <w:tc>
          <w:tcPr>
            <w:tcW w:w="3003" w:type="dxa"/>
          </w:tcPr>
          <w:p w14:paraId="7544C268" w14:textId="77777777" w:rsidR="00DA7972" w:rsidRDefault="00000000">
            <w:pPr>
              <w:spacing w:after="0" w:line="260" w:lineRule="auto"/>
              <w:jc w:val="left"/>
            </w:pPr>
            <w:r>
              <w:rPr>
                <w:rFonts w:ascii="Calibri" w:eastAsia="Calibri" w:hAnsi="Calibri" w:cs="Calibri"/>
                <w:sz w:val="19"/>
                <w:szCs w:val="19"/>
              </w:rPr>
              <w:t>Class D gate direction</w:t>
            </w:r>
          </w:p>
        </w:tc>
        <w:tc>
          <w:tcPr>
            <w:tcW w:w="3003" w:type="dxa"/>
          </w:tcPr>
          <w:p w14:paraId="69E30903" w14:textId="77777777" w:rsidR="00DA7972" w:rsidRDefault="00000000">
            <w:pPr>
              <w:spacing w:after="0" w:line="260" w:lineRule="auto"/>
              <w:jc w:val="left"/>
            </w:pPr>
            <w:r>
              <w:rPr>
                <w:rFonts w:ascii="Calibri" w:eastAsia="Calibri" w:hAnsi="Calibri" w:cs="Calibri"/>
                <w:sz w:val="19"/>
                <w:szCs w:val="19"/>
              </w:rPr>
              <w:t>VHF Channel 69</w:t>
            </w:r>
          </w:p>
        </w:tc>
        <w:tc>
          <w:tcPr>
            <w:tcW w:w="3004" w:type="dxa"/>
          </w:tcPr>
          <w:p w14:paraId="45DDB465" w14:textId="77777777" w:rsidR="00DA7972" w:rsidRDefault="00000000">
            <w:pPr>
              <w:spacing w:after="0" w:line="260" w:lineRule="auto"/>
              <w:jc w:val="left"/>
            </w:pPr>
            <w:r>
              <w:rPr>
                <w:rFonts w:ascii="Calibri" w:eastAsia="Calibri" w:hAnsi="Calibri" w:cs="Calibri"/>
                <w:sz w:val="19"/>
                <w:szCs w:val="19"/>
              </w:rPr>
              <w:t>Gate windows</w:t>
            </w:r>
          </w:p>
        </w:tc>
      </w:tr>
      <w:tr w:rsidR="00DA7972" w14:paraId="782B0F4D" w14:textId="77777777">
        <w:tc>
          <w:tcPr>
            <w:tcW w:w="3003" w:type="dxa"/>
          </w:tcPr>
          <w:p w14:paraId="72A11C71" w14:textId="77777777" w:rsidR="00DA7972" w:rsidRDefault="00000000">
            <w:pPr>
              <w:spacing w:after="0" w:line="260" w:lineRule="auto"/>
              <w:jc w:val="left"/>
            </w:pPr>
            <w:r>
              <w:rPr>
                <w:rFonts w:ascii="Calibri" w:eastAsia="Calibri" w:hAnsi="Calibri" w:cs="Calibri"/>
                <w:sz w:val="19"/>
                <w:szCs w:val="19"/>
              </w:rPr>
              <w:t>Port operations</w:t>
            </w:r>
          </w:p>
        </w:tc>
        <w:tc>
          <w:tcPr>
            <w:tcW w:w="3003" w:type="dxa"/>
          </w:tcPr>
          <w:p w14:paraId="29CD2286" w14:textId="77777777" w:rsidR="00DA7972" w:rsidRDefault="00000000">
            <w:pPr>
              <w:spacing w:after="0" w:line="260" w:lineRule="auto"/>
              <w:jc w:val="left"/>
            </w:pPr>
            <w:r>
              <w:rPr>
                <w:rFonts w:ascii="Calibri" w:eastAsia="Calibri" w:hAnsi="Calibri" w:cs="Calibri"/>
                <w:sz w:val="19"/>
                <w:szCs w:val="19"/>
              </w:rPr>
              <w:t>Port working channels</w:t>
            </w:r>
          </w:p>
        </w:tc>
        <w:tc>
          <w:tcPr>
            <w:tcW w:w="3004" w:type="dxa"/>
          </w:tcPr>
          <w:p w14:paraId="3DB231BE" w14:textId="77777777" w:rsidR="00DA7972" w:rsidRDefault="00000000">
            <w:pPr>
              <w:spacing w:after="0" w:line="260" w:lineRule="auto"/>
              <w:jc w:val="left"/>
            </w:pPr>
            <w:r>
              <w:rPr>
                <w:rFonts w:ascii="Calibri" w:eastAsia="Calibri" w:hAnsi="Calibri" w:cs="Calibri"/>
                <w:sz w:val="19"/>
                <w:szCs w:val="19"/>
              </w:rPr>
              <w:t>Per port authority notices</w:t>
            </w:r>
          </w:p>
        </w:tc>
      </w:tr>
    </w:tbl>
    <w:p w14:paraId="26F6EF8A" w14:textId="77777777" w:rsidR="00DA7972" w:rsidRDefault="00DA7972">
      <w:pPr>
        <w:spacing w:after="60"/>
      </w:pPr>
    </w:p>
    <w:p w14:paraId="6A5050A1" w14:textId="77777777" w:rsidR="00DA7972" w:rsidRDefault="00000000">
      <w:pPr>
        <w:pStyle w:val="Caption"/>
      </w:pPr>
      <w:r>
        <w:rPr>
          <w:rFonts w:eastAsia="Calibri" w:cs="Calibri"/>
          <w:szCs w:val="18"/>
        </w:rPr>
        <w:t>Table F.1: VHF plan; digital selective calling identities publish in the Mariners' Handbook</w:t>
      </w:r>
    </w:p>
    <w:p w14:paraId="263225FA" w14:textId="77777777" w:rsidR="00DA7972" w:rsidRDefault="00000000">
      <w:pPr>
        <w:pStyle w:val="Heading3"/>
      </w:pPr>
      <w:r>
        <w:rPr>
          <w:rFonts w:eastAsia="Calibri" w:cs="Calibri"/>
          <w:szCs w:val="22"/>
        </w:rPr>
        <w:t>F.2 The hotline</w:t>
      </w:r>
    </w:p>
    <w:p w14:paraId="6CE7BA77" w14:textId="77777777" w:rsidR="00DA7972" w:rsidRDefault="00000000">
      <w:r>
        <w:rPr>
          <w:rFonts w:eastAsia="Georgia" w:cs="Georgia"/>
          <w:szCs w:val="21"/>
        </w:rPr>
        <w:t>A dedicated, recorded, 24-hour voice circuit links the two watch floors and the two coastal vessel traffic services, with a secondary satellite circuit. The hotline carries operational coordination; its recordings enter the archive under the dual-copy rule. A parallel military de-confliction circuit links the liaison desks of the Parties and adhering external states, per Article 27.6.</w:t>
      </w:r>
    </w:p>
    <w:p w14:paraId="10E94E7C" w14:textId="77777777" w:rsidR="00DA7972" w:rsidRDefault="00000000">
      <w:pPr>
        <w:pStyle w:val="Heading3"/>
      </w:pPr>
      <w:r>
        <w:rPr>
          <w:rFonts w:eastAsia="Calibri" w:cs="Calibri"/>
          <w:szCs w:val="22"/>
        </w:rPr>
        <w:t>F.3 Message formats</w:t>
      </w:r>
    </w:p>
    <w:p w14:paraId="6174AA36" w14:textId="77777777" w:rsidR="00DA7972" w:rsidRDefault="00000000">
      <w:r>
        <w:rPr>
          <w:rFonts w:eastAsia="Georgia" w:cs="Georgia"/>
          <w:szCs w:val="21"/>
        </w:rPr>
        <w:t>Flash traffic for incidents: precedence FLASH, addressees both watch floors and both liaison desks, content per the incident format of Annex H, transmission within 10 minutes of the triggering report. Routine coordination: precedence ROUTINE, daily synchronization at 0000 UTC.</w:t>
      </w:r>
    </w:p>
    <w:p w14:paraId="53B2B82D" w14:textId="77777777" w:rsidR="00DA7972" w:rsidRDefault="00000000">
      <w:pPr>
        <w:pStyle w:val="Heading3"/>
      </w:pPr>
      <w:r>
        <w:rPr>
          <w:rFonts w:eastAsia="Calibri" w:cs="Calibri"/>
          <w:szCs w:val="22"/>
        </w:rPr>
        <w:t>F.4 Language discipline</w:t>
      </w:r>
    </w:p>
    <w:p w14:paraId="0A507908" w14:textId="77777777" w:rsidR="00DA7972" w:rsidRDefault="00000000">
      <w:r>
        <w:rPr>
          <w:rFonts w:eastAsia="Georgia" w:cs="Georgia"/>
          <w:szCs w:val="21"/>
        </w:rPr>
        <w:t>Operational voice traffic uses the Standard Marine Communication Phrases, consistent with the working-language rule of Article 14.7. Watch officers certify in the Phrases before solo watch. Where a language barrier affects safety, the Center switches to the paired officer with the strongest common language, and the log notes the switch.</w:t>
      </w:r>
    </w:p>
    <w:p w14:paraId="4C3FE3D9" w14:textId="77777777" w:rsidR="00DA7972" w:rsidRDefault="00000000">
      <w:pPr>
        <w:pStyle w:val="Heading3"/>
      </w:pPr>
      <w:r>
        <w:rPr>
          <w:rFonts w:eastAsia="Calibri" w:cs="Calibri"/>
          <w:szCs w:val="22"/>
        </w:rPr>
        <w:t>F.5 Exercise pre-authorization for mine clearance</w:t>
      </w:r>
    </w:p>
    <w:p w14:paraId="4A14E1A9" w14:textId="77777777" w:rsidR="00DA7972" w:rsidRDefault="00000000">
      <w:r>
        <w:rPr>
          <w:rFonts w:eastAsia="Georgia" w:cs="Georgia"/>
          <w:szCs w:val="21"/>
        </w:rPr>
        <w:t>Mine clearance activity under Article 12.1 carries standing pre-authorization: the clearing unit files its operating area and window through the de-confliction channel 24 hours ahead, the Center broadcasts the safety notice, and clearance proceeds in any corridor's notification regime without further clearance, under Neutral Keel observation.</w:t>
      </w:r>
    </w:p>
    <w:p w14:paraId="1E21E477" w14:textId="77777777" w:rsidR="00DA7972" w:rsidRDefault="00000000">
      <w:pPr>
        <w:pStyle w:val="Heading1"/>
      </w:pPr>
      <w:bookmarkStart w:id="67" w:name="_Toc236229948"/>
      <w:r>
        <w:rPr>
          <w:rFonts w:eastAsia="Calibri" w:cs="Calibri"/>
          <w:i/>
          <w:color w:val="78909C"/>
          <w:sz w:val="18"/>
          <w:szCs w:val="18"/>
        </w:rPr>
        <w:lastRenderedPageBreak/>
        <w:t>Annex G: Verification Methods Manual</w:t>
      </w:r>
      <w:bookmarkEnd w:id="67"/>
    </w:p>
    <w:p w14:paraId="15467B6E" w14:textId="77777777" w:rsidR="00DA7972" w:rsidRDefault="00000000">
      <w:pPr>
        <w:pStyle w:val="Heading3"/>
      </w:pPr>
      <w:r>
        <w:rPr>
          <w:rFonts w:eastAsia="Calibri" w:cs="Calibri"/>
          <w:szCs w:val="22"/>
        </w:rPr>
        <w:t>G.1 The verification stack</w:t>
      </w:r>
    </w:p>
    <w:p w14:paraId="4BF9E867" w14:textId="77777777" w:rsidR="00DA7972" w:rsidRDefault="00000000">
      <w:r>
        <w:rPr>
          <w:rFonts w:eastAsia="Georgia" w:cs="Georgia"/>
          <w:szCs w:val="21"/>
        </w:rPr>
        <w:t>The Accord's verification stack, from bottom to top: voice reporting and watch logs; automatic identification system and coastal radar tracks; ground-truth patrols; embarked observers; port documentation cross-check; satellite passes through the International Maritime Organization's recognized channels; and the Neutral Keel Office's audit layer. A finding climbs the stack until convergence, and the Convergence Standard of Article 26.2 governs every classification input.</w:t>
      </w:r>
    </w:p>
    <w:p w14:paraId="4D558F29" w14:textId="77777777" w:rsidR="00DA7972" w:rsidRDefault="00000000">
      <w:pPr>
        <w:pStyle w:val="Heading3"/>
      </w:pPr>
      <w:r>
        <w:rPr>
          <w:rFonts w:eastAsia="Calibri" w:cs="Calibri"/>
          <w:szCs w:val="22"/>
        </w:rPr>
        <w:t>G.2 Observation standards</w:t>
      </w:r>
    </w:p>
    <w:p w14:paraId="6661E644" w14:textId="77777777" w:rsidR="00DA7972" w:rsidRDefault="00000000">
      <w:r>
        <w:rPr>
          <w:rFonts w:eastAsia="Georgia" w:cs="Georgia"/>
          <w:szCs w:val="21"/>
        </w:rPr>
        <w:t>An observer's record states: time, position, platform, conditions, the observed fact, and the instrument or sense that captured it. Observations file within 12 hours. The Office trains every observer in the record standard and audits a monthly sample. An observation without the standard's elements enters as an open note, never as evidence.</w:t>
      </w:r>
    </w:p>
    <w:p w14:paraId="54CBBEC1" w14:textId="77777777" w:rsidR="00DA7972" w:rsidRDefault="00000000">
      <w:pPr>
        <w:pStyle w:val="Heading3"/>
      </w:pPr>
      <w:r>
        <w:rPr>
          <w:rFonts w:eastAsia="Calibri" w:cs="Calibri"/>
          <w:szCs w:val="22"/>
        </w:rPr>
        <w:t>G.3 Non-telemetry degraded mode</w:t>
      </w:r>
    </w:p>
    <w:p w14:paraId="2761DC37" w14:textId="77777777" w:rsidR="00DA7972" w:rsidRDefault="00000000">
      <w:r>
        <w:rPr>
          <w:rFonts w:eastAsia="Georgia" w:cs="Georgia"/>
          <w:szCs w:val="21"/>
        </w:rPr>
        <w:t>Where telemetry fails, voice reporting carries compliance; paper logs govern; the patrol program doubles for the affected period; and the Bulletin publishes by the best available channel. Degraded mode ends on the Technical Committee's restoration certificate. Rights never degrade with the technology, per Article 26.6.</w:t>
      </w:r>
    </w:p>
    <w:p w14:paraId="7049E53F" w14:textId="77777777" w:rsidR="00DA7972" w:rsidRDefault="00000000">
      <w:pPr>
        <w:pStyle w:val="Heading3"/>
      </w:pPr>
      <w:r>
        <w:rPr>
          <w:rFonts w:eastAsia="Calibri" w:cs="Calibri"/>
          <w:szCs w:val="22"/>
        </w:rPr>
        <w:t>G.4 Evidence standards for classification</w:t>
      </w:r>
    </w:p>
    <w:p w14:paraId="5DEC95B9" w14:textId="77777777" w:rsidR="00DA7972" w:rsidRDefault="00000000">
      <w:r>
        <w:rPr>
          <w:rFonts w:eastAsia="Georgia" w:cs="Georgia"/>
          <w:szCs w:val="21"/>
        </w:rPr>
        <w:t>A classification input states its source chain: the raw record, the custody chain under the dual-copy rule, the convergence inputs, and the analyst. The Technical Committee tests each input for authenticity and independence. An input failing the chain enters the record as unverified and carries no weight. The standards apply identically to every Party and every organ.</w:t>
      </w:r>
    </w:p>
    <w:p w14:paraId="5838D384" w14:textId="77777777" w:rsidR="00DA7972" w:rsidRDefault="00000000">
      <w:pPr>
        <w:pStyle w:val="Heading3"/>
      </w:pPr>
      <w:r>
        <w:rPr>
          <w:rFonts w:eastAsia="Calibri" w:cs="Calibri"/>
          <w:szCs w:val="22"/>
        </w:rPr>
        <w:t>G.5 Signal-integrity verification</w:t>
      </w:r>
    </w:p>
    <w:p w14:paraId="17174BB8" w14:textId="77777777" w:rsidR="00DA7972" w:rsidRDefault="00000000">
      <w:r>
        <w:rPr>
          <w:rFonts w:eastAsia="Georgia" w:cs="Georgia"/>
          <w:szCs w:val="21"/>
        </w:rPr>
        <w:t>The signal-integrity watch maintains land-based receivers at Muscat, Bandar Abbas, and Khasab, recording automatic identification system, radar, and satellite-navigation signal health continuously. A spoofing or jamming event produces an automatic technical log with location estimates; the log converges with patrol or observer reports before any classification, per Article 28.2.</w:t>
      </w:r>
    </w:p>
    <w:p w14:paraId="73C0805F" w14:textId="77777777" w:rsidR="00DA7972" w:rsidRDefault="00000000">
      <w:pPr>
        <w:pStyle w:val="Heading1"/>
      </w:pPr>
      <w:bookmarkStart w:id="68" w:name="_Toc236229949"/>
      <w:r>
        <w:rPr>
          <w:rFonts w:eastAsia="Calibri" w:cs="Calibri"/>
          <w:i/>
          <w:color w:val="78909C"/>
          <w:sz w:val="18"/>
          <w:szCs w:val="18"/>
        </w:rPr>
        <w:lastRenderedPageBreak/>
        <w:t>Annex H: Notification Formats and Model Forms</w:t>
      </w:r>
      <w:bookmarkEnd w:id="68"/>
    </w:p>
    <w:p w14:paraId="3B09B4FF" w14:textId="77777777" w:rsidR="00DA7972" w:rsidRDefault="00000000">
      <w:pPr>
        <w:pStyle w:val="Heading3"/>
      </w:pPr>
      <w:r>
        <w:rPr>
          <w:rFonts w:eastAsia="Calibri" w:cs="Calibri"/>
          <w:szCs w:val="22"/>
        </w:rPr>
        <w:t>H.1 The twelve-field transit notice</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5"/>
        <w:gridCol w:w="3075"/>
        <w:gridCol w:w="3076"/>
      </w:tblGrid>
      <w:tr w:rsidR="00DA7972" w14:paraId="2DE419D6" w14:textId="77777777">
        <w:trPr>
          <w:tblHeader/>
        </w:trPr>
        <w:tc>
          <w:tcPr>
            <w:tcW w:w="3003" w:type="dxa"/>
            <w:tcBorders>
              <w:bottom w:val="single" w:sz="6" w:space="0" w:color="546E7A"/>
            </w:tcBorders>
            <w:shd w:val="clear" w:color="auto" w:fill="E4E9EC"/>
          </w:tcPr>
          <w:p w14:paraId="7E717778" w14:textId="77777777" w:rsidR="00DA7972" w:rsidRDefault="00000000">
            <w:pPr>
              <w:spacing w:after="0" w:line="260" w:lineRule="auto"/>
              <w:jc w:val="left"/>
            </w:pPr>
            <w:r>
              <w:rPr>
                <w:rFonts w:ascii="Calibri" w:eastAsia="Calibri" w:hAnsi="Calibri" w:cs="Calibri"/>
                <w:b/>
                <w:color w:val="37474F"/>
                <w:sz w:val="19"/>
                <w:szCs w:val="19"/>
              </w:rPr>
              <w:t>Field</w:t>
            </w:r>
          </w:p>
        </w:tc>
        <w:tc>
          <w:tcPr>
            <w:tcW w:w="3003" w:type="dxa"/>
            <w:tcBorders>
              <w:bottom w:val="single" w:sz="6" w:space="0" w:color="546E7A"/>
            </w:tcBorders>
            <w:shd w:val="clear" w:color="auto" w:fill="E4E9EC"/>
          </w:tcPr>
          <w:p w14:paraId="620138D1" w14:textId="77777777" w:rsidR="00DA7972" w:rsidRDefault="00000000">
            <w:pPr>
              <w:spacing w:after="0" w:line="260" w:lineRule="auto"/>
              <w:jc w:val="left"/>
            </w:pPr>
            <w:r>
              <w:rPr>
                <w:rFonts w:ascii="Calibri" w:eastAsia="Calibri" w:hAnsi="Calibri" w:cs="Calibri"/>
                <w:b/>
                <w:color w:val="37474F"/>
                <w:sz w:val="19"/>
                <w:szCs w:val="19"/>
              </w:rPr>
              <w:t>Content</w:t>
            </w:r>
          </w:p>
        </w:tc>
        <w:tc>
          <w:tcPr>
            <w:tcW w:w="3004" w:type="dxa"/>
            <w:tcBorders>
              <w:bottom w:val="single" w:sz="6" w:space="0" w:color="546E7A"/>
            </w:tcBorders>
            <w:shd w:val="clear" w:color="auto" w:fill="E4E9EC"/>
          </w:tcPr>
          <w:p w14:paraId="63ED9E70" w14:textId="77777777" w:rsidR="00DA7972" w:rsidRDefault="00000000">
            <w:pPr>
              <w:spacing w:after="0" w:line="260" w:lineRule="auto"/>
              <w:jc w:val="left"/>
            </w:pPr>
            <w:r>
              <w:rPr>
                <w:rFonts w:ascii="Calibri" w:eastAsia="Calibri" w:hAnsi="Calibri" w:cs="Calibri"/>
                <w:b/>
                <w:color w:val="37474F"/>
                <w:sz w:val="19"/>
                <w:szCs w:val="19"/>
              </w:rPr>
              <w:t>Format</w:t>
            </w:r>
          </w:p>
        </w:tc>
      </w:tr>
      <w:tr w:rsidR="00DA7972" w14:paraId="4E6FEC26" w14:textId="77777777">
        <w:tc>
          <w:tcPr>
            <w:tcW w:w="3003" w:type="dxa"/>
          </w:tcPr>
          <w:p w14:paraId="22BFF6D8" w14:textId="77777777" w:rsidR="00DA7972" w:rsidRDefault="00000000">
            <w:pPr>
              <w:spacing w:after="0" w:line="260" w:lineRule="auto"/>
              <w:jc w:val="left"/>
            </w:pPr>
            <w:r>
              <w:rPr>
                <w:rFonts w:ascii="Calibri" w:eastAsia="Calibri" w:hAnsi="Calibri" w:cs="Calibri"/>
                <w:sz w:val="19"/>
                <w:szCs w:val="19"/>
              </w:rPr>
              <w:t>1</w:t>
            </w:r>
          </w:p>
        </w:tc>
        <w:tc>
          <w:tcPr>
            <w:tcW w:w="3003" w:type="dxa"/>
          </w:tcPr>
          <w:p w14:paraId="396D769D" w14:textId="77777777" w:rsidR="00DA7972" w:rsidRDefault="00000000">
            <w:pPr>
              <w:spacing w:after="0" w:line="260" w:lineRule="auto"/>
              <w:jc w:val="left"/>
            </w:pPr>
            <w:r>
              <w:rPr>
                <w:rFonts w:ascii="Calibri" w:eastAsia="Calibri" w:hAnsi="Calibri" w:cs="Calibri"/>
                <w:sz w:val="19"/>
                <w:szCs w:val="19"/>
              </w:rPr>
              <w:t>Vessel name and flag</w:t>
            </w:r>
          </w:p>
        </w:tc>
        <w:tc>
          <w:tcPr>
            <w:tcW w:w="3004" w:type="dxa"/>
          </w:tcPr>
          <w:p w14:paraId="376C3D14" w14:textId="77777777" w:rsidR="00DA7972" w:rsidRDefault="00000000">
            <w:pPr>
              <w:spacing w:after="0" w:line="260" w:lineRule="auto"/>
              <w:jc w:val="left"/>
            </w:pPr>
            <w:r>
              <w:rPr>
                <w:rFonts w:ascii="Calibri" w:eastAsia="Calibri" w:hAnsi="Calibri" w:cs="Calibri"/>
                <w:sz w:val="19"/>
                <w:szCs w:val="19"/>
              </w:rPr>
              <w:t>Text</w:t>
            </w:r>
          </w:p>
        </w:tc>
      </w:tr>
      <w:tr w:rsidR="00DA7972" w14:paraId="7D6864B2" w14:textId="77777777">
        <w:tc>
          <w:tcPr>
            <w:tcW w:w="3003" w:type="dxa"/>
          </w:tcPr>
          <w:p w14:paraId="36C35D60" w14:textId="77777777" w:rsidR="00DA7972" w:rsidRDefault="00000000">
            <w:pPr>
              <w:spacing w:after="0" w:line="260" w:lineRule="auto"/>
              <w:jc w:val="left"/>
            </w:pPr>
            <w:r>
              <w:rPr>
                <w:rFonts w:ascii="Calibri" w:eastAsia="Calibri" w:hAnsi="Calibri" w:cs="Calibri"/>
                <w:sz w:val="19"/>
                <w:szCs w:val="19"/>
              </w:rPr>
              <w:t>2</w:t>
            </w:r>
          </w:p>
        </w:tc>
        <w:tc>
          <w:tcPr>
            <w:tcW w:w="3003" w:type="dxa"/>
          </w:tcPr>
          <w:p w14:paraId="7FE1F11B" w14:textId="77777777" w:rsidR="00DA7972" w:rsidRDefault="00000000">
            <w:pPr>
              <w:spacing w:after="0" w:line="260" w:lineRule="auto"/>
              <w:jc w:val="left"/>
            </w:pPr>
            <w:r>
              <w:rPr>
                <w:rFonts w:ascii="Calibri" w:eastAsia="Calibri" w:hAnsi="Calibri" w:cs="Calibri"/>
                <w:sz w:val="19"/>
                <w:szCs w:val="19"/>
              </w:rPr>
              <w:t>International Maritime Organization number and call sign</w:t>
            </w:r>
          </w:p>
        </w:tc>
        <w:tc>
          <w:tcPr>
            <w:tcW w:w="3004" w:type="dxa"/>
          </w:tcPr>
          <w:p w14:paraId="19EB92B8" w14:textId="77777777" w:rsidR="00DA7972" w:rsidRDefault="00000000">
            <w:pPr>
              <w:spacing w:after="0" w:line="260" w:lineRule="auto"/>
              <w:jc w:val="left"/>
            </w:pPr>
            <w:r>
              <w:rPr>
                <w:rFonts w:ascii="Calibri" w:eastAsia="Calibri" w:hAnsi="Calibri" w:cs="Calibri"/>
                <w:sz w:val="19"/>
                <w:szCs w:val="19"/>
              </w:rPr>
              <w:t>Number and text</w:t>
            </w:r>
          </w:p>
        </w:tc>
      </w:tr>
      <w:tr w:rsidR="00DA7972" w14:paraId="458087CB" w14:textId="77777777">
        <w:tc>
          <w:tcPr>
            <w:tcW w:w="3003" w:type="dxa"/>
          </w:tcPr>
          <w:p w14:paraId="28EC0849" w14:textId="77777777" w:rsidR="00DA7972" w:rsidRDefault="00000000">
            <w:pPr>
              <w:spacing w:after="0" w:line="260" w:lineRule="auto"/>
              <w:jc w:val="left"/>
            </w:pPr>
            <w:r>
              <w:rPr>
                <w:rFonts w:ascii="Calibri" w:eastAsia="Calibri" w:hAnsi="Calibri" w:cs="Calibri"/>
                <w:sz w:val="19"/>
                <w:szCs w:val="19"/>
              </w:rPr>
              <w:t>3</w:t>
            </w:r>
          </w:p>
        </w:tc>
        <w:tc>
          <w:tcPr>
            <w:tcW w:w="3003" w:type="dxa"/>
          </w:tcPr>
          <w:p w14:paraId="0206A9AC" w14:textId="77777777" w:rsidR="00DA7972" w:rsidRDefault="00000000">
            <w:pPr>
              <w:spacing w:after="0" w:line="260" w:lineRule="auto"/>
              <w:jc w:val="left"/>
            </w:pPr>
            <w:r>
              <w:rPr>
                <w:rFonts w:ascii="Calibri" w:eastAsia="Calibri" w:hAnsi="Calibri" w:cs="Calibri"/>
                <w:sz w:val="19"/>
                <w:szCs w:val="19"/>
              </w:rPr>
              <w:t>Vessel class under Annex B</w:t>
            </w:r>
          </w:p>
        </w:tc>
        <w:tc>
          <w:tcPr>
            <w:tcW w:w="3004" w:type="dxa"/>
          </w:tcPr>
          <w:p w14:paraId="54A7D418" w14:textId="77777777" w:rsidR="00DA7972" w:rsidRDefault="00000000">
            <w:pPr>
              <w:spacing w:after="0" w:line="260" w:lineRule="auto"/>
              <w:jc w:val="left"/>
            </w:pPr>
            <w:r>
              <w:rPr>
                <w:rFonts w:ascii="Calibri" w:eastAsia="Calibri" w:hAnsi="Calibri" w:cs="Calibri"/>
                <w:sz w:val="19"/>
                <w:szCs w:val="19"/>
              </w:rPr>
              <w:t>Class letter</w:t>
            </w:r>
          </w:p>
        </w:tc>
      </w:tr>
      <w:tr w:rsidR="00DA7972" w14:paraId="78540F4D" w14:textId="77777777">
        <w:tc>
          <w:tcPr>
            <w:tcW w:w="3003" w:type="dxa"/>
          </w:tcPr>
          <w:p w14:paraId="6EE656E0" w14:textId="77777777" w:rsidR="00DA7972" w:rsidRDefault="00000000">
            <w:pPr>
              <w:spacing w:after="0" w:line="260" w:lineRule="auto"/>
              <w:jc w:val="left"/>
            </w:pPr>
            <w:r>
              <w:rPr>
                <w:rFonts w:ascii="Calibri" w:eastAsia="Calibri" w:hAnsi="Calibri" w:cs="Calibri"/>
                <w:sz w:val="19"/>
                <w:szCs w:val="19"/>
              </w:rPr>
              <w:t>4</w:t>
            </w:r>
          </w:p>
        </w:tc>
        <w:tc>
          <w:tcPr>
            <w:tcW w:w="3003" w:type="dxa"/>
          </w:tcPr>
          <w:p w14:paraId="159FD14E" w14:textId="77777777" w:rsidR="00DA7972" w:rsidRDefault="00000000">
            <w:pPr>
              <w:spacing w:after="0" w:line="260" w:lineRule="auto"/>
              <w:jc w:val="left"/>
            </w:pPr>
            <w:r>
              <w:rPr>
                <w:rFonts w:ascii="Calibri" w:eastAsia="Calibri" w:hAnsi="Calibri" w:cs="Calibri"/>
                <w:sz w:val="19"/>
                <w:szCs w:val="19"/>
              </w:rPr>
              <w:t>Gross tonnage and dimensions</w:t>
            </w:r>
          </w:p>
        </w:tc>
        <w:tc>
          <w:tcPr>
            <w:tcW w:w="3004" w:type="dxa"/>
          </w:tcPr>
          <w:p w14:paraId="2F2D4F9D" w14:textId="77777777" w:rsidR="00DA7972" w:rsidRDefault="00000000">
            <w:pPr>
              <w:spacing w:after="0" w:line="260" w:lineRule="auto"/>
              <w:jc w:val="left"/>
            </w:pPr>
            <w:r>
              <w:rPr>
                <w:rFonts w:ascii="Calibri" w:eastAsia="Calibri" w:hAnsi="Calibri" w:cs="Calibri"/>
                <w:sz w:val="19"/>
                <w:szCs w:val="19"/>
              </w:rPr>
              <w:t>Numbers</w:t>
            </w:r>
          </w:p>
        </w:tc>
      </w:tr>
      <w:tr w:rsidR="00DA7972" w14:paraId="76EAC0F4" w14:textId="77777777">
        <w:tc>
          <w:tcPr>
            <w:tcW w:w="3003" w:type="dxa"/>
          </w:tcPr>
          <w:p w14:paraId="4BDBF1EF" w14:textId="77777777" w:rsidR="00DA7972" w:rsidRDefault="00000000">
            <w:pPr>
              <w:spacing w:after="0" w:line="260" w:lineRule="auto"/>
              <w:jc w:val="left"/>
            </w:pPr>
            <w:r>
              <w:rPr>
                <w:rFonts w:ascii="Calibri" w:eastAsia="Calibri" w:hAnsi="Calibri" w:cs="Calibri"/>
                <w:sz w:val="19"/>
                <w:szCs w:val="19"/>
              </w:rPr>
              <w:t>5</w:t>
            </w:r>
          </w:p>
        </w:tc>
        <w:tc>
          <w:tcPr>
            <w:tcW w:w="3003" w:type="dxa"/>
          </w:tcPr>
          <w:p w14:paraId="4FDD4C7E" w14:textId="77777777" w:rsidR="00DA7972" w:rsidRDefault="00000000">
            <w:pPr>
              <w:spacing w:after="0" w:line="260" w:lineRule="auto"/>
              <w:jc w:val="left"/>
            </w:pPr>
            <w:r>
              <w:rPr>
                <w:rFonts w:ascii="Calibri" w:eastAsia="Calibri" w:hAnsi="Calibri" w:cs="Calibri"/>
                <w:sz w:val="19"/>
                <w:szCs w:val="19"/>
              </w:rPr>
              <w:t>Position and time of filing</w:t>
            </w:r>
          </w:p>
        </w:tc>
        <w:tc>
          <w:tcPr>
            <w:tcW w:w="3004" w:type="dxa"/>
          </w:tcPr>
          <w:p w14:paraId="77CC6279" w14:textId="77777777" w:rsidR="00DA7972" w:rsidRDefault="00000000">
            <w:pPr>
              <w:spacing w:after="0" w:line="260" w:lineRule="auto"/>
              <w:jc w:val="left"/>
            </w:pPr>
            <w:r>
              <w:rPr>
                <w:rFonts w:ascii="Calibri" w:eastAsia="Calibri" w:hAnsi="Calibri" w:cs="Calibri"/>
                <w:sz w:val="19"/>
                <w:szCs w:val="19"/>
              </w:rPr>
              <w:t>Coordinates, UTC</w:t>
            </w:r>
          </w:p>
        </w:tc>
      </w:tr>
      <w:tr w:rsidR="00DA7972" w14:paraId="3314FCE1" w14:textId="77777777">
        <w:tc>
          <w:tcPr>
            <w:tcW w:w="3003" w:type="dxa"/>
          </w:tcPr>
          <w:p w14:paraId="26F93A5E" w14:textId="77777777" w:rsidR="00DA7972" w:rsidRDefault="00000000">
            <w:pPr>
              <w:spacing w:after="0" w:line="260" w:lineRule="auto"/>
              <w:jc w:val="left"/>
            </w:pPr>
            <w:r>
              <w:rPr>
                <w:rFonts w:ascii="Calibri" w:eastAsia="Calibri" w:hAnsi="Calibri" w:cs="Calibri"/>
                <w:sz w:val="19"/>
                <w:szCs w:val="19"/>
              </w:rPr>
              <w:t>6</w:t>
            </w:r>
          </w:p>
        </w:tc>
        <w:tc>
          <w:tcPr>
            <w:tcW w:w="3003" w:type="dxa"/>
          </w:tcPr>
          <w:p w14:paraId="4240E703" w14:textId="77777777" w:rsidR="00DA7972" w:rsidRDefault="00000000">
            <w:pPr>
              <w:spacing w:after="0" w:line="260" w:lineRule="auto"/>
              <w:jc w:val="left"/>
            </w:pPr>
            <w:r>
              <w:rPr>
                <w:rFonts w:ascii="Calibri" w:eastAsia="Calibri" w:hAnsi="Calibri" w:cs="Calibri"/>
                <w:sz w:val="19"/>
                <w:szCs w:val="19"/>
              </w:rPr>
              <w:t>Intended corridor and lane</w:t>
            </w:r>
          </w:p>
        </w:tc>
        <w:tc>
          <w:tcPr>
            <w:tcW w:w="3004" w:type="dxa"/>
          </w:tcPr>
          <w:p w14:paraId="4EEB4724" w14:textId="77777777" w:rsidR="00DA7972" w:rsidRDefault="00000000">
            <w:pPr>
              <w:spacing w:after="0" w:line="260" w:lineRule="auto"/>
              <w:jc w:val="left"/>
            </w:pPr>
            <w:r>
              <w:rPr>
                <w:rFonts w:ascii="Calibri" w:eastAsia="Calibri" w:hAnsi="Calibri" w:cs="Calibri"/>
                <w:sz w:val="19"/>
                <w:szCs w:val="19"/>
              </w:rPr>
              <w:t>Corridor, lane direction</w:t>
            </w:r>
          </w:p>
        </w:tc>
      </w:tr>
      <w:tr w:rsidR="00DA7972" w14:paraId="050C925B" w14:textId="77777777">
        <w:tc>
          <w:tcPr>
            <w:tcW w:w="3003" w:type="dxa"/>
          </w:tcPr>
          <w:p w14:paraId="4736248C" w14:textId="77777777" w:rsidR="00DA7972" w:rsidRDefault="00000000">
            <w:pPr>
              <w:spacing w:after="0" w:line="260" w:lineRule="auto"/>
              <w:jc w:val="left"/>
            </w:pPr>
            <w:r>
              <w:rPr>
                <w:rFonts w:ascii="Calibri" w:eastAsia="Calibri" w:hAnsi="Calibri" w:cs="Calibri"/>
                <w:sz w:val="19"/>
                <w:szCs w:val="19"/>
              </w:rPr>
              <w:t>7</w:t>
            </w:r>
          </w:p>
        </w:tc>
        <w:tc>
          <w:tcPr>
            <w:tcW w:w="3003" w:type="dxa"/>
          </w:tcPr>
          <w:p w14:paraId="0324DC6A" w14:textId="77777777" w:rsidR="00DA7972" w:rsidRDefault="00000000">
            <w:pPr>
              <w:spacing w:after="0" w:line="260" w:lineRule="auto"/>
              <w:jc w:val="left"/>
            </w:pPr>
            <w:r>
              <w:rPr>
                <w:rFonts w:ascii="Calibri" w:eastAsia="Calibri" w:hAnsi="Calibri" w:cs="Calibri"/>
                <w:sz w:val="19"/>
                <w:szCs w:val="19"/>
              </w:rPr>
              <w:t>Estimated entry time at first waypoint</w:t>
            </w:r>
          </w:p>
        </w:tc>
        <w:tc>
          <w:tcPr>
            <w:tcW w:w="3004" w:type="dxa"/>
          </w:tcPr>
          <w:p w14:paraId="382881E9" w14:textId="77777777" w:rsidR="00DA7972" w:rsidRDefault="00000000">
            <w:pPr>
              <w:spacing w:after="0" w:line="260" w:lineRule="auto"/>
              <w:jc w:val="left"/>
            </w:pPr>
            <w:r>
              <w:rPr>
                <w:rFonts w:ascii="Calibri" w:eastAsia="Calibri" w:hAnsi="Calibri" w:cs="Calibri"/>
                <w:sz w:val="19"/>
                <w:szCs w:val="19"/>
              </w:rPr>
              <w:t>UTC window</w:t>
            </w:r>
          </w:p>
        </w:tc>
      </w:tr>
      <w:tr w:rsidR="00DA7972" w14:paraId="1BB746A6" w14:textId="77777777">
        <w:tc>
          <w:tcPr>
            <w:tcW w:w="3003" w:type="dxa"/>
          </w:tcPr>
          <w:p w14:paraId="4E5754D8" w14:textId="77777777" w:rsidR="00DA7972" w:rsidRDefault="00000000">
            <w:pPr>
              <w:spacing w:after="0" w:line="260" w:lineRule="auto"/>
              <w:jc w:val="left"/>
            </w:pPr>
            <w:r>
              <w:rPr>
                <w:rFonts w:ascii="Calibri" w:eastAsia="Calibri" w:hAnsi="Calibri" w:cs="Calibri"/>
                <w:sz w:val="19"/>
                <w:szCs w:val="19"/>
              </w:rPr>
              <w:t>8</w:t>
            </w:r>
          </w:p>
        </w:tc>
        <w:tc>
          <w:tcPr>
            <w:tcW w:w="3003" w:type="dxa"/>
          </w:tcPr>
          <w:p w14:paraId="075ECD9F" w14:textId="77777777" w:rsidR="00DA7972" w:rsidRDefault="00000000">
            <w:pPr>
              <w:spacing w:after="0" w:line="260" w:lineRule="auto"/>
              <w:jc w:val="left"/>
            </w:pPr>
            <w:r>
              <w:rPr>
                <w:rFonts w:ascii="Calibri" w:eastAsia="Calibri" w:hAnsi="Calibri" w:cs="Calibri"/>
                <w:sz w:val="19"/>
                <w:szCs w:val="19"/>
              </w:rPr>
              <w:t>Cargo category in general terms</w:t>
            </w:r>
          </w:p>
        </w:tc>
        <w:tc>
          <w:tcPr>
            <w:tcW w:w="3004" w:type="dxa"/>
          </w:tcPr>
          <w:p w14:paraId="5B02F67F" w14:textId="77777777" w:rsidR="00DA7972" w:rsidRDefault="00000000">
            <w:pPr>
              <w:spacing w:after="0" w:line="260" w:lineRule="auto"/>
              <w:jc w:val="left"/>
            </w:pPr>
            <w:r>
              <w:rPr>
                <w:rFonts w:ascii="Calibri" w:eastAsia="Calibri" w:hAnsi="Calibri" w:cs="Calibri"/>
                <w:sz w:val="19"/>
                <w:szCs w:val="19"/>
              </w:rPr>
              <w:t>Standard cargo category list; no manifest detail</w:t>
            </w:r>
          </w:p>
        </w:tc>
      </w:tr>
      <w:tr w:rsidR="00DA7972" w14:paraId="35D7FFA4" w14:textId="77777777">
        <w:tc>
          <w:tcPr>
            <w:tcW w:w="3003" w:type="dxa"/>
          </w:tcPr>
          <w:p w14:paraId="611DFFFB" w14:textId="77777777" w:rsidR="00DA7972" w:rsidRDefault="00000000">
            <w:pPr>
              <w:spacing w:after="0" w:line="260" w:lineRule="auto"/>
              <w:jc w:val="left"/>
            </w:pPr>
            <w:r>
              <w:rPr>
                <w:rFonts w:ascii="Calibri" w:eastAsia="Calibri" w:hAnsi="Calibri" w:cs="Calibri"/>
                <w:sz w:val="19"/>
                <w:szCs w:val="19"/>
              </w:rPr>
              <w:t>9</w:t>
            </w:r>
          </w:p>
        </w:tc>
        <w:tc>
          <w:tcPr>
            <w:tcW w:w="3003" w:type="dxa"/>
          </w:tcPr>
          <w:p w14:paraId="56F22A6E" w14:textId="77777777" w:rsidR="00DA7972" w:rsidRDefault="00000000">
            <w:pPr>
              <w:spacing w:after="0" w:line="260" w:lineRule="auto"/>
              <w:jc w:val="left"/>
            </w:pPr>
            <w:r>
              <w:rPr>
                <w:rFonts w:ascii="Calibri" w:eastAsia="Calibri" w:hAnsi="Calibri" w:cs="Calibri"/>
                <w:sz w:val="19"/>
                <w:szCs w:val="19"/>
              </w:rPr>
              <w:t>Last port and next port</w:t>
            </w:r>
          </w:p>
        </w:tc>
        <w:tc>
          <w:tcPr>
            <w:tcW w:w="3004" w:type="dxa"/>
          </w:tcPr>
          <w:p w14:paraId="2352AD88" w14:textId="77777777" w:rsidR="00DA7972" w:rsidRDefault="00000000">
            <w:pPr>
              <w:spacing w:after="0" w:line="260" w:lineRule="auto"/>
              <w:jc w:val="left"/>
            </w:pPr>
            <w:r>
              <w:rPr>
                <w:rFonts w:ascii="Calibri" w:eastAsia="Calibri" w:hAnsi="Calibri" w:cs="Calibri"/>
                <w:sz w:val="19"/>
                <w:szCs w:val="19"/>
              </w:rPr>
              <w:t>Port names</w:t>
            </w:r>
          </w:p>
        </w:tc>
      </w:tr>
      <w:tr w:rsidR="00DA7972" w14:paraId="767AD4A8" w14:textId="77777777">
        <w:tc>
          <w:tcPr>
            <w:tcW w:w="3003" w:type="dxa"/>
          </w:tcPr>
          <w:p w14:paraId="3A770A20" w14:textId="77777777" w:rsidR="00DA7972" w:rsidRDefault="00000000">
            <w:pPr>
              <w:spacing w:after="0" w:line="260" w:lineRule="auto"/>
              <w:jc w:val="left"/>
            </w:pPr>
            <w:r>
              <w:rPr>
                <w:rFonts w:ascii="Calibri" w:eastAsia="Calibri" w:hAnsi="Calibri" w:cs="Calibri"/>
                <w:sz w:val="19"/>
                <w:szCs w:val="19"/>
              </w:rPr>
              <w:t>10</w:t>
            </w:r>
          </w:p>
        </w:tc>
        <w:tc>
          <w:tcPr>
            <w:tcW w:w="3003" w:type="dxa"/>
          </w:tcPr>
          <w:p w14:paraId="03CC3569" w14:textId="77777777" w:rsidR="00DA7972" w:rsidRDefault="00000000">
            <w:pPr>
              <w:spacing w:after="0" w:line="260" w:lineRule="auto"/>
              <w:jc w:val="left"/>
            </w:pPr>
            <w:r>
              <w:rPr>
                <w:rFonts w:ascii="Calibri" w:eastAsia="Calibri" w:hAnsi="Calibri" w:cs="Calibri"/>
                <w:sz w:val="19"/>
                <w:szCs w:val="19"/>
              </w:rPr>
              <w:t>Insurance evidence reference</w:t>
            </w:r>
          </w:p>
        </w:tc>
        <w:tc>
          <w:tcPr>
            <w:tcW w:w="3004" w:type="dxa"/>
          </w:tcPr>
          <w:p w14:paraId="4C29B112" w14:textId="77777777" w:rsidR="00DA7972" w:rsidRDefault="00000000">
            <w:pPr>
              <w:spacing w:after="0" w:line="260" w:lineRule="auto"/>
              <w:jc w:val="left"/>
            </w:pPr>
            <w:r>
              <w:rPr>
                <w:rFonts w:ascii="Calibri" w:eastAsia="Calibri" w:hAnsi="Calibri" w:cs="Calibri"/>
                <w:sz w:val="19"/>
                <w:szCs w:val="19"/>
              </w:rPr>
              <w:t>Registry reference or notice attachment</w:t>
            </w:r>
          </w:p>
        </w:tc>
      </w:tr>
      <w:tr w:rsidR="00DA7972" w14:paraId="096737B0" w14:textId="77777777">
        <w:tc>
          <w:tcPr>
            <w:tcW w:w="3003" w:type="dxa"/>
          </w:tcPr>
          <w:p w14:paraId="613D180E" w14:textId="77777777" w:rsidR="00DA7972" w:rsidRDefault="00000000">
            <w:pPr>
              <w:spacing w:after="0" w:line="260" w:lineRule="auto"/>
              <w:jc w:val="left"/>
            </w:pPr>
            <w:r>
              <w:rPr>
                <w:rFonts w:ascii="Calibri" w:eastAsia="Calibri" w:hAnsi="Calibri" w:cs="Calibri"/>
                <w:sz w:val="19"/>
                <w:szCs w:val="19"/>
              </w:rPr>
              <w:t>11</w:t>
            </w:r>
          </w:p>
        </w:tc>
        <w:tc>
          <w:tcPr>
            <w:tcW w:w="3003" w:type="dxa"/>
          </w:tcPr>
          <w:p w14:paraId="7FD0C7FE" w14:textId="77777777" w:rsidR="00DA7972" w:rsidRDefault="00000000">
            <w:pPr>
              <w:spacing w:after="0" w:line="260" w:lineRule="auto"/>
              <w:jc w:val="left"/>
            </w:pPr>
            <w:r>
              <w:rPr>
                <w:rFonts w:ascii="Calibri" w:eastAsia="Calibri" w:hAnsi="Calibri" w:cs="Calibri"/>
                <w:sz w:val="19"/>
                <w:szCs w:val="19"/>
              </w:rPr>
              <w:t>Master's name and contact</w:t>
            </w:r>
          </w:p>
        </w:tc>
        <w:tc>
          <w:tcPr>
            <w:tcW w:w="3004" w:type="dxa"/>
          </w:tcPr>
          <w:p w14:paraId="07956598" w14:textId="77777777" w:rsidR="00DA7972" w:rsidRDefault="00000000">
            <w:pPr>
              <w:spacing w:after="0" w:line="260" w:lineRule="auto"/>
              <w:jc w:val="left"/>
            </w:pPr>
            <w:r>
              <w:rPr>
                <w:rFonts w:ascii="Calibri" w:eastAsia="Calibri" w:hAnsi="Calibri" w:cs="Calibri"/>
                <w:sz w:val="19"/>
                <w:szCs w:val="19"/>
              </w:rPr>
              <w:t>Text</w:t>
            </w:r>
          </w:p>
        </w:tc>
      </w:tr>
      <w:tr w:rsidR="00DA7972" w14:paraId="73EA340E" w14:textId="77777777">
        <w:tc>
          <w:tcPr>
            <w:tcW w:w="3003" w:type="dxa"/>
          </w:tcPr>
          <w:p w14:paraId="57D008A5" w14:textId="77777777" w:rsidR="00DA7972" w:rsidRDefault="00000000">
            <w:pPr>
              <w:spacing w:after="0" w:line="260" w:lineRule="auto"/>
              <w:jc w:val="left"/>
            </w:pPr>
            <w:r>
              <w:rPr>
                <w:rFonts w:ascii="Calibri" w:eastAsia="Calibri" w:hAnsi="Calibri" w:cs="Calibri"/>
                <w:sz w:val="19"/>
                <w:szCs w:val="19"/>
              </w:rPr>
              <w:t>12</w:t>
            </w:r>
          </w:p>
        </w:tc>
        <w:tc>
          <w:tcPr>
            <w:tcW w:w="3003" w:type="dxa"/>
          </w:tcPr>
          <w:p w14:paraId="62E87423" w14:textId="77777777" w:rsidR="00DA7972" w:rsidRDefault="00000000">
            <w:pPr>
              <w:spacing w:after="0" w:line="260" w:lineRule="auto"/>
              <w:jc w:val="left"/>
            </w:pPr>
            <w:r>
              <w:rPr>
                <w:rFonts w:ascii="Calibri" w:eastAsia="Calibri" w:hAnsi="Calibri" w:cs="Calibri"/>
                <w:sz w:val="19"/>
                <w:szCs w:val="19"/>
              </w:rPr>
              <w:t>Special circumstances, if any</w:t>
            </w:r>
          </w:p>
        </w:tc>
        <w:tc>
          <w:tcPr>
            <w:tcW w:w="3004" w:type="dxa"/>
          </w:tcPr>
          <w:p w14:paraId="0ABC4686" w14:textId="77777777" w:rsidR="00DA7972" w:rsidRDefault="00000000">
            <w:pPr>
              <w:spacing w:after="0" w:line="260" w:lineRule="auto"/>
              <w:jc w:val="left"/>
            </w:pPr>
            <w:r>
              <w:rPr>
                <w:rFonts w:ascii="Calibri" w:eastAsia="Calibri" w:hAnsi="Calibri" w:cs="Calibri"/>
                <w:sz w:val="19"/>
                <w:szCs w:val="19"/>
              </w:rPr>
              <w:t>Text; humanitarian consignment marker where applicable</w:t>
            </w:r>
          </w:p>
        </w:tc>
      </w:tr>
    </w:tbl>
    <w:p w14:paraId="7ADBF1D2" w14:textId="77777777" w:rsidR="00DA7972" w:rsidRDefault="00DA7972">
      <w:pPr>
        <w:spacing w:after="60"/>
      </w:pPr>
    </w:p>
    <w:p w14:paraId="62D9057D" w14:textId="77777777" w:rsidR="00DA7972" w:rsidRDefault="00000000">
      <w:pPr>
        <w:pStyle w:val="Caption"/>
      </w:pPr>
      <w:r>
        <w:rPr>
          <w:rFonts w:eastAsia="Calibri" w:cs="Calibri"/>
          <w:b/>
          <w:color w:val="212121"/>
          <w:sz w:val="19"/>
          <w:szCs w:val="19"/>
        </w:rPr>
        <w:t>Table H.1: Transit notice fields; the Center acknowledges automatically within 30 minutes</w:t>
      </w:r>
    </w:p>
    <w:p w14:paraId="3AB48485" w14:textId="77777777" w:rsidR="00DA7972" w:rsidRDefault="00000000">
      <w:pPr>
        <w:pStyle w:val="Heading3"/>
      </w:pPr>
      <w:r>
        <w:rPr>
          <w:rFonts w:eastAsia="Calibri" w:cs="Calibri"/>
          <w:szCs w:val="22"/>
        </w:rPr>
        <w:t>H.2 Acknowledgment format</w:t>
      </w:r>
    </w:p>
    <w:p w14:paraId="3A4CC2AD" w14:textId="77777777" w:rsidR="00DA7972" w:rsidRDefault="00000000">
      <w:r>
        <w:rPr>
          <w:rFonts w:eastAsia="Georgia" w:cs="Georgia"/>
          <w:szCs w:val="21"/>
        </w:rPr>
        <w:t>The acknowledgment states: notice reference, vessel, corridor, entry window, and the standing rule reminder that acknowledgment is administrative and passage awaits no approval. Silence beyond 30 minutes constitutes acknowledgment by default, per Article 8.3.</w:t>
      </w:r>
    </w:p>
    <w:p w14:paraId="2DD530F4" w14:textId="77777777" w:rsidR="00DA7972" w:rsidRDefault="00000000">
      <w:pPr>
        <w:pStyle w:val="Heading3"/>
      </w:pPr>
      <w:r>
        <w:rPr>
          <w:rFonts w:eastAsia="Calibri" w:cs="Calibri"/>
          <w:szCs w:val="22"/>
        </w:rPr>
        <w:t>H.3 Class H referral form</w:t>
      </w:r>
    </w:p>
    <w:p w14:paraId="66C3CCC4" w14:textId="77777777" w:rsidR="00DA7972" w:rsidRDefault="00000000">
      <w:r>
        <w:rPr>
          <w:rFonts w:eastAsia="Georgia" w:cs="Georgia"/>
          <w:szCs w:val="21"/>
        </w:rPr>
        <w:t>A referral states: the referring body; the specific cargo or documentation question; the evidence backing the question; the proposed anchorage; and the joint team availability. A referral without a specific question and evidence fails automatically, per Article 9.5.</w:t>
      </w:r>
    </w:p>
    <w:p w14:paraId="00936A07" w14:textId="77777777" w:rsidR="00DA7972" w:rsidRDefault="00000000">
      <w:pPr>
        <w:pStyle w:val="Heading3"/>
      </w:pPr>
      <w:r>
        <w:rPr>
          <w:rFonts w:eastAsia="Calibri" w:cs="Calibri"/>
          <w:szCs w:val="22"/>
        </w:rPr>
        <w:t>H.4 Incident flash format</w:t>
      </w:r>
    </w:p>
    <w:p w14:paraId="32573475" w14:textId="77777777" w:rsidR="00DA7972" w:rsidRDefault="00000000">
      <w:r>
        <w:rPr>
          <w:rFonts w:eastAsia="Georgia" w:cs="Georgia"/>
          <w:szCs w:val="21"/>
        </w:rPr>
        <w:t>Precedence FLASH; time and position of event; vessels and units involved; nature of event in one line; injuries and pollution state; assistance needed; position-log confirmation. The format fits one screen and one minute of voice time.</w:t>
      </w:r>
    </w:p>
    <w:p w14:paraId="568442E5" w14:textId="77777777" w:rsidR="00DA7972" w:rsidRDefault="00000000">
      <w:pPr>
        <w:pStyle w:val="Heading3"/>
      </w:pPr>
      <w:r>
        <w:rPr>
          <w:rFonts w:eastAsia="Calibri" w:cs="Calibri"/>
          <w:szCs w:val="22"/>
        </w:rPr>
        <w:lastRenderedPageBreak/>
        <w:t>H.5 Exercise notice format</w:t>
      </w:r>
    </w:p>
    <w:p w14:paraId="2B074118" w14:textId="77777777" w:rsidR="00DA7972" w:rsidRDefault="00000000">
      <w:r>
        <w:rPr>
          <w:rFonts w:eastAsia="Georgia" w:cs="Georgia"/>
          <w:szCs w:val="21"/>
        </w:rPr>
        <w:t>State and force element; area by coordinates; period in UTC; nature of activity; live-fire marker; point of contact. Filing 96 hours ahead through the military channel, per Article 27.3.</w:t>
      </w:r>
    </w:p>
    <w:p w14:paraId="5058F51B" w14:textId="77777777" w:rsidR="00DA7972" w:rsidRDefault="00000000">
      <w:pPr>
        <w:pStyle w:val="Heading1"/>
      </w:pPr>
      <w:bookmarkStart w:id="69" w:name="_Toc236229950"/>
      <w:r>
        <w:rPr>
          <w:rFonts w:eastAsia="Calibri" w:cs="Calibri"/>
          <w:i/>
          <w:color w:val="78909C"/>
          <w:sz w:val="18"/>
          <w:szCs w:val="18"/>
        </w:rPr>
        <w:lastRenderedPageBreak/>
        <w:t>Annex I: The Red Lines Register (Full Operative Text)</w:t>
      </w:r>
      <w:bookmarkEnd w:id="69"/>
    </w:p>
    <w:p w14:paraId="7FC00045" w14:textId="77777777" w:rsidR="00DA7972" w:rsidRDefault="00000000">
      <w:r>
        <w:rPr>
          <w:rFonts w:eastAsia="Georgia" w:cs="Georgia"/>
          <w:szCs w:val="21"/>
        </w:rPr>
        <w:t>Each entry states the line, the interest it protects, the safeguard that holds it, and the verification that shows it holding. The Register amends only under Article 39.2. The Stillwater Declaration of Principles, at the front of this instrument, states the fourteen lines in summary form.</w:t>
      </w:r>
    </w:p>
    <w:p w14:paraId="03D753C0" w14:textId="77777777" w:rsidR="00DA7972" w:rsidRDefault="00000000">
      <w:pPr>
        <w:pStyle w:val="Heading3"/>
      </w:pPr>
      <w:r>
        <w:rPr>
          <w:rFonts w:eastAsia="Calibri" w:cs="Calibri"/>
          <w:szCs w:val="22"/>
        </w:rPr>
        <w:t>RL-1: No charge on transit</w:t>
      </w:r>
    </w:p>
    <w:p w14:paraId="76B4A9D0" w14:textId="77777777" w:rsidR="00DA7972" w:rsidRDefault="00000000">
      <w:r>
        <w:rPr>
          <w:rFonts w:eastAsia="Georgia" w:cs="Georgia"/>
          <w:szCs w:val="21"/>
        </w:rPr>
        <w:t>Line: no charge of any kind attaches to the act of transit, in any corridor, for any vessel, ever. Interest: the user states' core demand and the pre-crisis status quo. Safeguard: Article 21, the prohibited-instruments list, and the Fund architecture that removes every fiscal incentive to charge. Verification: the Neutral Keel Office's monthly notification-desk audit and the Fund's payment ledger, both published.</w:t>
      </w:r>
    </w:p>
    <w:p w14:paraId="0BE39231" w14:textId="77777777" w:rsidR="00DA7972" w:rsidRDefault="00000000">
      <w:pPr>
        <w:pStyle w:val="Heading3"/>
      </w:pPr>
      <w:r>
        <w:rPr>
          <w:rFonts w:eastAsia="Calibri" w:cs="Calibri"/>
          <w:szCs w:val="22"/>
        </w:rPr>
        <w:t>RL-2: Unconditional southern transit</w:t>
      </w:r>
    </w:p>
    <w:p w14:paraId="346C1E92" w14:textId="77777777" w:rsidR="00DA7972" w:rsidRDefault="00000000">
      <w:r>
        <w:rPr>
          <w:rFonts w:eastAsia="Georgia" w:cs="Georgia"/>
          <w:szCs w:val="21"/>
        </w:rPr>
        <w:t>Line: Corridor One transits unconditionally; no notification layer attaches to it. Interest: the Endorsing Stakeholder's registered line that the Strait stays open without a permission regime. Safeguard: Article 8.2's architecture, which contains no approval step to activate. Verification: the Bulletin transit counts and observer embarkations.</w:t>
      </w:r>
    </w:p>
    <w:p w14:paraId="32DD866E" w14:textId="77777777" w:rsidR="00DA7972" w:rsidRDefault="00000000">
      <w:pPr>
        <w:pStyle w:val="Heading3"/>
      </w:pPr>
      <w:r>
        <w:rPr>
          <w:rFonts w:eastAsia="Calibri" w:cs="Calibri"/>
          <w:szCs w:val="22"/>
        </w:rPr>
        <w:t>RL-3: Recognized northern management role</w:t>
      </w:r>
    </w:p>
    <w:p w14:paraId="777AF70F" w14:textId="77777777" w:rsidR="00DA7972" w:rsidRDefault="00000000">
      <w:r>
        <w:rPr>
          <w:rFonts w:eastAsia="Georgia" w:cs="Georgia"/>
          <w:szCs w:val="21"/>
        </w:rPr>
        <w:t>Line: the northern littoral holds a recognized, formal, continuous management role over its corridor and its waters. Interest: Iran's registered line on sovereignty and dignity, and the domestic legislation interest in a documented role. Safeguard: the Corridor Two notification regime, paired staffing everywhere, co-directorship, and the Bandar Abbas mirror of equal rank. Verification: the staffing audit and the daily log.</w:t>
      </w:r>
    </w:p>
    <w:p w14:paraId="4364F721" w14:textId="77777777" w:rsidR="00DA7972" w:rsidRDefault="00000000">
      <w:pPr>
        <w:pStyle w:val="Heading3"/>
      </w:pPr>
      <w:r>
        <w:rPr>
          <w:rFonts w:eastAsia="Calibri" w:cs="Calibri"/>
          <w:szCs w:val="22"/>
        </w:rPr>
        <w:t>RL-4: No permission regime</w:t>
      </w:r>
    </w:p>
    <w:p w14:paraId="1369906C" w14:textId="77777777" w:rsidR="00DA7972" w:rsidRDefault="00000000">
      <w:r>
        <w:rPr>
          <w:rFonts w:eastAsia="Georgia" w:cs="Georgia"/>
          <w:szCs w:val="21"/>
        </w:rPr>
        <w:t>Line: no approval, clearance, or permission step exists anywhere in the Accord for commercial transit. Interest: both user-state and coastal-state interests converge here, because a permission regime corrupts whoever holds it. Safeguard: acknowledgment-by-default in 30 minutes, Article 8.3. Verification: the notification-desk audit, which tests for gatekeeping patterns monthly.</w:t>
      </w:r>
    </w:p>
    <w:p w14:paraId="53D63422" w14:textId="77777777" w:rsidR="00DA7972" w:rsidRDefault="00000000">
      <w:pPr>
        <w:pStyle w:val="Heading3"/>
      </w:pPr>
      <w:r>
        <w:rPr>
          <w:rFonts w:eastAsia="Calibri" w:cs="Calibri"/>
          <w:szCs w:val="22"/>
        </w:rPr>
        <w:t>RL-5: No at-sea enforcement in corridors</w:t>
      </w:r>
    </w:p>
    <w:p w14:paraId="5B9ADF55" w14:textId="77777777" w:rsidR="00DA7972" w:rsidRDefault="00000000">
      <w:r>
        <w:rPr>
          <w:rFonts w:eastAsia="Georgia" w:cs="Georgia"/>
          <w:szCs w:val="21"/>
        </w:rPr>
        <w:t>Line: no boarding, diversion, seizure, or inspection occurs inside a corridor. Interest: freedom of navigation and crew safety. Safeguard: the Non-Interdiction Protocol and the Anchor-and-Verify Protocol that moves every question to anchorage. Verification: observer records, patrol reconciliation, and the incident archive.</w:t>
      </w:r>
    </w:p>
    <w:p w14:paraId="5F7697B1" w14:textId="77777777" w:rsidR="00DA7972" w:rsidRDefault="00000000">
      <w:pPr>
        <w:pStyle w:val="Heading3"/>
      </w:pPr>
      <w:r>
        <w:rPr>
          <w:rFonts w:eastAsia="Calibri" w:cs="Calibri"/>
          <w:szCs w:val="22"/>
        </w:rPr>
        <w:t>RL-6: Civilian operational character</w:t>
      </w:r>
    </w:p>
    <w:p w14:paraId="63A65D01" w14:textId="77777777" w:rsidR="00DA7972" w:rsidRDefault="00000000">
      <w:r>
        <w:rPr>
          <w:rFonts w:eastAsia="Georgia" w:cs="Georgia"/>
          <w:szCs w:val="21"/>
        </w:rPr>
        <w:t>Line: the Accord's operational bodies remain civilian, and no military organ directs them. Interest: every Party's interest that the architecture never becomes anyone's instrument. Safeguard: the Civilian Character Clause, Article 14.6. Verification: the Neutral Keel staffing compliance verification, annual and on complaint.</w:t>
      </w:r>
    </w:p>
    <w:p w14:paraId="004AEB4D" w14:textId="77777777" w:rsidR="00DA7972" w:rsidRDefault="00000000">
      <w:pPr>
        <w:pStyle w:val="Heading3"/>
      </w:pPr>
      <w:r>
        <w:rPr>
          <w:rFonts w:eastAsia="Calibri" w:cs="Calibri"/>
          <w:szCs w:val="22"/>
        </w:rPr>
        <w:lastRenderedPageBreak/>
        <w:t>RL-7: No direct payment</w:t>
      </w:r>
    </w:p>
    <w:p w14:paraId="553186B8" w14:textId="77777777" w:rsidR="00DA7972" w:rsidRDefault="00000000">
      <w:r>
        <w:rPr>
          <w:rFonts w:eastAsia="Georgia" w:cs="Georgia"/>
          <w:szCs w:val="21"/>
        </w:rPr>
        <w:t>Line: no shipper, operator, or vessel pays any Party directly for anything connected with the Governance Area. Interest: the sanctions-compliance interests of the Endorsing Stakeholder and the banking community. Safeguard: the Fund's single-channel architecture and the firewall of Article 25.4. Verification: the external audit and the Administrator's compliance screening records.</w:t>
      </w:r>
    </w:p>
    <w:p w14:paraId="680A1EF4" w14:textId="77777777" w:rsidR="00DA7972" w:rsidRDefault="00000000">
      <w:pPr>
        <w:pStyle w:val="Heading3"/>
      </w:pPr>
      <w:r>
        <w:rPr>
          <w:rFonts w:eastAsia="Calibri" w:cs="Calibri"/>
          <w:szCs w:val="22"/>
        </w:rPr>
        <w:t>RL-8: Sovereignty intact</w:t>
      </w:r>
    </w:p>
    <w:p w14:paraId="67526442" w14:textId="77777777" w:rsidR="00DA7972" w:rsidRDefault="00000000">
      <w:r>
        <w:rPr>
          <w:rFonts w:eastAsia="Georgia" w:cs="Georgia"/>
          <w:szCs w:val="21"/>
        </w:rPr>
        <w:t>Line: each Party's sovereignty over its own waters stands intact, and nothing in the Accord derogates from it. Interest: the coastal states' core position. Safeguard: Articles 1.3 and 2.6, the operational-construct rule, and the no-prejudice clause. Verification: the Perimeter Test record.</w:t>
      </w:r>
    </w:p>
    <w:p w14:paraId="5EDD2E36" w14:textId="77777777" w:rsidR="00DA7972" w:rsidRDefault="00000000">
      <w:pPr>
        <w:pStyle w:val="Heading3"/>
      </w:pPr>
      <w:r>
        <w:rPr>
          <w:rFonts w:eastAsia="Calibri" w:cs="Calibri"/>
          <w:szCs w:val="22"/>
        </w:rPr>
        <w:t>RL-9: No silent expiry</w:t>
      </w:r>
    </w:p>
    <w:p w14:paraId="6642BF95" w14:textId="77777777" w:rsidR="00DA7972" w:rsidRDefault="00000000">
      <w:r>
        <w:rPr>
          <w:rFonts w:eastAsia="Georgia" w:cs="Georgia"/>
          <w:szCs w:val="21"/>
        </w:rPr>
        <w:t>Line: no commitment expires, lapses, or dilutes by time, silence, or routine. Interest: every Party's interest in durability, and the lesson of agreements that died at date boundaries. Safeguard: the Nofade Guarantee, Article 4. Verification: the annual integrity review's continuity audit.</w:t>
      </w:r>
    </w:p>
    <w:p w14:paraId="29BC9B89" w14:textId="77777777" w:rsidR="00DA7972" w:rsidRDefault="00000000">
      <w:pPr>
        <w:pStyle w:val="Heading3"/>
      </w:pPr>
      <w:r>
        <w:rPr>
          <w:rFonts w:eastAsia="Calibri" w:cs="Calibri"/>
          <w:szCs w:val="22"/>
        </w:rPr>
        <w:t>RL-10: Humanitarian flow absolute</w:t>
      </w:r>
    </w:p>
    <w:p w14:paraId="43A79988" w14:textId="77777777" w:rsidR="00DA7972" w:rsidRDefault="00000000">
      <w:r>
        <w:rPr>
          <w:rFonts w:eastAsia="Georgia" w:cs="Georgia"/>
          <w:szCs w:val="21"/>
        </w:rPr>
        <w:t>Line: humanitarian traffic moves in every flow state, every dispute, every pause, and every transition. Interest: the shared humanitarian position of all participants. Safeguard: Articles 3, 11.6, and 31.4. Verification: the Bulletin's Class E transit record, published daily.</w:t>
      </w:r>
    </w:p>
    <w:p w14:paraId="0FB9CA2E" w14:textId="77777777" w:rsidR="00DA7972" w:rsidRDefault="00000000">
      <w:pPr>
        <w:pStyle w:val="Heading3"/>
      </w:pPr>
      <w:r>
        <w:rPr>
          <w:rFonts w:eastAsia="Calibri" w:cs="Calibri"/>
          <w:szCs w:val="22"/>
        </w:rPr>
        <w:t>RL-11: Two-input verification</w:t>
      </w:r>
    </w:p>
    <w:p w14:paraId="658DFD08" w14:textId="77777777" w:rsidR="00DA7972" w:rsidRDefault="00000000">
      <w:r>
        <w:rPr>
          <w:rFonts w:eastAsia="Georgia" w:cs="Georgia"/>
          <w:szCs w:val="21"/>
        </w:rPr>
        <w:t>Line: no finding of fact against any Party rests on a single input. Interest: protection against error and manipulation, for every Party equally. Safeguard: the Convergence Standard, Article 26.2. Verification: the Technical Committee's input-chain testing, published in each classification file.</w:t>
      </w:r>
    </w:p>
    <w:p w14:paraId="13311033" w14:textId="77777777" w:rsidR="00DA7972" w:rsidRDefault="00000000">
      <w:pPr>
        <w:pStyle w:val="Heading3"/>
      </w:pPr>
      <w:r>
        <w:rPr>
          <w:rFonts w:eastAsia="Calibri" w:cs="Calibri"/>
          <w:szCs w:val="22"/>
        </w:rPr>
        <w:t>RL-12: No kinetic support</w:t>
      </w:r>
    </w:p>
    <w:p w14:paraId="5C472468" w14:textId="77777777" w:rsidR="00DA7972" w:rsidRDefault="00000000">
      <w:r>
        <w:rPr>
          <w:rFonts w:eastAsia="Georgia" w:cs="Georgia"/>
          <w:szCs w:val="21"/>
        </w:rPr>
        <w:t>Line: Accord assets, data, and channels never support kinetic action by any actor. Interest: every participant's interest that the architecture never becomes a targeting system. Safeguard: Article 27.9 and the custody rules of Article 26.4. Verification: the two-key access logs and the Independent Assurance Council's review.</w:t>
      </w:r>
    </w:p>
    <w:p w14:paraId="304C863E" w14:textId="77777777" w:rsidR="00DA7972" w:rsidRDefault="00000000">
      <w:pPr>
        <w:pStyle w:val="Heading3"/>
      </w:pPr>
      <w:r>
        <w:rPr>
          <w:rFonts w:eastAsia="Calibri" w:cs="Calibri"/>
          <w:szCs w:val="22"/>
        </w:rPr>
        <w:t>RL-13: Multilateral governance</w:t>
      </w:r>
    </w:p>
    <w:p w14:paraId="02C6D7E9" w14:textId="77777777" w:rsidR="00DA7972" w:rsidRDefault="00000000">
      <w:r>
        <w:rPr>
          <w:rFonts w:eastAsia="Georgia" w:cs="Georgia"/>
          <w:szCs w:val="21"/>
        </w:rPr>
        <w:t>Line: no single coastal state governs the Strait alone; every Littoral Party holds defined co-governance. Interest: the regional legitimacy of the architecture and the accession states' standing. Safeguard: Council composition, paired staffing, and the accession path. Verification: the Council record and the staffing audit.</w:t>
      </w:r>
    </w:p>
    <w:p w14:paraId="2155C1E4" w14:textId="77777777" w:rsidR="00DA7972" w:rsidRDefault="00000000">
      <w:pPr>
        <w:pStyle w:val="Heading3"/>
      </w:pPr>
      <w:r>
        <w:rPr>
          <w:rFonts w:eastAsia="Calibri" w:cs="Calibri"/>
          <w:szCs w:val="22"/>
        </w:rPr>
        <w:lastRenderedPageBreak/>
        <w:t>RL-14: No external command</w:t>
      </w:r>
    </w:p>
    <w:p w14:paraId="71FBFCCD" w14:textId="77777777" w:rsidR="00DA7972" w:rsidRDefault="00000000">
      <w:r>
        <w:rPr>
          <w:rFonts w:eastAsia="Georgia" w:cs="Georgia"/>
          <w:szCs w:val="21"/>
        </w:rPr>
        <w:t>Line: no external state or body commands any element of the Accord. Interest: the coastal states' sovereignty and the user states' interest in a neutral system. Safeguard: Article 19.6 and the Endorsing Stakeholder's non-voting design. Verification: the Council record.</w:t>
      </w:r>
    </w:p>
    <w:p w14:paraId="6B1E456C" w14:textId="77777777" w:rsidR="00DA7972" w:rsidRDefault="00000000">
      <w:pPr>
        <w:pStyle w:val="Heading1"/>
      </w:pPr>
      <w:bookmarkStart w:id="70" w:name="_Toc236229951"/>
      <w:r>
        <w:rPr>
          <w:rFonts w:eastAsia="Calibri" w:cs="Calibri"/>
          <w:i/>
          <w:color w:val="78909C"/>
          <w:sz w:val="18"/>
          <w:szCs w:val="18"/>
        </w:rPr>
        <w:lastRenderedPageBreak/>
        <w:t>Annex J: Environmental Standards and Pollution Response Plan</w:t>
      </w:r>
      <w:bookmarkEnd w:id="70"/>
    </w:p>
    <w:p w14:paraId="035A314E" w14:textId="77777777" w:rsidR="00DA7972" w:rsidRDefault="00000000">
      <w:pPr>
        <w:pStyle w:val="Heading3"/>
      </w:pPr>
      <w:r>
        <w:rPr>
          <w:rFonts w:eastAsia="Calibri" w:cs="Calibri"/>
          <w:szCs w:val="22"/>
        </w:rPr>
        <w:t>J.1 Standards baseline</w:t>
      </w:r>
    </w:p>
    <w:p w14:paraId="3622348F" w14:textId="77777777" w:rsidR="00DA7972" w:rsidRDefault="00000000">
      <w:r>
        <w:rPr>
          <w:rFonts w:eastAsia="Georgia" w:cs="Georgia"/>
          <w:szCs w:val="21"/>
        </w:rPr>
        <w:t>The Accord applies the international pollution-prevention instruments in force for each vessel's flag as minimums, and adds the Governance Area rules: zero discharge of oil and noxious liquid substances inside the lanes; ballast exchange outside the Governance Area or treatment to the prevailing international standard; no bunkering inside the lanes; and garbage management per the international convention's special-area practices.</w:t>
      </w:r>
    </w:p>
    <w:p w14:paraId="594726C4" w14:textId="77777777" w:rsidR="00DA7972" w:rsidRDefault="00000000">
      <w:pPr>
        <w:pStyle w:val="Heading3"/>
      </w:pPr>
      <w:r>
        <w:rPr>
          <w:rFonts w:eastAsia="Calibri" w:cs="Calibri"/>
          <w:szCs w:val="22"/>
        </w:rPr>
        <w:t>J.2 Sensitive areas</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5"/>
        <w:gridCol w:w="3075"/>
        <w:gridCol w:w="3076"/>
      </w:tblGrid>
      <w:tr w:rsidR="00DA7972" w14:paraId="3834F6E4" w14:textId="77777777">
        <w:trPr>
          <w:tblHeader/>
        </w:trPr>
        <w:tc>
          <w:tcPr>
            <w:tcW w:w="3003" w:type="dxa"/>
            <w:tcBorders>
              <w:bottom w:val="single" w:sz="6" w:space="0" w:color="546E7A"/>
            </w:tcBorders>
            <w:shd w:val="clear" w:color="auto" w:fill="E4E9EC"/>
          </w:tcPr>
          <w:p w14:paraId="19A71EB9" w14:textId="77777777" w:rsidR="00DA7972" w:rsidRDefault="00000000">
            <w:pPr>
              <w:spacing w:after="0" w:line="260" w:lineRule="auto"/>
              <w:jc w:val="left"/>
            </w:pPr>
            <w:r>
              <w:rPr>
                <w:rFonts w:ascii="Calibri" w:eastAsia="Calibri" w:hAnsi="Calibri" w:cs="Calibri"/>
                <w:b/>
                <w:color w:val="37474F"/>
                <w:sz w:val="19"/>
                <w:szCs w:val="19"/>
              </w:rPr>
              <w:t>Area</w:t>
            </w:r>
          </w:p>
        </w:tc>
        <w:tc>
          <w:tcPr>
            <w:tcW w:w="3003" w:type="dxa"/>
            <w:tcBorders>
              <w:bottom w:val="single" w:sz="6" w:space="0" w:color="546E7A"/>
            </w:tcBorders>
            <w:shd w:val="clear" w:color="auto" w:fill="E4E9EC"/>
          </w:tcPr>
          <w:p w14:paraId="3B5259CD" w14:textId="77777777" w:rsidR="00DA7972" w:rsidRDefault="00000000">
            <w:pPr>
              <w:spacing w:after="0" w:line="260" w:lineRule="auto"/>
              <w:jc w:val="left"/>
            </w:pPr>
            <w:r>
              <w:rPr>
                <w:rFonts w:ascii="Calibri" w:eastAsia="Calibri" w:hAnsi="Calibri" w:cs="Calibri"/>
                <w:b/>
                <w:color w:val="37474F"/>
                <w:sz w:val="19"/>
                <w:szCs w:val="19"/>
              </w:rPr>
              <w:t>Approximate position</w:t>
            </w:r>
          </w:p>
        </w:tc>
        <w:tc>
          <w:tcPr>
            <w:tcW w:w="3004" w:type="dxa"/>
            <w:tcBorders>
              <w:bottom w:val="single" w:sz="6" w:space="0" w:color="546E7A"/>
            </w:tcBorders>
            <w:shd w:val="clear" w:color="auto" w:fill="E4E9EC"/>
          </w:tcPr>
          <w:p w14:paraId="614BE8F5" w14:textId="77777777" w:rsidR="00DA7972" w:rsidRDefault="00000000">
            <w:pPr>
              <w:spacing w:after="0" w:line="260" w:lineRule="auto"/>
              <w:jc w:val="left"/>
            </w:pPr>
            <w:r>
              <w:rPr>
                <w:rFonts w:ascii="Calibri" w:eastAsia="Calibri" w:hAnsi="Calibri" w:cs="Calibri"/>
                <w:b/>
                <w:color w:val="37474F"/>
                <w:sz w:val="19"/>
                <w:szCs w:val="19"/>
              </w:rPr>
              <w:t>Special rule</w:t>
            </w:r>
          </w:p>
        </w:tc>
      </w:tr>
      <w:tr w:rsidR="00DA7972" w14:paraId="6FA99A02" w14:textId="77777777">
        <w:tc>
          <w:tcPr>
            <w:tcW w:w="3003" w:type="dxa"/>
          </w:tcPr>
          <w:p w14:paraId="62F05447" w14:textId="77777777" w:rsidR="00DA7972" w:rsidRDefault="00000000">
            <w:pPr>
              <w:spacing w:after="0" w:line="260" w:lineRule="auto"/>
              <w:jc w:val="left"/>
            </w:pPr>
            <w:r>
              <w:rPr>
                <w:rFonts w:ascii="Calibri" w:eastAsia="Calibri" w:hAnsi="Calibri" w:cs="Calibri"/>
                <w:sz w:val="19"/>
                <w:szCs w:val="19"/>
              </w:rPr>
              <w:t>Larak inshore waters</w:t>
            </w:r>
          </w:p>
        </w:tc>
        <w:tc>
          <w:tcPr>
            <w:tcW w:w="3003" w:type="dxa"/>
          </w:tcPr>
          <w:p w14:paraId="38DE24A0" w14:textId="77777777" w:rsidR="00DA7972" w:rsidRDefault="00000000">
            <w:pPr>
              <w:spacing w:after="0" w:line="260" w:lineRule="auto"/>
              <w:jc w:val="left"/>
            </w:pPr>
            <w:r>
              <w:rPr>
                <w:rFonts w:ascii="Calibri" w:eastAsia="Calibri" w:hAnsi="Calibri" w:cs="Calibri"/>
                <w:sz w:val="19"/>
                <w:szCs w:val="19"/>
              </w:rPr>
              <w:t>North of Larak Island</w:t>
            </w:r>
          </w:p>
        </w:tc>
        <w:tc>
          <w:tcPr>
            <w:tcW w:w="3004" w:type="dxa"/>
          </w:tcPr>
          <w:p w14:paraId="3D2FD921" w14:textId="77777777" w:rsidR="00DA7972" w:rsidRDefault="00000000">
            <w:pPr>
              <w:spacing w:after="0" w:line="260" w:lineRule="auto"/>
              <w:jc w:val="left"/>
            </w:pPr>
            <w:r>
              <w:rPr>
                <w:rFonts w:ascii="Calibri" w:eastAsia="Calibri" w:hAnsi="Calibri" w:cs="Calibri"/>
                <w:sz w:val="19"/>
                <w:szCs w:val="19"/>
              </w:rPr>
              <w:t>Speed 10 knots laden Class B; no anchoring</w:t>
            </w:r>
          </w:p>
        </w:tc>
      </w:tr>
      <w:tr w:rsidR="00DA7972" w14:paraId="011FC318" w14:textId="77777777">
        <w:tc>
          <w:tcPr>
            <w:tcW w:w="3003" w:type="dxa"/>
          </w:tcPr>
          <w:p w14:paraId="58862274" w14:textId="77777777" w:rsidR="00DA7972" w:rsidRDefault="00000000">
            <w:pPr>
              <w:spacing w:after="0" w:line="260" w:lineRule="auto"/>
              <w:jc w:val="left"/>
            </w:pPr>
            <w:r>
              <w:rPr>
                <w:rFonts w:ascii="Calibri" w:eastAsia="Calibri" w:hAnsi="Calibri" w:cs="Calibri"/>
                <w:sz w:val="19"/>
                <w:szCs w:val="19"/>
              </w:rPr>
              <w:t>Hengam approaches</w:t>
            </w:r>
          </w:p>
        </w:tc>
        <w:tc>
          <w:tcPr>
            <w:tcW w:w="3003" w:type="dxa"/>
          </w:tcPr>
          <w:p w14:paraId="2CE4B35A" w14:textId="77777777" w:rsidR="00DA7972" w:rsidRDefault="00000000">
            <w:pPr>
              <w:spacing w:after="0" w:line="260" w:lineRule="auto"/>
              <w:jc w:val="left"/>
            </w:pPr>
            <w:r>
              <w:rPr>
                <w:rFonts w:ascii="Calibri" w:eastAsia="Calibri" w:hAnsi="Calibri" w:cs="Calibri"/>
                <w:sz w:val="19"/>
                <w:szCs w:val="19"/>
              </w:rPr>
              <w:t>South and east of Hengam Island</w:t>
            </w:r>
          </w:p>
        </w:tc>
        <w:tc>
          <w:tcPr>
            <w:tcW w:w="3004" w:type="dxa"/>
          </w:tcPr>
          <w:p w14:paraId="5CC15D29" w14:textId="77777777" w:rsidR="00DA7972" w:rsidRDefault="00000000">
            <w:pPr>
              <w:spacing w:after="0" w:line="260" w:lineRule="auto"/>
              <w:jc w:val="left"/>
            </w:pPr>
            <w:r>
              <w:rPr>
                <w:rFonts w:ascii="Calibri" w:eastAsia="Calibri" w:hAnsi="Calibri" w:cs="Calibri"/>
                <w:sz w:val="19"/>
                <w:szCs w:val="19"/>
              </w:rPr>
              <w:t>Speed 10 knots laden Class B; routing advice mandatory</w:t>
            </w:r>
          </w:p>
        </w:tc>
      </w:tr>
      <w:tr w:rsidR="00DA7972" w14:paraId="30E6A685" w14:textId="77777777">
        <w:tc>
          <w:tcPr>
            <w:tcW w:w="3003" w:type="dxa"/>
          </w:tcPr>
          <w:p w14:paraId="3A8C10FD" w14:textId="77777777" w:rsidR="00DA7972" w:rsidRDefault="00000000">
            <w:pPr>
              <w:spacing w:after="0" w:line="260" w:lineRule="auto"/>
              <w:jc w:val="left"/>
            </w:pPr>
            <w:r>
              <w:rPr>
                <w:rFonts w:ascii="Calibri" w:eastAsia="Calibri" w:hAnsi="Calibri" w:cs="Calibri"/>
                <w:sz w:val="19"/>
                <w:szCs w:val="19"/>
              </w:rPr>
              <w:t>Musandam coral zones</w:t>
            </w:r>
          </w:p>
        </w:tc>
        <w:tc>
          <w:tcPr>
            <w:tcW w:w="3003" w:type="dxa"/>
          </w:tcPr>
          <w:p w14:paraId="2A748644" w14:textId="77777777" w:rsidR="00DA7972" w:rsidRDefault="00000000">
            <w:pPr>
              <w:spacing w:after="0" w:line="260" w:lineRule="auto"/>
              <w:jc w:val="left"/>
            </w:pPr>
            <w:r>
              <w:rPr>
                <w:rFonts w:ascii="Calibri" w:eastAsia="Calibri" w:hAnsi="Calibri" w:cs="Calibri"/>
                <w:sz w:val="19"/>
                <w:szCs w:val="19"/>
              </w:rPr>
              <w:t>Off Khasab and Lima</w:t>
            </w:r>
          </w:p>
        </w:tc>
        <w:tc>
          <w:tcPr>
            <w:tcW w:w="3004" w:type="dxa"/>
          </w:tcPr>
          <w:p w14:paraId="534FA12A" w14:textId="77777777" w:rsidR="00DA7972" w:rsidRDefault="00000000">
            <w:pPr>
              <w:spacing w:after="0" w:line="260" w:lineRule="auto"/>
              <w:jc w:val="left"/>
            </w:pPr>
            <w:r>
              <w:rPr>
                <w:rFonts w:ascii="Calibri" w:eastAsia="Calibri" w:hAnsi="Calibri" w:cs="Calibri"/>
                <w:sz w:val="19"/>
                <w:szCs w:val="19"/>
              </w:rPr>
              <w:t>No anchoring outside designated anchorages</w:t>
            </w:r>
          </w:p>
        </w:tc>
      </w:tr>
      <w:tr w:rsidR="00DA7972" w14:paraId="068856E2" w14:textId="77777777">
        <w:tc>
          <w:tcPr>
            <w:tcW w:w="3003" w:type="dxa"/>
          </w:tcPr>
          <w:p w14:paraId="1B8F0320" w14:textId="77777777" w:rsidR="00DA7972" w:rsidRDefault="00000000">
            <w:pPr>
              <w:spacing w:after="0" w:line="260" w:lineRule="auto"/>
              <w:jc w:val="left"/>
            </w:pPr>
            <w:r>
              <w:rPr>
                <w:rFonts w:ascii="Calibri" w:eastAsia="Calibri" w:hAnsi="Calibri" w:cs="Calibri"/>
                <w:sz w:val="19"/>
                <w:szCs w:val="19"/>
              </w:rPr>
              <w:t>Spawning aggregations</w:t>
            </w:r>
          </w:p>
        </w:tc>
        <w:tc>
          <w:tcPr>
            <w:tcW w:w="3003" w:type="dxa"/>
          </w:tcPr>
          <w:p w14:paraId="5877AF0D" w14:textId="77777777" w:rsidR="00DA7972" w:rsidRDefault="00000000">
            <w:pPr>
              <w:spacing w:after="0" w:line="260" w:lineRule="auto"/>
              <w:jc w:val="left"/>
            </w:pPr>
            <w:r>
              <w:rPr>
                <w:rFonts w:ascii="Calibri" w:eastAsia="Calibri" w:hAnsi="Calibri" w:cs="Calibri"/>
                <w:sz w:val="19"/>
                <w:szCs w:val="19"/>
              </w:rPr>
              <w:t>As the coastal states notify annually</w:t>
            </w:r>
          </w:p>
        </w:tc>
        <w:tc>
          <w:tcPr>
            <w:tcW w:w="3004" w:type="dxa"/>
          </w:tcPr>
          <w:p w14:paraId="02836A0E" w14:textId="77777777" w:rsidR="00DA7972" w:rsidRDefault="00000000">
            <w:pPr>
              <w:spacing w:after="0" w:line="260" w:lineRule="auto"/>
              <w:jc w:val="left"/>
            </w:pPr>
            <w:r>
              <w:rPr>
                <w:rFonts w:ascii="Calibri" w:eastAsia="Calibri" w:hAnsi="Calibri" w:cs="Calibri"/>
                <w:sz w:val="19"/>
                <w:szCs w:val="19"/>
              </w:rPr>
              <w:t>Seasonal speed and lighting advisories</w:t>
            </w:r>
          </w:p>
        </w:tc>
      </w:tr>
    </w:tbl>
    <w:p w14:paraId="3779CDA2" w14:textId="77777777" w:rsidR="00DA7972" w:rsidRDefault="00DA7972">
      <w:pPr>
        <w:spacing w:after="60"/>
      </w:pPr>
    </w:p>
    <w:p w14:paraId="56D28CCB" w14:textId="77777777" w:rsidR="00DA7972" w:rsidRDefault="00000000">
      <w:pPr>
        <w:pStyle w:val="Caption"/>
      </w:pPr>
      <w:r>
        <w:rPr>
          <w:rFonts w:eastAsia="Calibri" w:cs="Calibri"/>
          <w:b/>
          <w:color w:val="212121"/>
          <w:sz w:val="19"/>
          <w:szCs w:val="19"/>
        </w:rPr>
        <w:t>Table J.2: Sensitive areas register; annual review by the Technical Committee</w:t>
      </w:r>
    </w:p>
    <w:p w14:paraId="66702734" w14:textId="77777777" w:rsidR="00DA7972" w:rsidRDefault="00000000">
      <w:pPr>
        <w:pStyle w:val="Heading3"/>
      </w:pPr>
      <w:r>
        <w:rPr>
          <w:rFonts w:eastAsia="Calibri" w:cs="Calibri"/>
          <w:szCs w:val="22"/>
        </w:rPr>
        <w:t>J.3 Response plan</w:t>
      </w:r>
    </w:p>
    <w:p w14:paraId="779CDF76" w14:textId="77777777" w:rsidR="00DA7972" w:rsidRDefault="00000000">
      <w:r>
        <w:rPr>
          <w:rFonts w:eastAsia="Georgia" w:cs="Georgia"/>
          <w:szCs w:val="21"/>
        </w:rPr>
        <w:t>Tier one, vessel-source spill under 50 tons: the nearest coastal response unit deploys within 2 hours; the Center coordinates; the polluter pays under the liability instruments. Tier two, spill 50 to 700 tons: the joint response plan activates; both coastal states' assets deploy under the on-scene coordinator the Center designates from the unaffected corridor's state; dispersant use follows the joint plan's sensitivity map. Tier three, spill above 700 tons or multi-source: the regional assistance arrangements activate through the Council, and the compensation window advances response costs. The plan drills annually, alternating tiers, with the Neutral Keel Office observing.</w:t>
      </w:r>
    </w:p>
    <w:p w14:paraId="5835AF72" w14:textId="77777777" w:rsidR="00DA7972" w:rsidRDefault="00000000">
      <w:pPr>
        <w:pStyle w:val="Heading3"/>
      </w:pPr>
      <w:r>
        <w:rPr>
          <w:rFonts w:eastAsia="Calibri" w:cs="Calibri"/>
          <w:szCs w:val="22"/>
        </w:rPr>
        <w:t>J.4 Environmental data</w:t>
      </w:r>
    </w:p>
    <w:p w14:paraId="1E9892BD" w14:textId="77777777" w:rsidR="00DA7972" w:rsidRDefault="00000000">
      <w:r>
        <w:rPr>
          <w:rFonts w:eastAsia="Georgia" w:cs="Georgia"/>
          <w:szCs w:val="21"/>
        </w:rPr>
        <w:t>The environmental watch logs every observation; the quarterly environmental report publishes discharge observations, response events, and sensitive-area compliance; and the International Maritime Organization's relevant bodies receive the report through the liaison channel.</w:t>
      </w:r>
    </w:p>
    <w:p w14:paraId="5E422CD5" w14:textId="77777777" w:rsidR="00DA7972" w:rsidRDefault="00000000">
      <w:pPr>
        <w:pStyle w:val="Heading1"/>
      </w:pPr>
      <w:bookmarkStart w:id="71" w:name="_Toc236229952"/>
      <w:r>
        <w:rPr>
          <w:rFonts w:eastAsia="Calibri" w:cs="Calibri"/>
          <w:i/>
          <w:color w:val="78909C"/>
          <w:sz w:val="18"/>
          <w:szCs w:val="18"/>
        </w:rPr>
        <w:lastRenderedPageBreak/>
        <w:t>Annex K: Search and Rescue Operations Plan</w:t>
      </w:r>
      <w:bookmarkEnd w:id="71"/>
    </w:p>
    <w:p w14:paraId="2BBECEDB" w14:textId="77777777" w:rsidR="00DA7972" w:rsidRDefault="00000000">
      <w:pPr>
        <w:pStyle w:val="Heading3"/>
      </w:pPr>
      <w:r>
        <w:rPr>
          <w:rFonts w:eastAsia="Calibri" w:cs="Calibri"/>
          <w:szCs w:val="22"/>
        </w:rPr>
        <w:t>K.1 Sector plan</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2306"/>
        <w:gridCol w:w="2306"/>
        <w:gridCol w:w="2306"/>
        <w:gridCol w:w="2308"/>
      </w:tblGrid>
      <w:tr w:rsidR="00DA7972" w14:paraId="779D86E4" w14:textId="77777777">
        <w:trPr>
          <w:tblHeader/>
        </w:trPr>
        <w:tc>
          <w:tcPr>
            <w:tcW w:w="2252" w:type="dxa"/>
            <w:tcBorders>
              <w:bottom w:val="single" w:sz="6" w:space="0" w:color="546E7A"/>
            </w:tcBorders>
            <w:shd w:val="clear" w:color="auto" w:fill="E4E9EC"/>
          </w:tcPr>
          <w:p w14:paraId="52127B7A" w14:textId="77777777" w:rsidR="00DA7972" w:rsidRDefault="00000000">
            <w:pPr>
              <w:spacing w:after="0" w:line="260" w:lineRule="auto"/>
              <w:jc w:val="left"/>
            </w:pPr>
            <w:r>
              <w:rPr>
                <w:rFonts w:ascii="Calibri" w:eastAsia="Calibri" w:hAnsi="Calibri" w:cs="Calibri"/>
                <w:b/>
                <w:color w:val="37474F"/>
                <w:sz w:val="19"/>
                <w:szCs w:val="19"/>
              </w:rPr>
              <w:t>Sector</w:t>
            </w:r>
          </w:p>
        </w:tc>
        <w:tc>
          <w:tcPr>
            <w:tcW w:w="2252" w:type="dxa"/>
            <w:tcBorders>
              <w:bottom w:val="single" w:sz="6" w:space="0" w:color="546E7A"/>
            </w:tcBorders>
            <w:shd w:val="clear" w:color="auto" w:fill="E4E9EC"/>
          </w:tcPr>
          <w:p w14:paraId="2A17E1F2" w14:textId="77777777" w:rsidR="00DA7972" w:rsidRDefault="00000000">
            <w:pPr>
              <w:spacing w:after="0" w:line="260" w:lineRule="auto"/>
              <w:jc w:val="left"/>
            </w:pPr>
            <w:r>
              <w:rPr>
                <w:rFonts w:ascii="Calibri" w:eastAsia="Calibri" w:hAnsi="Calibri" w:cs="Calibri"/>
                <w:b/>
                <w:color w:val="37474F"/>
                <w:sz w:val="19"/>
                <w:szCs w:val="19"/>
              </w:rPr>
              <w:t>Coverage</w:t>
            </w:r>
          </w:p>
        </w:tc>
        <w:tc>
          <w:tcPr>
            <w:tcW w:w="2252" w:type="dxa"/>
            <w:tcBorders>
              <w:bottom w:val="single" w:sz="6" w:space="0" w:color="546E7A"/>
            </w:tcBorders>
            <w:shd w:val="clear" w:color="auto" w:fill="E4E9EC"/>
          </w:tcPr>
          <w:p w14:paraId="7143C698" w14:textId="77777777" w:rsidR="00DA7972" w:rsidRDefault="00000000">
            <w:pPr>
              <w:spacing w:after="0" w:line="260" w:lineRule="auto"/>
              <w:jc w:val="left"/>
            </w:pPr>
            <w:r>
              <w:rPr>
                <w:rFonts w:ascii="Calibri" w:eastAsia="Calibri" w:hAnsi="Calibri" w:cs="Calibri"/>
                <w:b/>
                <w:color w:val="37474F"/>
                <w:sz w:val="19"/>
                <w:szCs w:val="19"/>
              </w:rPr>
              <w:t>Primary coordinator</w:t>
            </w:r>
          </w:p>
        </w:tc>
        <w:tc>
          <w:tcPr>
            <w:tcW w:w="2254" w:type="dxa"/>
            <w:tcBorders>
              <w:bottom w:val="single" w:sz="6" w:space="0" w:color="546E7A"/>
            </w:tcBorders>
            <w:shd w:val="clear" w:color="auto" w:fill="E4E9EC"/>
          </w:tcPr>
          <w:p w14:paraId="5026B293" w14:textId="77777777" w:rsidR="00DA7972" w:rsidRDefault="00000000">
            <w:pPr>
              <w:spacing w:after="0" w:line="260" w:lineRule="auto"/>
              <w:jc w:val="left"/>
            </w:pPr>
            <w:r>
              <w:rPr>
                <w:rFonts w:ascii="Calibri" w:eastAsia="Calibri" w:hAnsi="Calibri" w:cs="Calibri"/>
                <w:b/>
                <w:color w:val="37474F"/>
                <w:sz w:val="19"/>
                <w:szCs w:val="19"/>
              </w:rPr>
              <w:t>Supporting coordinator</w:t>
            </w:r>
          </w:p>
        </w:tc>
      </w:tr>
      <w:tr w:rsidR="00DA7972" w14:paraId="35B6A6B9" w14:textId="77777777">
        <w:tc>
          <w:tcPr>
            <w:tcW w:w="2252" w:type="dxa"/>
          </w:tcPr>
          <w:p w14:paraId="714CE2B2" w14:textId="77777777" w:rsidR="00DA7972" w:rsidRDefault="00000000">
            <w:pPr>
              <w:spacing w:after="0" w:line="260" w:lineRule="auto"/>
              <w:jc w:val="left"/>
            </w:pPr>
            <w:r>
              <w:rPr>
                <w:rFonts w:ascii="Calibri" w:eastAsia="Calibri" w:hAnsi="Calibri" w:cs="Calibri"/>
                <w:sz w:val="19"/>
                <w:szCs w:val="19"/>
              </w:rPr>
              <w:t>K-1 Eastern</w:t>
            </w:r>
          </w:p>
        </w:tc>
        <w:tc>
          <w:tcPr>
            <w:tcW w:w="2252" w:type="dxa"/>
          </w:tcPr>
          <w:p w14:paraId="2DA1A8E6" w14:textId="77777777" w:rsidR="00DA7972" w:rsidRDefault="00000000">
            <w:pPr>
              <w:spacing w:after="0" w:line="260" w:lineRule="auto"/>
              <w:jc w:val="left"/>
            </w:pPr>
            <w:r>
              <w:rPr>
                <w:rFonts w:ascii="Calibri" w:eastAsia="Calibri" w:hAnsi="Calibri" w:cs="Calibri"/>
                <w:sz w:val="19"/>
                <w:szCs w:val="19"/>
              </w:rPr>
              <w:t>Governance Area east of 056 degrees 30.0 minutes East</w:t>
            </w:r>
          </w:p>
        </w:tc>
        <w:tc>
          <w:tcPr>
            <w:tcW w:w="2252" w:type="dxa"/>
          </w:tcPr>
          <w:p w14:paraId="2DD93821" w14:textId="77777777" w:rsidR="00DA7972" w:rsidRDefault="00000000">
            <w:pPr>
              <w:spacing w:after="0" w:line="260" w:lineRule="auto"/>
              <w:jc w:val="left"/>
            </w:pPr>
            <w:r>
              <w:rPr>
                <w:rFonts w:ascii="Calibri" w:eastAsia="Calibri" w:hAnsi="Calibri" w:cs="Calibri"/>
                <w:sz w:val="19"/>
                <w:szCs w:val="19"/>
              </w:rPr>
              <w:t>Oman rescue coordination, Khasab</w:t>
            </w:r>
          </w:p>
        </w:tc>
        <w:tc>
          <w:tcPr>
            <w:tcW w:w="2254" w:type="dxa"/>
          </w:tcPr>
          <w:p w14:paraId="014B02CA" w14:textId="77777777" w:rsidR="00DA7972" w:rsidRDefault="00000000">
            <w:pPr>
              <w:spacing w:after="0" w:line="260" w:lineRule="auto"/>
              <w:jc w:val="left"/>
            </w:pPr>
            <w:r>
              <w:rPr>
                <w:rFonts w:ascii="Calibri" w:eastAsia="Calibri" w:hAnsi="Calibri" w:cs="Calibri"/>
                <w:sz w:val="19"/>
                <w:szCs w:val="19"/>
              </w:rPr>
              <w:t>Iran rescue coordination, Bandar Abbas</w:t>
            </w:r>
          </w:p>
        </w:tc>
      </w:tr>
      <w:tr w:rsidR="00DA7972" w14:paraId="5846B2DB" w14:textId="77777777">
        <w:tc>
          <w:tcPr>
            <w:tcW w:w="2252" w:type="dxa"/>
          </w:tcPr>
          <w:p w14:paraId="3B26C88C" w14:textId="77777777" w:rsidR="00DA7972" w:rsidRDefault="00000000">
            <w:pPr>
              <w:spacing w:after="0" w:line="260" w:lineRule="auto"/>
              <w:jc w:val="left"/>
            </w:pPr>
            <w:r>
              <w:rPr>
                <w:rFonts w:ascii="Calibri" w:eastAsia="Calibri" w:hAnsi="Calibri" w:cs="Calibri"/>
                <w:sz w:val="19"/>
                <w:szCs w:val="19"/>
              </w:rPr>
              <w:t>K-2 Central</w:t>
            </w:r>
          </w:p>
        </w:tc>
        <w:tc>
          <w:tcPr>
            <w:tcW w:w="2252" w:type="dxa"/>
          </w:tcPr>
          <w:p w14:paraId="59E870C9" w14:textId="77777777" w:rsidR="00DA7972" w:rsidRDefault="00000000">
            <w:pPr>
              <w:spacing w:after="0" w:line="260" w:lineRule="auto"/>
              <w:jc w:val="left"/>
            </w:pPr>
            <w:r>
              <w:rPr>
                <w:rFonts w:ascii="Calibri" w:eastAsia="Calibri" w:hAnsi="Calibri" w:cs="Calibri"/>
                <w:sz w:val="19"/>
                <w:szCs w:val="19"/>
              </w:rPr>
              <w:t>056 degrees 30.0 to 055 degrees 50.0 minutes East</w:t>
            </w:r>
          </w:p>
        </w:tc>
        <w:tc>
          <w:tcPr>
            <w:tcW w:w="2252" w:type="dxa"/>
          </w:tcPr>
          <w:p w14:paraId="453BA543" w14:textId="77777777" w:rsidR="00DA7972" w:rsidRDefault="00000000">
            <w:pPr>
              <w:spacing w:after="0" w:line="260" w:lineRule="auto"/>
              <w:jc w:val="left"/>
            </w:pPr>
            <w:r>
              <w:rPr>
                <w:rFonts w:ascii="Calibri" w:eastAsia="Calibri" w:hAnsi="Calibri" w:cs="Calibri"/>
                <w:sz w:val="19"/>
                <w:szCs w:val="19"/>
              </w:rPr>
              <w:t>Alternates quarterly between the coastal states</w:t>
            </w:r>
          </w:p>
        </w:tc>
        <w:tc>
          <w:tcPr>
            <w:tcW w:w="2254" w:type="dxa"/>
          </w:tcPr>
          <w:p w14:paraId="1C3FD7CE" w14:textId="77777777" w:rsidR="00DA7972" w:rsidRDefault="00000000">
            <w:pPr>
              <w:spacing w:after="0" w:line="260" w:lineRule="auto"/>
              <w:jc w:val="left"/>
            </w:pPr>
            <w:r>
              <w:rPr>
                <w:rFonts w:ascii="Calibri" w:eastAsia="Calibri" w:hAnsi="Calibri" w:cs="Calibri"/>
                <w:sz w:val="19"/>
                <w:szCs w:val="19"/>
              </w:rPr>
              <w:t>The other coastal state</w:t>
            </w:r>
          </w:p>
        </w:tc>
      </w:tr>
      <w:tr w:rsidR="00DA7972" w14:paraId="08007F26" w14:textId="77777777">
        <w:tc>
          <w:tcPr>
            <w:tcW w:w="2252" w:type="dxa"/>
          </w:tcPr>
          <w:p w14:paraId="2B485E2A" w14:textId="77777777" w:rsidR="00DA7972" w:rsidRDefault="00000000">
            <w:pPr>
              <w:spacing w:after="0" w:line="260" w:lineRule="auto"/>
              <w:jc w:val="left"/>
            </w:pPr>
            <w:r>
              <w:rPr>
                <w:rFonts w:ascii="Calibri" w:eastAsia="Calibri" w:hAnsi="Calibri" w:cs="Calibri"/>
                <w:sz w:val="19"/>
                <w:szCs w:val="19"/>
              </w:rPr>
              <w:t>K-3 Western</w:t>
            </w:r>
          </w:p>
        </w:tc>
        <w:tc>
          <w:tcPr>
            <w:tcW w:w="2252" w:type="dxa"/>
          </w:tcPr>
          <w:p w14:paraId="12514C99" w14:textId="77777777" w:rsidR="00DA7972" w:rsidRDefault="00000000">
            <w:pPr>
              <w:spacing w:after="0" w:line="260" w:lineRule="auto"/>
              <w:jc w:val="left"/>
            </w:pPr>
            <w:r>
              <w:rPr>
                <w:rFonts w:ascii="Calibri" w:eastAsia="Calibri" w:hAnsi="Calibri" w:cs="Calibri"/>
                <w:sz w:val="19"/>
                <w:szCs w:val="19"/>
              </w:rPr>
              <w:t>West of 055 degrees 50.0 minutes East</w:t>
            </w:r>
          </w:p>
        </w:tc>
        <w:tc>
          <w:tcPr>
            <w:tcW w:w="2252" w:type="dxa"/>
          </w:tcPr>
          <w:p w14:paraId="53F44D2B" w14:textId="77777777" w:rsidR="00DA7972" w:rsidRDefault="00000000">
            <w:pPr>
              <w:spacing w:after="0" w:line="260" w:lineRule="auto"/>
              <w:jc w:val="left"/>
            </w:pPr>
            <w:r>
              <w:rPr>
                <w:rFonts w:ascii="Calibri" w:eastAsia="Calibri" w:hAnsi="Calibri" w:cs="Calibri"/>
                <w:sz w:val="19"/>
                <w:szCs w:val="19"/>
              </w:rPr>
              <w:t>Iran rescue coordination, Bandar Abbas</w:t>
            </w:r>
          </w:p>
        </w:tc>
        <w:tc>
          <w:tcPr>
            <w:tcW w:w="2254" w:type="dxa"/>
          </w:tcPr>
          <w:p w14:paraId="5E413E51" w14:textId="77777777" w:rsidR="00DA7972" w:rsidRDefault="00000000">
            <w:pPr>
              <w:spacing w:after="0" w:line="260" w:lineRule="auto"/>
              <w:jc w:val="left"/>
            </w:pPr>
            <w:r>
              <w:rPr>
                <w:rFonts w:ascii="Calibri" w:eastAsia="Calibri" w:hAnsi="Calibri" w:cs="Calibri"/>
                <w:sz w:val="19"/>
                <w:szCs w:val="19"/>
              </w:rPr>
              <w:t>Oman rescue coordination, Khasab</w:t>
            </w:r>
          </w:p>
        </w:tc>
      </w:tr>
    </w:tbl>
    <w:p w14:paraId="161A807E" w14:textId="77777777" w:rsidR="00DA7972" w:rsidRDefault="00DA7972">
      <w:pPr>
        <w:spacing w:after="60"/>
      </w:pPr>
    </w:p>
    <w:p w14:paraId="11C01148" w14:textId="77777777" w:rsidR="00DA7972" w:rsidRDefault="00000000">
      <w:pPr>
        <w:pStyle w:val="Caption"/>
      </w:pPr>
      <w:r>
        <w:rPr>
          <w:rFonts w:eastAsia="Calibri" w:cs="Calibri"/>
          <w:b/>
          <w:color w:val="212121"/>
          <w:sz w:val="19"/>
          <w:szCs w:val="19"/>
        </w:rPr>
        <w:t>Table K.1: Search and rescue sectors; the Center holds the shared grid picture</w:t>
      </w:r>
    </w:p>
    <w:p w14:paraId="1063B0C8" w14:textId="77777777" w:rsidR="00DA7972" w:rsidRDefault="00000000">
      <w:pPr>
        <w:pStyle w:val="Heading3"/>
      </w:pPr>
      <w:r>
        <w:rPr>
          <w:rFonts w:eastAsia="Calibri" w:cs="Calibri"/>
          <w:szCs w:val="22"/>
        </w:rPr>
        <w:t>K.2 Readiness standard</w:t>
      </w:r>
    </w:p>
    <w:p w14:paraId="5B818FEB" w14:textId="77777777" w:rsidR="00DA7972" w:rsidRDefault="00000000">
      <w:r>
        <w:rPr>
          <w:rFonts w:eastAsia="Georgia" w:cs="Georgia"/>
          <w:szCs w:val="21"/>
        </w:rPr>
        <w:t>Each approach holds one rescue vessel on 30-minute notice and one helicopter on 60-minute notice at all times, weather permitting. The Fund's readiness line reimburses standby at the rate card. The Bulletin publishes readiness weekly, per Article 29.3.</w:t>
      </w:r>
    </w:p>
    <w:p w14:paraId="147B0B1B" w14:textId="77777777" w:rsidR="00DA7972" w:rsidRDefault="00000000">
      <w:pPr>
        <w:pStyle w:val="Heading3"/>
      </w:pPr>
      <w:r>
        <w:rPr>
          <w:rFonts w:eastAsia="Calibri" w:cs="Calibri"/>
          <w:szCs w:val="22"/>
        </w:rPr>
        <w:t>K.3 Distress procedure</w:t>
      </w:r>
    </w:p>
    <w:p w14:paraId="4F65D164" w14:textId="77777777" w:rsidR="00DA7972" w:rsidRDefault="00000000">
      <w:r>
        <w:rPr>
          <w:rFonts w:eastAsia="Georgia" w:cs="Georgia"/>
          <w:szCs w:val="21"/>
        </w:rPr>
        <w:t>A distress call on Channel 16 or by any means reaches every station simultaneously. The nearest asset proceeds immediately, per Article 29.2's pre-authorization. The Center opens an incident log, broadcasts the safety notice, and closes the case with a public report within 30 days, covering timeline, assets, and lessons.</w:t>
      </w:r>
    </w:p>
    <w:p w14:paraId="101EC737" w14:textId="77777777" w:rsidR="00DA7972" w:rsidRDefault="00000000">
      <w:pPr>
        <w:pStyle w:val="Heading1"/>
      </w:pPr>
      <w:bookmarkStart w:id="72" w:name="_Toc236229953"/>
      <w:r>
        <w:rPr>
          <w:rFonts w:eastAsia="Calibri" w:cs="Calibri"/>
          <w:i/>
          <w:color w:val="78909C"/>
          <w:sz w:val="18"/>
          <w:szCs w:val="18"/>
        </w:rPr>
        <w:lastRenderedPageBreak/>
        <w:t>Annex L: Implementation Timeline and Activation Checklists</w:t>
      </w:r>
      <w:bookmarkEnd w:id="72"/>
    </w:p>
    <w:p w14:paraId="07CD5350" w14:textId="77777777" w:rsidR="00DA7972" w:rsidRDefault="00000000">
      <w:pPr>
        <w:pStyle w:val="Heading3"/>
      </w:pPr>
      <w:r>
        <w:rPr>
          <w:rFonts w:eastAsia="Calibri" w:cs="Calibri"/>
          <w:szCs w:val="22"/>
        </w:rPr>
        <w:t>L.1 Phase Zero checklist, signature to Day 14</w:t>
      </w:r>
    </w:p>
    <w:p w14:paraId="6B01DEBB" w14:textId="77777777" w:rsidR="00DA7972" w:rsidRDefault="00000000">
      <w:pPr>
        <w:ind w:left="360"/>
      </w:pPr>
      <w:r>
        <w:rPr>
          <w:rFonts w:eastAsia="Georgia" w:cs="Georgia"/>
          <w:szCs w:val="21"/>
        </w:rPr>
        <w:t>1. Host agreements for Muscat and Bandar Abbas signed and published.</w:t>
      </w:r>
    </w:p>
    <w:p w14:paraId="41CA8E64" w14:textId="77777777" w:rsidR="00DA7972" w:rsidRDefault="00000000">
      <w:pPr>
        <w:ind w:left="360"/>
      </w:pPr>
      <w:r>
        <w:rPr>
          <w:rFonts w:eastAsia="Georgia" w:cs="Georgia"/>
          <w:szCs w:val="21"/>
        </w:rPr>
        <w:t>2. Escrow accounts and the Fund's principal account opened; initial endowment tranche of 40 percent deposited.</w:t>
      </w:r>
    </w:p>
    <w:p w14:paraId="12C55FE2" w14:textId="77777777" w:rsidR="00DA7972" w:rsidRDefault="00000000">
      <w:pPr>
        <w:ind w:left="360"/>
      </w:pPr>
      <w:r>
        <w:rPr>
          <w:rFonts w:eastAsia="Georgia" w:cs="Georgia"/>
          <w:szCs w:val="21"/>
        </w:rPr>
        <w:t>3. Paired staffing named for every core post; watch officer certification program opened.</w:t>
      </w:r>
    </w:p>
    <w:p w14:paraId="38FC1481" w14:textId="77777777" w:rsidR="00DA7972" w:rsidRDefault="00000000">
      <w:pPr>
        <w:ind w:left="360"/>
      </w:pPr>
      <w:r>
        <w:rPr>
          <w:rFonts w:eastAsia="Georgia" w:cs="Georgia"/>
          <w:szCs w:val="21"/>
        </w:rPr>
        <w:t>4. Hazard declarations exchanged; the joint survey body contracted.</w:t>
      </w:r>
    </w:p>
    <w:p w14:paraId="39AB6391" w14:textId="77777777" w:rsidR="00DA7972" w:rsidRDefault="00000000">
      <w:pPr>
        <w:ind w:left="360"/>
      </w:pPr>
      <w:r>
        <w:rPr>
          <w:rFonts w:eastAsia="Georgia" w:cs="Georgia"/>
          <w:szCs w:val="21"/>
        </w:rPr>
        <w:t>5. Military exercise notices for the first 60 days filed through the de-confliction channel.</w:t>
      </w:r>
    </w:p>
    <w:p w14:paraId="7F178F2F" w14:textId="77777777" w:rsidR="00DA7972" w:rsidRDefault="00000000">
      <w:pPr>
        <w:ind w:left="360"/>
      </w:pPr>
      <w:r>
        <w:rPr>
          <w:rFonts w:eastAsia="Georgia" w:cs="Georgia"/>
          <w:szCs w:val="21"/>
        </w:rPr>
        <w:t>6. The joint openness declaration of Article 10.4 issued by Day 7.</w:t>
      </w:r>
    </w:p>
    <w:p w14:paraId="45DCF24A" w14:textId="77777777" w:rsidR="00DA7972" w:rsidRDefault="00000000">
      <w:pPr>
        <w:ind w:left="360"/>
      </w:pPr>
      <w:r>
        <w:rPr>
          <w:rFonts w:eastAsia="Georgia" w:cs="Georgia"/>
          <w:szCs w:val="21"/>
        </w:rPr>
        <w:t>7. The adherence instruments of external states circulated for deposit.</w:t>
      </w:r>
    </w:p>
    <w:p w14:paraId="4847D03B" w14:textId="77777777" w:rsidR="00DA7972" w:rsidRDefault="00000000">
      <w:pPr>
        <w:pStyle w:val="Heading3"/>
      </w:pPr>
      <w:r>
        <w:rPr>
          <w:rFonts w:eastAsia="Calibri" w:cs="Calibri"/>
          <w:szCs w:val="22"/>
        </w:rPr>
        <w:t>L.2 Phase One checklist, Day 15 to Day 30</w:t>
      </w:r>
    </w:p>
    <w:p w14:paraId="060C4EFD" w14:textId="77777777" w:rsidR="00DA7972" w:rsidRDefault="00000000">
      <w:pPr>
        <w:ind w:left="360"/>
      </w:pPr>
      <w:r>
        <w:rPr>
          <w:rFonts w:eastAsia="Georgia" w:cs="Georgia"/>
          <w:szCs w:val="21"/>
        </w:rPr>
        <w:t>1. Watch floor live in three rotations at the principal seat; mirror facility at warm standby.</w:t>
      </w:r>
    </w:p>
    <w:p w14:paraId="213EF470" w14:textId="77777777" w:rsidR="00DA7972" w:rsidRDefault="00000000">
      <w:pPr>
        <w:ind w:left="360"/>
      </w:pPr>
      <w:r>
        <w:rPr>
          <w:rFonts w:eastAsia="Georgia" w:cs="Georgia"/>
          <w:szCs w:val="21"/>
        </w:rPr>
        <w:t>2. Notification desk acknowledging; the 30-minute default rule in force and tested.</w:t>
      </w:r>
    </w:p>
    <w:p w14:paraId="07342CD4" w14:textId="77777777" w:rsidR="00DA7972" w:rsidRDefault="00000000">
      <w:pPr>
        <w:ind w:left="360"/>
      </w:pPr>
      <w:r>
        <w:rPr>
          <w:rFonts w:eastAsia="Georgia" w:cs="Georgia"/>
          <w:szCs w:val="21"/>
        </w:rPr>
        <w:t>3. The Bulletin publishing twice daily; the first weekly statistics issued.</w:t>
      </w:r>
    </w:p>
    <w:p w14:paraId="77A88712" w14:textId="77777777" w:rsidR="00DA7972" w:rsidRDefault="00000000">
      <w:pPr>
        <w:ind w:left="360"/>
      </w:pPr>
      <w:r>
        <w:rPr>
          <w:rFonts w:eastAsia="Georgia" w:cs="Georgia"/>
          <w:szCs w:val="21"/>
        </w:rPr>
        <w:t>4. Ground-truth patrols begun in all three corridors; observer roster embarked on first rotations.</w:t>
      </w:r>
    </w:p>
    <w:p w14:paraId="1752B760" w14:textId="77777777" w:rsidR="00DA7972" w:rsidRDefault="00000000">
      <w:pPr>
        <w:ind w:left="360"/>
      </w:pPr>
      <w:r>
        <w:rPr>
          <w:rFonts w:eastAsia="Georgia" w:cs="Georgia"/>
          <w:szCs w:val="21"/>
        </w:rPr>
        <w:t>5. First escorted windows operating; Class D gates publishing.</w:t>
      </w:r>
    </w:p>
    <w:p w14:paraId="5B519ED6" w14:textId="77777777" w:rsidR="00DA7972" w:rsidRDefault="00000000">
      <w:pPr>
        <w:ind w:left="360"/>
      </w:pPr>
      <w:r>
        <w:rPr>
          <w:rFonts w:eastAsia="Georgia" w:cs="Georgia"/>
          <w:szCs w:val="21"/>
        </w:rPr>
        <w:t>6. Joint survey under way; first zone certification targeted at Day 21.</w:t>
      </w:r>
    </w:p>
    <w:p w14:paraId="65476416" w14:textId="77777777" w:rsidR="00DA7972" w:rsidRDefault="00000000">
      <w:pPr>
        <w:ind w:left="360"/>
      </w:pPr>
      <w:r>
        <w:rPr>
          <w:rFonts w:eastAsia="Georgia" w:cs="Georgia"/>
          <w:szCs w:val="21"/>
        </w:rPr>
        <w:t>7. The Registry live for voluntary listing; the Data Service public tier live.</w:t>
      </w:r>
    </w:p>
    <w:p w14:paraId="7ED792DB" w14:textId="77777777" w:rsidR="00DA7972" w:rsidRDefault="00000000">
      <w:pPr>
        <w:ind w:left="360"/>
      </w:pPr>
      <w:r>
        <w:rPr>
          <w:rFonts w:eastAsia="Georgia" w:cs="Georgia"/>
          <w:szCs w:val="21"/>
        </w:rPr>
        <w:t>8. First premium digest transmitted to the insurance market.</w:t>
      </w:r>
    </w:p>
    <w:p w14:paraId="2F29C6DB" w14:textId="77777777" w:rsidR="00DA7972" w:rsidRDefault="00000000">
      <w:pPr>
        <w:pStyle w:val="Heading3"/>
      </w:pPr>
      <w:r>
        <w:rPr>
          <w:rFonts w:eastAsia="Calibri" w:cs="Calibri"/>
          <w:szCs w:val="22"/>
        </w:rPr>
        <w:t>L.3 Phase Two checklist, Day 31 to Day 60</w:t>
      </w:r>
    </w:p>
    <w:p w14:paraId="70BE9D97" w14:textId="77777777" w:rsidR="00DA7972" w:rsidRDefault="00000000">
      <w:pPr>
        <w:ind w:left="360"/>
      </w:pPr>
      <w:r>
        <w:rPr>
          <w:rFonts w:eastAsia="Georgia" w:cs="Georgia"/>
          <w:szCs w:val="21"/>
        </w:rPr>
        <w:t>1. All three corridors at full schedule; Managed Flow drills complete.</w:t>
      </w:r>
    </w:p>
    <w:p w14:paraId="5BB0A87C" w14:textId="77777777" w:rsidR="00DA7972" w:rsidRDefault="00000000">
      <w:pPr>
        <w:ind w:left="360"/>
      </w:pPr>
      <w:r>
        <w:rPr>
          <w:rFonts w:eastAsia="Georgia" w:cs="Georgia"/>
          <w:szCs w:val="21"/>
        </w:rPr>
        <w:t>2. Fund paying verified services on the first monthly cycle.</w:t>
      </w:r>
    </w:p>
    <w:p w14:paraId="233C75FD" w14:textId="77777777" w:rsidR="00DA7972" w:rsidRDefault="00000000">
      <w:pPr>
        <w:ind w:left="360"/>
      </w:pPr>
      <w:r>
        <w:rPr>
          <w:rFonts w:eastAsia="Georgia" w:cs="Georgia"/>
          <w:szCs w:val="21"/>
        </w:rPr>
        <w:t>3. Anchor-and-Verify Protocol exercised in at least one live or simulated case.</w:t>
      </w:r>
    </w:p>
    <w:p w14:paraId="618735B0" w14:textId="77777777" w:rsidR="00DA7972" w:rsidRDefault="00000000">
      <w:pPr>
        <w:ind w:left="360"/>
      </w:pPr>
      <w:r>
        <w:rPr>
          <w:rFonts w:eastAsia="Georgia" w:cs="Georgia"/>
          <w:szCs w:val="21"/>
        </w:rPr>
        <w:t>4. Stillwater Pause drill completed with the Guarantor Panel.</w:t>
      </w:r>
    </w:p>
    <w:p w14:paraId="1B23856B" w14:textId="77777777" w:rsidR="00DA7972" w:rsidRDefault="00000000">
      <w:pPr>
        <w:ind w:left="360"/>
      </w:pPr>
      <w:r>
        <w:rPr>
          <w:rFonts w:eastAsia="Georgia" w:cs="Georgia"/>
          <w:szCs w:val="21"/>
        </w:rPr>
        <w:t>5. Night transit restored on certified zones.</w:t>
      </w:r>
    </w:p>
    <w:p w14:paraId="3CC2239A" w14:textId="77777777" w:rsidR="00DA7972" w:rsidRDefault="00000000">
      <w:pPr>
        <w:ind w:left="360"/>
      </w:pPr>
      <w:r>
        <w:rPr>
          <w:rFonts w:eastAsia="Georgia" w:cs="Georgia"/>
          <w:szCs w:val="21"/>
        </w:rPr>
        <w:t>6. Accession packages delivered to Saudi Arabia, Qatar, Bahrain, Kuwait, and Iraq.</w:t>
      </w:r>
    </w:p>
    <w:p w14:paraId="7EDC9A97" w14:textId="77777777" w:rsidR="00DA7972" w:rsidRDefault="00000000">
      <w:pPr>
        <w:pStyle w:val="Heading3"/>
      </w:pPr>
      <w:r>
        <w:rPr>
          <w:rFonts w:eastAsia="Calibri" w:cs="Calibri"/>
          <w:szCs w:val="22"/>
        </w:rPr>
        <w:t>L.4 Phase Three checklist, Day 61 onward</w:t>
      </w:r>
    </w:p>
    <w:p w14:paraId="70239647" w14:textId="77777777" w:rsidR="00DA7972" w:rsidRDefault="00000000">
      <w:pPr>
        <w:ind w:left="360"/>
      </w:pPr>
      <w:r>
        <w:rPr>
          <w:rFonts w:eastAsia="Georgia" w:cs="Georgia"/>
          <w:szCs w:val="21"/>
        </w:rPr>
        <w:t>1. Survey certification complete; the International Maritime Organization issues the final technical certification under Article 12.4; the joint safety certification issued to the insurance market.</w:t>
      </w:r>
    </w:p>
    <w:p w14:paraId="204912B6" w14:textId="77777777" w:rsidR="00DA7972" w:rsidRDefault="00000000">
      <w:pPr>
        <w:ind w:left="360"/>
      </w:pPr>
      <w:r>
        <w:rPr>
          <w:rFonts w:eastAsia="Georgia" w:cs="Georgia"/>
          <w:szCs w:val="21"/>
        </w:rPr>
        <w:t>2. Premium normalization tracking against the Annex C schedule, published weekly.</w:t>
      </w:r>
    </w:p>
    <w:p w14:paraId="2E5F9FC4" w14:textId="77777777" w:rsidR="00DA7972" w:rsidRDefault="00000000">
      <w:pPr>
        <w:ind w:left="360"/>
      </w:pPr>
      <w:r>
        <w:rPr>
          <w:rFonts w:eastAsia="Georgia" w:cs="Georgia"/>
          <w:szCs w:val="21"/>
        </w:rPr>
        <w:t>3. First quarterly Ledger published; first standing computation audited.</w:t>
      </w:r>
    </w:p>
    <w:p w14:paraId="2580FF44" w14:textId="77777777" w:rsidR="00DA7972" w:rsidRDefault="00000000">
      <w:pPr>
        <w:ind w:left="360"/>
      </w:pPr>
      <w:r>
        <w:rPr>
          <w:rFonts w:eastAsia="Georgia" w:cs="Georgia"/>
          <w:szCs w:val="21"/>
        </w:rPr>
        <w:lastRenderedPageBreak/>
        <w:t>4. First annual Open Water Review Conference scheduled within 12 months of entry into force.</w:t>
      </w:r>
    </w:p>
    <w:p w14:paraId="60CD9E1B" w14:textId="77777777" w:rsidR="00DA7972" w:rsidRDefault="00000000">
      <w:pPr>
        <w:ind w:left="360"/>
      </w:pPr>
      <w:r>
        <w:rPr>
          <w:rFonts w:eastAsia="Georgia" w:cs="Georgia"/>
          <w:szCs w:val="21"/>
        </w:rPr>
        <w:t>5. Staffing table expanded for each accession; parity band audited quarterly.</w:t>
      </w:r>
    </w:p>
    <w:p w14:paraId="4B3759CF" w14:textId="77777777" w:rsidR="00DA7972" w:rsidRDefault="00000000">
      <w:pPr>
        <w:pStyle w:val="Heading3"/>
      </w:pPr>
      <w:r>
        <w:rPr>
          <w:rFonts w:eastAsia="Calibri" w:cs="Calibri"/>
          <w:szCs w:val="22"/>
        </w:rPr>
        <w:t>L.5 Parity band</w:t>
      </w:r>
    </w:p>
    <w:p w14:paraId="257D3889" w14:textId="77777777" w:rsidR="00DA7972" w:rsidRDefault="00000000">
      <w:r>
        <w:rPr>
          <w:rFonts w:eastAsia="Georgia" w:cs="Georgia"/>
          <w:szCs w:val="21"/>
        </w:rPr>
        <w:t>Across the Center, the mirror facility, and the Neutral Keel support offices, each Littoral Party's nationals hold between 20 and 40 percent of operational posts once three Littoral Parties hold membership, and between 12 and 30 percent once five or more hold membership. The Technical Committee audits the band quarterly and publishes the result. A breach of the band cures within two quarters through recruitment, never through dismissal.</w:t>
      </w:r>
    </w:p>
    <w:p w14:paraId="4FEEAD8B" w14:textId="77777777" w:rsidR="00DA7972" w:rsidRDefault="00000000">
      <w:pPr>
        <w:pStyle w:val="Heading1"/>
      </w:pPr>
      <w:bookmarkStart w:id="73" w:name="_Toc236229954"/>
      <w:r>
        <w:rPr>
          <w:rFonts w:eastAsia="Calibri" w:cs="Calibri"/>
          <w:szCs w:val="32"/>
        </w:rPr>
        <w:lastRenderedPageBreak/>
        <w:t>Annex M: Accession, Adherence, and Participation Instruments</w:t>
      </w:r>
      <w:bookmarkEnd w:id="73"/>
    </w:p>
    <w:p w14:paraId="12849C2B" w14:textId="77777777" w:rsidR="00DA7972" w:rsidRDefault="00000000">
      <w:pPr>
        <w:pStyle w:val="Heading3"/>
      </w:pPr>
      <w:r>
        <w:rPr>
          <w:rFonts w:eastAsia="Calibri" w:cs="Calibri"/>
          <w:szCs w:val="22"/>
        </w:rPr>
        <w:t>M.1 Model instrument of accession (Acceding Member)</w:t>
      </w:r>
    </w:p>
    <w:p w14:paraId="0467DBF7" w14:textId="77777777" w:rsidR="00DA7972" w:rsidRDefault="00000000">
      <w:r>
        <w:rPr>
          <w:rFonts w:eastAsia="Georgia" w:cs="Georgia"/>
          <w:szCs w:val="21"/>
        </w:rPr>
        <w:t>The Government of [acceding state], having considered the Stillwater Accord done at Muscat, accedes to the Accord and to all its Annexes, accepts the obligations of an Acceding Member including the staffing, service delivery, and endowment schedules, and deposits this instrument with the depositary under Article 38.1. Signed at [place] on [date].</w:t>
      </w:r>
    </w:p>
    <w:p w14:paraId="1F6E4B01" w14:textId="77777777" w:rsidR="00DA7972" w:rsidRDefault="00000000">
      <w:pPr>
        <w:pStyle w:val="Heading3"/>
      </w:pPr>
      <w:r>
        <w:rPr>
          <w:rFonts w:eastAsia="Calibri" w:cs="Calibri"/>
          <w:szCs w:val="22"/>
        </w:rPr>
        <w:t>M.2 Model adherence instrument (external state)</w:t>
      </w:r>
    </w:p>
    <w:p w14:paraId="654028A6" w14:textId="77777777" w:rsidR="00DA7972" w:rsidRDefault="00000000">
      <w:r>
        <w:rPr>
          <w:rFonts w:eastAsia="Georgia" w:cs="Georgia"/>
          <w:szCs w:val="21"/>
        </w:rPr>
        <w:t>The Government of [adhering state], consistent with Article 38.5 of the Stillwater Accord, adheres to the Non-Interdiction Protocol of Article 10 and the de-confliction disciplines of Article 27 for its forces operating in or near the Governance Area, accepts a seat at the military de-confliction channel, and notes that this adherence creates no other obligation or right. Signed at [place] on [date].</w:t>
      </w:r>
    </w:p>
    <w:p w14:paraId="6964467D" w14:textId="77777777" w:rsidR="00DA7972" w:rsidRDefault="00000000">
      <w:pPr>
        <w:pStyle w:val="Heading3"/>
      </w:pPr>
      <w:r>
        <w:rPr>
          <w:rFonts w:eastAsia="Calibri" w:cs="Calibri"/>
          <w:szCs w:val="22"/>
        </w:rPr>
        <w:t>M.3 Model Endorsing Stakeholder instrument (United States)</w:t>
      </w:r>
    </w:p>
    <w:p w14:paraId="46F10F9D" w14:textId="77777777" w:rsidR="00DA7972" w:rsidRDefault="00000000">
      <w:r>
        <w:rPr>
          <w:rFonts w:eastAsia="Georgia" w:cs="Georgia"/>
          <w:szCs w:val="21"/>
        </w:rPr>
        <w:t>The United States of America, consistent with Article 19.2 of the Stillwater Accord, participates as Endorsing Stakeholder: it accepts a non-voting seat at the Stillwater Council; it deposits its adherence under Article 38.5; it registers its interests in Annex I as recorded; and it channels concerns through the Accord's organs. This instrument creates no command, veto, or enforcement role. Signed at [place] on [date].</w:t>
      </w:r>
    </w:p>
    <w:p w14:paraId="28F0CA96" w14:textId="77777777" w:rsidR="00DA7972" w:rsidRDefault="00000000">
      <w:pPr>
        <w:pStyle w:val="Heading3"/>
      </w:pPr>
      <w:r>
        <w:rPr>
          <w:rFonts w:eastAsia="Calibri" w:cs="Calibri"/>
          <w:szCs w:val="22"/>
        </w:rPr>
        <w:t>M.4 Model MOU attachment protocol</w:t>
      </w:r>
    </w:p>
    <w:p w14:paraId="38989A16" w14:textId="77777777" w:rsidR="00DA7972" w:rsidRDefault="00000000">
      <w:r>
        <w:rPr>
          <w:rFonts w:eastAsia="Georgia" w:cs="Georgia"/>
          <w:szCs w:val="21"/>
        </w:rPr>
        <w:t>The parties to the Islamabad Memorandum of Understanding of 17 June 2026, noting that the Stillwater Accord discharges the safe-navigation commitment of the MOU for the coastal-state dimension, attach the Accord to the MOU architecture as a complementary governance module. Attachment records political linkage; it adds no obligation beyond the Accord's text and alters no organ of either instrument. Signed at [place] on [date].</w:t>
      </w:r>
    </w:p>
    <w:p w14:paraId="515BFD4E" w14:textId="77777777" w:rsidR="00DA7972" w:rsidRDefault="00000000">
      <w:pPr>
        <w:pStyle w:val="Heading3"/>
      </w:pPr>
      <w:r>
        <w:rPr>
          <w:rFonts w:eastAsia="Calibri" w:cs="Calibri"/>
          <w:szCs w:val="22"/>
        </w:rPr>
        <w:t>M.5 Model observer-state participation letter</w:t>
      </w:r>
    </w:p>
    <w:p w14:paraId="511185D5" w14:textId="77777777" w:rsidR="00DA7972" w:rsidRDefault="00000000">
      <w:r>
        <w:rPr>
          <w:rFonts w:eastAsia="Georgia" w:cs="Georgia"/>
          <w:szCs w:val="21"/>
        </w:rPr>
        <w:t>The Government of [observer state] accepts the standing observer invitation of Article 19.3, designates its observer, and records its intention to contribute to the Transit Services Fund at the published schedule. Signed at [place] on [date].</w:t>
      </w:r>
    </w:p>
    <w:p w14:paraId="284816D2" w14:textId="77777777" w:rsidR="00DA7972" w:rsidRDefault="00000000">
      <w:pPr>
        <w:pStyle w:val="Heading3"/>
      </w:pPr>
      <w:r>
        <w:rPr>
          <w:rFonts w:eastAsia="Calibri" w:cs="Calibri"/>
          <w:szCs w:val="22"/>
        </w:rPr>
        <w:t>M.6 Model security assurance instrument (United States)</w:t>
      </w:r>
    </w:p>
    <w:p w14:paraId="70A032FA" w14:textId="77777777" w:rsidR="00DA7972" w:rsidRDefault="00000000">
      <w:r>
        <w:rPr>
          <w:rFonts w:eastAsia="Georgia" w:cs="Georgia"/>
          <w:szCs w:val="21"/>
        </w:rPr>
        <w:t>The United States of America, consistent with Article 19A of the Stillwater Accord, deposits its standing security assurance: it defends the integrity of the three corridors against external aggression through its existing naval presence in the Gulf, and it consults with the Stillwater Council before any kinetic action inside the Governance Area, except in response to an immediate threat to United States forces or allied forces under the inherent right of self-defense. This instrument creates no command, veto, or enforcement role. Signed at [place] on [date].</w:t>
      </w:r>
    </w:p>
    <w:p w14:paraId="4CD0A5F8" w14:textId="77777777" w:rsidR="00DA7972" w:rsidRDefault="00000000">
      <w:pPr>
        <w:pStyle w:val="Heading1"/>
      </w:pPr>
      <w:bookmarkStart w:id="74" w:name="_Toc236229955"/>
      <w:r>
        <w:rPr>
          <w:rFonts w:eastAsia="Calibri" w:cs="Calibri"/>
          <w:szCs w:val="32"/>
        </w:rPr>
        <w:lastRenderedPageBreak/>
        <w:t>Annex N: Glossary and Neutral Terminology Register</w:t>
      </w:r>
      <w:bookmarkEnd w:id="74"/>
    </w:p>
    <w:p w14:paraId="7B7BEC63" w14:textId="77777777" w:rsidR="00DA7972" w:rsidRDefault="00000000">
      <w:r>
        <w:rPr>
          <w:rFonts w:eastAsia="Georgia" w:cs="Georgia"/>
          <w:szCs w:val="21"/>
        </w:rPr>
        <w:t>This register fixes the Accord's public vocabulary. The organs use these terms in every publication, and the Mariners' Handbook and the Bulletin follow the register exactly. The register excludes from Accord usage: the words blockade, closure, sanction, seizure, escort fleet, convoy, inspection regime, and toll, except when quoting the prohibited-instruments list or a Red Line entry; the corresponding register terms are: Suspended Flow, area hold, compliance measure, anchor-and-verify, escorted window, transit grouping, verification at anchorage, and charge on passage.</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2"/>
        <w:gridCol w:w="6154"/>
      </w:tblGrid>
      <w:tr w:rsidR="00DA7972" w14:paraId="33F50527" w14:textId="77777777">
        <w:trPr>
          <w:tblHeader/>
        </w:trPr>
        <w:tc>
          <w:tcPr>
            <w:tcW w:w="3000" w:type="dxa"/>
            <w:tcBorders>
              <w:bottom w:val="single" w:sz="6" w:space="0" w:color="546E7A"/>
            </w:tcBorders>
            <w:shd w:val="clear" w:color="auto" w:fill="E4E9EC"/>
          </w:tcPr>
          <w:p w14:paraId="5C28953D" w14:textId="77777777" w:rsidR="00DA7972" w:rsidRDefault="00000000">
            <w:pPr>
              <w:spacing w:after="0" w:line="260" w:lineRule="auto"/>
              <w:jc w:val="left"/>
            </w:pPr>
            <w:r>
              <w:rPr>
                <w:rFonts w:ascii="Calibri" w:eastAsia="Calibri" w:hAnsi="Calibri" w:cs="Calibri"/>
                <w:b/>
                <w:color w:val="37474F"/>
                <w:sz w:val="19"/>
                <w:szCs w:val="19"/>
              </w:rPr>
              <w:t>Register term</w:t>
            </w:r>
          </w:p>
        </w:tc>
        <w:tc>
          <w:tcPr>
            <w:tcW w:w="6010" w:type="dxa"/>
            <w:tcBorders>
              <w:bottom w:val="single" w:sz="6" w:space="0" w:color="546E7A"/>
            </w:tcBorders>
            <w:shd w:val="clear" w:color="auto" w:fill="E4E9EC"/>
          </w:tcPr>
          <w:p w14:paraId="1BF227FE" w14:textId="77777777" w:rsidR="00DA7972" w:rsidRDefault="00000000">
            <w:pPr>
              <w:spacing w:after="0" w:line="260" w:lineRule="auto"/>
              <w:jc w:val="left"/>
            </w:pPr>
            <w:r>
              <w:rPr>
                <w:rFonts w:ascii="Calibri" w:eastAsia="Calibri" w:hAnsi="Calibri" w:cs="Calibri"/>
                <w:b/>
                <w:color w:val="37474F"/>
                <w:sz w:val="19"/>
                <w:szCs w:val="19"/>
              </w:rPr>
              <w:t>Plain meaning</w:t>
            </w:r>
          </w:p>
        </w:tc>
      </w:tr>
      <w:tr w:rsidR="00DA7972" w14:paraId="56DD91FA" w14:textId="77777777">
        <w:tc>
          <w:tcPr>
            <w:tcW w:w="3000" w:type="dxa"/>
          </w:tcPr>
          <w:p w14:paraId="59D386C1" w14:textId="77777777" w:rsidR="00DA7972" w:rsidRDefault="00000000">
            <w:pPr>
              <w:spacing w:after="0" w:line="260" w:lineRule="auto"/>
              <w:jc w:val="left"/>
            </w:pPr>
            <w:r>
              <w:rPr>
                <w:rFonts w:ascii="Calibri" w:eastAsia="Calibri" w:hAnsi="Calibri" w:cs="Calibri"/>
                <w:sz w:val="19"/>
                <w:szCs w:val="19"/>
              </w:rPr>
              <w:t>Anchor-and-Verify</w:t>
            </w:r>
          </w:p>
        </w:tc>
        <w:tc>
          <w:tcPr>
            <w:tcW w:w="6010" w:type="dxa"/>
          </w:tcPr>
          <w:p w14:paraId="22E56EEF" w14:textId="77777777" w:rsidR="00DA7972" w:rsidRDefault="00000000">
            <w:pPr>
              <w:spacing w:after="0" w:line="260" w:lineRule="auto"/>
              <w:jc w:val="left"/>
            </w:pPr>
            <w:r>
              <w:rPr>
                <w:rFonts w:ascii="Calibri" w:eastAsia="Calibri" w:hAnsi="Calibri" w:cs="Calibri"/>
                <w:sz w:val="19"/>
                <w:szCs w:val="19"/>
              </w:rPr>
              <w:t>Resolution of a documented cargo or documentation question at anchorage by a joint team</w:t>
            </w:r>
          </w:p>
        </w:tc>
      </w:tr>
      <w:tr w:rsidR="00DA7972" w14:paraId="0BB6C72F" w14:textId="77777777">
        <w:tc>
          <w:tcPr>
            <w:tcW w:w="3000" w:type="dxa"/>
          </w:tcPr>
          <w:p w14:paraId="0D3604C8" w14:textId="77777777" w:rsidR="00DA7972" w:rsidRDefault="00000000">
            <w:pPr>
              <w:spacing w:after="0" w:line="260" w:lineRule="auto"/>
              <w:jc w:val="left"/>
            </w:pPr>
            <w:r>
              <w:rPr>
                <w:rFonts w:ascii="Calibri" w:eastAsia="Calibri" w:hAnsi="Calibri" w:cs="Calibri"/>
                <w:sz w:val="19"/>
                <w:szCs w:val="19"/>
              </w:rPr>
              <w:t>Area hold</w:t>
            </w:r>
          </w:p>
        </w:tc>
        <w:tc>
          <w:tcPr>
            <w:tcW w:w="6010" w:type="dxa"/>
          </w:tcPr>
          <w:p w14:paraId="6C6221C7" w14:textId="77777777" w:rsidR="00DA7972" w:rsidRDefault="00000000">
            <w:pPr>
              <w:spacing w:after="0" w:line="260" w:lineRule="auto"/>
              <w:jc w:val="left"/>
            </w:pPr>
            <w:r>
              <w:rPr>
                <w:rFonts w:ascii="Calibri" w:eastAsia="Calibri" w:hAnsi="Calibri" w:cs="Calibri"/>
                <w:sz w:val="19"/>
                <w:szCs w:val="19"/>
              </w:rPr>
              <w:t>A Suspended Flow applied to a defined area for a stated period</w:t>
            </w:r>
          </w:p>
        </w:tc>
      </w:tr>
      <w:tr w:rsidR="00DA7972" w14:paraId="6E70BAB9" w14:textId="77777777">
        <w:tc>
          <w:tcPr>
            <w:tcW w:w="3000" w:type="dxa"/>
          </w:tcPr>
          <w:p w14:paraId="7E03FB29" w14:textId="77777777" w:rsidR="00DA7972" w:rsidRDefault="00000000">
            <w:pPr>
              <w:spacing w:after="0" w:line="260" w:lineRule="auto"/>
              <w:jc w:val="left"/>
            </w:pPr>
            <w:r>
              <w:rPr>
                <w:rFonts w:ascii="Calibri" w:eastAsia="Calibri" w:hAnsi="Calibri" w:cs="Calibri"/>
                <w:sz w:val="19"/>
                <w:szCs w:val="19"/>
              </w:rPr>
              <w:t>Assurance</w:t>
            </w:r>
          </w:p>
        </w:tc>
        <w:tc>
          <w:tcPr>
            <w:tcW w:w="6010" w:type="dxa"/>
          </w:tcPr>
          <w:p w14:paraId="79C750B9" w14:textId="77777777" w:rsidR="00DA7972" w:rsidRDefault="00000000">
            <w:pPr>
              <w:spacing w:after="0" w:line="260" w:lineRule="auto"/>
              <w:jc w:val="left"/>
            </w:pPr>
            <w:r>
              <w:rPr>
                <w:rFonts w:ascii="Calibri" w:eastAsia="Calibri" w:hAnsi="Calibri" w:cs="Calibri"/>
                <w:sz w:val="19"/>
                <w:szCs w:val="19"/>
              </w:rPr>
              <w:t>Verified performance published for the market</w:t>
            </w:r>
          </w:p>
        </w:tc>
      </w:tr>
      <w:tr w:rsidR="00DA7972" w14:paraId="712214BE" w14:textId="77777777">
        <w:tc>
          <w:tcPr>
            <w:tcW w:w="3000" w:type="dxa"/>
          </w:tcPr>
          <w:p w14:paraId="75B82C3C" w14:textId="77777777" w:rsidR="00DA7972" w:rsidRDefault="00000000">
            <w:pPr>
              <w:spacing w:after="0" w:line="260" w:lineRule="auto"/>
              <w:jc w:val="left"/>
            </w:pPr>
            <w:r>
              <w:rPr>
                <w:rFonts w:ascii="Calibri" w:eastAsia="Calibri" w:hAnsi="Calibri" w:cs="Calibri"/>
                <w:sz w:val="19"/>
                <w:szCs w:val="19"/>
              </w:rPr>
              <w:t>Banked performance</w:t>
            </w:r>
          </w:p>
        </w:tc>
        <w:tc>
          <w:tcPr>
            <w:tcW w:w="6010" w:type="dxa"/>
          </w:tcPr>
          <w:p w14:paraId="358602B1" w14:textId="77777777" w:rsidR="00DA7972" w:rsidRDefault="00000000">
            <w:pPr>
              <w:spacing w:after="0" w:line="260" w:lineRule="auto"/>
              <w:jc w:val="left"/>
            </w:pPr>
            <w:r>
              <w:rPr>
                <w:rFonts w:ascii="Calibri" w:eastAsia="Calibri" w:hAnsi="Calibri" w:cs="Calibri"/>
                <w:sz w:val="19"/>
                <w:szCs w:val="19"/>
              </w:rPr>
              <w:t>Verified compliance carried forward permanently under the Nofade Guarantee</w:t>
            </w:r>
          </w:p>
        </w:tc>
      </w:tr>
      <w:tr w:rsidR="00DA7972" w14:paraId="7E7F0F71" w14:textId="77777777">
        <w:tc>
          <w:tcPr>
            <w:tcW w:w="3000" w:type="dxa"/>
          </w:tcPr>
          <w:p w14:paraId="4382B210" w14:textId="77777777" w:rsidR="00DA7972" w:rsidRDefault="00000000">
            <w:pPr>
              <w:spacing w:after="0" w:line="260" w:lineRule="auto"/>
              <w:jc w:val="left"/>
            </w:pPr>
            <w:r>
              <w:rPr>
                <w:rFonts w:ascii="Calibri" w:eastAsia="Calibri" w:hAnsi="Calibri" w:cs="Calibri"/>
                <w:sz w:val="19"/>
                <w:szCs w:val="19"/>
              </w:rPr>
              <w:t>Calm, Irregular, Investigating</w:t>
            </w:r>
          </w:p>
        </w:tc>
        <w:tc>
          <w:tcPr>
            <w:tcW w:w="6010" w:type="dxa"/>
          </w:tcPr>
          <w:p w14:paraId="07F5DF2A" w14:textId="77777777" w:rsidR="00DA7972" w:rsidRDefault="00000000">
            <w:pPr>
              <w:spacing w:after="0" w:line="260" w:lineRule="auto"/>
              <w:jc w:val="left"/>
            </w:pPr>
            <w:r>
              <w:rPr>
                <w:rFonts w:ascii="Calibri" w:eastAsia="Calibri" w:hAnsi="Calibri" w:cs="Calibri"/>
                <w:sz w:val="19"/>
                <w:szCs w:val="19"/>
              </w:rPr>
              <w:t>The three Bulletin status lines: normal operation; a deviation under notice; an event under evidence gathering</w:t>
            </w:r>
          </w:p>
        </w:tc>
      </w:tr>
      <w:tr w:rsidR="00DA7972" w14:paraId="21875953" w14:textId="77777777">
        <w:tc>
          <w:tcPr>
            <w:tcW w:w="3000" w:type="dxa"/>
          </w:tcPr>
          <w:p w14:paraId="6B80634D" w14:textId="77777777" w:rsidR="00DA7972" w:rsidRDefault="00000000">
            <w:pPr>
              <w:spacing w:after="0" w:line="260" w:lineRule="auto"/>
              <w:jc w:val="left"/>
            </w:pPr>
            <w:r>
              <w:rPr>
                <w:rFonts w:ascii="Calibri" w:eastAsia="Calibri" w:hAnsi="Calibri" w:cs="Calibri"/>
                <w:sz w:val="19"/>
                <w:szCs w:val="19"/>
              </w:rPr>
              <w:t>Convergence</w:t>
            </w:r>
          </w:p>
        </w:tc>
        <w:tc>
          <w:tcPr>
            <w:tcW w:w="6010" w:type="dxa"/>
          </w:tcPr>
          <w:p w14:paraId="376E678D" w14:textId="77777777" w:rsidR="00DA7972" w:rsidRDefault="00000000">
            <w:pPr>
              <w:spacing w:after="0" w:line="260" w:lineRule="auto"/>
              <w:jc w:val="left"/>
            </w:pPr>
            <w:r>
              <w:rPr>
                <w:rFonts w:ascii="Calibri" w:eastAsia="Calibri" w:hAnsi="Calibri" w:cs="Calibri"/>
                <w:sz w:val="19"/>
                <w:szCs w:val="19"/>
              </w:rPr>
              <w:t>Two independent inputs agreeing on the same fact</w:t>
            </w:r>
          </w:p>
        </w:tc>
      </w:tr>
      <w:tr w:rsidR="00DA7972" w14:paraId="74117771" w14:textId="77777777">
        <w:tc>
          <w:tcPr>
            <w:tcW w:w="3000" w:type="dxa"/>
          </w:tcPr>
          <w:p w14:paraId="607A9B78" w14:textId="77777777" w:rsidR="00DA7972" w:rsidRDefault="00000000">
            <w:pPr>
              <w:spacing w:after="0" w:line="260" w:lineRule="auto"/>
              <w:jc w:val="left"/>
            </w:pPr>
            <w:r>
              <w:rPr>
                <w:rFonts w:ascii="Calibri" w:eastAsia="Calibri" w:hAnsi="Calibri" w:cs="Calibri"/>
                <w:sz w:val="19"/>
                <w:szCs w:val="19"/>
              </w:rPr>
              <w:t>Escorted window</w:t>
            </w:r>
          </w:p>
        </w:tc>
        <w:tc>
          <w:tcPr>
            <w:tcW w:w="6010" w:type="dxa"/>
          </w:tcPr>
          <w:p w14:paraId="5AAB2E06" w14:textId="77777777" w:rsidR="00DA7972" w:rsidRDefault="00000000">
            <w:pPr>
              <w:spacing w:after="0" w:line="260" w:lineRule="auto"/>
              <w:jc w:val="left"/>
            </w:pPr>
            <w:r>
              <w:rPr>
                <w:rFonts w:ascii="Calibri" w:eastAsia="Calibri" w:hAnsi="Calibri" w:cs="Calibri"/>
                <w:sz w:val="19"/>
                <w:szCs w:val="19"/>
              </w:rPr>
              <w:t>A published period in which electing vessels transit with coast guard escort coordination</w:t>
            </w:r>
          </w:p>
        </w:tc>
      </w:tr>
      <w:tr w:rsidR="00DA7972" w14:paraId="7F84456B" w14:textId="77777777">
        <w:tc>
          <w:tcPr>
            <w:tcW w:w="3000" w:type="dxa"/>
          </w:tcPr>
          <w:p w14:paraId="5D200D08" w14:textId="77777777" w:rsidR="00DA7972" w:rsidRDefault="00000000">
            <w:pPr>
              <w:spacing w:after="0" w:line="260" w:lineRule="auto"/>
              <w:jc w:val="left"/>
            </w:pPr>
            <w:r>
              <w:rPr>
                <w:rFonts w:ascii="Calibri" w:eastAsia="Calibri" w:hAnsi="Calibri" w:cs="Calibri"/>
                <w:sz w:val="19"/>
                <w:szCs w:val="19"/>
              </w:rPr>
              <w:t>Flow state</w:t>
            </w:r>
          </w:p>
        </w:tc>
        <w:tc>
          <w:tcPr>
            <w:tcW w:w="6010" w:type="dxa"/>
          </w:tcPr>
          <w:p w14:paraId="31A0C3CC" w14:textId="77777777" w:rsidR="00DA7972" w:rsidRDefault="00000000">
            <w:pPr>
              <w:spacing w:after="0" w:line="260" w:lineRule="auto"/>
              <w:jc w:val="left"/>
            </w:pPr>
            <w:r>
              <w:rPr>
                <w:rFonts w:ascii="Calibri" w:eastAsia="Calibri" w:hAnsi="Calibri" w:cs="Calibri"/>
                <w:sz w:val="19"/>
                <w:szCs w:val="19"/>
              </w:rPr>
              <w:t>Free Flow, Managed Flow, or Suspended Flow</w:t>
            </w:r>
          </w:p>
        </w:tc>
      </w:tr>
      <w:tr w:rsidR="00DA7972" w14:paraId="273298E9" w14:textId="77777777">
        <w:tc>
          <w:tcPr>
            <w:tcW w:w="3000" w:type="dxa"/>
          </w:tcPr>
          <w:p w14:paraId="106811AF" w14:textId="77777777" w:rsidR="00DA7972" w:rsidRDefault="00000000">
            <w:pPr>
              <w:spacing w:after="0" w:line="260" w:lineRule="auto"/>
              <w:jc w:val="left"/>
            </w:pPr>
            <w:r>
              <w:rPr>
                <w:rFonts w:ascii="Calibri" w:eastAsia="Calibri" w:hAnsi="Calibri" w:cs="Calibri"/>
                <w:sz w:val="19"/>
                <w:szCs w:val="19"/>
              </w:rPr>
              <w:t>Ledger</w:t>
            </w:r>
          </w:p>
        </w:tc>
        <w:tc>
          <w:tcPr>
            <w:tcW w:w="6010" w:type="dxa"/>
          </w:tcPr>
          <w:p w14:paraId="037B2B23" w14:textId="77777777" w:rsidR="00DA7972" w:rsidRDefault="00000000">
            <w:pPr>
              <w:spacing w:after="0" w:line="260" w:lineRule="auto"/>
              <w:jc w:val="left"/>
            </w:pPr>
            <w:r>
              <w:rPr>
                <w:rFonts w:ascii="Calibri" w:eastAsia="Calibri" w:hAnsi="Calibri" w:cs="Calibri"/>
                <w:sz w:val="19"/>
                <w:szCs w:val="19"/>
              </w:rPr>
              <w:t>The Reciprocity Ledger of standing and performance</w:t>
            </w:r>
          </w:p>
        </w:tc>
      </w:tr>
      <w:tr w:rsidR="00DA7972" w14:paraId="66AF9E71" w14:textId="77777777">
        <w:tc>
          <w:tcPr>
            <w:tcW w:w="3000" w:type="dxa"/>
          </w:tcPr>
          <w:p w14:paraId="5B20E927" w14:textId="77777777" w:rsidR="00DA7972" w:rsidRDefault="00000000">
            <w:pPr>
              <w:spacing w:after="0" w:line="260" w:lineRule="auto"/>
              <w:jc w:val="left"/>
            </w:pPr>
            <w:r>
              <w:rPr>
                <w:rFonts w:ascii="Calibri" w:eastAsia="Calibri" w:hAnsi="Calibri" w:cs="Calibri"/>
                <w:sz w:val="19"/>
                <w:szCs w:val="19"/>
              </w:rPr>
              <w:t>Mirror</w:t>
            </w:r>
          </w:p>
        </w:tc>
        <w:tc>
          <w:tcPr>
            <w:tcW w:w="6010" w:type="dxa"/>
          </w:tcPr>
          <w:p w14:paraId="189D5416" w14:textId="77777777" w:rsidR="00DA7972" w:rsidRDefault="00000000">
            <w:pPr>
              <w:spacing w:after="0" w:line="260" w:lineRule="auto"/>
              <w:jc w:val="left"/>
            </w:pPr>
            <w:r>
              <w:rPr>
                <w:rFonts w:ascii="Calibri" w:eastAsia="Calibri" w:hAnsi="Calibri" w:cs="Calibri"/>
                <w:sz w:val="19"/>
                <w:szCs w:val="19"/>
              </w:rPr>
              <w:t>The Bandar Abbas facility of equal rank with the Muscat seat</w:t>
            </w:r>
          </w:p>
        </w:tc>
      </w:tr>
      <w:tr w:rsidR="00DA7972" w14:paraId="15895605" w14:textId="77777777">
        <w:tc>
          <w:tcPr>
            <w:tcW w:w="3000" w:type="dxa"/>
          </w:tcPr>
          <w:p w14:paraId="7A5E35B4" w14:textId="77777777" w:rsidR="00DA7972" w:rsidRDefault="00000000">
            <w:pPr>
              <w:spacing w:after="0" w:line="260" w:lineRule="auto"/>
              <w:jc w:val="left"/>
            </w:pPr>
            <w:r>
              <w:rPr>
                <w:rFonts w:ascii="Calibri" w:eastAsia="Calibri" w:hAnsi="Calibri" w:cs="Calibri"/>
                <w:sz w:val="19"/>
                <w:szCs w:val="19"/>
              </w:rPr>
              <w:t>Nofade</w:t>
            </w:r>
          </w:p>
        </w:tc>
        <w:tc>
          <w:tcPr>
            <w:tcW w:w="6010" w:type="dxa"/>
          </w:tcPr>
          <w:p w14:paraId="0B3F46BC" w14:textId="77777777" w:rsidR="00DA7972" w:rsidRDefault="00000000">
            <w:pPr>
              <w:spacing w:after="0" w:line="260" w:lineRule="auto"/>
              <w:jc w:val="left"/>
            </w:pPr>
            <w:r>
              <w:rPr>
                <w:rFonts w:ascii="Calibri" w:eastAsia="Calibri" w:hAnsi="Calibri" w:cs="Calibri"/>
                <w:sz w:val="19"/>
                <w:szCs w:val="19"/>
              </w:rPr>
              <w:t>The rule that nothing expires by time alone</w:t>
            </w:r>
          </w:p>
        </w:tc>
      </w:tr>
      <w:tr w:rsidR="00DA7972" w14:paraId="539AE6C5" w14:textId="77777777">
        <w:tc>
          <w:tcPr>
            <w:tcW w:w="3000" w:type="dxa"/>
          </w:tcPr>
          <w:p w14:paraId="50B5A860" w14:textId="77777777" w:rsidR="00DA7972" w:rsidRDefault="00000000">
            <w:pPr>
              <w:spacing w:after="0" w:line="260" w:lineRule="auto"/>
              <w:jc w:val="left"/>
            </w:pPr>
            <w:r>
              <w:rPr>
                <w:rFonts w:ascii="Calibri" w:eastAsia="Calibri" w:hAnsi="Calibri" w:cs="Calibri"/>
                <w:sz w:val="19"/>
                <w:szCs w:val="19"/>
              </w:rPr>
              <w:t>Pause</w:t>
            </w:r>
          </w:p>
        </w:tc>
        <w:tc>
          <w:tcPr>
            <w:tcW w:w="6010" w:type="dxa"/>
          </w:tcPr>
          <w:p w14:paraId="64094B4E" w14:textId="77777777" w:rsidR="00DA7972" w:rsidRDefault="00000000">
            <w:pPr>
              <w:spacing w:after="0" w:line="260" w:lineRule="auto"/>
              <w:jc w:val="left"/>
            </w:pPr>
            <w:r>
              <w:rPr>
                <w:rFonts w:ascii="Calibri" w:eastAsia="Calibri" w:hAnsi="Calibri" w:cs="Calibri"/>
                <w:sz w:val="19"/>
                <w:szCs w:val="19"/>
              </w:rPr>
              <w:t>The Stillwater Pause</w:t>
            </w:r>
          </w:p>
        </w:tc>
      </w:tr>
      <w:tr w:rsidR="00DA7972" w14:paraId="68351192" w14:textId="77777777">
        <w:tc>
          <w:tcPr>
            <w:tcW w:w="3000" w:type="dxa"/>
          </w:tcPr>
          <w:p w14:paraId="789401EF" w14:textId="77777777" w:rsidR="00DA7972" w:rsidRDefault="00000000">
            <w:pPr>
              <w:spacing w:after="0" w:line="260" w:lineRule="auto"/>
              <w:jc w:val="left"/>
            </w:pPr>
            <w:r>
              <w:rPr>
                <w:rFonts w:ascii="Calibri" w:eastAsia="Calibri" w:hAnsi="Calibri" w:cs="Calibri"/>
                <w:sz w:val="19"/>
                <w:szCs w:val="19"/>
              </w:rPr>
              <w:t>Quiet Water</w:t>
            </w:r>
          </w:p>
        </w:tc>
        <w:tc>
          <w:tcPr>
            <w:tcW w:w="6010" w:type="dxa"/>
          </w:tcPr>
          <w:p w14:paraId="611B1D04" w14:textId="77777777" w:rsidR="00DA7972" w:rsidRDefault="00000000">
            <w:pPr>
              <w:spacing w:after="0" w:line="260" w:lineRule="auto"/>
              <w:jc w:val="left"/>
            </w:pPr>
            <w:r>
              <w:rPr>
                <w:rFonts w:ascii="Calibri" w:eastAsia="Calibri" w:hAnsi="Calibri" w:cs="Calibri"/>
                <w:sz w:val="19"/>
                <w:szCs w:val="19"/>
              </w:rPr>
              <w:t>Published periods without escorts, exercises, or concentrated naval movement</w:t>
            </w:r>
          </w:p>
        </w:tc>
      </w:tr>
      <w:tr w:rsidR="00DA7972" w14:paraId="62CABAA6" w14:textId="77777777">
        <w:tc>
          <w:tcPr>
            <w:tcW w:w="3000" w:type="dxa"/>
          </w:tcPr>
          <w:p w14:paraId="56EFF630" w14:textId="77777777" w:rsidR="00DA7972" w:rsidRDefault="00000000">
            <w:pPr>
              <w:spacing w:after="0" w:line="260" w:lineRule="auto"/>
              <w:jc w:val="left"/>
            </w:pPr>
            <w:r>
              <w:rPr>
                <w:rFonts w:ascii="Calibri" w:eastAsia="Calibri" w:hAnsi="Calibri" w:cs="Calibri"/>
                <w:sz w:val="19"/>
                <w:szCs w:val="19"/>
              </w:rPr>
              <w:t>Standing</w:t>
            </w:r>
          </w:p>
        </w:tc>
        <w:tc>
          <w:tcPr>
            <w:tcW w:w="6010" w:type="dxa"/>
          </w:tcPr>
          <w:p w14:paraId="4EC47BB5" w14:textId="77777777" w:rsidR="00DA7972" w:rsidRDefault="00000000">
            <w:pPr>
              <w:spacing w:after="0" w:line="260" w:lineRule="auto"/>
              <w:jc w:val="left"/>
            </w:pPr>
            <w:r>
              <w:rPr>
                <w:rFonts w:ascii="Calibri" w:eastAsia="Calibri" w:hAnsi="Calibri" w:cs="Calibri"/>
                <w:sz w:val="19"/>
                <w:szCs w:val="19"/>
              </w:rPr>
              <w:t>A Party's published performance level: Anchor, Steady, Watch, or Step-back</w:t>
            </w:r>
          </w:p>
        </w:tc>
      </w:tr>
      <w:tr w:rsidR="00DA7972" w14:paraId="47F8C76F" w14:textId="77777777">
        <w:tc>
          <w:tcPr>
            <w:tcW w:w="3000" w:type="dxa"/>
          </w:tcPr>
          <w:p w14:paraId="166761BA" w14:textId="77777777" w:rsidR="00DA7972" w:rsidRDefault="00000000">
            <w:pPr>
              <w:spacing w:after="0" w:line="260" w:lineRule="auto"/>
              <w:jc w:val="left"/>
            </w:pPr>
            <w:r>
              <w:rPr>
                <w:rFonts w:ascii="Calibri" w:eastAsia="Calibri" w:hAnsi="Calibri" w:cs="Calibri"/>
                <w:sz w:val="19"/>
                <w:szCs w:val="19"/>
              </w:rPr>
              <w:t>Still water</w:t>
            </w:r>
          </w:p>
        </w:tc>
        <w:tc>
          <w:tcPr>
            <w:tcW w:w="6010" w:type="dxa"/>
          </w:tcPr>
          <w:p w14:paraId="171CD3DF" w14:textId="77777777" w:rsidR="00DA7972" w:rsidRDefault="00000000">
            <w:pPr>
              <w:spacing w:after="0" w:line="260" w:lineRule="auto"/>
              <w:jc w:val="left"/>
            </w:pPr>
            <w:r>
              <w:rPr>
                <w:rFonts w:ascii="Calibri" w:eastAsia="Calibri" w:hAnsi="Calibri" w:cs="Calibri"/>
                <w:sz w:val="19"/>
                <w:szCs w:val="19"/>
              </w:rPr>
              <w:t>The operating ideal of the Accord: open, calm, verified, and boring</w:t>
            </w:r>
          </w:p>
        </w:tc>
      </w:tr>
      <w:tr w:rsidR="00DA7972" w14:paraId="1019E451" w14:textId="77777777">
        <w:tc>
          <w:tcPr>
            <w:tcW w:w="3000" w:type="dxa"/>
          </w:tcPr>
          <w:p w14:paraId="2E07DAB9" w14:textId="77777777" w:rsidR="00DA7972" w:rsidRDefault="00000000">
            <w:pPr>
              <w:spacing w:after="0" w:line="260" w:lineRule="auto"/>
              <w:jc w:val="left"/>
            </w:pPr>
            <w:r>
              <w:rPr>
                <w:rFonts w:ascii="Calibri" w:eastAsia="Calibri" w:hAnsi="Calibri" w:cs="Calibri"/>
                <w:sz w:val="19"/>
                <w:szCs w:val="19"/>
              </w:rPr>
              <w:t>Tripod</w:t>
            </w:r>
          </w:p>
        </w:tc>
        <w:tc>
          <w:tcPr>
            <w:tcW w:w="6010" w:type="dxa"/>
          </w:tcPr>
          <w:p w14:paraId="7E5EA62C" w14:textId="77777777" w:rsidR="00DA7972" w:rsidRDefault="00000000">
            <w:pPr>
              <w:spacing w:after="0" w:line="260" w:lineRule="auto"/>
              <w:jc w:val="left"/>
            </w:pPr>
            <w:r>
              <w:rPr>
                <w:rFonts w:ascii="Calibri" w:eastAsia="Calibri" w:hAnsi="Calibri" w:cs="Calibri"/>
                <w:sz w:val="19"/>
                <w:szCs w:val="19"/>
              </w:rPr>
              <w:t>The three Founding Members whose ratifications bring the Accord into force: Iran, Oman, and the United Arab Emirates</w:t>
            </w:r>
          </w:p>
        </w:tc>
      </w:tr>
    </w:tbl>
    <w:p w14:paraId="4C58B47E" w14:textId="77777777" w:rsidR="00DA7972" w:rsidRDefault="00DA7972">
      <w:pPr>
        <w:spacing w:after="60"/>
      </w:pPr>
    </w:p>
    <w:p w14:paraId="0211210A" w14:textId="77777777" w:rsidR="00DA7972" w:rsidRDefault="00000000">
      <w:pPr>
        <w:pStyle w:val="Caption"/>
      </w:pPr>
      <w:r>
        <w:rPr>
          <w:rFonts w:eastAsia="Calibri" w:cs="Calibri"/>
          <w:szCs w:val="18"/>
        </w:rPr>
        <w:t>Table N.1: Neutral terminology register</w:t>
      </w:r>
    </w:p>
    <w:p w14:paraId="662D393F" w14:textId="77777777" w:rsidR="00DA7972" w:rsidRDefault="00000000">
      <w:pPr>
        <w:pStyle w:val="Heading1"/>
      </w:pPr>
      <w:bookmarkStart w:id="75" w:name="_Toc236229956"/>
      <w:r>
        <w:rPr>
          <w:rFonts w:eastAsia="Calibri" w:cs="Calibri"/>
          <w:szCs w:val="32"/>
        </w:rPr>
        <w:lastRenderedPageBreak/>
        <w:t>Annex O: Source Frameworks and Provenance Map</w:t>
      </w:r>
      <w:bookmarkEnd w:id="75"/>
    </w:p>
    <w:p w14:paraId="6FFA2411" w14:textId="77777777" w:rsidR="00DA7972" w:rsidRDefault="00000000">
      <w:r>
        <w:rPr>
          <w:rFonts w:eastAsia="Georgia" w:cs="Georgia"/>
          <w:szCs w:val="21"/>
        </w:rPr>
        <w:t>This Accord synthesizes and supersedes, for its own participants and purposes, the design elements of the source frameworks listed below. Each source contributed its strongest architecture; this map records the debt so that future negotiators trace every mechanism to its lineage. The source frameworks circulated under open licensing for negotiation use, and this Accord credits their drafting traditions without reproducing their texts.</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2"/>
        <w:gridCol w:w="6154"/>
      </w:tblGrid>
      <w:tr w:rsidR="00DA7972" w14:paraId="523138C0" w14:textId="77777777">
        <w:trPr>
          <w:tblHeader/>
        </w:trPr>
        <w:tc>
          <w:tcPr>
            <w:tcW w:w="3000" w:type="dxa"/>
            <w:tcBorders>
              <w:bottom w:val="single" w:sz="6" w:space="0" w:color="546E7A"/>
            </w:tcBorders>
            <w:shd w:val="clear" w:color="auto" w:fill="E4E9EC"/>
          </w:tcPr>
          <w:p w14:paraId="6A468C85" w14:textId="77777777" w:rsidR="00DA7972" w:rsidRDefault="00000000">
            <w:pPr>
              <w:spacing w:after="0" w:line="260" w:lineRule="auto"/>
              <w:jc w:val="left"/>
            </w:pPr>
            <w:r>
              <w:rPr>
                <w:rFonts w:ascii="Calibri" w:eastAsia="Calibri" w:hAnsi="Calibri" w:cs="Calibri"/>
                <w:b/>
                <w:color w:val="37474F"/>
                <w:sz w:val="19"/>
                <w:szCs w:val="19"/>
              </w:rPr>
              <w:t>Source framework</w:t>
            </w:r>
          </w:p>
        </w:tc>
        <w:tc>
          <w:tcPr>
            <w:tcW w:w="6010" w:type="dxa"/>
            <w:tcBorders>
              <w:bottom w:val="single" w:sz="6" w:space="0" w:color="546E7A"/>
            </w:tcBorders>
            <w:shd w:val="clear" w:color="auto" w:fill="E4E9EC"/>
          </w:tcPr>
          <w:p w14:paraId="2F89BD55" w14:textId="77777777" w:rsidR="00DA7972" w:rsidRDefault="00000000">
            <w:pPr>
              <w:spacing w:after="0" w:line="260" w:lineRule="auto"/>
              <w:jc w:val="left"/>
            </w:pPr>
            <w:r>
              <w:rPr>
                <w:rFonts w:ascii="Calibri" w:eastAsia="Calibri" w:hAnsi="Calibri" w:cs="Calibri"/>
                <w:b/>
                <w:color w:val="37474F"/>
                <w:sz w:val="19"/>
                <w:szCs w:val="19"/>
              </w:rPr>
              <w:t>Contribution to this Accord</w:t>
            </w:r>
          </w:p>
        </w:tc>
      </w:tr>
      <w:tr w:rsidR="00DA7972" w14:paraId="5CDA1756" w14:textId="77777777">
        <w:tc>
          <w:tcPr>
            <w:tcW w:w="3000" w:type="dxa"/>
          </w:tcPr>
          <w:p w14:paraId="455AF38B" w14:textId="77777777" w:rsidR="00DA7972" w:rsidRDefault="00000000">
            <w:pPr>
              <w:spacing w:after="0" w:line="260" w:lineRule="auto"/>
              <w:jc w:val="left"/>
            </w:pPr>
            <w:r>
              <w:rPr>
                <w:rFonts w:ascii="Calibri" w:eastAsia="Calibri" w:hAnsi="Calibri" w:cs="Calibri"/>
                <w:sz w:val="19"/>
                <w:szCs w:val="19"/>
              </w:rPr>
              <w:t>Strait Governance and De-confliction Assembly (v1.0 and v1.1)</w:t>
            </w:r>
          </w:p>
        </w:tc>
        <w:tc>
          <w:tcPr>
            <w:tcW w:w="6010" w:type="dxa"/>
          </w:tcPr>
          <w:p w14:paraId="4D3DF483" w14:textId="77777777" w:rsidR="00DA7972" w:rsidRDefault="00000000">
            <w:pPr>
              <w:spacing w:after="0" w:line="260" w:lineRule="auto"/>
              <w:jc w:val="left"/>
            </w:pPr>
            <w:r>
              <w:rPr>
                <w:rFonts w:ascii="Calibri" w:eastAsia="Calibri" w:hAnsi="Calibri" w:cs="Calibri"/>
                <w:sz w:val="19"/>
                <w:szCs w:val="19"/>
              </w:rPr>
              <w:t>Red Lines Register; Consensus Minus One; Guarantor Panel; Technical Verification Group (evolved into the Neutral Keel Office); Reciprocity Ledger; substantiated claims and performance bond; ground-truth patrols; anchor-and-verify; two-key data access; Independent Assurance Council</w:t>
            </w:r>
          </w:p>
        </w:tc>
      </w:tr>
      <w:tr w:rsidR="00DA7972" w14:paraId="3A75F2DA" w14:textId="77777777">
        <w:tc>
          <w:tcPr>
            <w:tcW w:w="3000" w:type="dxa"/>
          </w:tcPr>
          <w:p w14:paraId="35BE1E9A" w14:textId="77777777" w:rsidR="00DA7972" w:rsidRDefault="00000000">
            <w:pPr>
              <w:spacing w:after="0" w:line="260" w:lineRule="auto"/>
              <w:jc w:val="left"/>
            </w:pPr>
            <w:r>
              <w:rPr>
                <w:rFonts w:ascii="Calibri" w:eastAsia="Calibri" w:hAnsi="Calibri" w:cs="Calibri"/>
                <w:sz w:val="19"/>
                <w:szCs w:val="19"/>
              </w:rPr>
              <w:t>Gulf Transit Assurance Network Framework</w:t>
            </w:r>
          </w:p>
        </w:tc>
        <w:tc>
          <w:tcPr>
            <w:tcW w:w="6010" w:type="dxa"/>
          </w:tcPr>
          <w:p w14:paraId="59A8C40C" w14:textId="77777777" w:rsidR="00DA7972" w:rsidRDefault="00000000">
            <w:pPr>
              <w:spacing w:after="0" w:line="260" w:lineRule="auto"/>
              <w:jc w:val="left"/>
            </w:pPr>
            <w:r>
              <w:rPr>
                <w:rFonts w:ascii="Calibri" w:eastAsia="Calibri" w:hAnsi="Calibri" w:cs="Calibri"/>
                <w:sz w:val="19"/>
                <w:szCs w:val="19"/>
              </w:rPr>
              <w:t>Twin Key Rule; Meridian coordination with mirror facility; Neutral Keel lineage; Verified Services Catalog; Assurance Registry; Route Assurance Data Service; sanctions-compliance firewall; Human Anchor Method; Convergence Standard; Quiet Water Windows; Thirty-Minute Position Log; the Still Water Clause (evolved into the Stillwater Pause); Open Water Bulletin; stakeholder panel</w:t>
            </w:r>
          </w:p>
        </w:tc>
      </w:tr>
      <w:tr w:rsidR="00DA7972" w14:paraId="060E694F" w14:textId="77777777">
        <w:tc>
          <w:tcPr>
            <w:tcW w:w="3000" w:type="dxa"/>
          </w:tcPr>
          <w:p w14:paraId="59F25DA6" w14:textId="77777777" w:rsidR="00DA7972" w:rsidRDefault="00000000">
            <w:pPr>
              <w:spacing w:after="0" w:line="260" w:lineRule="auto"/>
              <w:jc w:val="left"/>
            </w:pPr>
            <w:r>
              <w:rPr>
                <w:rFonts w:ascii="Calibri" w:eastAsia="Calibri" w:hAnsi="Calibri" w:cs="Calibri"/>
                <w:sz w:val="19"/>
                <w:szCs w:val="19"/>
              </w:rPr>
              <w:t>Joint Iran-Oman Maritime Coordination Authority Framework</w:t>
            </w:r>
          </w:p>
        </w:tc>
        <w:tc>
          <w:tcPr>
            <w:tcW w:w="6010" w:type="dxa"/>
          </w:tcPr>
          <w:p w14:paraId="41FF9BF2" w14:textId="77777777" w:rsidR="00DA7972" w:rsidRDefault="00000000">
            <w:pPr>
              <w:spacing w:after="0" w:line="260" w:lineRule="auto"/>
              <w:jc w:val="left"/>
            </w:pPr>
            <w:r>
              <w:rPr>
                <w:rFonts w:ascii="Calibri" w:eastAsia="Calibri" w:hAnsi="Calibri" w:cs="Calibri"/>
                <w:sz w:val="19"/>
                <w:szCs w:val="19"/>
              </w:rPr>
              <w:t>Service-fee distinction and apportionment band; transformation of prior structures; parity staffing; renewal by silence and default continuity; non-telemetry degraded mode; no double recovery; distress priority</w:t>
            </w:r>
          </w:p>
        </w:tc>
      </w:tr>
      <w:tr w:rsidR="00DA7972" w14:paraId="50C8BA1E" w14:textId="77777777">
        <w:tc>
          <w:tcPr>
            <w:tcW w:w="3000" w:type="dxa"/>
          </w:tcPr>
          <w:p w14:paraId="71EABFBB" w14:textId="77777777" w:rsidR="00DA7972" w:rsidRDefault="00000000">
            <w:pPr>
              <w:spacing w:after="0" w:line="260" w:lineRule="auto"/>
              <w:jc w:val="left"/>
            </w:pPr>
            <w:r>
              <w:rPr>
                <w:rFonts w:ascii="Calibri" w:eastAsia="Calibri" w:hAnsi="Calibri" w:cs="Calibri"/>
                <w:sz w:val="19"/>
                <w:szCs w:val="19"/>
              </w:rPr>
              <w:t>Triad Bridge Compact</w:t>
            </w:r>
          </w:p>
        </w:tc>
        <w:tc>
          <w:tcPr>
            <w:tcW w:w="6010" w:type="dxa"/>
          </w:tcPr>
          <w:p w14:paraId="55CA6670" w14:textId="77777777" w:rsidR="00DA7972" w:rsidRDefault="00000000">
            <w:pPr>
              <w:spacing w:after="0" w:line="260" w:lineRule="auto"/>
              <w:jc w:val="left"/>
            </w:pPr>
            <w:r>
              <w:rPr>
                <w:rFonts w:ascii="Calibri" w:eastAsia="Calibri" w:hAnsi="Calibri" w:cs="Calibri"/>
                <w:sz w:val="19"/>
                <w:szCs w:val="19"/>
              </w:rPr>
              <w:t>The Nofade Guarantee vocabulary; the twelve-field transit notice; safety hold with expiry and review; phased survey and certification; Endorsing Stakeholder design; simplicity and cost discipline; insurance normalization targets</w:t>
            </w:r>
          </w:p>
        </w:tc>
      </w:tr>
      <w:tr w:rsidR="00DA7972" w14:paraId="2D6F4031" w14:textId="77777777">
        <w:tc>
          <w:tcPr>
            <w:tcW w:w="3000" w:type="dxa"/>
          </w:tcPr>
          <w:p w14:paraId="3F98EC29" w14:textId="77777777" w:rsidR="00DA7972" w:rsidRDefault="00000000">
            <w:pPr>
              <w:spacing w:after="0" w:line="260" w:lineRule="auto"/>
              <w:jc w:val="left"/>
            </w:pPr>
            <w:r>
              <w:rPr>
                <w:rFonts w:ascii="Calibri" w:eastAsia="Calibri" w:hAnsi="Calibri" w:cs="Calibri"/>
                <w:sz w:val="19"/>
                <w:szCs w:val="19"/>
              </w:rPr>
              <w:t>The Four Pillars Framework</w:t>
            </w:r>
          </w:p>
        </w:tc>
        <w:tc>
          <w:tcPr>
            <w:tcW w:w="6010" w:type="dxa"/>
          </w:tcPr>
          <w:p w14:paraId="68A8C3DF" w14:textId="77777777" w:rsidR="00DA7972" w:rsidRDefault="00000000">
            <w:pPr>
              <w:spacing w:after="0" w:line="260" w:lineRule="auto"/>
              <w:jc w:val="left"/>
            </w:pPr>
            <w:r>
              <w:rPr>
                <w:rFonts w:ascii="Calibri" w:eastAsia="Calibri" w:hAnsi="Calibri" w:cs="Calibri"/>
                <w:sz w:val="19"/>
                <w:szCs w:val="19"/>
              </w:rPr>
              <w:t>Institutional separation of governance, operations, verification, and assurance</w:t>
            </w:r>
          </w:p>
        </w:tc>
      </w:tr>
      <w:tr w:rsidR="00DA7972" w14:paraId="735D0932" w14:textId="77777777">
        <w:tc>
          <w:tcPr>
            <w:tcW w:w="3000" w:type="dxa"/>
          </w:tcPr>
          <w:p w14:paraId="1FFE6D25" w14:textId="77777777" w:rsidR="00DA7972" w:rsidRDefault="00000000">
            <w:pPr>
              <w:spacing w:after="0" w:line="260" w:lineRule="auto"/>
              <w:jc w:val="left"/>
            </w:pPr>
            <w:r>
              <w:rPr>
                <w:rFonts w:ascii="Calibri" w:eastAsia="Calibri" w:hAnsi="Calibri" w:cs="Calibri"/>
                <w:sz w:val="19"/>
                <w:szCs w:val="19"/>
              </w:rPr>
              <w:t>The Islamabad Compliance and Coordination Architecture</w:t>
            </w:r>
          </w:p>
        </w:tc>
        <w:tc>
          <w:tcPr>
            <w:tcW w:w="6010" w:type="dxa"/>
          </w:tcPr>
          <w:p w14:paraId="7EADFA02" w14:textId="77777777" w:rsidR="00DA7972" w:rsidRDefault="00000000">
            <w:pPr>
              <w:spacing w:after="0" w:line="260" w:lineRule="auto"/>
              <w:jc w:val="left"/>
            </w:pPr>
            <w:r>
              <w:rPr>
                <w:rFonts w:ascii="Calibri" w:eastAsia="Calibri" w:hAnsi="Calibri" w:cs="Calibri"/>
                <w:sz w:val="19"/>
                <w:szCs w:val="19"/>
              </w:rPr>
              <w:t>MOU anchoring; working-group interface; general-license context</w:t>
            </w:r>
          </w:p>
        </w:tc>
      </w:tr>
      <w:tr w:rsidR="00DA7972" w14:paraId="2F293536" w14:textId="77777777">
        <w:tc>
          <w:tcPr>
            <w:tcW w:w="3000" w:type="dxa"/>
          </w:tcPr>
          <w:p w14:paraId="5336C7B6" w14:textId="77777777" w:rsidR="00DA7972" w:rsidRDefault="00000000">
            <w:pPr>
              <w:spacing w:after="0" w:line="260" w:lineRule="auto"/>
              <w:jc w:val="left"/>
            </w:pPr>
            <w:r>
              <w:rPr>
                <w:rFonts w:ascii="Calibri" w:eastAsia="Calibri" w:hAnsi="Calibri" w:cs="Calibri"/>
                <w:sz w:val="19"/>
                <w:szCs w:val="19"/>
              </w:rPr>
              <w:t>The Rapid Stabilization Protocol</w:t>
            </w:r>
          </w:p>
        </w:tc>
        <w:tc>
          <w:tcPr>
            <w:tcW w:w="6010" w:type="dxa"/>
          </w:tcPr>
          <w:p w14:paraId="77987764" w14:textId="77777777" w:rsidR="00DA7972" w:rsidRDefault="00000000">
            <w:pPr>
              <w:spacing w:after="0" w:line="260" w:lineRule="auto"/>
              <w:jc w:val="left"/>
            </w:pPr>
            <w:r>
              <w:rPr>
                <w:rFonts w:ascii="Calibri" w:eastAsia="Calibri" w:hAnsi="Calibri" w:cs="Calibri"/>
                <w:sz w:val="19"/>
                <w:szCs w:val="19"/>
              </w:rPr>
              <w:t>Stand-down-and-report; flash traffic discipline; early-harvest logic</w:t>
            </w:r>
          </w:p>
        </w:tc>
      </w:tr>
      <w:tr w:rsidR="00DA7972" w14:paraId="3437DAF9" w14:textId="77777777">
        <w:tc>
          <w:tcPr>
            <w:tcW w:w="3000" w:type="dxa"/>
          </w:tcPr>
          <w:p w14:paraId="5AEB1216" w14:textId="77777777" w:rsidR="00DA7972" w:rsidRDefault="00000000">
            <w:pPr>
              <w:spacing w:after="0" w:line="260" w:lineRule="auto"/>
              <w:jc w:val="left"/>
            </w:pPr>
            <w:r>
              <w:rPr>
                <w:rFonts w:ascii="Calibri" w:eastAsia="Calibri" w:hAnsi="Calibri" w:cs="Calibri"/>
                <w:sz w:val="19"/>
                <w:szCs w:val="19"/>
              </w:rPr>
              <w:t>The Return to Stability Framework (v2.0)</w:t>
            </w:r>
          </w:p>
        </w:tc>
        <w:tc>
          <w:tcPr>
            <w:tcW w:w="6010" w:type="dxa"/>
          </w:tcPr>
          <w:p w14:paraId="0721BC0C" w14:textId="77777777" w:rsidR="00DA7972" w:rsidRDefault="00000000">
            <w:pPr>
              <w:spacing w:after="0" w:line="260" w:lineRule="auto"/>
              <w:jc w:val="left"/>
            </w:pPr>
            <w:r>
              <w:rPr>
                <w:rFonts w:ascii="Calibri" w:eastAsia="Calibri" w:hAnsi="Calibri" w:cs="Calibri"/>
                <w:sz w:val="19"/>
                <w:szCs w:val="19"/>
              </w:rPr>
              <w:t>Reopening sequence; insurance restoration phases; compensation window concept</w:t>
            </w:r>
          </w:p>
        </w:tc>
      </w:tr>
      <w:tr w:rsidR="00DA7972" w14:paraId="161CAFBE" w14:textId="77777777">
        <w:tc>
          <w:tcPr>
            <w:tcW w:w="3000" w:type="dxa"/>
          </w:tcPr>
          <w:p w14:paraId="5DD8484A" w14:textId="77777777" w:rsidR="00DA7972" w:rsidRDefault="00000000">
            <w:pPr>
              <w:spacing w:after="0" w:line="260" w:lineRule="auto"/>
              <w:jc w:val="left"/>
            </w:pPr>
            <w:r>
              <w:rPr>
                <w:rFonts w:ascii="Calibri" w:eastAsia="Calibri" w:hAnsi="Calibri" w:cs="Calibri"/>
                <w:sz w:val="19"/>
                <w:szCs w:val="19"/>
              </w:rPr>
              <w:t>The Silver Bridge Framework</w:t>
            </w:r>
          </w:p>
        </w:tc>
        <w:tc>
          <w:tcPr>
            <w:tcW w:w="6010" w:type="dxa"/>
          </w:tcPr>
          <w:p w14:paraId="4D5A23D0" w14:textId="77777777" w:rsidR="00DA7972" w:rsidRDefault="00000000">
            <w:pPr>
              <w:spacing w:after="0" w:line="260" w:lineRule="auto"/>
              <w:jc w:val="left"/>
            </w:pPr>
            <w:r>
              <w:rPr>
                <w:rFonts w:ascii="Calibri" w:eastAsia="Calibri" w:hAnsi="Calibri" w:cs="Calibri"/>
                <w:sz w:val="19"/>
                <w:szCs w:val="19"/>
              </w:rPr>
              <w:t>Neutral Administrator fiduciary design; escrow mechanics; audit architecture</w:t>
            </w:r>
          </w:p>
        </w:tc>
      </w:tr>
      <w:tr w:rsidR="00DA7972" w14:paraId="27716F59" w14:textId="77777777">
        <w:tc>
          <w:tcPr>
            <w:tcW w:w="3000" w:type="dxa"/>
          </w:tcPr>
          <w:p w14:paraId="658EC2F2" w14:textId="77777777" w:rsidR="00DA7972" w:rsidRDefault="00000000">
            <w:pPr>
              <w:spacing w:after="0" w:line="260" w:lineRule="auto"/>
              <w:jc w:val="left"/>
            </w:pPr>
            <w:r>
              <w:rPr>
                <w:rFonts w:ascii="Calibri" w:eastAsia="Calibri" w:hAnsi="Calibri" w:cs="Calibri"/>
                <w:sz w:val="19"/>
                <w:szCs w:val="19"/>
              </w:rPr>
              <w:t>Post-Crisis Reconstruction and Reconciliation Track</w:t>
            </w:r>
          </w:p>
        </w:tc>
        <w:tc>
          <w:tcPr>
            <w:tcW w:w="6010" w:type="dxa"/>
          </w:tcPr>
          <w:p w14:paraId="30D99D39" w14:textId="77777777" w:rsidR="00DA7972" w:rsidRDefault="00000000">
            <w:pPr>
              <w:spacing w:after="0" w:line="260" w:lineRule="auto"/>
              <w:jc w:val="left"/>
            </w:pPr>
            <w:r>
              <w:rPr>
                <w:rFonts w:ascii="Calibri" w:eastAsia="Calibri" w:hAnsi="Calibri" w:cs="Calibri"/>
                <w:sz w:val="19"/>
                <w:szCs w:val="19"/>
              </w:rPr>
              <w:t>Capacity building; reconciliation language; the Good Faith Reset</w:t>
            </w:r>
          </w:p>
        </w:tc>
      </w:tr>
      <w:tr w:rsidR="00DA7972" w14:paraId="62854433" w14:textId="77777777">
        <w:tc>
          <w:tcPr>
            <w:tcW w:w="3000" w:type="dxa"/>
          </w:tcPr>
          <w:p w14:paraId="45C9626D" w14:textId="77777777" w:rsidR="00DA7972" w:rsidRDefault="00000000">
            <w:pPr>
              <w:spacing w:after="0" w:line="260" w:lineRule="auto"/>
              <w:jc w:val="left"/>
            </w:pPr>
            <w:r>
              <w:rPr>
                <w:rFonts w:ascii="Calibri" w:eastAsia="Calibri" w:hAnsi="Calibri" w:cs="Calibri"/>
                <w:sz w:val="19"/>
                <w:szCs w:val="19"/>
              </w:rPr>
              <w:t>Special clauses repository</w:t>
            </w:r>
          </w:p>
        </w:tc>
        <w:tc>
          <w:tcPr>
            <w:tcW w:w="6010" w:type="dxa"/>
          </w:tcPr>
          <w:p w14:paraId="59D1D92C" w14:textId="77777777" w:rsidR="00DA7972" w:rsidRDefault="00000000">
            <w:pPr>
              <w:spacing w:after="0" w:line="260" w:lineRule="auto"/>
              <w:jc w:val="left"/>
            </w:pPr>
            <w:r>
              <w:rPr>
                <w:rFonts w:ascii="Calibri" w:eastAsia="Calibri" w:hAnsi="Calibri" w:cs="Calibri"/>
                <w:sz w:val="19"/>
                <w:szCs w:val="19"/>
              </w:rPr>
              <w:t>The Protection Covenant: non-derogation, non-severability, declarations of intent, emergency oversight</w:t>
            </w:r>
          </w:p>
        </w:tc>
      </w:tr>
      <w:tr w:rsidR="00DA7972" w14:paraId="32967EA0" w14:textId="77777777">
        <w:tc>
          <w:tcPr>
            <w:tcW w:w="3000" w:type="dxa"/>
          </w:tcPr>
          <w:p w14:paraId="2D9642DA" w14:textId="77777777" w:rsidR="00DA7972" w:rsidRDefault="00000000">
            <w:pPr>
              <w:spacing w:after="0" w:line="260" w:lineRule="auto"/>
              <w:jc w:val="left"/>
            </w:pPr>
            <w:r>
              <w:rPr>
                <w:rFonts w:ascii="Calibri" w:eastAsia="Calibri" w:hAnsi="Calibri" w:cs="Calibri"/>
                <w:sz w:val="19"/>
                <w:szCs w:val="19"/>
              </w:rPr>
              <w:t>Soft law repository</w:t>
            </w:r>
          </w:p>
        </w:tc>
        <w:tc>
          <w:tcPr>
            <w:tcW w:w="6010" w:type="dxa"/>
          </w:tcPr>
          <w:p w14:paraId="788F755E" w14:textId="77777777" w:rsidR="00DA7972" w:rsidRDefault="00000000">
            <w:pPr>
              <w:spacing w:after="0" w:line="260" w:lineRule="auto"/>
              <w:jc w:val="left"/>
            </w:pPr>
            <w:r>
              <w:rPr>
                <w:rFonts w:ascii="Calibri" w:eastAsia="Calibri" w:hAnsi="Calibri" w:cs="Calibri"/>
                <w:sz w:val="19"/>
                <w:szCs w:val="19"/>
              </w:rPr>
              <w:t>Open licensing provenance for negotiation texts</w:t>
            </w:r>
          </w:p>
        </w:tc>
      </w:tr>
    </w:tbl>
    <w:p w14:paraId="5284941E" w14:textId="77777777" w:rsidR="00DA7972" w:rsidRDefault="00DA7972">
      <w:pPr>
        <w:spacing w:after="60"/>
      </w:pPr>
    </w:p>
    <w:p w14:paraId="4333347D" w14:textId="77777777" w:rsidR="00DA7972" w:rsidRDefault="00000000">
      <w:pPr>
        <w:pStyle w:val="Caption"/>
      </w:pPr>
      <w:r>
        <w:rPr>
          <w:rFonts w:eastAsia="Calibri" w:cs="Calibri"/>
          <w:szCs w:val="18"/>
        </w:rPr>
        <w:t>Table O.1: Provenance map</w:t>
      </w:r>
    </w:p>
    <w:p w14:paraId="1E718757" w14:textId="77777777" w:rsidR="00DA7972" w:rsidRDefault="00000000">
      <w:r>
        <w:rPr>
          <w:rFonts w:eastAsia="Georgia" w:cs="Georgia"/>
          <w:szCs w:val="21"/>
        </w:rPr>
        <w:t xml:space="preserve">The drafting of this Accord follows the Immutable Present-Tense Matrix throughout: sovereign active present tense, mutual-architecture framing, automatic logic triggers, and the Nofade rule applied as the instrument's deepest design assumption. The text passed the Matrix's mechanical </w:t>
      </w:r>
      <w:r>
        <w:rPr>
          <w:rFonts w:eastAsia="Georgia" w:cs="Georgia"/>
          <w:szCs w:val="21"/>
        </w:rPr>
        <w:lastRenderedPageBreak/>
        <w:t>sweeps for banned vocabulary, em dashes, passive placeholders, and colon discipline, and its production used no floating background imagery of any kind.</w:t>
      </w:r>
    </w:p>
    <w:p w14:paraId="0461C59D" w14:textId="77777777" w:rsidR="00DA7972" w:rsidRDefault="00000000">
      <w:pPr>
        <w:pStyle w:val="Heading1"/>
      </w:pPr>
      <w:bookmarkStart w:id="76" w:name="_Toc236229957"/>
      <w:r>
        <w:rPr>
          <w:rFonts w:eastAsia="Calibri" w:cs="Calibri"/>
          <w:szCs w:val="32"/>
        </w:rPr>
        <w:lastRenderedPageBreak/>
        <w:t>Annex P: Risk Register</w:t>
      </w:r>
      <w:bookmarkEnd w:id="76"/>
    </w:p>
    <w:p w14:paraId="35E6C392" w14:textId="77777777" w:rsidR="00DA7972" w:rsidRDefault="00000000">
      <w:r>
        <w:rPr>
          <w:rFonts w:eastAsia="Georgia" w:cs="Georgia"/>
          <w:szCs w:val="21"/>
        </w:rPr>
        <w:t>This Annex records the principal failure modes of the architecture, the mitigation built into the Accord for each, the fallback that operates if the mitigation fails, and the institution responsible for watching the risk. The Technical and Standards Committee owns the Register, reviews it at each architecture review of Article 39.6 and after every post-recovery report under Article 42.4, and updates it through the silence procedure of Article 20.5. The Register informs design; it creates no obligation beyond the Articles.</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1846"/>
        <w:gridCol w:w="1845"/>
        <w:gridCol w:w="1845"/>
        <w:gridCol w:w="1845"/>
        <w:gridCol w:w="1845"/>
      </w:tblGrid>
      <w:tr w:rsidR="00DA7972" w14:paraId="207B17DF" w14:textId="77777777">
        <w:trPr>
          <w:tblHeader/>
        </w:trPr>
        <w:tc>
          <w:tcPr>
            <w:tcW w:w="1802" w:type="dxa"/>
            <w:tcBorders>
              <w:bottom w:val="single" w:sz="6" w:space="0" w:color="546E7A"/>
            </w:tcBorders>
            <w:shd w:val="clear" w:color="auto" w:fill="E4E9EC"/>
          </w:tcPr>
          <w:p w14:paraId="70E97FF8" w14:textId="77777777" w:rsidR="00DA7972" w:rsidRDefault="00000000">
            <w:pPr>
              <w:spacing w:after="0" w:line="260" w:lineRule="auto"/>
              <w:jc w:val="left"/>
            </w:pPr>
            <w:r>
              <w:rPr>
                <w:rFonts w:ascii="Calibri" w:eastAsia="Calibri" w:hAnsi="Calibri" w:cs="Calibri"/>
                <w:b/>
                <w:color w:val="37474F"/>
                <w:sz w:val="19"/>
                <w:szCs w:val="19"/>
              </w:rPr>
              <w:t>Ref</w:t>
            </w:r>
          </w:p>
        </w:tc>
        <w:tc>
          <w:tcPr>
            <w:tcW w:w="1802" w:type="dxa"/>
            <w:tcBorders>
              <w:bottom w:val="single" w:sz="6" w:space="0" w:color="546E7A"/>
            </w:tcBorders>
            <w:shd w:val="clear" w:color="auto" w:fill="E4E9EC"/>
          </w:tcPr>
          <w:p w14:paraId="48DF3552" w14:textId="77777777" w:rsidR="00DA7972" w:rsidRDefault="00000000">
            <w:pPr>
              <w:spacing w:after="0" w:line="260" w:lineRule="auto"/>
              <w:jc w:val="left"/>
            </w:pPr>
            <w:r>
              <w:rPr>
                <w:rFonts w:ascii="Calibri" w:eastAsia="Calibri" w:hAnsi="Calibri" w:cs="Calibri"/>
                <w:b/>
                <w:color w:val="37474F"/>
                <w:sz w:val="19"/>
                <w:szCs w:val="19"/>
              </w:rPr>
              <w:t>Failure mode</w:t>
            </w:r>
          </w:p>
        </w:tc>
        <w:tc>
          <w:tcPr>
            <w:tcW w:w="1802" w:type="dxa"/>
            <w:tcBorders>
              <w:bottom w:val="single" w:sz="6" w:space="0" w:color="546E7A"/>
            </w:tcBorders>
            <w:shd w:val="clear" w:color="auto" w:fill="E4E9EC"/>
          </w:tcPr>
          <w:p w14:paraId="360D57BE" w14:textId="77777777" w:rsidR="00DA7972" w:rsidRDefault="00000000">
            <w:pPr>
              <w:spacing w:after="0" w:line="260" w:lineRule="auto"/>
              <w:jc w:val="left"/>
            </w:pPr>
            <w:r>
              <w:rPr>
                <w:rFonts w:ascii="Calibri" w:eastAsia="Calibri" w:hAnsi="Calibri" w:cs="Calibri"/>
                <w:b/>
                <w:color w:val="37474F"/>
                <w:sz w:val="19"/>
                <w:szCs w:val="19"/>
              </w:rPr>
              <w:t>Mitigation in the Accord</w:t>
            </w:r>
          </w:p>
        </w:tc>
        <w:tc>
          <w:tcPr>
            <w:tcW w:w="1802" w:type="dxa"/>
            <w:tcBorders>
              <w:bottom w:val="single" w:sz="6" w:space="0" w:color="546E7A"/>
            </w:tcBorders>
            <w:shd w:val="clear" w:color="auto" w:fill="E4E9EC"/>
          </w:tcPr>
          <w:p w14:paraId="38EBDC68" w14:textId="77777777" w:rsidR="00DA7972" w:rsidRDefault="00000000">
            <w:pPr>
              <w:spacing w:after="0" w:line="260" w:lineRule="auto"/>
              <w:jc w:val="left"/>
            </w:pPr>
            <w:r>
              <w:rPr>
                <w:rFonts w:ascii="Calibri" w:eastAsia="Calibri" w:hAnsi="Calibri" w:cs="Calibri"/>
                <w:b/>
                <w:color w:val="37474F"/>
                <w:sz w:val="19"/>
                <w:szCs w:val="19"/>
              </w:rPr>
              <w:t>Fallback</w:t>
            </w:r>
          </w:p>
        </w:tc>
        <w:tc>
          <w:tcPr>
            <w:tcW w:w="1802" w:type="dxa"/>
            <w:tcBorders>
              <w:bottom w:val="single" w:sz="6" w:space="0" w:color="546E7A"/>
            </w:tcBorders>
            <w:shd w:val="clear" w:color="auto" w:fill="E4E9EC"/>
          </w:tcPr>
          <w:p w14:paraId="4B734717" w14:textId="77777777" w:rsidR="00DA7972" w:rsidRDefault="00000000">
            <w:pPr>
              <w:spacing w:after="0" w:line="260" w:lineRule="auto"/>
              <w:jc w:val="left"/>
            </w:pPr>
            <w:r>
              <w:rPr>
                <w:rFonts w:ascii="Calibri" w:eastAsia="Calibri" w:hAnsi="Calibri" w:cs="Calibri"/>
                <w:b/>
                <w:color w:val="37474F"/>
                <w:sz w:val="19"/>
                <w:szCs w:val="19"/>
              </w:rPr>
              <w:t>Responsible institution</w:t>
            </w:r>
          </w:p>
        </w:tc>
      </w:tr>
      <w:tr w:rsidR="00DA7972" w14:paraId="1365AD86" w14:textId="77777777">
        <w:tc>
          <w:tcPr>
            <w:tcW w:w="1802" w:type="dxa"/>
          </w:tcPr>
          <w:p w14:paraId="2D4F89AC" w14:textId="77777777" w:rsidR="00DA7972" w:rsidRDefault="00000000">
            <w:pPr>
              <w:spacing w:after="0" w:line="260" w:lineRule="auto"/>
              <w:jc w:val="left"/>
            </w:pPr>
            <w:r>
              <w:rPr>
                <w:rFonts w:ascii="Calibri" w:eastAsia="Calibri" w:hAnsi="Calibri" w:cs="Calibri"/>
                <w:sz w:val="19"/>
                <w:szCs w:val="19"/>
              </w:rPr>
              <w:t>RR-01</w:t>
            </w:r>
          </w:p>
        </w:tc>
        <w:tc>
          <w:tcPr>
            <w:tcW w:w="1802" w:type="dxa"/>
          </w:tcPr>
          <w:p w14:paraId="5F616625" w14:textId="77777777" w:rsidR="00DA7972" w:rsidRDefault="00000000">
            <w:pPr>
              <w:spacing w:after="0" w:line="260" w:lineRule="auto"/>
              <w:jc w:val="left"/>
            </w:pPr>
            <w:r>
              <w:rPr>
                <w:rFonts w:ascii="Calibri" w:eastAsia="Calibri" w:hAnsi="Calibri" w:cs="Calibri"/>
                <w:sz w:val="19"/>
                <w:szCs w:val="19"/>
              </w:rPr>
              <w:t>A Party re-imposes a charge on passage under a service label</w:t>
            </w:r>
          </w:p>
        </w:tc>
        <w:tc>
          <w:tcPr>
            <w:tcW w:w="1802" w:type="dxa"/>
          </w:tcPr>
          <w:p w14:paraId="36989167" w14:textId="77777777" w:rsidR="00DA7972" w:rsidRDefault="00000000">
            <w:pPr>
              <w:spacing w:after="0" w:line="260" w:lineRule="auto"/>
              <w:jc w:val="left"/>
            </w:pPr>
            <w:r>
              <w:rPr>
                <w:rFonts w:ascii="Calibri" w:eastAsia="Calibri" w:hAnsi="Calibri" w:cs="Calibri"/>
                <w:sz w:val="19"/>
                <w:szCs w:val="19"/>
              </w:rPr>
              <w:t>Zero-Toll Rule; Fund single-channel design; anti-circumvention rule of Article 25.5</w:t>
            </w:r>
          </w:p>
        </w:tc>
        <w:tc>
          <w:tcPr>
            <w:tcW w:w="1802" w:type="dxa"/>
          </w:tcPr>
          <w:p w14:paraId="160EEED8" w14:textId="77777777" w:rsidR="00DA7972" w:rsidRDefault="00000000">
            <w:pPr>
              <w:spacing w:after="0" w:line="260" w:lineRule="auto"/>
              <w:jc w:val="left"/>
            </w:pPr>
            <w:r>
              <w:rPr>
                <w:rFonts w:ascii="Calibri" w:eastAsia="Calibri" w:hAnsi="Calibri" w:cs="Calibri"/>
                <w:sz w:val="19"/>
                <w:szCs w:val="19"/>
              </w:rPr>
              <w:t>Stillwater Pause; Guarantor Panel; Architectural Breach classification</w:t>
            </w:r>
          </w:p>
        </w:tc>
        <w:tc>
          <w:tcPr>
            <w:tcW w:w="1802" w:type="dxa"/>
          </w:tcPr>
          <w:p w14:paraId="55ED8073" w14:textId="77777777" w:rsidR="00DA7972" w:rsidRDefault="00000000">
            <w:pPr>
              <w:spacing w:after="0" w:line="260" w:lineRule="auto"/>
              <w:jc w:val="left"/>
            </w:pPr>
            <w:r>
              <w:rPr>
                <w:rFonts w:ascii="Calibri" w:eastAsia="Calibri" w:hAnsi="Calibri" w:cs="Calibri"/>
                <w:sz w:val="19"/>
                <w:szCs w:val="19"/>
              </w:rPr>
              <w:t>Neutral Administrator; Neutral Keel Office</w:t>
            </w:r>
          </w:p>
        </w:tc>
      </w:tr>
      <w:tr w:rsidR="00DA7972" w14:paraId="1C4075F3" w14:textId="77777777">
        <w:tc>
          <w:tcPr>
            <w:tcW w:w="1802" w:type="dxa"/>
          </w:tcPr>
          <w:p w14:paraId="3EBE96D1" w14:textId="77777777" w:rsidR="00DA7972" w:rsidRDefault="00000000">
            <w:pPr>
              <w:spacing w:after="0" w:line="260" w:lineRule="auto"/>
              <w:jc w:val="left"/>
            </w:pPr>
            <w:r>
              <w:rPr>
                <w:rFonts w:ascii="Calibri" w:eastAsia="Calibri" w:hAnsi="Calibri" w:cs="Calibri"/>
                <w:sz w:val="19"/>
                <w:szCs w:val="19"/>
              </w:rPr>
              <w:t>RR-02</w:t>
            </w:r>
          </w:p>
        </w:tc>
        <w:tc>
          <w:tcPr>
            <w:tcW w:w="1802" w:type="dxa"/>
          </w:tcPr>
          <w:p w14:paraId="30AC9F0D" w14:textId="77777777" w:rsidR="00DA7972" w:rsidRDefault="00000000">
            <w:pPr>
              <w:spacing w:after="0" w:line="260" w:lineRule="auto"/>
              <w:jc w:val="left"/>
            </w:pPr>
            <w:r>
              <w:rPr>
                <w:rFonts w:ascii="Calibri" w:eastAsia="Calibri" w:hAnsi="Calibri" w:cs="Calibri"/>
                <w:sz w:val="19"/>
                <w:szCs w:val="19"/>
              </w:rPr>
              <w:t>Notification desk converts into gatekeeping</w:t>
            </w:r>
          </w:p>
        </w:tc>
        <w:tc>
          <w:tcPr>
            <w:tcW w:w="1802" w:type="dxa"/>
          </w:tcPr>
          <w:p w14:paraId="695E885E" w14:textId="77777777" w:rsidR="00DA7972" w:rsidRDefault="00000000">
            <w:pPr>
              <w:spacing w:after="0" w:line="260" w:lineRule="auto"/>
              <w:jc w:val="left"/>
            </w:pPr>
            <w:r>
              <w:rPr>
                <w:rFonts w:ascii="Calibri" w:eastAsia="Calibri" w:hAnsi="Calibri" w:cs="Calibri"/>
                <w:sz w:val="19"/>
                <w:szCs w:val="19"/>
              </w:rPr>
              <w:t>Acknowledgment-by-default in 30 minutes, Article 8.3</w:t>
            </w:r>
          </w:p>
        </w:tc>
        <w:tc>
          <w:tcPr>
            <w:tcW w:w="1802" w:type="dxa"/>
          </w:tcPr>
          <w:p w14:paraId="6AA26566" w14:textId="77777777" w:rsidR="00DA7972" w:rsidRDefault="00000000">
            <w:pPr>
              <w:spacing w:after="0" w:line="260" w:lineRule="auto"/>
              <w:jc w:val="left"/>
            </w:pPr>
            <w:r>
              <w:rPr>
                <w:rFonts w:ascii="Calibri" w:eastAsia="Calibri" w:hAnsi="Calibri" w:cs="Calibri"/>
                <w:sz w:val="19"/>
                <w:szCs w:val="19"/>
              </w:rPr>
              <w:t>Monthly desk audit; Twin Key corrective measure</w:t>
            </w:r>
          </w:p>
        </w:tc>
        <w:tc>
          <w:tcPr>
            <w:tcW w:w="1802" w:type="dxa"/>
          </w:tcPr>
          <w:p w14:paraId="7318DF6E" w14:textId="77777777" w:rsidR="00DA7972" w:rsidRDefault="00000000">
            <w:pPr>
              <w:spacing w:after="0" w:line="260" w:lineRule="auto"/>
              <w:jc w:val="left"/>
            </w:pPr>
            <w:r>
              <w:rPr>
                <w:rFonts w:ascii="Calibri" w:eastAsia="Calibri" w:hAnsi="Calibri" w:cs="Calibri"/>
                <w:sz w:val="19"/>
                <w:szCs w:val="19"/>
              </w:rPr>
              <w:t>Neutral Keel Office; Stillwater Council</w:t>
            </w:r>
          </w:p>
        </w:tc>
      </w:tr>
      <w:tr w:rsidR="00DA7972" w14:paraId="41E9A07F" w14:textId="77777777">
        <w:tc>
          <w:tcPr>
            <w:tcW w:w="1802" w:type="dxa"/>
          </w:tcPr>
          <w:p w14:paraId="6FF9AFD6" w14:textId="77777777" w:rsidR="00DA7972" w:rsidRDefault="00000000">
            <w:pPr>
              <w:spacing w:after="0" w:line="260" w:lineRule="auto"/>
              <w:jc w:val="left"/>
            </w:pPr>
            <w:r>
              <w:rPr>
                <w:rFonts w:ascii="Calibri" w:eastAsia="Calibri" w:hAnsi="Calibri" w:cs="Calibri"/>
                <w:sz w:val="19"/>
                <w:szCs w:val="19"/>
              </w:rPr>
              <w:t>RR-03</w:t>
            </w:r>
          </w:p>
        </w:tc>
        <w:tc>
          <w:tcPr>
            <w:tcW w:w="1802" w:type="dxa"/>
          </w:tcPr>
          <w:p w14:paraId="58DB864C" w14:textId="77777777" w:rsidR="00DA7972" w:rsidRDefault="00000000">
            <w:pPr>
              <w:spacing w:after="0" w:line="260" w:lineRule="auto"/>
              <w:jc w:val="left"/>
            </w:pPr>
            <w:r>
              <w:rPr>
                <w:rFonts w:ascii="Calibri" w:eastAsia="Calibri" w:hAnsi="Calibri" w:cs="Calibri"/>
                <w:sz w:val="19"/>
                <w:szCs w:val="19"/>
              </w:rPr>
              <w:t>Interdiction or harassment of transiting vessels</w:t>
            </w:r>
          </w:p>
        </w:tc>
        <w:tc>
          <w:tcPr>
            <w:tcW w:w="1802" w:type="dxa"/>
          </w:tcPr>
          <w:p w14:paraId="78BBFEA0" w14:textId="77777777" w:rsidR="00DA7972" w:rsidRDefault="00000000">
            <w:pPr>
              <w:spacing w:after="0" w:line="260" w:lineRule="auto"/>
              <w:jc w:val="left"/>
            </w:pPr>
            <w:r>
              <w:rPr>
                <w:rFonts w:ascii="Calibri" w:eastAsia="Calibri" w:hAnsi="Calibri" w:cs="Calibri"/>
                <w:sz w:val="19"/>
                <w:szCs w:val="19"/>
              </w:rPr>
              <w:t>Non-Interdiction Protocol; standoff geometry; observer presence</w:t>
            </w:r>
          </w:p>
        </w:tc>
        <w:tc>
          <w:tcPr>
            <w:tcW w:w="1802" w:type="dxa"/>
          </w:tcPr>
          <w:p w14:paraId="5F244B57" w14:textId="77777777" w:rsidR="00DA7972" w:rsidRDefault="00000000">
            <w:pPr>
              <w:spacing w:after="0" w:line="260" w:lineRule="auto"/>
              <w:jc w:val="left"/>
            </w:pPr>
            <w:r>
              <w:rPr>
                <w:rFonts w:ascii="Calibri" w:eastAsia="Calibri" w:hAnsi="Calibri" w:cs="Calibri"/>
                <w:sz w:val="19"/>
                <w:szCs w:val="19"/>
              </w:rPr>
              <w:t>Suspended Flow; Mishap Protocol; Escalation Cap</w:t>
            </w:r>
          </w:p>
        </w:tc>
        <w:tc>
          <w:tcPr>
            <w:tcW w:w="1802" w:type="dxa"/>
          </w:tcPr>
          <w:p w14:paraId="0E6B3554" w14:textId="77777777" w:rsidR="00DA7972" w:rsidRDefault="00000000">
            <w:pPr>
              <w:spacing w:after="0" w:line="260" w:lineRule="auto"/>
              <w:jc w:val="left"/>
            </w:pPr>
            <w:r>
              <w:rPr>
                <w:rFonts w:ascii="Calibri" w:eastAsia="Calibri" w:hAnsi="Calibri" w:cs="Calibri"/>
                <w:sz w:val="19"/>
                <w:szCs w:val="19"/>
              </w:rPr>
              <w:t>Meridian Operations Center; Neutral Keel Office</w:t>
            </w:r>
          </w:p>
        </w:tc>
      </w:tr>
      <w:tr w:rsidR="00DA7972" w14:paraId="76C96760" w14:textId="77777777">
        <w:tc>
          <w:tcPr>
            <w:tcW w:w="1802" w:type="dxa"/>
          </w:tcPr>
          <w:p w14:paraId="3ABEFED4" w14:textId="77777777" w:rsidR="00DA7972" w:rsidRDefault="00000000">
            <w:pPr>
              <w:spacing w:after="0" w:line="260" w:lineRule="auto"/>
              <w:jc w:val="left"/>
            </w:pPr>
            <w:r>
              <w:rPr>
                <w:rFonts w:ascii="Calibri" w:eastAsia="Calibri" w:hAnsi="Calibri" w:cs="Calibri"/>
                <w:sz w:val="19"/>
                <w:szCs w:val="19"/>
              </w:rPr>
              <w:t>RR-04</w:t>
            </w:r>
          </w:p>
        </w:tc>
        <w:tc>
          <w:tcPr>
            <w:tcW w:w="1802" w:type="dxa"/>
          </w:tcPr>
          <w:p w14:paraId="4C42EAEC" w14:textId="77777777" w:rsidR="00DA7972" w:rsidRDefault="00000000">
            <w:pPr>
              <w:spacing w:after="0" w:line="260" w:lineRule="auto"/>
              <w:jc w:val="left"/>
            </w:pPr>
            <w:r>
              <w:rPr>
                <w:rFonts w:ascii="Calibri" w:eastAsia="Calibri" w:hAnsi="Calibri" w:cs="Calibri"/>
                <w:sz w:val="19"/>
                <w:szCs w:val="19"/>
              </w:rPr>
              <w:t>Cyber intrusion into notification or payment systems</w:t>
            </w:r>
          </w:p>
        </w:tc>
        <w:tc>
          <w:tcPr>
            <w:tcW w:w="1802" w:type="dxa"/>
          </w:tcPr>
          <w:p w14:paraId="3E3B4CC1" w14:textId="77777777" w:rsidR="00DA7972" w:rsidRDefault="00000000">
            <w:pPr>
              <w:spacing w:after="0" w:line="260" w:lineRule="auto"/>
              <w:jc w:val="left"/>
            </w:pPr>
            <w:r>
              <w:rPr>
                <w:rFonts w:ascii="Calibri" w:eastAsia="Calibri" w:hAnsi="Calibri" w:cs="Calibri"/>
                <w:sz w:val="19"/>
                <w:szCs w:val="19"/>
              </w:rPr>
              <w:t>Article 26A baseline; authentication; tamper-evident logs</w:t>
            </w:r>
          </w:p>
        </w:tc>
        <w:tc>
          <w:tcPr>
            <w:tcW w:w="1802" w:type="dxa"/>
          </w:tcPr>
          <w:p w14:paraId="03FC6CF9" w14:textId="77777777" w:rsidR="00DA7972" w:rsidRDefault="00000000">
            <w:pPr>
              <w:spacing w:after="0" w:line="260" w:lineRule="auto"/>
              <w:jc w:val="left"/>
            </w:pPr>
            <w:r>
              <w:rPr>
                <w:rFonts w:ascii="Calibri" w:eastAsia="Calibri" w:hAnsi="Calibri" w:cs="Calibri"/>
                <w:sz w:val="19"/>
                <w:szCs w:val="19"/>
              </w:rPr>
              <w:t>Failover to mirror; voice-and-paper continuity, Annex G.3</w:t>
            </w:r>
          </w:p>
        </w:tc>
        <w:tc>
          <w:tcPr>
            <w:tcW w:w="1802" w:type="dxa"/>
          </w:tcPr>
          <w:p w14:paraId="05ED2C4E" w14:textId="77777777" w:rsidR="00DA7972" w:rsidRDefault="00000000">
            <w:pPr>
              <w:spacing w:after="0" w:line="260" w:lineRule="auto"/>
              <w:jc w:val="left"/>
            </w:pPr>
            <w:r>
              <w:rPr>
                <w:rFonts w:ascii="Calibri" w:eastAsia="Calibri" w:hAnsi="Calibri" w:cs="Calibri"/>
                <w:sz w:val="19"/>
                <w:szCs w:val="19"/>
              </w:rPr>
              <w:t>Technical and Standards Committee</w:t>
            </w:r>
          </w:p>
        </w:tc>
      </w:tr>
      <w:tr w:rsidR="00DA7972" w14:paraId="00371608" w14:textId="77777777">
        <w:tc>
          <w:tcPr>
            <w:tcW w:w="1802" w:type="dxa"/>
          </w:tcPr>
          <w:p w14:paraId="278FD32D" w14:textId="77777777" w:rsidR="00DA7972" w:rsidRDefault="00000000">
            <w:pPr>
              <w:spacing w:after="0" w:line="260" w:lineRule="auto"/>
              <w:jc w:val="left"/>
            </w:pPr>
            <w:r>
              <w:rPr>
                <w:rFonts w:ascii="Calibri" w:eastAsia="Calibri" w:hAnsi="Calibri" w:cs="Calibri"/>
                <w:sz w:val="19"/>
                <w:szCs w:val="19"/>
              </w:rPr>
              <w:t>RR-05</w:t>
            </w:r>
          </w:p>
        </w:tc>
        <w:tc>
          <w:tcPr>
            <w:tcW w:w="1802" w:type="dxa"/>
          </w:tcPr>
          <w:p w14:paraId="53A51E38" w14:textId="77777777" w:rsidR="00DA7972" w:rsidRDefault="00000000">
            <w:pPr>
              <w:spacing w:after="0" w:line="260" w:lineRule="auto"/>
              <w:jc w:val="left"/>
            </w:pPr>
            <w:r>
              <w:rPr>
                <w:rFonts w:ascii="Calibri" w:eastAsia="Calibri" w:hAnsi="Calibri" w:cs="Calibri"/>
                <w:sz w:val="19"/>
                <w:szCs w:val="19"/>
              </w:rPr>
              <w:t>Signal spoofing or jamming</w:t>
            </w:r>
          </w:p>
        </w:tc>
        <w:tc>
          <w:tcPr>
            <w:tcW w:w="1802" w:type="dxa"/>
          </w:tcPr>
          <w:p w14:paraId="00851F04" w14:textId="77777777" w:rsidR="00DA7972" w:rsidRDefault="00000000">
            <w:pPr>
              <w:spacing w:after="0" w:line="260" w:lineRule="auto"/>
              <w:jc w:val="left"/>
            </w:pPr>
            <w:r>
              <w:rPr>
                <w:rFonts w:ascii="Calibri" w:eastAsia="Calibri" w:hAnsi="Calibri" w:cs="Calibri"/>
                <w:sz w:val="19"/>
                <w:szCs w:val="19"/>
              </w:rPr>
              <w:t>Signal-integrity watch, Annex G.5</w:t>
            </w:r>
          </w:p>
        </w:tc>
        <w:tc>
          <w:tcPr>
            <w:tcW w:w="1802" w:type="dxa"/>
          </w:tcPr>
          <w:p w14:paraId="0E0399AC" w14:textId="77777777" w:rsidR="00DA7972" w:rsidRDefault="00000000">
            <w:pPr>
              <w:spacing w:after="0" w:line="260" w:lineRule="auto"/>
              <w:jc w:val="left"/>
            </w:pPr>
            <w:r>
              <w:rPr>
                <w:rFonts w:ascii="Calibri" w:eastAsia="Calibri" w:hAnsi="Calibri" w:cs="Calibri"/>
                <w:sz w:val="19"/>
                <w:szCs w:val="19"/>
              </w:rPr>
              <w:t>Voice reporting carries compliance; patrol verification</w:t>
            </w:r>
          </w:p>
        </w:tc>
        <w:tc>
          <w:tcPr>
            <w:tcW w:w="1802" w:type="dxa"/>
          </w:tcPr>
          <w:p w14:paraId="3B2B1E52" w14:textId="77777777" w:rsidR="00DA7972" w:rsidRDefault="00000000">
            <w:pPr>
              <w:spacing w:after="0" w:line="260" w:lineRule="auto"/>
              <w:jc w:val="left"/>
            </w:pPr>
            <w:r>
              <w:rPr>
                <w:rFonts w:ascii="Calibri" w:eastAsia="Calibri" w:hAnsi="Calibri" w:cs="Calibri"/>
                <w:sz w:val="19"/>
                <w:szCs w:val="19"/>
              </w:rPr>
              <w:t>Meridian Operations Center</w:t>
            </w:r>
          </w:p>
        </w:tc>
      </w:tr>
      <w:tr w:rsidR="00DA7972" w14:paraId="65072AC9" w14:textId="77777777">
        <w:tc>
          <w:tcPr>
            <w:tcW w:w="1802" w:type="dxa"/>
          </w:tcPr>
          <w:p w14:paraId="5C54F1CB" w14:textId="77777777" w:rsidR="00DA7972" w:rsidRDefault="00000000">
            <w:pPr>
              <w:spacing w:after="0" w:line="260" w:lineRule="auto"/>
              <w:jc w:val="left"/>
            </w:pPr>
            <w:r>
              <w:rPr>
                <w:rFonts w:ascii="Calibri" w:eastAsia="Calibri" w:hAnsi="Calibri" w:cs="Calibri"/>
                <w:sz w:val="19"/>
                <w:szCs w:val="19"/>
              </w:rPr>
              <w:t>RR-06</w:t>
            </w:r>
          </w:p>
        </w:tc>
        <w:tc>
          <w:tcPr>
            <w:tcW w:w="1802" w:type="dxa"/>
          </w:tcPr>
          <w:p w14:paraId="41CCDE20" w14:textId="77777777" w:rsidR="00DA7972" w:rsidRDefault="00000000">
            <w:pPr>
              <w:spacing w:after="0" w:line="260" w:lineRule="auto"/>
              <w:jc w:val="left"/>
            </w:pPr>
            <w:r>
              <w:rPr>
                <w:rFonts w:ascii="Calibri" w:eastAsia="Calibri" w:hAnsi="Calibri" w:cs="Calibri"/>
                <w:sz w:val="19"/>
                <w:szCs w:val="19"/>
              </w:rPr>
              <w:t>Mines or placed hazards</w:t>
            </w:r>
          </w:p>
        </w:tc>
        <w:tc>
          <w:tcPr>
            <w:tcW w:w="1802" w:type="dxa"/>
          </w:tcPr>
          <w:p w14:paraId="6B7250A2" w14:textId="77777777" w:rsidR="00DA7972" w:rsidRDefault="00000000">
            <w:pPr>
              <w:spacing w:after="0" w:line="260" w:lineRule="auto"/>
              <w:jc w:val="left"/>
            </w:pPr>
            <w:r>
              <w:rPr>
                <w:rFonts w:ascii="Calibri" w:eastAsia="Calibri" w:hAnsi="Calibri" w:cs="Calibri"/>
                <w:sz w:val="19"/>
                <w:szCs w:val="19"/>
              </w:rPr>
              <w:t>Mine exclusion, Article 12.1; Day One declaration</w:t>
            </w:r>
          </w:p>
        </w:tc>
        <w:tc>
          <w:tcPr>
            <w:tcW w:w="1802" w:type="dxa"/>
          </w:tcPr>
          <w:p w14:paraId="1B8C3CFB" w14:textId="77777777" w:rsidR="00DA7972" w:rsidRDefault="00000000">
            <w:pPr>
              <w:spacing w:after="0" w:line="260" w:lineRule="auto"/>
              <w:jc w:val="left"/>
            </w:pPr>
            <w:r>
              <w:rPr>
                <w:rFonts w:ascii="Calibri" w:eastAsia="Calibri" w:hAnsi="Calibri" w:cs="Calibri"/>
                <w:sz w:val="19"/>
                <w:szCs w:val="19"/>
              </w:rPr>
              <w:t>Clearance protocol; corridor rerouting; compensation window</w:t>
            </w:r>
          </w:p>
        </w:tc>
        <w:tc>
          <w:tcPr>
            <w:tcW w:w="1802" w:type="dxa"/>
          </w:tcPr>
          <w:p w14:paraId="6E0C32D6" w14:textId="77777777" w:rsidR="00DA7972" w:rsidRDefault="00000000">
            <w:pPr>
              <w:spacing w:after="0" w:line="260" w:lineRule="auto"/>
              <w:jc w:val="left"/>
            </w:pPr>
            <w:r>
              <w:rPr>
                <w:rFonts w:ascii="Calibri" w:eastAsia="Calibri" w:hAnsi="Calibri" w:cs="Calibri"/>
                <w:sz w:val="19"/>
                <w:szCs w:val="19"/>
              </w:rPr>
              <w:t>Meridian Operations Center; coastal clearance units</w:t>
            </w:r>
          </w:p>
        </w:tc>
      </w:tr>
      <w:tr w:rsidR="00DA7972" w14:paraId="5E332552" w14:textId="77777777">
        <w:tc>
          <w:tcPr>
            <w:tcW w:w="1802" w:type="dxa"/>
          </w:tcPr>
          <w:p w14:paraId="5F01425A" w14:textId="77777777" w:rsidR="00DA7972" w:rsidRDefault="00000000">
            <w:pPr>
              <w:spacing w:after="0" w:line="260" w:lineRule="auto"/>
              <w:jc w:val="left"/>
            </w:pPr>
            <w:r>
              <w:rPr>
                <w:rFonts w:ascii="Calibri" w:eastAsia="Calibri" w:hAnsi="Calibri" w:cs="Calibri"/>
                <w:sz w:val="19"/>
                <w:szCs w:val="19"/>
              </w:rPr>
              <w:t>RR-07</w:t>
            </w:r>
          </w:p>
        </w:tc>
        <w:tc>
          <w:tcPr>
            <w:tcW w:w="1802" w:type="dxa"/>
          </w:tcPr>
          <w:p w14:paraId="4E5B4EA9" w14:textId="77777777" w:rsidR="00DA7972" w:rsidRDefault="00000000">
            <w:pPr>
              <w:spacing w:after="0" w:line="260" w:lineRule="auto"/>
              <w:jc w:val="left"/>
            </w:pPr>
            <w:r>
              <w:rPr>
                <w:rFonts w:ascii="Calibri" w:eastAsia="Calibri" w:hAnsi="Calibri" w:cs="Calibri"/>
                <w:sz w:val="19"/>
                <w:szCs w:val="19"/>
              </w:rPr>
              <w:t>Institutional site loss (Muscat or Bandar Abbas)</w:t>
            </w:r>
          </w:p>
        </w:tc>
        <w:tc>
          <w:tcPr>
            <w:tcW w:w="1802" w:type="dxa"/>
          </w:tcPr>
          <w:p w14:paraId="1FE58CAD" w14:textId="77777777" w:rsidR="00DA7972" w:rsidRDefault="00000000">
            <w:pPr>
              <w:spacing w:after="0" w:line="260" w:lineRule="auto"/>
              <w:jc w:val="left"/>
            </w:pPr>
            <w:r>
              <w:rPr>
                <w:rFonts w:ascii="Calibri" w:eastAsia="Calibri" w:hAnsi="Calibri" w:cs="Calibri"/>
                <w:sz w:val="19"/>
                <w:szCs w:val="19"/>
              </w:rPr>
              <w:t>Mirror facility; monthly failover drills</w:t>
            </w:r>
          </w:p>
        </w:tc>
        <w:tc>
          <w:tcPr>
            <w:tcW w:w="1802" w:type="dxa"/>
          </w:tcPr>
          <w:p w14:paraId="4452962C" w14:textId="77777777" w:rsidR="00DA7972" w:rsidRDefault="00000000">
            <w:pPr>
              <w:spacing w:after="0" w:line="260" w:lineRule="auto"/>
              <w:jc w:val="left"/>
            </w:pPr>
            <w:r>
              <w:rPr>
                <w:rFonts w:ascii="Calibri" w:eastAsia="Calibri" w:hAnsi="Calibri" w:cs="Calibri"/>
                <w:sz w:val="19"/>
                <w:szCs w:val="19"/>
              </w:rPr>
              <w:t>Continuity doctrine, Article 42; Khasab continuity station</w:t>
            </w:r>
          </w:p>
        </w:tc>
        <w:tc>
          <w:tcPr>
            <w:tcW w:w="1802" w:type="dxa"/>
          </w:tcPr>
          <w:p w14:paraId="2F580135" w14:textId="77777777" w:rsidR="00DA7972" w:rsidRDefault="00000000">
            <w:pPr>
              <w:spacing w:after="0" w:line="260" w:lineRule="auto"/>
              <w:jc w:val="left"/>
            </w:pPr>
            <w:r>
              <w:rPr>
                <w:rFonts w:ascii="Calibri" w:eastAsia="Calibri" w:hAnsi="Calibri" w:cs="Calibri"/>
                <w:sz w:val="19"/>
                <w:szCs w:val="19"/>
              </w:rPr>
              <w:t>Meridian Operations Center Co-Directors</w:t>
            </w:r>
          </w:p>
        </w:tc>
      </w:tr>
      <w:tr w:rsidR="00DA7972" w14:paraId="1D50252C" w14:textId="77777777">
        <w:tc>
          <w:tcPr>
            <w:tcW w:w="1802" w:type="dxa"/>
          </w:tcPr>
          <w:p w14:paraId="6B2B972C" w14:textId="77777777" w:rsidR="00DA7972" w:rsidRDefault="00000000">
            <w:pPr>
              <w:spacing w:after="0" w:line="260" w:lineRule="auto"/>
              <w:jc w:val="left"/>
            </w:pPr>
            <w:r>
              <w:rPr>
                <w:rFonts w:ascii="Calibri" w:eastAsia="Calibri" w:hAnsi="Calibri" w:cs="Calibri"/>
                <w:sz w:val="19"/>
                <w:szCs w:val="19"/>
              </w:rPr>
              <w:t>RR-08</w:t>
            </w:r>
          </w:p>
        </w:tc>
        <w:tc>
          <w:tcPr>
            <w:tcW w:w="1802" w:type="dxa"/>
          </w:tcPr>
          <w:p w14:paraId="025371C4" w14:textId="77777777" w:rsidR="00DA7972" w:rsidRDefault="00000000">
            <w:pPr>
              <w:spacing w:after="0" w:line="260" w:lineRule="auto"/>
              <w:jc w:val="left"/>
            </w:pPr>
            <w:r>
              <w:rPr>
                <w:rFonts w:ascii="Calibri" w:eastAsia="Calibri" w:hAnsi="Calibri" w:cs="Calibri"/>
                <w:sz w:val="19"/>
                <w:szCs w:val="19"/>
              </w:rPr>
              <w:t>Political rupture or walk-out</w:t>
            </w:r>
          </w:p>
        </w:tc>
        <w:tc>
          <w:tcPr>
            <w:tcW w:w="1802" w:type="dxa"/>
          </w:tcPr>
          <w:p w14:paraId="56402C91" w14:textId="77777777" w:rsidR="00DA7972" w:rsidRDefault="00000000">
            <w:pPr>
              <w:spacing w:after="0" w:line="260" w:lineRule="auto"/>
              <w:jc w:val="left"/>
            </w:pPr>
            <w:r>
              <w:rPr>
                <w:rFonts w:ascii="Calibri" w:eastAsia="Calibri" w:hAnsi="Calibri" w:cs="Calibri"/>
                <w:sz w:val="19"/>
                <w:szCs w:val="19"/>
              </w:rPr>
              <w:t>Default continuity, Article 20.4; maintenance mode, Article 40.5</w:t>
            </w:r>
          </w:p>
        </w:tc>
        <w:tc>
          <w:tcPr>
            <w:tcW w:w="1802" w:type="dxa"/>
          </w:tcPr>
          <w:p w14:paraId="76FA91A3" w14:textId="77777777" w:rsidR="00DA7972" w:rsidRDefault="00000000">
            <w:pPr>
              <w:spacing w:after="0" w:line="260" w:lineRule="auto"/>
              <w:jc w:val="left"/>
            </w:pPr>
            <w:r>
              <w:rPr>
                <w:rFonts w:ascii="Calibri" w:eastAsia="Calibri" w:hAnsi="Calibri" w:cs="Calibri"/>
                <w:sz w:val="19"/>
                <w:szCs w:val="19"/>
              </w:rPr>
              <w:t>Vacancy rule, Article 42.5; archive persistence</w:t>
            </w:r>
          </w:p>
        </w:tc>
        <w:tc>
          <w:tcPr>
            <w:tcW w:w="1802" w:type="dxa"/>
          </w:tcPr>
          <w:p w14:paraId="05B21EB1" w14:textId="77777777" w:rsidR="00DA7972" w:rsidRDefault="00000000">
            <w:pPr>
              <w:spacing w:after="0" w:line="260" w:lineRule="auto"/>
              <w:jc w:val="left"/>
            </w:pPr>
            <w:r>
              <w:rPr>
                <w:rFonts w:ascii="Calibri" w:eastAsia="Calibri" w:hAnsi="Calibri" w:cs="Calibri"/>
                <w:sz w:val="19"/>
                <w:szCs w:val="19"/>
              </w:rPr>
              <w:t>Stillwater Council; depositary</w:t>
            </w:r>
          </w:p>
        </w:tc>
      </w:tr>
      <w:tr w:rsidR="00DA7972" w14:paraId="56B3BDAB" w14:textId="77777777">
        <w:tc>
          <w:tcPr>
            <w:tcW w:w="1802" w:type="dxa"/>
          </w:tcPr>
          <w:p w14:paraId="26AEDDA8" w14:textId="77777777" w:rsidR="00DA7972" w:rsidRDefault="00000000">
            <w:pPr>
              <w:spacing w:after="0" w:line="260" w:lineRule="auto"/>
              <w:jc w:val="left"/>
            </w:pPr>
            <w:r>
              <w:rPr>
                <w:rFonts w:ascii="Calibri" w:eastAsia="Calibri" w:hAnsi="Calibri" w:cs="Calibri"/>
                <w:sz w:val="19"/>
                <w:szCs w:val="19"/>
              </w:rPr>
              <w:t>RR-09</w:t>
            </w:r>
          </w:p>
        </w:tc>
        <w:tc>
          <w:tcPr>
            <w:tcW w:w="1802" w:type="dxa"/>
          </w:tcPr>
          <w:p w14:paraId="1D7A3340" w14:textId="77777777" w:rsidR="00DA7972" w:rsidRDefault="00000000">
            <w:pPr>
              <w:spacing w:after="0" w:line="260" w:lineRule="auto"/>
              <w:jc w:val="left"/>
            </w:pPr>
            <w:r>
              <w:rPr>
                <w:rFonts w:ascii="Calibri" w:eastAsia="Calibri" w:hAnsi="Calibri" w:cs="Calibri"/>
                <w:sz w:val="19"/>
                <w:szCs w:val="19"/>
              </w:rPr>
              <w:t>Fund insolvency or diversion</w:t>
            </w:r>
          </w:p>
        </w:tc>
        <w:tc>
          <w:tcPr>
            <w:tcW w:w="1802" w:type="dxa"/>
          </w:tcPr>
          <w:p w14:paraId="740CE115" w14:textId="77777777" w:rsidR="00DA7972" w:rsidRDefault="00000000">
            <w:pPr>
              <w:spacing w:after="0" w:line="260" w:lineRule="auto"/>
              <w:jc w:val="left"/>
            </w:pPr>
            <w:r>
              <w:rPr>
                <w:rFonts w:ascii="Calibri" w:eastAsia="Calibri" w:hAnsi="Calibri" w:cs="Calibri"/>
                <w:sz w:val="19"/>
                <w:szCs w:val="19"/>
              </w:rPr>
              <w:t>Apportionment band; liquidity reserve; external audit</w:t>
            </w:r>
          </w:p>
        </w:tc>
        <w:tc>
          <w:tcPr>
            <w:tcW w:w="1802" w:type="dxa"/>
          </w:tcPr>
          <w:p w14:paraId="2D23E3BB" w14:textId="77777777" w:rsidR="00DA7972" w:rsidRDefault="00000000">
            <w:pPr>
              <w:spacing w:after="0" w:line="260" w:lineRule="auto"/>
              <w:jc w:val="left"/>
            </w:pPr>
            <w:r>
              <w:rPr>
                <w:rFonts w:ascii="Calibri" w:eastAsia="Calibri" w:hAnsi="Calibri" w:cs="Calibri"/>
                <w:sz w:val="19"/>
                <w:szCs w:val="19"/>
              </w:rPr>
              <w:t>Anti-diversion, Article 25.3; restitution; Architectural Breach</w:t>
            </w:r>
          </w:p>
        </w:tc>
        <w:tc>
          <w:tcPr>
            <w:tcW w:w="1802" w:type="dxa"/>
          </w:tcPr>
          <w:p w14:paraId="54E45593" w14:textId="77777777" w:rsidR="00DA7972" w:rsidRDefault="00000000">
            <w:pPr>
              <w:spacing w:after="0" w:line="260" w:lineRule="auto"/>
              <w:jc w:val="left"/>
            </w:pPr>
            <w:r>
              <w:rPr>
                <w:rFonts w:ascii="Calibri" w:eastAsia="Calibri" w:hAnsi="Calibri" w:cs="Calibri"/>
                <w:sz w:val="19"/>
                <w:szCs w:val="19"/>
              </w:rPr>
              <w:t>Neutral Administrator; external auditor</w:t>
            </w:r>
          </w:p>
        </w:tc>
      </w:tr>
      <w:tr w:rsidR="00DA7972" w14:paraId="1DBE00C5" w14:textId="77777777">
        <w:tc>
          <w:tcPr>
            <w:tcW w:w="1802" w:type="dxa"/>
          </w:tcPr>
          <w:p w14:paraId="48803E15" w14:textId="77777777" w:rsidR="00DA7972" w:rsidRDefault="00000000">
            <w:pPr>
              <w:spacing w:after="0" w:line="260" w:lineRule="auto"/>
              <w:jc w:val="left"/>
            </w:pPr>
            <w:r>
              <w:rPr>
                <w:rFonts w:ascii="Calibri" w:eastAsia="Calibri" w:hAnsi="Calibri" w:cs="Calibri"/>
                <w:sz w:val="19"/>
                <w:szCs w:val="19"/>
              </w:rPr>
              <w:t>RR-10</w:t>
            </w:r>
          </w:p>
        </w:tc>
        <w:tc>
          <w:tcPr>
            <w:tcW w:w="1802" w:type="dxa"/>
          </w:tcPr>
          <w:p w14:paraId="7ADA9A38" w14:textId="77777777" w:rsidR="00DA7972" w:rsidRDefault="00000000">
            <w:pPr>
              <w:spacing w:after="0" w:line="260" w:lineRule="auto"/>
              <w:jc w:val="left"/>
            </w:pPr>
            <w:r>
              <w:rPr>
                <w:rFonts w:ascii="Calibri" w:eastAsia="Calibri" w:hAnsi="Calibri" w:cs="Calibri"/>
                <w:sz w:val="19"/>
                <w:szCs w:val="19"/>
              </w:rPr>
              <w:t>Insurance market fails to normalize</w:t>
            </w:r>
          </w:p>
        </w:tc>
        <w:tc>
          <w:tcPr>
            <w:tcW w:w="1802" w:type="dxa"/>
          </w:tcPr>
          <w:p w14:paraId="2F5B5A72" w14:textId="77777777" w:rsidR="00DA7972" w:rsidRDefault="00000000">
            <w:pPr>
              <w:spacing w:after="0" w:line="260" w:lineRule="auto"/>
              <w:jc w:val="left"/>
            </w:pPr>
            <w:r>
              <w:rPr>
                <w:rFonts w:ascii="Calibri" w:eastAsia="Calibri" w:hAnsi="Calibri" w:cs="Calibri"/>
                <w:sz w:val="19"/>
                <w:szCs w:val="19"/>
              </w:rPr>
              <w:t xml:space="preserve">Published performance data; premium index; </w:t>
            </w:r>
            <w:r>
              <w:rPr>
                <w:rFonts w:ascii="Calibri" w:eastAsia="Calibri" w:hAnsi="Calibri" w:cs="Calibri"/>
                <w:sz w:val="19"/>
                <w:szCs w:val="19"/>
              </w:rPr>
              <w:lastRenderedPageBreak/>
              <w:t>certification gate</w:t>
            </w:r>
          </w:p>
        </w:tc>
        <w:tc>
          <w:tcPr>
            <w:tcW w:w="1802" w:type="dxa"/>
          </w:tcPr>
          <w:p w14:paraId="5EA983E1" w14:textId="77777777" w:rsidR="00DA7972" w:rsidRDefault="00000000">
            <w:pPr>
              <w:spacing w:after="0" w:line="260" w:lineRule="auto"/>
              <w:jc w:val="left"/>
            </w:pPr>
            <w:r>
              <w:rPr>
                <w:rFonts w:ascii="Calibri" w:eastAsia="Calibri" w:hAnsi="Calibri" w:cs="Calibri"/>
                <w:sz w:val="19"/>
                <w:szCs w:val="19"/>
              </w:rPr>
              <w:lastRenderedPageBreak/>
              <w:t xml:space="preserve">Stakeholder Panel review; compensation </w:t>
            </w:r>
            <w:r>
              <w:rPr>
                <w:rFonts w:ascii="Calibri" w:eastAsia="Calibri" w:hAnsi="Calibri" w:cs="Calibri"/>
                <w:sz w:val="19"/>
                <w:szCs w:val="19"/>
              </w:rPr>
              <w:lastRenderedPageBreak/>
              <w:t>window</w:t>
            </w:r>
          </w:p>
        </w:tc>
        <w:tc>
          <w:tcPr>
            <w:tcW w:w="1802" w:type="dxa"/>
          </w:tcPr>
          <w:p w14:paraId="28353EFC" w14:textId="77777777" w:rsidR="00DA7972" w:rsidRDefault="00000000">
            <w:pPr>
              <w:spacing w:after="0" w:line="260" w:lineRule="auto"/>
              <w:jc w:val="left"/>
            </w:pPr>
            <w:r>
              <w:rPr>
                <w:rFonts w:ascii="Calibri" w:eastAsia="Calibri" w:hAnsi="Calibri" w:cs="Calibri"/>
                <w:sz w:val="19"/>
                <w:szCs w:val="19"/>
              </w:rPr>
              <w:lastRenderedPageBreak/>
              <w:t>Meridian Operations Center; Stakeholder Panel</w:t>
            </w:r>
          </w:p>
        </w:tc>
      </w:tr>
      <w:tr w:rsidR="00DA7972" w14:paraId="3721258E" w14:textId="77777777">
        <w:tc>
          <w:tcPr>
            <w:tcW w:w="1802" w:type="dxa"/>
          </w:tcPr>
          <w:p w14:paraId="1D305A63" w14:textId="77777777" w:rsidR="00DA7972" w:rsidRDefault="00000000">
            <w:pPr>
              <w:spacing w:after="0" w:line="260" w:lineRule="auto"/>
              <w:jc w:val="left"/>
            </w:pPr>
            <w:r>
              <w:rPr>
                <w:rFonts w:ascii="Calibri" w:eastAsia="Calibri" w:hAnsi="Calibri" w:cs="Calibri"/>
                <w:sz w:val="19"/>
                <w:szCs w:val="19"/>
              </w:rPr>
              <w:t>RR-11</w:t>
            </w:r>
          </w:p>
        </w:tc>
        <w:tc>
          <w:tcPr>
            <w:tcW w:w="1802" w:type="dxa"/>
          </w:tcPr>
          <w:p w14:paraId="6308531E" w14:textId="77777777" w:rsidR="00DA7972" w:rsidRDefault="00000000">
            <w:pPr>
              <w:spacing w:after="0" w:line="260" w:lineRule="auto"/>
              <w:jc w:val="left"/>
            </w:pPr>
            <w:r>
              <w:rPr>
                <w:rFonts w:ascii="Calibri" w:eastAsia="Calibri" w:hAnsi="Calibri" w:cs="Calibri"/>
                <w:sz w:val="19"/>
                <w:szCs w:val="19"/>
              </w:rPr>
              <w:t>Attribution dispute after a security incident</w:t>
            </w:r>
          </w:p>
        </w:tc>
        <w:tc>
          <w:tcPr>
            <w:tcW w:w="1802" w:type="dxa"/>
          </w:tcPr>
          <w:p w14:paraId="516986DB" w14:textId="77777777" w:rsidR="00DA7972" w:rsidRDefault="00000000">
            <w:pPr>
              <w:spacing w:after="0" w:line="260" w:lineRule="auto"/>
              <w:jc w:val="left"/>
            </w:pPr>
            <w:r>
              <w:rPr>
                <w:rFonts w:ascii="Calibri" w:eastAsia="Calibri" w:hAnsi="Calibri" w:cs="Calibri"/>
                <w:sz w:val="19"/>
                <w:szCs w:val="19"/>
              </w:rPr>
              <w:t>Substantiation duty, Article 27.8; Convergence Standard</w:t>
            </w:r>
          </w:p>
        </w:tc>
        <w:tc>
          <w:tcPr>
            <w:tcW w:w="1802" w:type="dxa"/>
          </w:tcPr>
          <w:p w14:paraId="58675B0B" w14:textId="77777777" w:rsidR="00DA7972" w:rsidRDefault="00000000">
            <w:pPr>
              <w:spacing w:after="0" w:line="260" w:lineRule="auto"/>
              <w:jc w:val="left"/>
            </w:pPr>
            <w:r>
              <w:rPr>
                <w:rFonts w:ascii="Calibri" w:eastAsia="Calibri" w:hAnsi="Calibri" w:cs="Calibri"/>
                <w:sz w:val="19"/>
                <w:szCs w:val="19"/>
              </w:rPr>
              <w:t>Independent technical referee; claim record</w:t>
            </w:r>
          </w:p>
        </w:tc>
        <w:tc>
          <w:tcPr>
            <w:tcW w:w="1802" w:type="dxa"/>
          </w:tcPr>
          <w:p w14:paraId="101CACE2" w14:textId="77777777" w:rsidR="00DA7972" w:rsidRDefault="00000000">
            <w:pPr>
              <w:spacing w:after="0" w:line="260" w:lineRule="auto"/>
              <w:jc w:val="left"/>
            </w:pPr>
            <w:r>
              <w:rPr>
                <w:rFonts w:ascii="Calibri" w:eastAsia="Calibri" w:hAnsi="Calibri" w:cs="Calibri"/>
                <w:sz w:val="19"/>
                <w:szCs w:val="19"/>
              </w:rPr>
              <w:t>Neutral Keel Office; technical referees</w:t>
            </w:r>
          </w:p>
        </w:tc>
      </w:tr>
      <w:tr w:rsidR="00DA7972" w14:paraId="40ECACFF" w14:textId="77777777">
        <w:tc>
          <w:tcPr>
            <w:tcW w:w="1802" w:type="dxa"/>
          </w:tcPr>
          <w:p w14:paraId="0DAA8F0E" w14:textId="77777777" w:rsidR="00DA7972" w:rsidRDefault="00000000">
            <w:pPr>
              <w:spacing w:after="0" w:line="260" w:lineRule="auto"/>
              <w:jc w:val="left"/>
            </w:pPr>
            <w:r>
              <w:rPr>
                <w:rFonts w:ascii="Calibri" w:eastAsia="Calibri" w:hAnsi="Calibri" w:cs="Calibri"/>
                <w:sz w:val="19"/>
                <w:szCs w:val="19"/>
              </w:rPr>
              <w:t>RR-12</w:t>
            </w:r>
          </w:p>
        </w:tc>
        <w:tc>
          <w:tcPr>
            <w:tcW w:w="1802" w:type="dxa"/>
          </w:tcPr>
          <w:p w14:paraId="633ED716" w14:textId="77777777" w:rsidR="00DA7972" w:rsidRDefault="00000000">
            <w:pPr>
              <w:spacing w:after="0" w:line="260" w:lineRule="auto"/>
              <w:jc w:val="left"/>
            </w:pPr>
            <w:r>
              <w:rPr>
                <w:rFonts w:ascii="Calibri" w:eastAsia="Calibri" w:hAnsi="Calibri" w:cs="Calibri"/>
                <w:sz w:val="19"/>
                <w:szCs w:val="19"/>
              </w:rPr>
              <w:t>Accusation economy: frivolous or weaponized claims</w:t>
            </w:r>
          </w:p>
        </w:tc>
        <w:tc>
          <w:tcPr>
            <w:tcW w:w="1802" w:type="dxa"/>
          </w:tcPr>
          <w:p w14:paraId="7CCE605F" w14:textId="77777777" w:rsidR="00DA7972" w:rsidRDefault="00000000">
            <w:pPr>
              <w:spacing w:after="0" w:line="260" w:lineRule="auto"/>
              <w:jc w:val="left"/>
            </w:pPr>
            <w:r>
              <w:rPr>
                <w:rFonts w:ascii="Calibri" w:eastAsia="Calibri" w:hAnsi="Calibri" w:cs="Calibri"/>
                <w:sz w:val="19"/>
                <w:szCs w:val="19"/>
              </w:rPr>
              <w:t>Substantiated claim standard; Performance Bond; de minimis rule</w:t>
            </w:r>
          </w:p>
        </w:tc>
        <w:tc>
          <w:tcPr>
            <w:tcW w:w="1802" w:type="dxa"/>
          </w:tcPr>
          <w:p w14:paraId="1454269C" w14:textId="77777777" w:rsidR="00DA7972" w:rsidRDefault="00000000">
            <w:pPr>
              <w:spacing w:after="0" w:line="260" w:lineRule="auto"/>
              <w:jc w:val="left"/>
            </w:pPr>
            <w:r>
              <w:rPr>
                <w:rFonts w:ascii="Calibri" w:eastAsia="Calibri" w:hAnsi="Calibri" w:cs="Calibri"/>
                <w:sz w:val="19"/>
                <w:szCs w:val="19"/>
              </w:rPr>
              <w:t>Bond charge; claimant's Ledger conduct note</w:t>
            </w:r>
          </w:p>
        </w:tc>
        <w:tc>
          <w:tcPr>
            <w:tcW w:w="1802" w:type="dxa"/>
          </w:tcPr>
          <w:p w14:paraId="7B59D927" w14:textId="77777777" w:rsidR="00DA7972" w:rsidRDefault="00000000">
            <w:pPr>
              <w:spacing w:after="0" w:line="260" w:lineRule="auto"/>
              <w:jc w:val="left"/>
            </w:pPr>
            <w:r>
              <w:rPr>
                <w:rFonts w:ascii="Calibri" w:eastAsia="Calibri" w:hAnsi="Calibri" w:cs="Calibri"/>
                <w:sz w:val="19"/>
                <w:szCs w:val="19"/>
              </w:rPr>
              <w:t>Neutral Administrator</w:t>
            </w:r>
          </w:p>
        </w:tc>
      </w:tr>
      <w:tr w:rsidR="00DA7972" w14:paraId="3F8CEB90" w14:textId="77777777">
        <w:tc>
          <w:tcPr>
            <w:tcW w:w="1802" w:type="dxa"/>
          </w:tcPr>
          <w:p w14:paraId="52B587FB" w14:textId="77777777" w:rsidR="00DA7972" w:rsidRDefault="00000000">
            <w:pPr>
              <w:spacing w:after="0" w:line="260" w:lineRule="auto"/>
              <w:jc w:val="left"/>
            </w:pPr>
            <w:r>
              <w:rPr>
                <w:rFonts w:ascii="Calibri" w:eastAsia="Calibri" w:hAnsi="Calibri" w:cs="Calibri"/>
                <w:sz w:val="19"/>
                <w:szCs w:val="19"/>
              </w:rPr>
              <w:t>RR-13</w:t>
            </w:r>
          </w:p>
        </w:tc>
        <w:tc>
          <w:tcPr>
            <w:tcW w:w="1802" w:type="dxa"/>
          </w:tcPr>
          <w:p w14:paraId="192E7DC1" w14:textId="77777777" w:rsidR="00DA7972" w:rsidRDefault="00000000">
            <w:pPr>
              <w:spacing w:after="0" w:line="260" w:lineRule="auto"/>
              <w:jc w:val="left"/>
            </w:pPr>
            <w:r>
              <w:rPr>
                <w:rFonts w:ascii="Calibri" w:eastAsia="Calibri" w:hAnsi="Calibri" w:cs="Calibri"/>
                <w:sz w:val="19"/>
                <w:szCs w:val="19"/>
              </w:rPr>
              <w:t>Rogue-actor or false-flag attack</w:t>
            </w:r>
          </w:p>
        </w:tc>
        <w:tc>
          <w:tcPr>
            <w:tcW w:w="1802" w:type="dxa"/>
          </w:tcPr>
          <w:p w14:paraId="279B193A" w14:textId="77777777" w:rsidR="00DA7972" w:rsidRDefault="00000000">
            <w:pPr>
              <w:spacing w:after="0" w:line="260" w:lineRule="auto"/>
              <w:jc w:val="left"/>
            </w:pPr>
            <w:r>
              <w:rPr>
                <w:rFonts w:ascii="Calibri" w:eastAsia="Calibri" w:hAnsi="Calibri" w:cs="Calibri"/>
                <w:sz w:val="19"/>
                <w:szCs w:val="19"/>
              </w:rPr>
              <w:t>Rogue-actor pathway, Article 27.7; no presumed attribution</w:t>
            </w:r>
          </w:p>
        </w:tc>
        <w:tc>
          <w:tcPr>
            <w:tcW w:w="1802" w:type="dxa"/>
          </w:tcPr>
          <w:p w14:paraId="04237DD2" w14:textId="77777777" w:rsidR="00DA7972" w:rsidRDefault="00000000">
            <w:pPr>
              <w:spacing w:after="0" w:line="260" w:lineRule="auto"/>
              <w:jc w:val="left"/>
            </w:pPr>
            <w:r>
              <w:rPr>
                <w:rFonts w:ascii="Calibri" w:eastAsia="Calibri" w:hAnsi="Calibri" w:cs="Calibri"/>
                <w:sz w:val="19"/>
                <w:szCs w:val="19"/>
              </w:rPr>
              <w:t>Flash broadcast; joint protection; convergence investigation</w:t>
            </w:r>
          </w:p>
        </w:tc>
        <w:tc>
          <w:tcPr>
            <w:tcW w:w="1802" w:type="dxa"/>
          </w:tcPr>
          <w:p w14:paraId="609E9A28" w14:textId="77777777" w:rsidR="00DA7972" w:rsidRDefault="00000000">
            <w:pPr>
              <w:spacing w:after="0" w:line="260" w:lineRule="auto"/>
              <w:jc w:val="left"/>
            </w:pPr>
            <w:r>
              <w:rPr>
                <w:rFonts w:ascii="Calibri" w:eastAsia="Calibri" w:hAnsi="Calibri" w:cs="Calibri"/>
                <w:sz w:val="19"/>
                <w:szCs w:val="19"/>
              </w:rPr>
              <w:t>Meridian Operations Center; coastal forces</w:t>
            </w:r>
          </w:p>
        </w:tc>
      </w:tr>
      <w:tr w:rsidR="00DA7972" w14:paraId="19437FF3" w14:textId="77777777">
        <w:tc>
          <w:tcPr>
            <w:tcW w:w="1802" w:type="dxa"/>
          </w:tcPr>
          <w:p w14:paraId="1C35D6E5" w14:textId="77777777" w:rsidR="00DA7972" w:rsidRDefault="00000000">
            <w:pPr>
              <w:spacing w:after="0" w:line="260" w:lineRule="auto"/>
              <w:jc w:val="left"/>
            </w:pPr>
            <w:r>
              <w:rPr>
                <w:rFonts w:ascii="Calibri" w:eastAsia="Calibri" w:hAnsi="Calibri" w:cs="Calibri"/>
                <w:sz w:val="19"/>
                <w:szCs w:val="19"/>
              </w:rPr>
              <w:t>RR-14</w:t>
            </w:r>
          </w:p>
        </w:tc>
        <w:tc>
          <w:tcPr>
            <w:tcW w:w="1802" w:type="dxa"/>
          </w:tcPr>
          <w:p w14:paraId="5881D207" w14:textId="77777777" w:rsidR="00DA7972" w:rsidRDefault="00000000">
            <w:pPr>
              <w:spacing w:after="0" w:line="260" w:lineRule="auto"/>
              <w:jc w:val="left"/>
            </w:pPr>
            <w:r>
              <w:rPr>
                <w:rFonts w:ascii="Calibri" w:eastAsia="Calibri" w:hAnsi="Calibri" w:cs="Calibri"/>
                <w:sz w:val="19"/>
                <w:szCs w:val="19"/>
              </w:rPr>
              <w:t>Technology obsolescence of the architecture</w:t>
            </w:r>
          </w:p>
        </w:tc>
        <w:tc>
          <w:tcPr>
            <w:tcW w:w="1802" w:type="dxa"/>
          </w:tcPr>
          <w:p w14:paraId="07633149" w14:textId="77777777" w:rsidR="00DA7972" w:rsidRDefault="00000000">
            <w:pPr>
              <w:spacing w:after="0" w:line="260" w:lineRule="auto"/>
              <w:jc w:val="left"/>
            </w:pPr>
            <w:r>
              <w:rPr>
                <w:rFonts w:ascii="Calibri" w:eastAsia="Calibri" w:hAnsi="Calibri" w:cs="Calibri"/>
                <w:sz w:val="19"/>
                <w:szCs w:val="19"/>
              </w:rPr>
              <w:t>Technological neutrality, Article 43; five-year architecture review</w:t>
            </w:r>
          </w:p>
        </w:tc>
        <w:tc>
          <w:tcPr>
            <w:tcW w:w="1802" w:type="dxa"/>
          </w:tcPr>
          <w:p w14:paraId="03666FBA" w14:textId="77777777" w:rsidR="00DA7972" w:rsidRDefault="00000000">
            <w:pPr>
              <w:spacing w:after="0" w:line="260" w:lineRule="auto"/>
              <w:jc w:val="left"/>
            </w:pPr>
            <w:r>
              <w:rPr>
                <w:rFonts w:ascii="Calibri" w:eastAsia="Calibri" w:hAnsi="Calibri" w:cs="Calibri"/>
                <w:sz w:val="19"/>
                <w:szCs w:val="19"/>
              </w:rPr>
              <w:t>Silence-procedure annex updates, Article 20.5</w:t>
            </w:r>
          </w:p>
        </w:tc>
        <w:tc>
          <w:tcPr>
            <w:tcW w:w="1802" w:type="dxa"/>
          </w:tcPr>
          <w:p w14:paraId="0BD8DA83" w14:textId="77777777" w:rsidR="00DA7972" w:rsidRDefault="00000000">
            <w:pPr>
              <w:spacing w:after="0" w:line="260" w:lineRule="auto"/>
              <w:jc w:val="left"/>
            </w:pPr>
            <w:r>
              <w:rPr>
                <w:rFonts w:ascii="Calibri" w:eastAsia="Calibri" w:hAnsi="Calibri" w:cs="Calibri"/>
                <w:sz w:val="19"/>
                <w:szCs w:val="19"/>
              </w:rPr>
              <w:t>Technical and Standards Committee</w:t>
            </w:r>
          </w:p>
        </w:tc>
      </w:tr>
      <w:tr w:rsidR="00DA7972" w14:paraId="0C4ABA50" w14:textId="77777777">
        <w:tc>
          <w:tcPr>
            <w:tcW w:w="1802" w:type="dxa"/>
          </w:tcPr>
          <w:p w14:paraId="4D905522" w14:textId="77777777" w:rsidR="00DA7972" w:rsidRDefault="00000000">
            <w:pPr>
              <w:spacing w:after="0" w:line="260" w:lineRule="auto"/>
              <w:jc w:val="left"/>
            </w:pPr>
            <w:r>
              <w:rPr>
                <w:rFonts w:ascii="Calibri" w:eastAsia="Calibri" w:hAnsi="Calibri" w:cs="Calibri"/>
                <w:sz w:val="19"/>
                <w:szCs w:val="19"/>
              </w:rPr>
              <w:t>RR-15</w:t>
            </w:r>
          </w:p>
        </w:tc>
        <w:tc>
          <w:tcPr>
            <w:tcW w:w="1802" w:type="dxa"/>
          </w:tcPr>
          <w:p w14:paraId="351EDA9C" w14:textId="77777777" w:rsidR="00DA7972" w:rsidRDefault="00000000">
            <w:pPr>
              <w:spacing w:after="0" w:line="260" w:lineRule="auto"/>
              <w:jc w:val="left"/>
            </w:pPr>
            <w:r>
              <w:rPr>
                <w:rFonts w:ascii="Calibri" w:eastAsia="Calibri" w:hAnsi="Calibri" w:cs="Calibri"/>
                <w:sz w:val="19"/>
                <w:szCs w:val="19"/>
              </w:rPr>
              <w:t>Institutional memory loss through turnover</w:t>
            </w:r>
          </w:p>
        </w:tc>
        <w:tc>
          <w:tcPr>
            <w:tcW w:w="1802" w:type="dxa"/>
          </w:tcPr>
          <w:p w14:paraId="7BB563AB" w14:textId="77777777" w:rsidR="00DA7972" w:rsidRDefault="00000000">
            <w:pPr>
              <w:spacing w:after="0" w:line="260" w:lineRule="auto"/>
              <w:jc w:val="left"/>
            </w:pPr>
            <w:r>
              <w:rPr>
                <w:rFonts w:ascii="Calibri" w:eastAsia="Calibri" w:hAnsi="Calibri" w:cs="Calibri"/>
                <w:sz w:val="19"/>
                <w:szCs w:val="19"/>
              </w:rPr>
              <w:t>Staggered terms, Article 18.1; succession files, Article 44.4; the archive</w:t>
            </w:r>
          </w:p>
        </w:tc>
        <w:tc>
          <w:tcPr>
            <w:tcW w:w="1802" w:type="dxa"/>
          </w:tcPr>
          <w:p w14:paraId="78BD7E85" w14:textId="77777777" w:rsidR="00DA7972" w:rsidRDefault="00000000">
            <w:pPr>
              <w:spacing w:after="0" w:line="260" w:lineRule="auto"/>
              <w:jc w:val="left"/>
            </w:pPr>
            <w:r>
              <w:rPr>
                <w:rFonts w:ascii="Calibri" w:eastAsia="Calibri" w:hAnsi="Calibri" w:cs="Calibri"/>
                <w:sz w:val="19"/>
                <w:szCs w:val="19"/>
              </w:rPr>
              <w:t>Handover documentation; training pipeline, Article 14A.4</w:t>
            </w:r>
          </w:p>
        </w:tc>
        <w:tc>
          <w:tcPr>
            <w:tcW w:w="1802" w:type="dxa"/>
          </w:tcPr>
          <w:p w14:paraId="18ABA7A2" w14:textId="77777777" w:rsidR="00DA7972" w:rsidRDefault="00000000">
            <w:pPr>
              <w:spacing w:after="0" w:line="260" w:lineRule="auto"/>
              <w:jc w:val="left"/>
            </w:pPr>
            <w:r>
              <w:rPr>
                <w:rFonts w:ascii="Calibri" w:eastAsia="Calibri" w:hAnsi="Calibri" w:cs="Calibri"/>
                <w:sz w:val="19"/>
                <w:szCs w:val="19"/>
              </w:rPr>
              <w:t>Every organ; Neutral Keel Office audit</w:t>
            </w:r>
          </w:p>
        </w:tc>
      </w:tr>
      <w:tr w:rsidR="00DA7972" w14:paraId="78C798B2" w14:textId="77777777">
        <w:tc>
          <w:tcPr>
            <w:tcW w:w="1802" w:type="dxa"/>
          </w:tcPr>
          <w:p w14:paraId="29DA34FA" w14:textId="77777777" w:rsidR="00DA7972" w:rsidRDefault="00000000">
            <w:pPr>
              <w:spacing w:after="0" w:line="260" w:lineRule="auto"/>
              <w:jc w:val="left"/>
            </w:pPr>
            <w:r>
              <w:rPr>
                <w:rFonts w:ascii="Calibri" w:eastAsia="Calibri" w:hAnsi="Calibri" w:cs="Calibri"/>
                <w:sz w:val="19"/>
                <w:szCs w:val="19"/>
              </w:rPr>
              <w:t>RR-16</w:t>
            </w:r>
          </w:p>
        </w:tc>
        <w:tc>
          <w:tcPr>
            <w:tcW w:w="1802" w:type="dxa"/>
          </w:tcPr>
          <w:p w14:paraId="332F3137" w14:textId="77777777" w:rsidR="00DA7972" w:rsidRDefault="00000000">
            <w:pPr>
              <w:spacing w:after="0" w:line="260" w:lineRule="auto"/>
              <w:jc w:val="left"/>
            </w:pPr>
            <w:r>
              <w:rPr>
                <w:rFonts w:ascii="Calibri" w:eastAsia="Calibri" w:hAnsi="Calibri" w:cs="Calibri"/>
                <w:sz w:val="19"/>
                <w:szCs w:val="19"/>
              </w:rPr>
              <w:t>Translation divergence among authentic texts</w:t>
            </w:r>
          </w:p>
        </w:tc>
        <w:tc>
          <w:tcPr>
            <w:tcW w:w="1802" w:type="dxa"/>
          </w:tcPr>
          <w:p w14:paraId="347FCF04" w14:textId="77777777" w:rsidR="00DA7972" w:rsidRDefault="00000000">
            <w:pPr>
              <w:spacing w:after="0" w:line="260" w:lineRule="auto"/>
              <w:jc w:val="left"/>
            </w:pPr>
            <w:r>
              <w:rPr>
                <w:rFonts w:ascii="Calibri" w:eastAsia="Calibri" w:hAnsi="Calibri" w:cs="Calibri"/>
                <w:sz w:val="19"/>
                <w:szCs w:val="19"/>
              </w:rPr>
              <w:t>Trilingual concordance, Article 41.8</w:t>
            </w:r>
          </w:p>
        </w:tc>
        <w:tc>
          <w:tcPr>
            <w:tcW w:w="1802" w:type="dxa"/>
          </w:tcPr>
          <w:p w14:paraId="2635A399" w14:textId="77777777" w:rsidR="00DA7972" w:rsidRDefault="00000000">
            <w:pPr>
              <w:spacing w:after="0" w:line="260" w:lineRule="auto"/>
              <w:jc w:val="left"/>
            </w:pPr>
            <w:r>
              <w:rPr>
                <w:rFonts w:ascii="Calibri" w:eastAsia="Calibri" w:hAnsi="Calibri" w:cs="Calibri"/>
                <w:sz w:val="19"/>
                <w:szCs w:val="19"/>
              </w:rPr>
              <w:t>Council resolution, Article 5.2 rule 7; concordance entry</w:t>
            </w:r>
          </w:p>
        </w:tc>
        <w:tc>
          <w:tcPr>
            <w:tcW w:w="1802" w:type="dxa"/>
          </w:tcPr>
          <w:p w14:paraId="72D1E192" w14:textId="77777777" w:rsidR="00DA7972" w:rsidRDefault="00000000">
            <w:pPr>
              <w:spacing w:after="0" w:line="260" w:lineRule="auto"/>
              <w:jc w:val="left"/>
            </w:pPr>
            <w:r>
              <w:rPr>
                <w:rFonts w:ascii="Calibri" w:eastAsia="Calibri" w:hAnsi="Calibri" w:cs="Calibri"/>
                <w:sz w:val="19"/>
                <w:szCs w:val="19"/>
              </w:rPr>
              <w:t>Depositary; Technical and Standards Committee</w:t>
            </w:r>
          </w:p>
        </w:tc>
      </w:tr>
    </w:tbl>
    <w:p w14:paraId="1C39CBD8" w14:textId="77777777" w:rsidR="00DA7972" w:rsidRDefault="00DA7972">
      <w:pPr>
        <w:spacing w:after="60"/>
      </w:pPr>
    </w:p>
    <w:p w14:paraId="704DD596" w14:textId="77777777" w:rsidR="00DA7972" w:rsidRDefault="00000000">
      <w:pPr>
        <w:pStyle w:val="Caption"/>
      </w:pPr>
      <w:r>
        <w:rPr>
          <w:rFonts w:eastAsia="Calibri" w:cs="Calibri"/>
          <w:szCs w:val="18"/>
        </w:rPr>
        <w:t>Table P.1: Risk Register; the Technical and Standards Committee reviews it at every architecture review</w:t>
      </w:r>
    </w:p>
    <w:p w14:paraId="7507DD91" w14:textId="77777777" w:rsidR="00DA7972" w:rsidRDefault="00000000">
      <w:pPr>
        <w:pStyle w:val="Heading1"/>
      </w:pPr>
      <w:bookmarkStart w:id="77" w:name="_Toc236229958"/>
      <w:r>
        <w:rPr>
          <w:rFonts w:eastAsia="Calibri" w:cs="Calibri"/>
          <w:szCs w:val="32"/>
        </w:rPr>
        <w:lastRenderedPageBreak/>
        <w:t>Annex Q: Assumptions Register and Stress-Test Scenarios</w:t>
      </w:r>
      <w:bookmarkEnd w:id="77"/>
    </w:p>
    <w:p w14:paraId="49CBEA1A" w14:textId="77777777" w:rsidR="00DA7972" w:rsidRDefault="00000000">
      <w:pPr>
        <w:pStyle w:val="Heading3"/>
      </w:pPr>
      <w:r>
        <w:rPr>
          <w:rFonts w:eastAsia="Calibri" w:cs="Calibri"/>
          <w:szCs w:val="22"/>
        </w:rPr>
        <w:t>Q.1 The Assumptions Register</w:t>
      </w:r>
    </w:p>
    <w:p w14:paraId="2EE0CCF9" w14:textId="77777777" w:rsidR="00DA7972" w:rsidRDefault="00000000">
      <w:r>
        <w:rPr>
          <w:rFonts w:eastAsia="Georgia" w:cs="Georgia"/>
          <w:szCs w:val="21"/>
        </w:rPr>
        <w:t>The Accord rests on the following assumptions, documented so that future amendments test themselves against them. The Technical and Standards Committee reviews the Register annually and reports any assumption that events have falsified, with the design consequence of the falsification. An assumption's failure triggers review, never collapse: the Nofade Guarantee holds the architecture while the amendment machinery adapts it.</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5"/>
        <w:gridCol w:w="3075"/>
        <w:gridCol w:w="3076"/>
      </w:tblGrid>
      <w:tr w:rsidR="00DA7972" w14:paraId="0339C354" w14:textId="77777777">
        <w:trPr>
          <w:tblHeader/>
        </w:trPr>
        <w:tc>
          <w:tcPr>
            <w:tcW w:w="3003" w:type="dxa"/>
            <w:tcBorders>
              <w:bottom w:val="single" w:sz="6" w:space="0" w:color="546E7A"/>
            </w:tcBorders>
            <w:shd w:val="clear" w:color="auto" w:fill="E4E9EC"/>
          </w:tcPr>
          <w:p w14:paraId="01244B05" w14:textId="77777777" w:rsidR="00DA7972" w:rsidRDefault="00000000">
            <w:pPr>
              <w:spacing w:after="0" w:line="260" w:lineRule="auto"/>
              <w:jc w:val="left"/>
            </w:pPr>
            <w:r>
              <w:rPr>
                <w:rFonts w:ascii="Calibri" w:eastAsia="Calibri" w:hAnsi="Calibri" w:cs="Calibri"/>
                <w:b/>
                <w:color w:val="37474F"/>
                <w:sz w:val="19"/>
                <w:szCs w:val="19"/>
              </w:rPr>
              <w:t>Ref</w:t>
            </w:r>
          </w:p>
        </w:tc>
        <w:tc>
          <w:tcPr>
            <w:tcW w:w="3003" w:type="dxa"/>
            <w:tcBorders>
              <w:bottom w:val="single" w:sz="6" w:space="0" w:color="546E7A"/>
            </w:tcBorders>
            <w:shd w:val="clear" w:color="auto" w:fill="E4E9EC"/>
          </w:tcPr>
          <w:p w14:paraId="685EBB22" w14:textId="77777777" w:rsidR="00DA7972" w:rsidRDefault="00000000">
            <w:pPr>
              <w:spacing w:after="0" w:line="260" w:lineRule="auto"/>
              <w:jc w:val="left"/>
            </w:pPr>
            <w:r>
              <w:rPr>
                <w:rFonts w:ascii="Calibri" w:eastAsia="Calibri" w:hAnsi="Calibri" w:cs="Calibri"/>
                <w:b/>
                <w:color w:val="37474F"/>
                <w:sz w:val="19"/>
                <w:szCs w:val="19"/>
              </w:rPr>
              <w:t>Assumption</w:t>
            </w:r>
          </w:p>
        </w:tc>
        <w:tc>
          <w:tcPr>
            <w:tcW w:w="3004" w:type="dxa"/>
            <w:tcBorders>
              <w:bottom w:val="single" w:sz="6" w:space="0" w:color="546E7A"/>
            </w:tcBorders>
            <w:shd w:val="clear" w:color="auto" w:fill="E4E9EC"/>
          </w:tcPr>
          <w:p w14:paraId="153DE9A9" w14:textId="77777777" w:rsidR="00DA7972" w:rsidRDefault="00000000">
            <w:pPr>
              <w:spacing w:after="0" w:line="260" w:lineRule="auto"/>
              <w:jc w:val="left"/>
            </w:pPr>
            <w:r>
              <w:rPr>
                <w:rFonts w:ascii="Calibri" w:eastAsia="Calibri" w:hAnsi="Calibri" w:cs="Calibri"/>
                <w:b/>
                <w:color w:val="37474F"/>
                <w:sz w:val="19"/>
                <w:szCs w:val="19"/>
              </w:rPr>
              <w:t>Design consequence if falsified</w:t>
            </w:r>
          </w:p>
        </w:tc>
      </w:tr>
      <w:tr w:rsidR="00DA7972" w14:paraId="680A238C" w14:textId="77777777">
        <w:tc>
          <w:tcPr>
            <w:tcW w:w="3003" w:type="dxa"/>
          </w:tcPr>
          <w:p w14:paraId="5A071334" w14:textId="77777777" w:rsidR="00DA7972" w:rsidRDefault="00000000">
            <w:pPr>
              <w:spacing w:after="0" w:line="260" w:lineRule="auto"/>
              <w:jc w:val="left"/>
            </w:pPr>
            <w:r>
              <w:rPr>
                <w:rFonts w:ascii="Calibri" w:eastAsia="Calibri" w:hAnsi="Calibri" w:cs="Calibri"/>
                <w:sz w:val="19"/>
                <w:szCs w:val="19"/>
              </w:rPr>
              <w:t>AR-01</w:t>
            </w:r>
          </w:p>
        </w:tc>
        <w:tc>
          <w:tcPr>
            <w:tcW w:w="3003" w:type="dxa"/>
          </w:tcPr>
          <w:p w14:paraId="5C7899BE" w14:textId="77777777" w:rsidR="00DA7972" w:rsidRDefault="00000000">
            <w:pPr>
              <w:spacing w:after="0" w:line="260" w:lineRule="auto"/>
              <w:jc w:val="left"/>
            </w:pPr>
            <w:r>
              <w:rPr>
                <w:rFonts w:ascii="Calibri" w:eastAsia="Calibri" w:hAnsi="Calibri" w:cs="Calibri"/>
                <w:sz w:val="19"/>
                <w:szCs w:val="19"/>
              </w:rPr>
              <w:t>The automatic identification system remains internationally available and carriage remains standard</w:t>
            </w:r>
          </w:p>
        </w:tc>
        <w:tc>
          <w:tcPr>
            <w:tcW w:w="3004" w:type="dxa"/>
          </w:tcPr>
          <w:p w14:paraId="19AEF56D" w14:textId="77777777" w:rsidR="00DA7972" w:rsidRDefault="00000000">
            <w:pPr>
              <w:spacing w:after="0" w:line="260" w:lineRule="auto"/>
              <w:jc w:val="left"/>
            </w:pPr>
            <w:r>
              <w:rPr>
                <w:rFonts w:ascii="Calibri" w:eastAsia="Calibri" w:hAnsi="Calibri" w:cs="Calibri"/>
                <w:sz w:val="19"/>
                <w:szCs w:val="19"/>
              </w:rPr>
              <w:t>Verification stack loses one input; patrol and observer weight rises; Annex G updates</w:t>
            </w:r>
          </w:p>
        </w:tc>
      </w:tr>
      <w:tr w:rsidR="00DA7972" w14:paraId="7C1236AA" w14:textId="77777777">
        <w:tc>
          <w:tcPr>
            <w:tcW w:w="3003" w:type="dxa"/>
          </w:tcPr>
          <w:p w14:paraId="6802A09A" w14:textId="77777777" w:rsidR="00DA7972" w:rsidRDefault="00000000">
            <w:pPr>
              <w:spacing w:after="0" w:line="260" w:lineRule="auto"/>
              <w:jc w:val="left"/>
            </w:pPr>
            <w:r>
              <w:rPr>
                <w:rFonts w:ascii="Calibri" w:eastAsia="Calibri" w:hAnsi="Calibri" w:cs="Calibri"/>
                <w:sz w:val="19"/>
                <w:szCs w:val="19"/>
              </w:rPr>
              <w:t>AR-02</w:t>
            </w:r>
          </w:p>
        </w:tc>
        <w:tc>
          <w:tcPr>
            <w:tcW w:w="3003" w:type="dxa"/>
          </w:tcPr>
          <w:p w14:paraId="47D81F9E" w14:textId="77777777" w:rsidR="00DA7972" w:rsidRDefault="00000000">
            <w:pPr>
              <w:spacing w:after="0" w:line="260" w:lineRule="auto"/>
              <w:jc w:val="left"/>
            </w:pPr>
            <w:r>
              <w:rPr>
                <w:rFonts w:ascii="Calibri" w:eastAsia="Calibri" w:hAnsi="Calibri" w:cs="Calibri"/>
                <w:sz w:val="19"/>
                <w:szCs w:val="19"/>
              </w:rPr>
              <w:t>The International Maritime Organization routing recognition for the Strait remains in force</w:t>
            </w:r>
          </w:p>
        </w:tc>
        <w:tc>
          <w:tcPr>
            <w:tcW w:w="3004" w:type="dxa"/>
          </w:tcPr>
          <w:p w14:paraId="4941CAE9" w14:textId="77777777" w:rsidR="00DA7972" w:rsidRDefault="00000000">
            <w:pPr>
              <w:spacing w:after="0" w:line="260" w:lineRule="auto"/>
              <w:jc w:val="left"/>
            </w:pPr>
            <w:r>
              <w:rPr>
                <w:rFonts w:ascii="Calibri" w:eastAsia="Calibri" w:hAnsi="Calibri" w:cs="Calibri"/>
                <w:sz w:val="19"/>
                <w:szCs w:val="19"/>
              </w:rPr>
              <w:t>Corridor geometry persists under the Accord's own authority; the Organization's certification role passes to the Technical Committee pending restoration</w:t>
            </w:r>
          </w:p>
        </w:tc>
      </w:tr>
      <w:tr w:rsidR="00DA7972" w14:paraId="5A64296A" w14:textId="77777777">
        <w:tc>
          <w:tcPr>
            <w:tcW w:w="3003" w:type="dxa"/>
          </w:tcPr>
          <w:p w14:paraId="61C818C8" w14:textId="77777777" w:rsidR="00DA7972" w:rsidRDefault="00000000">
            <w:pPr>
              <w:spacing w:after="0" w:line="260" w:lineRule="auto"/>
              <w:jc w:val="left"/>
            </w:pPr>
            <w:r>
              <w:rPr>
                <w:rFonts w:ascii="Calibri" w:eastAsia="Calibri" w:hAnsi="Calibri" w:cs="Calibri"/>
                <w:sz w:val="19"/>
                <w:szCs w:val="19"/>
              </w:rPr>
              <w:t>AR-03</w:t>
            </w:r>
          </w:p>
        </w:tc>
        <w:tc>
          <w:tcPr>
            <w:tcW w:w="3003" w:type="dxa"/>
          </w:tcPr>
          <w:p w14:paraId="546BA8C4" w14:textId="77777777" w:rsidR="00DA7972" w:rsidRDefault="00000000">
            <w:pPr>
              <w:spacing w:after="0" w:line="260" w:lineRule="auto"/>
              <w:jc w:val="left"/>
            </w:pPr>
            <w:r>
              <w:rPr>
                <w:rFonts w:ascii="Calibri" w:eastAsia="Calibri" w:hAnsi="Calibri" w:cs="Calibri"/>
                <w:sz w:val="19"/>
                <w:szCs w:val="19"/>
              </w:rPr>
              <w:t>Existing maritime radio standards and VHF allocation continue</w:t>
            </w:r>
          </w:p>
        </w:tc>
        <w:tc>
          <w:tcPr>
            <w:tcW w:w="3004" w:type="dxa"/>
          </w:tcPr>
          <w:p w14:paraId="41364790" w14:textId="77777777" w:rsidR="00DA7972" w:rsidRDefault="00000000">
            <w:pPr>
              <w:spacing w:after="0" w:line="260" w:lineRule="auto"/>
              <w:jc w:val="left"/>
            </w:pPr>
            <w:r>
              <w:rPr>
                <w:rFonts w:ascii="Calibri" w:eastAsia="Calibri" w:hAnsi="Calibri" w:cs="Calibri"/>
                <w:sz w:val="19"/>
                <w:szCs w:val="19"/>
              </w:rPr>
              <w:t>Annex F channel plan updates through the silence procedure</w:t>
            </w:r>
          </w:p>
        </w:tc>
      </w:tr>
      <w:tr w:rsidR="00DA7972" w14:paraId="2F94FD0D" w14:textId="77777777">
        <w:tc>
          <w:tcPr>
            <w:tcW w:w="3003" w:type="dxa"/>
          </w:tcPr>
          <w:p w14:paraId="4F95B9FF" w14:textId="77777777" w:rsidR="00DA7972" w:rsidRDefault="00000000">
            <w:pPr>
              <w:spacing w:after="0" w:line="260" w:lineRule="auto"/>
              <w:jc w:val="left"/>
            </w:pPr>
            <w:r>
              <w:rPr>
                <w:rFonts w:ascii="Calibri" w:eastAsia="Calibri" w:hAnsi="Calibri" w:cs="Calibri"/>
                <w:sz w:val="19"/>
                <w:szCs w:val="19"/>
              </w:rPr>
              <w:t>AR-04</w:t>
            </w:r>
          </w:p>
        </w:tc>
        <w:tc>
          <w:tcPr>
            <w:tcW w:w="3003" w:type="dxa"/>
          </w:tcPr>
          <w:p w14:paraId="3E0D5A75" w14:textId="77777777" w:rsidR="00DA7972" w:rsidRDefault="00000000">
            <w:pPr>
              <w:spacing w:after="0" w:line="260" w:lineRule="auto"/>
              <w:jc w:val="left"/>
            </w:pPr>
            <w:r>
              <w:rPr>
                <w:rFonts w:ascii="Calibri" w:eastAsia="Calibri" w:hAnsi="Calibri" w:cs="Calibri"/>
                <w:sz w:val="19"/>
                <w:szCs w:val="19"/>
              </w:rPr>
              <w:t>Swiss fiduciary and banking infrastructure remains available to the Neutral Administrator</w:t>
            </w:r>
          </w:p>
        </w:tc>
        <w:tc>
          <w:tcPr>
            <w:tcW w:w="3004" w:type="dxa"/>
          </w:tcPr>
          <w:p w14:paraId="215406C8" w14:textId="77777777" w:rsidR="00DA7972" w:rsidRDefault="00000000">
            <w:pPr>
              <w:spacing w:after="0" w:line="260" w:lineRule="auto"/>
              <w:jc w:val="left"/>
            </w:pPr>
            <w:r>
              <w:rPr>
                <w:rFonts w:ascii="Calibri" w:eastAsia="Calibri" w:hAnsi="Calibri" w:cs="Calibri"/>
                <w:sz w:val="19"/>
                <w:szCs w:val="19"/>
              </w:rPr>
              <w:t>Fund administration transfers to a successor neutral administrator under Article 44.3 logic</w:t>
            </w:r>
          </w:p>
        </w:tc>
      </w:tr>
      <w:tr w:rsidR="00DA7972" w14:paraId="72A63368" w14:textId="77777777">
        <w:tc>
          <w:tcPr>
            <w:tcW w:w="3003" w:type="dxa"/>
          </w:tcPr>
          <w:p w14:paraId="01BC9FC3" w14:textId="77777777" w:rsidR="00DA7972" w:rsidRDefault="00000000">
            <w:pPr>
              <w:spacing w:after="0" w:line="260" w:lineRule="auto"/>
              <w:jc w:val="left"/>
            </w:pPr>
            <w:r>
              <w:rPr>
                <w:rFonts w:ascii="Calibri" w:eastAsia="Calibri" w:hAnsi="Calibri" w:cs="Calibri"/>
                <w:sz w:val="19"/>
                <w:szCs w:val="19"/>
              </w:rPr>
              <w:t>AR-05</w:t>
            </w:r>
          </w:p>
        </w:tc>
        <w:tc>
          <w:tcPr>
            <w:tcW w:w="3003" w:type="dxa"/>
          </w:tcPr>
          <w:p w14:paraId="3C49AC9E" w14:textId="77777777" w:rsidR="00DA7972" w:rsidRDefault="00000000">
            <w:pPr>
              <w:spacing w:after="0" w:line="260" w:lineRule="auto"/>
              <w:jc w:val="left"/>
            </w:pPr>
            <w:r>
              <w:rPr>
                <w:rFonts w:ascii="Calibri" w:eastAsia="Calibri" w:hAnsi="Calibri" w:cs="Calibri"/>
                <w:sz w:val="19"/>
                <w:szCs w:val="19"/>
              </w:rPr>
              <w:t>The three authentic languages remain sufficient for all operational communities</w:t>
            </w:r>
          </w:p>
        </w:tc>
        <w:tc>
          <w:tcPr>
            <w:tcW w:w="3004" w:type="dxa"/>
          </w:tcPr>
          <w:p w14:paraId="71700CC1" w14:textId="77777777" w:rsidR="00DA7972" w:rsidRDefault="00000000">
            <w:pPr>
              <w:spacing w:after="0" w:line="260" w:lineRule="auto"/>
              <w:jc w:val="left"/>
            </w:pPr>
            <w:r>
              <w:rPr>
                <w:rFonts w:ascii="Calibri" w:eastAsia="Calibri" w:hAnsi="Calibri" w:cs="Calibri"/>
                <w:sz w:val="19"/>
                <w:szCs w:val="19"/>
              </w:rPr>
              <w:t>The concordance of Article 41.8 adds working languages by Council decision</w:t>
            </w:r>
          </w:p>
        </w:tc>
      </w:tr>
      <w:tr w:rsidR="00DA7972" w14:paraId="20CC81B7" w14:textId="77777777">
        <w:tc>
          <w:tcPr>
            <w:tcW w:w="3003" w:type="dxa"/>
          </w:tcPr>
          <w:p w14:paraId="6D0F212D" w14:textId="77777777" w:rsidR="00DA7972" w:rsidRDefault="00000000">
            <w:pPr>
              <w:spacing w:after="0" w:line="260" w:lineRule="auto"/>
              <w:jc w:val="left"/>
            </w:pPr>
            <w:r>
              <w:rPr>
                <w:rFonts w:ascii="Calibri" w:eastAsia="Calibri" w:hAnsi="Calibri" w:cs="Calibri"/>
                <w:sz w:val="19"/>
                <w:szCs w:val="19"/>
              </w:rPr>
              <w:t>AR-06</w:t>
            </w:r>
          </w:p>
        </w:tc>
        <w:tc>
          <w:tcPr>
            <w:tcW w:w="3003" w:type="dxa"/>
          </w:tcPr>
          <w:p w14:paraId="7878BA0C" w14:textId="77777777" w:rsidR="00DA7972" w:rsidRDefault="00000000">
            <w:pPr>
              <w:spacing w:after="0" w:line="260" w:lineRule="auto"/>
              <w:jc w:val="left"/>
            </w:pPr>
            <w:r>
              <w:rPr>
                <w:rFonts w:ascii="Calibri" w:eastAsia="Calibri" w:hAnsi="Calibri" w:cs="Calibri"/>
                <w:sz w:val="19"/>
                <w:szCs w:val="19"/>
              </w:rPr>
              <w:t>Satellite navigation remains usable in the region most days</w:t>
            </w:r>
          </w:p>
        </w:tc>
        <w:tc>
          <w:tcPr>
            <w:tcW w:w="3004" w:type="dxa"/>
          </w:tcPr>
          <w:p w14:paraId="4A86648E" w14:textId="77777777" w:rsidR="00DA7972" w:rsidRDefault="00000000">
            <w:pPr>
              <w:spacing w:after="0" w:line="260" w:lineRule="auto"/>
              <w:jc w:val="left"/>
            </w:pPr>
            <w:r>
              <w:rPr>
                <w:rFonts w:ascii="Calibri" w:eastAsia="Calibri" w:hAnsi="Calibri" w:cs="Calibri"/>
                <w:sz w:val="19"/>
                <w:szCs w:val="19"/>
              </w:rPr>
              <w:t>Signal-integrity watch and degraded-mode rules absorb outages; Articles 26.6 and 26A govern</w:t>
            </w:r>
          </w:p>
        </w:tc>
      </w:tr>
      <w:tr w:rsidR="00DA7972" w14:paraId="05A90035" w14:textId="77777777">
        <w:tc>
          <w:tcPr>
            <w:tcW w:w="3003" w:type="dxa"/>
          </w:tcPr>
          <w:p w14:paraId="6099130F" w14:textId="77777777" w:rsidR="00DA7972" w:rsidRDefault="00000000">
            <w:pPr>
              <w:spacing w:after="0" w:line="260" w:lineRule="auto"/>
              <w:jc w:val="left"/>
            </w:pPr>
            <w:r>
              <w:rPr>
                <w:rFonts w:ascii="Calibri" w:eastAsia="Calibri" w:hAnsi="Calibri" w:cs="Calibri"/>
                <w:sz w:val="19"/>
                <w:szCs w:val="19"/>
              </w:rPr>
              <w:t>AR-07</w:t>
            </w:r>
          </w:p>
        </w:tc>
        <w:tc>
          <w:tcPr>
            <w:tcW w:w="3003" w:type="dxa"/>
          </w:tcPr>
          <w:p w14:paraId="6B7D0E86" w14:textId="77777777" w:rsidR="00DA7972" w:rsidRDefault="00000000">
            <w:pPr>
              <w:spacing w:after="0" w:line="260" w:lineRule="auto"/>
              <w:jc w:val="left"/>
            </w:pPr>
            <w:r>
              <w:rPr>
                <w:rFonts w:ascii="Calibri" w:eastAsia="Calibri" w:hAnsi="Calibri" w:cs="Calibri"/>
                <w:sz w:val="19"/>
                <w:szCs w:val="19"/>
              </w:rPr>
              <w:t>The Gulf littoral states retain functioning maritime administrations</w:t>
            </w:r>
          </w:p>
        </w:tc>
        <w:tc>
          <w:tcPr>
            <w:tcW w:w="3004" w:type="dxa"/>
          </w:tcPr>
          <w:p w14:paraId="37A30FFC" w14:textId="77777777" w:rsidR="00DA7972" w:rsidRDefault="00000000">
            <w:pPr>
              <w:spacing w:after="0" w:line="260" w:lineRule="auto"/>
              <w:jc w:val="left"/>
            </w:pPr>
            <w:r>
              <w:rPr>
                <w:rFonts w:ascii="Calibri" w:eastAsia="Calibri" w:hAnsi="Calibri" w:cs="Calibri"/>
                <w:sz w:val="19"/>
                <w:szCs w:val="19"/>
              </w:rPr>
              <w:t>Succession rules of Article 44 assign functions to successor agencies</w:t>
            </w:r>
          </w:p>
        </w:tc>
      </w:tr>
      <w:tr w:rsidR="00DA7972" w14:paraId="331CCCD2" w14:textId="77777777">
        <w:tc>
          <w:tcPr>
            <w:tcW w:w="3003" w:type="dxa"/>
          </w:tcPr>
          <w:p w14:paraId="3F799392" w14:textId="77777777" w:rsidR="00DA7972" w:rsidRDefault="00000000">
            <w:pPr>
              <w:spacing w:after="0" w:line="260" w:lineRule="auto"/>
              <w:jc w:val="left"/>
            </w:pPr>
            <w:r>
              <w:rPr>
                <w:rFonts w:ascii="Calibri" w:eastAsia="Calibri" w:hAnsi="Calibri" w:cs="Calibri"/>
                <w:sz w:val="19"/>
                <w:szCs w:val="19"/>
              </w:rPr>
              <w:t>AR-08</w:t>
            </w:r>
          </w:p>
        </w:tc>
        <w:tc>
          <w:tcPr>
            <w:tcW w:w="3003" w:type="dxa"/>
          </w:tcPr>
          <w:p w14:paraId="361F2939" w14:textId="77777777" w:rsidR="00DA7972" w:rsidRDefault="00000000">
            <w:pPr>
              <w:spacing w:after="0" w:line="260" w:lineRule="auto"/>
              <w:jc w:val="left"/>
            </w:pPr>
            <w:r>
              <w:rPr>
                <w:rFonts w:ascii="Calibri" w:eastAsia="Calibri" w:hAnsi="Calibri" w:cs="Calibri"/>
                <w:sz w:val="19"/>
                <w:szCs w:val="19"/>
              </w:rPr>
              <w:t>War-risk insurance markets continue to price on published evidence</w:t>
            </w:r>
          </w:p>
        </w:tc>
        <w:tc>
          <w:tcPr>
            <w:tcW w:w="3004" w:type="dxa"/>
          </w:tcPr>
          <w:p w14:paraId="647D39BC" w14:textId="77777777" w:rsidR="00DA7972" w:rsidRDefault="00000000">
            <w:pPr>
              <w:spacing w:after="0" w:line="260" w:lineRule="auto"/>
              <w:jc w:val="left"/>
            </w:pPr>
            <w:r>
              <w:rPr>
                <w:rFonts w:ascii="Calibri" w:eastAsia="Calibri" w:hAnsi="Calibri" w:cs="Calibri"/>
                <w:sz w:val="19"/>
                <w:szCs w:val="19"/>
              </w:rPr>
              <w:t>Premium index loses its signaling role; the Registry and Bulletin carry market confidence directly</w:t>
            </w:r>
          </w:p>
        </w:tc>
      </w:tr>
    </w:tbl>
    <w:p w14:paraId="72EA60DD" w14:textId="77777777" w:rsidR="00DA7972" w:rsidRDefault="00DA7972">
      <w:pPr>
        <w:spacing w:after="60"/>
      </w:pPr>
    </w:p>
    <w:p w14:paraId="2492F08E" w14:textId="77777777" w:rsidR="00DA7972" w:rsidRDefault="00000000">
      <w:pPr>
        <w:pStyle w:val="Caption"/>
      </w:pPr>
      <w:r>
        <w:rPr>
          <w:rFonts w:eastAsia="Calibri" w:cs="Calibri"/>
          <w:szCs w:val="18"/>
        </w:rPr>
        <w:t>Table Q.1: Assumptions Register</w:t>
      </w:r>
    </w:p>
    <w:p w14:paraId="34232B36" w14:textId="77777777" w:rsidR="00DA7972" w:rsidRDefault="00000000">
      <w:pPr>
        <w:pStyle w:val="Heading3"/>
      </w:pPr>
      <w:r>
        <w:rPr>
          <w:rFonts w:eastAsia="Calibri" w:cs="Calibri"/>
          <w:szCs w:val="22"/>
        </w:rPr>
        <w:t>Q.2 Stress-test scenarios</w:t>
      </w:r>
    </w:p>
    <w:p w14:paraId="443D963A" w14:textId="77777777" w:rsidR="00DA7972" w:rsidRDefault="00000000">
      <w:r>
        <w:rPr>
          <w:rFonts w:eastAsia="Georgia" w:cs="Georgia"/>
          <w:szCs w:val="21"/>
        </w:rPr>
        <w:t>The following scenarios walk the architecture through its hardest days. Each states the event, the automatic responses in sequence, and the institutions involved. The scenarios illustrate; the Articles and Annexes govern. The Center and the Neutral Keel Office drill one scenario per quarter on rotation, per Article 14A.4.</w:t>
      </w:r>
    </w:p>
    <w:p w14:paraId="09B90039" w14:textId="77777777" w:rsidR="00DA7972" w:rsidRDefault="00000000">
      <w:pPr>
        <w:pStyle w:val="Heading3"/>
      </w:pPr>
      <w:r>
        <w:rPr>
          <w:rFonts w:eastAsia="Calibri" w:cs="Calibri"/>
          <w:szCs w:val="22"/>
        </w:rPr>
        <w:lastRenderedPageBreak/>
        <w:t>Q.3 Scenario one: accidental collision</w:t>
      </w:r>
    </w:p>
    <w:p w14:paraId="194A3352" w14:textId="77777777" w:rsidR="00DA7972" w:rsidRDefault="00000000">
      <w:r>
        <w:rPr>
          <w:rFonts w:eastAsia="Georgia" w:cs="Georgia"/>
          <w:szCs w:val="21"/>
        </w:rPr>
        <w:t>A laden Class B carrier and a Class A container ship collide at reporting point Delta in visibility of one nautical mile. The Mishap Protocol activates on the first report: involved units hold position and report; the Thirty-Minute Position Log runs for every vessel within 10 nautical miles; the Center shifts the affected corridors to Managed Flow and broadcasts the casualty; the sector search and rescue coordinator launches under Article 29.2's pre-authorization; the environmental watch deploys the tier-one response under Annex J.3; the paired duty officers classify within 4 hours; the Technical Committee completes assessment within 14 days; the Bulletin carries every step; and the Fund's compensation window opens where the lane closure exceeds 24 hours. No organ asks whose fault before the record exists.</w:t>
      </w:r>
    </w:p>
    <w:p w14:paraId="4E9F957F" w14:textId="77777777" w:rsidR="00DA7972" w:rsidRDefault="00000000">
      <w:pPr>
        <w:pStyle w:val="Heading3"/>
      </w:pPr>
      <w:r>
        <w:rPr>
          <w:rFonts w:eastAsia="Calibri" w:cs="Calibri"/>
          <w:szCs w:val="22"/>
        </w:rPr>
        <w:t>Q.4 Scenario two: cyberattack on the notification desk</w:t>
      </w:r>
    </w:p>
    <w:p w14:paraId="5B3718A1" w14:textId="77777777" w:rsidR="00DA7972" w:rsidRDefault="00000000">
      <w:r>
        <w:rPr>
          <w:rFonts w:eastAsia="Georgia" w:cs="Georgia"/>
          <w:szCs w:val="21"/>
        </w:rPr>
        <w:t>An intrusion floods the notification desk with forged notices and corrupts a portion of the queue. The authentication layer rejects unauthenticated filings; the anomaly detection flags the volume pattern; the Technical Committee isolates the affected segment; the mirror facility assumes desk operations within one hour; voice reporting and paper fallback carry compliance under Annex G.3; the Bulletin publishes an incident note with the restoration estimate; and the incident classifies as an interference event under Article 28.2, with the substantiation duty of Article 27.8 governing any attribution claim. Passage never stops, because passage never depended on the desk.</w:t>
      </w:r>
    </w:p>
    <w:p w14:paraId="6BB8BD1D" w14:textId="77777777" w:rsidR="00DA7972" w:rsidRDefault="00000000">
      <w:pPr>
        <w:pStyle w:val="Heading3"/>
      </w:pPr>
      <w:r>
        <w:rPr>
          <w:rFonts w:eastAsia="Calibri" w:cs="Calibri"/>
          <w:szCs w:val="22"/>
        </w:rPr>
        <w:t>Q.5 Scenario three: navigation beacon failure</w:t>
      </w:r>
    </w:p>
    <w:p w14:paraId="293BFF91" w14:textId="77777777" w:rsidR="00DA7972" w:rsidRDefault="00000000">
      <w:r>
        <w:rPr>
          <w:rFonts w:eastAsia="Georgia" w:cs="Georgia"/>
          <w:szCs w:val="21"/>
        </w:rPr>
        <w:t>The aids-to-navigation record shows a critical light and its radar beacon dark at the Corridor One eastern entry during night hours. The environmental and aids watch logs the failure; the Center broadcasts a hazard notice and tightens spacing at the entry; a contracted service vessel responds under the Catalog's aids-maintenance line; the ground-truth patrol diverts to verify the physical state; the Fund reimburses against the verified service record; and the failure enters the service quality index of Article 23.5 for the responsible delivering state.</w:t>
      </w:r>
    </w:p>
    <w:p w14:paraId="7DC8253B" w14:textId="77777777" w:rsidR="00DA7972" w:rsidRDefault="00000000">
      <w:pPr>
        <w:pStyle w:val="Heading3"/>
      </w:pPr>
      <w:r>
        <w:rPr>
          <w:rFonts w:eastAsia="Calibri" w:cs="Calibri"/>
          <w:szCs w:val="22"/>
        </w:rPr>
        <w:t>Q.6 Scenario four: tanker fire in a Separation Belt</w:t>
      </w:r>
    </w:p>
    <w:p w14:paraId="0249342F" w14:textId="77777777" w:rsidR="00DA7972" w:rsidRDefault="00000000">
      <w:r>
        <w:rPr>
          <w:rFonts w:eastAsia="Georgia" w:cs="Georgia"/>
          <w:szCs w:val="21"/>
        </w:rPr>
        <w:t>A laden Class B carrier reports an engine-room fire while crossing sector Kilo. The distress priority of Article 29.2 overrides every other rule: the nearest assets of both coastal states proceed without clearance; the Center declares a Suspended Flow for the affected area only; the escort coordination board reroutes escorted windows; the environmental watch stands up tier-two readiness; embarked observers on nearby vessels file position reports; and the post-event report publishes within 30 days under Annex K.3. The Suspended Flow lifts on the Neutral Keel Office's confirmation that the area is clear, within the 72-hour architecture of Article 11.6.</w:t>
      </w:r>
    </w:p>
    <w:p w14:paraId="4D63AA58" w14:textId="77777777" w:rsidR="00DA7972" w:rsidRDefault="00000000">
      <w:pPr>
        <w:pStyle w:val="Heading3"/>
      </w:pPr>
      <w:r>
        <w:rPr>
          <w:rFonts w:eastAsia="Calibri" w:cs="Calibri"/>
          <w:szCs w:val="22"/>
        </w:rPr>
        <w:t>Q.7 Scenario five: communications blackout at both watch floors</w:t>
      </w:r>
    </w:p>
    <w:p w14:paraId="038ABF73" w14:textId="77777777" w:rsidR="00DA7972" w:rsidRDefault="00000000">
      <w:r>
        <w:rPr>
          <w:rFonts w:eastAsia="Georgia" w:cs="Georgia"/>
          <w:szCs w:val="21"/>
        </w:rPr>
        <w:t>A regional cable cut and a satellite outage silence both watch floors simultaneously. The continuity doctrine of Article 42 operates: the Khasab continuity station activates within one hour; voice reporting through coastal vessel traffic services carries the corridors; acknowledgment-by-default protects every filing under Article 8.3; the Bulletin publishes through the International Maritime Organization's backup distribution; the military de-</w:t>
      </w:r>
      <w:r>
        <w:rPr>
          <w:rFonts w:eastAsia="Georgia" w:cs="Georgia"/>
          <w:szCs w:val="21"/>
        </w:rPr>
        <w:lastRenderedPageBreak/>
        <w:t>confliction channel switches to its satellite secondary; and recovery follows the hierarchy of Article 42.4 with published estimates every 24 hours. Every right survives the blackout intact, because the architecture designed the blackout morning in advance.</w:t>
      </w:r>
    </w:p>
    <w:p w14:paraId="7CDF6236" w14:textId="77777777" w:rsidR="00DA7972" w:rsidRDefault="00000000">
      <w:pPr>
        <w:pStyle w:val="Heading1"/>
      </w:pPr>
      <w:bookmarkStart w:id="78" w:name="_Toc236229959"/>
      <w:r>
        <w:rPr>
          <w:rFonts w:eastAsia="Calibri" w:cs="Calibri"/>
          <w:szCs w:val="32"/>
        </w:rPr>
        <w:lastRenderedPageBreak/>
        <w:t>Annex R: Performance Metrics and Publication Schedules</w:t>
      </w:r>
      <w:bookmarkEnd w:id="78"/>
    </w:p>
    <w:p w14:paraId="20C79DBE" w14:textId="77777777" w:rsidR="00DA7972" w:rsidRDefault="00000000">
      <w:pPr>
        <w:pStyle w:val="Heading3"/>
      </w:pPr>
      <w:r>
        <w:rPr>
          <w:rFonts w:eastAsia="Calibri" w:cs="Calibri"/>
          <w:szCs w:val="22"/>
        </w:rPr>
        <w:t>R.1 The metric set</w:t>
      </w:r>
    </w:p>
    <w:p w14:paraId="24FB39B2" w14:textId="77777777" w:rsidR="00DA7972" w:rsidRDefault="00000000">
      <w:r>
        <w:rPr>
          <w:rFonts w:eastAsia="Georgia" w:cs="Georgia"/>
          <w:szCs w:val="21"/>
        </w:rPr>
        <w:t>The Accord measures what it promises. The Center and the Neutral Keel Office compute the following metrics continuously and publish them on the schedules of Section R.2. Every metric states its definition, its data source, and its target band, and every figure traces to the shared registry.</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5"/>
        <w:gridCol w:w="3075"/>
        <w:gridCol w:w="3076"/>
      </w:tblGrid>
      <w:tr w:rsidR="00DA7972" w14:paraId="472098DD" w14:textId="77777777">
        <w:trPr>
          <w:tblHeader/>
        </w:trPr>
        <w:tc>
          <w:tcPr>
            <w:tcW w:w="3003" w:type="dxa"/>
            <w:tcBorders>
              <w:bottom w:val="single" w:sz="6" w:space="0" w:color="546E7A"/>
            </w:tcBorders>
            <w:shd w:val="clear" w:color="auto" w:fill="E4E9EC"/>
          </w:tcPr>
          <w:p w14:paraId="54E139EE" w14:textId="77777777" w:rsidR="00DA7972" w:rsidRDefault="00000000">
            <w:pPr>
              <w:spacing w:after="0" w:line="260" w:lineRule="auto"/>
              <w:jc w:val="left"/>
            </w:pPr>
            <w:r>
              <w:rPr>
                <w:rFonts w:ascii="Calibri" w:eastAsia="Calibri" w:hAnsi="Calibri" w:cs="Calibri"/>
                <w:b/>
                <w:color w:val="37474F"/>
                <w:sz w:val="19"/>
                <w:szCs w:val="19"/>
              </w:rPr>
              <w:t>Metric</w:t>
            </w:r>
          </w:p>
        </w:tc>
        <w:tc>
          <w:tcPr>
            <w:tcW w:w="3003" w:type="dxa"/>
            <w:tcBorders>
              <w:bottom w:val="single" w:sz="6" w:space="0" w:color="546E7A"/>
            </w:tcBorders>
            <w:shd w:val="clear" w:color="auto" w:fill="E4E9EC"/>
          </w:tcPr>
          <w:p w14:paraId="5F783840" w14:textId="77777777" w:rsidR="00DA7972" w:rsidRDefault="00000000">
            <w:pPr>
              <w:spacing w:after="0" w:line="260" w:lineRule="auto"/>
              <w:jc w:val="left"/>
            </w:pPr>
            <w:r>
              <w:rPr>
                <w:rFonts w:ascii="Calibri" w:eastAsia="Calibri" w:hAnsi="Calibri" w:cs="Calibri"/>
                <w:b/>
                <w:color w:val="37474F"/>
                <w:sz w:val="19"/>
                <w:szCs w:val="19"/>
              </w:rPr>
              <w:t>Definition</w:t>
            </w:r>
          </w:p>
        </w:tc>
        <w:tc>
          <w:tcPr>
            <w:tcW w:w="3004" w:type="dxa"/>
            <w:tcBorders>
              <w:bottom w:val="single" w:sz="6" w:space="0" w:color="546E7A"/>
            </w:tcBorders>
            <w:shd w:val="clear" w:color="auto" w:fill="E4E9EC"/>
          </w:tcPr>
          <w:p w14:paraId="2212D275" w14:textId="77777777" w:rsidR="00DA7972" w:rsidRDefault="00000000">
            <w:pPr>
              <w:spacing w:after="0" w:line="260" w:lineRule="auto"/>
              <w:jc w:val="left"/>
            </w:pPr>
            <w:r>
              <w:rPr>
                <w:rFonts w:ascii="Calibri" w:eastAsia="Calibri" w:hAnsi="Calibri" w:cs="Calibri"/>
                <w:b/>
                <w:color w:val="37474F"/>
                <w:sz w:val="19"/>
                <w:szCs w:val="19"/>
              </w:rPr>
              <w:t>Target band</w:t>
            </w:r>
          </w:p>
        </w:tc>
      </w:tr>
      <w:tr w:rsidR="00DA7972" w14:paraId="12FDAE9B" w14:textId="77777777">
        <w:tc>
          <w:tcPr>
            <w:tcW w:w="3003" w:type="dxa"/>
          </w:tcPr>
          <w:p w14:paraId="48951F44" w14:textId="77777777" w:rsidR="00DA7972" w:rsidRDefault="00000000">
            <w:pPr>
              <w:spacing w:after="0" w:line="260" w:lineRule="auto"/>
              <w:jc w:val="left"/>
            </w:pPr>
            <w:r>
              <w:rPr>
                <w:rFonts w:ascii="Calibri" w:eastAsia="Calibri" w:hAnsi="Calibri" w:cs="Calibri"/>
                <w:sz w:val="19"/>
                <w:szCs w:val="19"/>
              </w:rPr>
              <w:t>Average transit time</w:t>
            </w:r>
          </w:p>
        </w:tc>
        <w:tc>
          <w:tcPr>
            <w:tcW w:w="3003" w:type="dxa"/>
          </w:tcPr>
          <w:p w14:paraId="1BDD4A66" w14:textId="77777777" w:rsidR="00DA7972" w:rsidRDefault="00000000">
            <w:pPr>
              <w:spacing w:after="0" w:line="260" w:lineRule="auto"/>
              <w:jc w:val="left"/>
            </w:pPr>
            <w:r>
              <w:rPr>
                <w:rFonts w:ascii="Calibri" w:eastAsia="Calibri" w:hAnsi="Calibri" w:cs="Calibri"/>
                <w:sz w:val="19"/>
                <w:szCs w:val="19"/>
              </w:rPr>
              <w:t>Entry reporting point to exit reporting point, per corridor, per class</w:t>
            </w:r>
          </w:p>
        </w:tc>
        <w:tc>
          <w:tcPr>
            <w:tcW w:w="3004" w:type="dxa"/>
          </w:tcPr>
          <w:p w14:paraId="137BE49A" w14:textId="77777777" w:rsidR="00DA7972" w:rsidRDefault="00000000">
            <w:pPr>
              <w:spacing w:after="0" w:line="260" w:lineRule="auto"/>
              <w:jc w:val="left"/>
            </w:pPr>
            <w:r>
              <w:rPr>
                <w:rFonts w:ascii="Calibri" w:eastAsia="Calibri" w:hAnsi="Calibri" w:cs="Calibri"/>
                <w:sz w:val="19"/>
                <w:szCs w:val="19"/>
              </w:rPr>
              <w:t>At or below the pre-crisis corridor benchmark</w:t>
            </w:r>
          </w:p>
        </w:tc>
      </w:tr>
      <w:tr w:rsidR="00DA7972" w14:paraId="0F400456" w14:textId="77777777">
        <w:tc>
          <w:tcPr>
            <w:tcW w:w="3003" w:type="dxa"/>
          </w:tcPr>
          <w:p w14:paraId="29202ECD" w14:textId="77777777" w:rsidR="00DA7972" w:rsidRDefault="00000000">
            <w:pPr>
              <w:spacing w:after="0" w:line="260" w:lineRule="auto"/>
              <w:jc w:val="left"/>
            </w:pPr>
            <w:r>
              <w:rPr>
                <w:rFonts w:ascii="Calibri" w:eastAsia="Calibri" w:hAnsi="Calibri" w:cs="Calibri"/>
                <w:sz w:val="19"/>
                <w:szCs w:val="19"/>
              </w:rPr>
              <w:t>Acknowledgment latency</w:t>
            </w:r>
          </w:p>
        </w:tc>
        <w:tc>
          <w:tcPr>
            <w:tcW w:w="3003" w:type="dxa"/>
          </w:tcPr>
          <w:p w14:paraId="52B034AE" w14:textId="77777777" w:rsidR="00DA7972" w:rsidRDefault="00000000">
            <w:pPr>
              <w:spacing w:after="0" w:line="260" w:lineRule="auto"/>
              <w:jc w:val="left"/>
            </w:pPr>
            <w:r>
              <w:rPr>
                <w:rFonts w:ascii="Calibri" w:eastAsia="Calibri" w:hAnsi="Calibri" w:cs="Calibri"/>
                <w:sz w:val="19"/>
                <w:szCs w:val="19"/>
              </w:rPr>
              <w:t>Notice filing to acknowledgment, system-wide median</w:t>
            </w:r>
          </w:p>
        </w:tc>
        <w:tc>
          <w:tcPr>
            <w:tcW w:w="3004" w:type="dxa"/>
          </w:tcPr>
          <w:p w14:paraId="4CE1D89E" w14:textId="77777777" w:rsidR="00DA7972" w:rsidRDefault="00000000">
            <w:pPr>
              <w:spacing w:after="0" w:line="260" w:lineRule="auto"/>
              <w:jc w:val="left"/>
            </w:pPr>
            <w:r>
              <w:rPr>
                <w:rFonts w:ascii="Calibri" w:eastAsia="Calibri" w:hAnsi="Calibri" w:cs="Calibri"/>
                <w:sz w:val="19"/>
                <w:szCs w:val="19"/>
              </w:rPr>
              <w:t>At or below 10 minutes</w:t>
            </w:r>
          </w:p>
        </w:tc>
      </w:tr>
      <w:tr w:rsidR="00DA7972" w14:paraId="541E6F97" w14:textId="77777777">
        <w:tc>
          <w:tcPr>
            <w:tcW w:w="3003" w:type="dxa"/>
          </w:tcPr>
          <w:p w14:paraId="25F3100A" w14:textId="77777777" w:rsidR="00DA7972" w:rsidRDefault="00000000">
            <w:pPr>
              <w:spacing w:after="0" w:line="260" w:lineRule="auto"/>
              <w:jc w:val="left"/>
            </w:pPr>
            <w:r>
              <w:rPr>
                <w:rFonts w:ascii="Calibri" w:eastAsia="Calibri" w:hAnsi="Calibri" w:cs="Calibri"/>
                <w:sz w:val="19"/>
                <w:szCs w:val="19"/>
              </w:rPr>
              <w:t>Incident rate</w:t>
            </w:r>
          </w:p>
        </w:tc>
        <w:tc>
          <w:tcPr>
            <w:tcW w:w="3003" w:type="dxa"/>
          </w:tcPr>
          <w:p w14:paraId="78BB1D55" w14:textId="77777777" w:rsidR="00DA7972" w:rsidRDefault="00000000">
            <w:pPr>
              <w:spacing w:after="0" w:line="260" w:lineRule="auto"/>
              <w:jc w:val="left"/>
            </w:pPr>
            <w:r>
              <w:rPr>
                <w:rFonts w:ascii="Calibri" w:eastAsia="Calibri" w:hAnsi="Calibri" w:cs="Calibri"/>
                <w:sz w:val="19"/>
                <w:szCs w:val="19"/>
              </w:rPr>
              <w:t>Mishap Protocol activations per 1,000 transits, rolling quarter</w:t>
            </w:r>
          </w:p>
        </w:tc>
        <w:tc>
          <w:tcPr>
            <w:tcW w:w="3004" w:type="dxa"/>
          </w:tcPr>
          <w:p w14:paraId="3D612D95" w14:textId="77777777" w:rsidR="00DA7972" w:rsidRDefault="00000000">
            <w:pPr>
              <w:spacing w:after="0" w:line="260" w:lineRule="auto"/>
              <w:jc w:val="left"/>
            </w:pPr>
            <w:r>
              <w:rPr>
                <w:rFonts w:ascii="Calibri" w:eastAsia="Calibri" w:hAnsi="Calibri" w:cs="Calibri"/>
                <w:sz w:val="19"/>
                <w:szCs w:val="19"/>
              </w:rPr>
              <w:t>Declining trend after Phase Two</w:t>
            </w:r>
          </w:p>
        </w:tc>
      </w:tr>
      <w:tr w:rsidR="00DA7972" w14:paraId="1C87CC0B" w14:textId="77777777">
        <w:tc>
          <w:tcPr>
            <w:tcW w:w="3003" w:type="dxa"/>
          </w:tcPr>
          <w:p w14:paraId="2EABD21E" w14:textId="77777777" w:rsidR="00DA7972" w:rsidRDefault="00000000">
            <w:pPr>
              <w:spacing w:after="0" w:line="260" w:lineRule="auto"/>
              <w:jc w:val="left"/>
            </w:pPr>
            <w:r>
              <w:rPr>
                <w:rFonts w:ascii="Calibri" w:eastAsia="Calibri" w:hAnsi="Calibri" w:cs="Calibri"/>
                <w:sz w:val="19"/>
                <w:szCs w:val="19"/>
              </w:rPr>
              <w:t>Interference events</w:t>
            </w:r>
          </w:p>
        </w:tc>
        <w:tc>
          <w:tcPr>
            <w:tcW w:w="3003" w:type="dxa"/>
          </w:tcPr>
          <w:p w14:paraId="10A88FB5" w14:textId="77777777" w:rsidR="00DA7972" w:rsidRDefault="00000000">
            <w:pPr>
              <w:spacing w:after="0" w:line="260" w:lineRule="auto"/>
              <w:jc w:val="left"/>
            </w:pPr>
            <w:r>
              <w:rPr>
                <w:rFonts w:ascii="Calibri" w:eastAsia="Calibri" w:hAnsi="Calibri" w:cs="Calibri"/>
                <w:sz w:val="19"/>
                <w:szCs w:val="19"/>
              </w:rPr>
              <w:t>Verified interference events per quarter</w:t>
            </w:r>
          </w:p>
        </w:tc>
        <w:tc>
          <w:tcPr>
            <w:tcW w:w="3004" w:type="dxa"/>
          </w:tcPr>
          <w:p w14:paraId="2D9DDF2F" w14:textId="77777777" w:rsidR="00DA7972" w:rsidRDefault="00000000">
            <w:pPr>
              <w:spacing w:after="0" w:line="260" w:lineRule="auto"/>
              <w:jc w:val="left"/>
            </w:pPr>
            <w:r>
              <w:rPr>
                <w:rFonts w:ascii="Calibri" w:eastAsia="Calibri" w:hAnsi="Calibri" w:cs="Calibri"/>
                <w:sz w:val="19"/>
                <w:szCs w:val="19"/>
              </w:rPr>
              <w:t>Zero</w:t>
            </w:r>
          </w:p>
        </w:tc>
      </w:tr>
      <w:tr w:rsidR="00DA7972" w14:paraId="5A1ED578" w14:textId="77777777">
        <w:tc>
          <w:tcPr>
            <w:tcW w:w="3003" w:type="dxa"/>
          </w:tcPr>
          <w:p w14:paraId="20AB7DCB" w14:textId="77777777" w:rsidR="00DA7972" w:rsidRDefault="00000000">
            <w:pPr>
              <w:spacing w:after="0" w:line="260" w:lineRule="auto"/>
              <w:jc w:val="left"/>
            </w:pPr>
            <w:r>
              <w:rPr>
                <w:rFonts w:ascii="Calibri" w:eastAsia="Calibri" w:hAnsi="Calibri" w:cs="Calibri"/>
                <w:sz w:val="19"/>
                <w:szCs w:val="19"/>
              </w:rPr>
              <w:t>Humanitarian response time</w:t>
            </w:r>
          </w:p>
        </w:tc>
        <w:tc>
          <w:tcPr>
            <w:tcW w:w="3003" w:type="dxa"/>
          </w:tcPr>
          <w:p w14:paraId="6E058645" w14:textId="77777777" w:rsidR="00DA7972" w:rsidRDefault="00000000">
            <w:pPr>
              <w:spacing w:after="0" w:line="260" w:lineRule="auto"/>
              <w:jc w:val="left"/>
            </w:pPr>
            <w:r>
              <w:rPr>
                <w:rFonts w:ascii="Calibri" w:eastAsia="Calibri" w:hAnsi="Calibri" w:cs="Calibri"/>
                <w:sz w:val="19"/>
                <w:szCs w:val="19"/>
              </w:rPr>
              <w:t>Distress call to first asset on scene, by sector</w:t>
            </w:r>
          </w:p>
        </w:tc>
        <w:tc>
          <w:tcPr>
            <w:tcW w:w="3004" w:type="dxa"/>
          </w:tcPr>
          <w:p w14:paraId="64FD07BD" w14:textId="77777777" w:rsidR="00DA7972" w:rsidRDefault="00000000">
            <w:pPr>
              <w:spacing w:after="0" w:line="260" w:lineRule="auto"/>
              <w:jc w:val="left"/>
            </w:pPr>
            <w:r>
              <w:rPr>
                <w:rFonts w:ascii="Calibri" w:eastAsia="Calibri" w:hAnsi="Calibri" w:cs="Calibri"/>
                <w:sz w:val="19"/>
                <w:szCs w:val="19"/>
              </w:rPr>
              <w:t>At or below 60 minutes</w:t>
            </w:r>
          </w:p>
        </w:tc>
      </w:tr>
      <w:tr w:rsidR="00DA7972" w14:paraId="1A9001BF" w14:textId="77777777">
        <w:tc>
          <w:tcPr>
            <w:tcW w:w="3003" w:type="dxa"/>
          </w:tcPr>
          <w:p w14:paraId="6BF04770" w14:textId="77777777" w:rsidR="00DA7972" w:rsidRDefault="00000000">
            <w:pPr>
              <w:spacing w:after="0" w:line="260" w:lineRule="auto"/>
              <w:jc w:val="left"/>
            </w:pPr>
            <w:r>
              <w:rPr>
                <w:rFonts w:ascii="Calibri" w:eastAsia="Calibri" w:hAnsi="Calibri" w:cs="Calibri"/>
                <w:sz w:val="19"/>
                <w:szCs w:val="19"/>
              </w:rPr>
              <w:t>War-risk premium index</w:t>
            </w:r>
          </w:p>
        </w:tc>
        <w:tc>
          <w:tcPr>
            <w:tcW w:w="3003" w:type="dxa"/>
          </w:tcPr>
          <w:p w14:paraId="7BF194A3" w14:textId="77777777" w:rsidR="00DA7972" w:rsidRDefault="00000000">
            <w:pPr>
              <w:spacing w:after="0" w:line="260" w:lineRule="auto"/>
              <w:jc w:val="left"/>
            </w:pPr>
            <w:r>
              <w:rPr>
                <w:rFonts w:ascii="Calibri" w:eastAsia="Calibri" w:hAnsi="Calibri" w:cs="Calibri"/>
                <w:sz w:val="19"/>
                <w:szCs w:val="19"/>
              </w:rPr>
              <w:t>Market multiple over pre-crisis level, weekly</w:t>
            </w:r>
          </w:p>
        </w:tc>
        <w:tc>
          <w:tcPr>
            <w:tcW w:w="3004" w:type="dxa"/>
          </w:tcPr>
          <w:p w14:paraId="7DE02247" w14:textId="77777777" w:rsidR="00DA7972" w:rsidRDefault="00000000">
            <w:pPr>
              <w:spacing w:after="0" w:line="260" w:lineRule="auto"/>
              <w:jc w:val="left"/>
            </w:pPr>
            <w:r>
              <w:rPr>
                <w:rFonts w:ascii="Calibri" w:eastAsia="Calibri" w:hAnsi="Calibri" w:cs="Calibri"/>
                <w:sz w:val="19"/>
                <w:szCs w:val="19"/>
              </w:rPr>
              <w:t>Per the Annex C.7 schedule</w:t>
            </w:r>
          </w:p>
        </w:tc>
      </w:tr>
      <w:tr w:rsidR="00DA7972" w14:paraId="352AA589" w14:textId="77777777">
        <w:tc>
          <w:tcPr>
            <w:tcW w:w="3003" w:type="dxa"/>
          </w:tcPr>
          <w:p w14:paraId="219FAAEB" w14:textId="77777777" w:rsidR="00DA7972" w:rsidRDefault="00000000">
            <w:pPr>
              <w:spacing w:after="0" w:line="260" w:lineRule="auto"/>
              <w:jc w:val="left"/>
            </w:pPr>
            <w:r>
              <w:rPr>
                <w:rFonts w:ascii="Calibri" w:eastAsia="Calibri" w:hAnsi="Calibri" w:cs="Calibri"/>
                <w:sz w:val="19"/>
                <w:szCs w:val="19"/>
              </w:rPr>
              <w:t>Service quality index</w:t>
            </w:r>
          </w:p>
        </w:tc>
        <w:tc>
          <w:tcPr>
            <w:tcW w:w="3003" w:type="dxa"/>
          </w:tcPr>
          <w:p w14:paraId="056CCB7F" w14:textId="77777777" w:rsidR="00DA7972" w:rsidRDefault="00000000">
            <w:pPr>
              <w:spacing w:after="0" w:line="260" w:lineRule="auto"/>
              <w:jc w:val="left"/>
            </w:pPr>
            <w:r>
              <w:rPr>
                <w:rFonts w:ascii="Calibri" w:eastAsia="Calibri" w:hAnsi="Calibri" w:cs="Calibri"/>
                <w:sz w:val="19"/>
                <w:szCs w:val="19"/>
              </w:rPr>
              <w:t>Acknowledgment, escort punctuality, survey currency, aid availability</w:t>
            </w:r>
          </w:p>
        </w:tc>
        <w:tc>
          <w:tcPr>
            <w:tcW w:w="3004" w:type="dxa"/>
          </w:tcPr>
          <w:p w14:paraId="39C77D9C" w14:textId="77777777" w:rsidR="00DA7972" w:rsidRDefault="00000000">
            <w:pPr>
              <w:spacing w:after="0" w:line="260" w:lineRule="auto"/>
              <w:jc w:val="left"/>
            </w:pPr>
            <w:r>
              <w:rPr>
                <w:rFonts w:ascii="Calibri" w:eastAsia="Calibri" w:hAnsi="Calibri" w:cs="Calibri"/>
                <w:sz w:val="19"/>
                <w:szCs w:val="19"/>
              </w:rPr>
              <w:t>At or above benchmark for every delivering state</w:t>
            </w:r>
          </w:p>
        </w:tc>
      </w:tr>
      <w:tr w:rsidR="00DA7972" w14:paraId="5CC4389C" w14:textId="77777777">
        <w:tc>
          <w:tcPr>
            <w:tcW w:w="3003" w:type="dxa"/>
          </w:tcPr>
          <w:p w14:paraId="401D46C5" w14:textId="77777777" w:rsidR="00DA7972" w:rsidRDefault="00000000">
            <w:pPr>
              <w:spacing w:after="0" w:line="260" w:lineRule="auto"/>
              <w:jc w:val="left"/>
            </w:pPr>
            <w:r>
              <w:rPr>
                <w:rFonts w:ascii="Calibri" w:eastAsia="Calibri" w:hAnsi="Calibri" w:cs="Calibri"/>
                <w:sz w:val="19"/>
                <w:szCs w:val="19"/>
              </w:rPr>
              <w:t>Patrol completion</w:t>
            </w:r>
          </w:p>
        </w:tc>
        <w:tc>
          <w:tcPr>
            <w:tcW w:w="3003" w:type="dxa"/>
          </w:tcPr>
          <w:p w14:paraId="3E30D0C7" w14:textId="77777777" w:rsidR="00DA7972" w:rsidRDefault="00000000">
            <w:pPr>
              <w:spacing w:after="0" w:line="260" w:lineRule="auto"/>
              <w:jc w:val="left"/>
            </w:pPr>
            <w:r>
              <w:rPr>
                <w:rFonts w:ascii="Calibri" w:eastAsia="Calibri" w:hAnsi="Calibri" w:cs="Calibri"/>
                <w:sz w:val="19"/>
                <w:szCs w:val="19"/>
              </w:rPr>
              <w:t>Ground-truth patrols executed against schedule</w:t>
            </w:r>
          </w:p>
        </w:tc>
        <w:tc>
          <w:tcPr>
            <w:tcW w:w="3004" w:type="dxa"/>
          </w:tcPr>
          <w:p w14:paraId="71C63AA1" w14:textId="77777777" w:rsidR="00DA7972" w:rsidRDefault="00000000">
            <w:pPr>
              <w:spacing w:after="0" w:line="260" w:lineRule="auto"/>
              <w:jc w:val="left"/>
            </w:pPr>
            <w:r>
              <w:rPr>
                <w:rFonts w:ascii="Calibri" w:eastAsia="Calibri" w:hAnsi="Calibri" w:cs="Calibri"/>
                <w:sz w:val="19"/>
                <w:szCs w:val="19"/>
              </w:rPr>
              <w:t>100 percent</w:t>
            </w:r>
          </w:p>
        </w:tc>
      </w:tr>
      <w:tr w:rsidR="00DA7972" w14:paraId="25C7BE80" w14:textId="77777777">
        <w:tc>
          <w:tcPr>
            <w:tcW w:w="3003" w:type="dxa"/>
          </w:tcPr>
          <w:p w14:paraId="6EBC97E7" w14:textId="77777777" w:rsidR="00DA7972" w:rsidRDefault="00000000">
            <w:pPr>
              <w:spacing w:after="0" w:line="260" w:lineRule="auto"/>
              <w:jc w:val="left"/>
            </w:pPr>
            <w:r>
              <w:rPr>
                <w:rFonts w:ascii="Calibri" w:eastAsia="Calibri" w:hAnsi="Calibri" w:cs="Calibri"/>
                <w:sz w:val="19"/>
                <w:szCs w:val="19"/>
              </w:rPr>
              <w:t>Observer coverage</w:t>
            </w:r>
          </w:p>
        </w:tc>
        <w:tc>
          <w:tcPr>
            <w:tcW w:w="3003" w:type="dxa"/>
          </w:tcPr>
          <w:p w14:paraId="541C73F3" w14:textId="77777777" w:rsidR="00DA7972" w:rsidRDefault="00000000">
            <w:pPr>
              <w:spacing w:after="0" w:line="260" w:lineRule="auto"/>
              <w:jc w:val="left"/>
            </w:pPr>
            <w:r>
              <w:rPr>
                <w:rFonts w:ascii="Calibri" w:eastAsia="Calibri" w:hAnsi="Calibri" w:cs="Calibri"/>
                <w:sz w:val="19"/>
                <w:szCs w:val="19"/>
              </w:rPr>
              <w:t>Transits with embarked or assigned observation</w:t>
            </w:r>
          </w:p>
        </w:tc>
        <w:tc>
          <w:tcPr>
            <w:tcW w:w="3004" w:type="dxa"/>
          </w:tcPr>
          <w:p w14:paraId="62991501" w14:textId="77777777" w:rsidR="00DA7972" w:rsidRDefault="00000000">
            <w:pPr>
              <w:spacing w:after="0" w:line="260" w:lineRule="auto"/>
              <w:jc w:val="left"/>
            </w:pPr>
            <w:r>
              <w:rPr>
                <w:rFonts w:ascii="Calibri" w:eastAsia="Calibri" w:hAnsi="Calibri" w:cs="Calibri"/>
                <w:sz w:val="19"/>
                <w:szCs w:val="19"/>
              </w:rPr>
              <w:t>At or above 5 percent</w:t>
            </w:r>
          </w:p>
        </w:tc>
      </w:tr>
      <w:tr w:rsidR="00DA7972" w14:paraId="0A53C76F" w14:textId="77777777">
        <w:tc>
          <w:tcPr>
            <w:tcW w:w="3003" w:type="dxa"/>
          </w:tcPr>
          <w:p w14:paraId="7AE406FE" w14:textId="77777777" w:rsidR="00DA7972" w:rsidRDefault="00000000">
            <w:pPr>
              <w:spacing w:after="0" w:line="260" w:lineRule="auto"/>
              <w:jc w:val="left"/>
            </w:pPr>
            <w:r>
              <w:rPr>
                <w:rFonts w:ascii="Calibri" w:eastAsia="Calibri" w:hAnsi="Calibri" w:cs="Calibri"/>
                <w:sz w:val="19"/>
                <w:szCs w:val="19"/>
              </w:rPr>
              <w:t>Bulletin reliability</w:t>
            </w:r>
          </w:p>
        </w:tc>
        <w:tc>
          <w:tcPr>
            <w:tcW w:w="3003" w:type="dxa"/>
          </w:tcPr>
          <w:p w14:paraId="18ED3DF4" w14:textId="77777777" w:rsidR="00DA7972" w:rsidRDefault="00000000">
            <w:pPr>
              <w:spacing w:after="0" w:line="260" w:lineRule="auto"/>
              <w:jc w:val="left"/>
            </w:pPr>
            <w:r>
              <w:rPr>
                <w:rFonts w:ascii="Calibri" w:eastAsia="Calibri" w:hAnsi="Calibri" w:cs="Calibri"/>
                <w:sz w:val="19"/>
                <w:szCs w:val="19"/>
              </w:rPr>
              <w:t>Scheduled Bulletins published on time</w:t>
            </w:r>
          </w:p>
        </w:tc>
        <w:tc>
          <w:tcPr>
            <w:tcW w:w="3004" w:type="dxa"/>
          </w:tcPr>
          <w:p w14:paraId="606E80E5" w14:textId="77777777" w:rsidR="00DA7972" w:rsidRDefault="00000000">
            <w:pPr>
              <w:spacing w:after="0" w:line="260" w:lineRule="auto"/>
              <w:jc w:val="left"/>
            </w:pPr>
            <w:r>
              <w:rPr>
                <w:rFonts w:ascii="Calibri" w:eastAsia="Calibri" w:hAnsi="Calibri" w:cs="Calibri"/>
                <w:sz w:val="19"/>
                <w:szCs w:val="19"/>
              </w:rPr>
              <w:t>100 percent</w:t>
            </w:r>
          </w:p>
        </w:tc>
      </w:tr>
      <w:tr w:rsidR="00DA7972" w14:paraId="2D920114" w14:textId="77777777">
        <w:tc>
          <w:tcPr>
            <w:tcW w:w="3003" w:type="dxa"/>
          </w:tcPr>
          <w:p w14:paraId="4B169290" w14:textId="77777777" w:rsidR="00DA7972" w:rsidRDefault="00000000">
            <w:pPr>
              <w:spacing w:after="0" w:line="260" w:lineRule="auto"/>
              <w:jc w:val="left"/>
            </w:pPr>
            <w:r>
              <w:rPr>
                <w:rFonts w:ascii="Calibri" w:eastAsia="Calibri" w:hAnsi="Calibri" w:cs="Calibri"/>
                <w:sz w:val="19"/>
                <w:szCs w:val="19"/>
              </w:rPr>
              <w:t>Audit findings closure</w:t>
            </w:r>
          </w:p>
        </w:tc>
        <w:tc>
          <w:tcPr>
            <w:tcW w:w="3003" w:type="dxa"/>
          </w:tcPr>
          <w:p w14:paraId="3C0182B8" w14:textId="77777777" w:rsidR="00DA7972" w:rsidRDefault="00000000">
            <w:pPr>
              <w:spacing w:after="0" w:line="260" w:lineRule="auto"/>
              <w:jc w:val="left"/>
            </w:pPr>
            <w:r>
              <w:rPr>
                <w:rFonts w:ascii="Calibri" w:eastAsia="Calibri" w:hAnsi="Calibri" w:cs="Calibri"/>
                <w:sz w:val="19"/>
                <w:szCs w:val="19"/>
              </w:rPr>
              <w:t>Technical audit findings cured on schedule</w:t>
            </w:r>
          </w:p>
        </w:tc>
        <w:tc>
          <w:tcPr>
            <w:tcW w:w="3004" w:type="dxa"/>
          </w:tcPr>
          <w:p w14:paraId="21008F9B" w14:textId="77777777" w:rsidR="00DA7972" w:rsidRDefault="00000000">
            <w:pPr>
              <w:spacing w:after="0" w:line="260" w:lineRule="auto"/>
              <w:jc w:val="left"/>
            </w:pPr>
            <w:r>
              <w:rPr>
                <w:rFonts w:ascii="Calibri" w:eastAsia="Calibri" w:hAnsi="Calibri" w:cs="Calibri"/>
                <w:sz w:val="19"/>
                <w:szCs w:val="19"/>
              </w:rPr>
              <w:t>100 percent within tracked schedule</w:t>
            </w:r>
          </w:p>
        </w:tc>
      </w:tr>
      <w:tr w:rsidR="00DA7972" w14:paraId="044849D6" w14:textId="77777777">
        <w:tc>
          <w:tcPr>
            <w:tcW w:w="3003" w:type="dxa"/>
          </w:tcPr>
          <w:p w14:paraId="554038F3" w14:textId="77777777" w:rsidR="00DA7972" w:rsidRDefault="00000000">
            <w:pPr>
              <w:spacing w:after="0" w:line="260" w:lineRule="auto"/>
              <w:jc w:val="left"/>
            </w:pPr>
            <w:r>
              <w:rPr>
                <w:rFonts w:ascii="Calibri" w:eastAsia="Calibri" w:hAnsi="Calibri" w:cs="Calibri"/>
                <w:sz w:val="19"/>
                <w:szCs w:val="19"/>
              </w:rPr>
              <w:t>Suspended Flow hours</w:t>
            </w:r>
          </w:p>
        </w:tc>
        <w:tc>
          <w:tcPr>
            <w:tcW w:w="3003" w:type="dxa"/>
          </w:tcPr>
          <w:p w14:paraId="1BD5B692" w14:textId="77777777" w:rsidR="00DA7972" w:rsidRDefault="00000000">
            <w:pPr>
              <w:spacing w:after="0" w:line="260" w:lineRule="auto"/>
              <w:jc w:val="left"/>
            </w:pPr>
            <w:r>
              <w:rPr>
                <w:rFonts w:ascii="Calibri" w:eastAsia="Calibri" w:hAnsi="Calibri" w:cs="Calibri"/>
                <w:sz w:val="19"/>
                <w:szCs w:val="19"/>
              </w:rPr>
              <w:t>Area-hours under Suspended Flow per quarter</w:t>
            </w:r>
          </w:p>
        </w:tc>
        <w:tc>
          <w:tcPr>
            <w:tcW w:w="3004" w:type="dxa"/>
          </w:tcPr>
          <w:p w14:paraId="70C9AEEA" w14:textId="77777777" w:rsidR="00DA7972" w:rsidRDefault="00000000">
            <w:pPr>
              <w:spacing w:after="0" w:line="260" w:lineRule="auto"/>
              <w:jc w:val="left"/>
            </w:pPr>
            <w:r>
              <w:rPr>
                <w:rFonts w:ascii="Calibri" w:eastAsia="Calibri" w:hAnsi="Calibri" w:cs="Calibri"/>
                <w:sz w:val="19"/>
                <w:szCs w:val="19"/>
              </w:rPr>
              <w:t>Declining trend; zero beyond 72 hours without Council decision</w:t>
            </w:r>
          </w:p>
        </w:tc>
      </w:tr>
    </w:tbl>
    <w:p w14:paraId="64454FE9" w14:textId="77777777" w:rsidR="00DA7972" w:rsidRDefault="00DA7972">
      <w:pPr>
        <w:spacing w:after="60"/>
      </w:pPr>
    </w:p>
    <w:p w14:paraId="52178E30" w14:textId="77777777" w:rsidR="00DA7972" w:rsidRDefault="00000000">
      <w:pPr>
        <w:pStyle w:val="Caption"/>
      </w:pPr>
      <w:r>
        <w:rPr>
          <w:rFonts w:eastAsia="Calibri" w:cs="Calibri"/>
          <w:szCs w:val="18"/>
        </w:rPr>
        <w:t>Table R.1: Performance metrics</w:t>
      </w:r>
    </w:p>
    <w:p w14:paraId="6CB69A88" w14:textId="77777777" w:rsidR="00DA7972" w:rsidRDefault="00000000">
      <w:pPr>
        <w:pStyle w:val="Heading3"/>
      </w:pPr>
      <w:r>
        <w:rPr>
          <w:rFonts w:eastAsia="Calibri" w:cs="Calibri"/>
          <w:szCs w:val="22"/>
        </w:rPr>
        <w:t>R.2 Publication schedules</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5"/>
        <w:gridCol w:w="3075"/>
        <w:gridCol w:w="3076"/>
      </w:tblGrid>
      <w:tr w:rsidR="00DA7972" w14:paraId="7C25D399" w14:textId="77777777">
        <w:trPr>
          <w:tblHeader/>
        </w:trPr>
        <w:tc>
          <w:tcPr>
            <w:tcW w:w="3003" w:type="dxa"/>
            <w:tcBorders>
              <w:bottom w:val="single" w:sz="6" w:space="0" w:color="546E7A"/>
            </w:tcBorders>
            <w:shd w:val="clear" w:color="auto" w:fill="E4E9EC"/>
          </w:tcPr>
          <w:p w14:paraId="34533E1B" w14:textId="77777777" w:rsidR="00DA7972" w:rsidRDefault="00000000">
            <w:pPr>
              <w:spacing w:after="0" w:line="260" w:lineRule="auto"/>
              <w:jc w:val="left"/>
            </w:pPr>
            <w:r>
              <w:rPr>
                <w:rFonts w:ascii="Calibri" w:eastAsia="Calibri" w:hAnsi="Calibri" w:cs="Calibri"/>
                <w:b/>
                <w:color w:val="37474F"/>
                <w:sz w:val="19"/>
                <w:szCs w:val="19"/>
              </w:rPr>
              <w:t>Product</w:t>
            </w:r>
          </w:p>
        </w:tc>
        <w:tc>
          <w:tcPr>
            <w:tcW w:w="3003" w:type="dxa"/>
            <w:tcBorders>
              <w:bottom w:val="single" w:sz="6" w:space="0" w:color="546E7A"/>
            </w:tcBorders>
            <w:shd w:val="clear" w:color="auto" w:fill="E4E9EC"/>
          </w:tcPr>
          <w:p w14:paraId="78825E75" w14:textId="77777777" w:rsidR="00DA7972" w:rsidRDefault="00000000">
            <w:pPr>
              <w:spacing w:after="0" w:line="260" w:lineRule="auto"/>
              <w:jc w:val="left"/>
            </w:pPr>
            <w:r>
              <w:rPr>
                <w:rFonts w:ascii="Calibri" w:eastAsia="Calibri" w:hAnsi="Calibri" w:cs="Calibri"/>
                <w:b/>
                <w:color w:val="37474F"/>
                <w:sz w:val="19"/>
                <w:szCs w:val="19"/>
              </w:rPr>
              <w:t>Frequency</w:t>
            </w:r>
          </w:p>
        </w:tc>
        <w:tc>
          <w:tcPr>
            <w:tcW w:w="3004" w:type="dxa"/>
            <w:tcBorders>
              <w:bottom w:val="single" w:sz="6" w:space="0" w:color="546E7A"/>
            </w:tcBorders>
            <w:shd w:val="clear" w:color="auto" w:fill="E4E9EC"/>
          </w:tcPr>
          <w:p w14:paraId="3C6EA7BD" w14:textId="77777777" w:rsidR="00DA7972" w:rsidRDefault="00000000">
            <w:pPr>
              <w:spacing w:after="0" w:line="260" w:lineRule="auto"/>
              <w:jc w:val="left"/>
            </w:pPr>
            <w:r>
              <w:rPr>
                <w:rFonts w:ascii="Calibri" w:eastAsia="Calibri" w:hAnsi="Calibri" w:cs="Calibri"/>
                <w:b/>
                <w:color w:val="37474F"/>
                <w:sz w:val="19"/>
                <w:szCs w:val="19"/>
              </w:rPr>
              <w:t>Publisher</w:t>
            </w:r>
          </w:p>
        </w:tc>
      </w:tr>
      <w:tr w:rsidR="00DA7972" w14:paraId="68CED2CA" w14:textId="77777777">
        <w:tc>
          <w:tcPr>
            <w:tcW w:w="3003" w:type="dxa"/>
          </w:tcPr>
          <w:p w14:paraId="5233A1E5" w14:textId="77777777" w:rsidR="00DA7972" w:rsidRDefault="00000000">
            <w:pPr>
              <w:spacing w:after="0" w:line="260" w:lineRule="auto"/>
              <w:jc w:val="left"/>
            </w:pPr>
            <w:r>
              <w:rPr>
                <w:rFonts w:ascii="Calibri" w:eastAsia="Calibri" w:hAnsi="Calibri" w:cs="Calibri"/>
                <w:sz w:val="19"/>
                <w:szCs w:val="19"/>
              </w:rPr>
              <w:t>Open Water Bulletin</w:t>
            </w:r>
          </w:p>
        </w:tc>
        <w:tc>
          <w:tcPr>
            <w:tcW w:w="3003" w:type="dxa"/>
          </w:tcPr>
          <w:p w14:paraId="21D6BE36" w14:textId="77777777" w:rsidR="00DA7972" w:rsidRDefault="00000000">
            <w:pPr>
              <w:spacing w:after="0" w:line="260" w:lineRule="auto"/>
              <w:jc w:val="left"/>
            </w:pPr>
            <w:r>
              <w:rPr>
                <w:rFonts w:ascii="Calibri" w:eastAsia="Calibri" w:hAnsi="Calibri" w:cs="Calibri"/>
                <w:sz w:val="19"/>
                <w:szCs w:val="19"/>
              </w:rPr>
              <w:t>Twice daily plus event updates</w:t>
            </w:r>
          </w:p>
        </w:tc>
        <w:tc>
          <w:tcPr>
            <w:tcW w:w="3004" w:type="dxa"/>
          </w:tcPr>
          <w:p w14:paraId="464BE64C" w14:textId="77777777" w:rsidR="00DA7972" w:rsidRDefault="00000000">
            <w:pPr>
              <w:spacing w:after="0" w:line="260" w:lineRule="auto"/>
              <w:jc w:val="left"/>
            </w:pPr>
            <w:r>
              <w:rPr>
                <w:rFonts w:ascii="Calibri" w:eastAsia="Calibri" w:hAnsi="Calibri" w:cs="Calibri"/>
                <w:sz w:val="19"/>
                <w:szCs w:val="19"/>
              </w:rPr>
              <w:t>Meridian Operations Center</w:t>
            </w:r>
          </w:p>
        </w:tc>
      </w:tr>
      <w:tr w:rsidR="00DA7972" w14:paraId="5E761EBF" w14:textId="77777777">
        <w:tc>
          <w:tcPr>
            <w:tcW w:w="3003" w:type="dxa"/>
          </w:tcPr>
          <w:p w14:paraId="61797FC6" w14:textId="77777777" w:rsidR="00DA7972" w:rsidRDefault="00000000">
            <w:pPr>
              <w:spacing w:after="0" w:line="260" w:lineRule="auto"/>
              <w:jc w:val="left"/>
            </w:pPr>
            <w:r>
              <w:rPr>
                <w:rFonts w:ascii="Calibri" w:eastAsia="Calibri" w:hAnsi="Calibri" w:cs="Calibri"/>
                <w:sz w:val="19"/>
                <w:szCs w:val="19"/>
              </w:rPr>
              <w:lastRenderedPageBreak/>
              <w:t>Weekly statistics and premium index</w:t>
            </w:r>
          </w:p>
        </w:tc>
        <w:tc>
          <w:tcPr>
            <w:tcW w:w="3003" w:type="dxa"/>
          </w:tcPr>
          <w:p w14:paraId="0D27BA75" w14:textId="77777777" w:rsidR="00DA7972" w:rsidRDefault="00000000">
            <w:pPr>
              <w:spacing w:after="0" w:line="260" w:lineRule="auto"/>
              <w:jc w:val="left"/>
            </w:pPr>
            <w:r>
              <w:rPr>
                <w:rFonts w:ascii="Calibri" w:eastAsia="Calibri" w:hAnsi="Calibri" w:cs="Calibri"/>
                <w:sz w:val="19"/>
                <w:szCs w:val="19"/>
              </w:rPr>
              <w:t>Weekly</w:t>
            </w:r>
          </w:p>
        </w:tc>
        <w:tc>
          <w:tcPr>
            <w:tcW w:w="3004" w:type="dxa"/>
          </w:tcPr>
          <w:p w14:paraId="4828C0B8" w14:textId="77777777" w:rsidR="00DA7972" w:rsidRDefault="00000000">
            <w:pPr>
              <w:spacing w:after="0" w:line="260" w:lineRule="auto"/>
              <w:jc w:val="left"/>
            </w:pPr>
            <w:r>
              <w:rPr>
                <w:rFonts w:ascii="Calibri" w:eastAsia="Calibri" w:hAnsi="Calibri" w:cs="Calibri"/>
                <w:sz w:val="19"/>
                <w:szCs w:val="19"/>
              </w:rPr>
              <w:t>Meridian Operations Center</w:t>
            </w:r>
          </w:p>
        </w:tc>
      </w:tr>
      <w:tr w:rsidR="00DA7972" w14:paraId="4F4F97CE" w14:textId="77777777">
        <w:tc>
          <w:tcPr>
            <w:tcW w:w="3003" w:type="dxa"/>
          </w:tcPr>
          <w:p w14:paraId="74865F4C" w14:textId="77777777" w:rsidR="00DA7972" w:rsidRDefault="00000000">
            <w:pPr>
              <w:spacing w:after="0" w:line="260" w:lineRule="auto"/>
              <w:jc w:val="left"/>
            </w:pPr>
            <w:r>
              <w:rPr>
                <w:rFonts w:ascii="Calibri" w:eastAsia="Calibri" w:hAnsi="Calibri" w:cs="Calibri"/>
                <w:sz w:val="19"/>
                <w:szCs w:val="19"/>
              </w:rPr>
              <w:t>Neutral Keel observation summary</w:t>
            </w:r>
          </w:p>
        </w:tc>
        <w:tc>
          <w:tcPr>
            <w:tcW w:w="3003" w:type="dxa"/>
          </w:tcPr>
          <w:p w14:paraId="6202E59C" w14:textId="77777777" w:rsidR="00DA7972" w:rsidRDefault="00000000">
            <w:pPr>
              <w:spacing w:after="0" w:line="260" w:lineRule="auto"/>
              <w:jc w:val="left"/>
            </w:pPr>
            <w:r>
              <w:rPr>
                <w:rFonts w:ascii="Calibri" w:eastAsia="Calibri" w:hAnsi="Calibri" w:cs="Calibri"/>
                <w:sz w:val="19"/>
                <w:szCs w:val="19"/>
              </w:rPr>
              <w:t>Weekly</w:t>
            </w:r>
          </w:p>
        </w:tc>
        <w:tc>
          <w:tcPr>
            <w:tcW w:w="3004" w:type="dxa"/>
          </w:tcPr>
          <w:p w14:paraId="242F8D61" w14:textId="77777777" w:rsidR="00DA7972" w:rsidRDefault="00000000">
            <w:pPr>
              <w:spacing w:after="0" w:line="260" w:lineRule="auto"/>
              <w:jc w:val="left"/>
            </w:pPr>
            <w:r>
              <w:rPr>
                <w:rFonts w:ascii="Calibri" w:eastAsia="Calibri" w:hAnsi="Calibri" w:cs="Calibri"/>
                <w:sz w:val="19"/>
                <w:szCs w:val="19"/>
              </w:rPr>
              <w:t>Neutral Keel Office</w:t>
            </w:r>
          </w:p>
        </w:tc>
      </w:tr>
      <w:tr w:rsidR="00DA7972" w14:paraId="5ACED2FE" w14:textId="77777777">
        <w:tc>
          <w:tcPr>
            <w:tcW w:w="3003" w:type="dxa"/>
          </w:tcPr>
          <w:p w14:paraId="3B7FA44F" w14:textId="77777777" w:rsidR="00DA7972" w:rsidRDefault="00000000">
            <w:pPr>
              <w:spacing w:after="0" w:line="260" w:lineRule="auto"/>
              <w:jc w:val="left"/>
            </w:pPr>
            <w:r>
              <w:rPr>
                <w:rFonts w:ascii="Calibri" w:eastAsia="Calibri" w:hAnsi="Calibri" w:cs="Calibri"/>
                <w:sz w:val="19"/>
                <w:szCs w:val="19"/>
              </w:rPr>
              <w:t>Notification-desk audit</w:t>
            </w:r>
          </w:p>
        </w:tc>
        <w:tc>
          <w:tcPr>
            <w:tcW w:w="3003" w:type="dxa"/>
          </w:tcPr>
          <w:p w14:paraId="2ACF48D0" w14:textId="77777777" w:rsidR="00DA7972" w:rsidRDefault="00000000">
            <w:pPr>
              <w:spacing w:after="0" w:line="260" w:lineRule="auto"/>
              <w:jc w:val="left"/>
            </w:pPr>
            <w:r>
              <w:rPr>
                <w:rFonts w:ascii="Calibri" w:eastAsia="Calibri" w:hAnsi="Calibri" w:cs="Calibri"/>
                <w:sz w:val="19"/>
                <w:szCs w:val="19"/>
              </w:rPr>
              <w:t>Monthly</w:t>
            </w:r>
          </w:p>
        </w:tc>
        <w:tc>
          <w:tcPr>
            <w:tcW w:w="3004" w:type="dxa"/>
          </w:tcPr>
          <w:p w14:paraId="6D290C6E" w14:textId="77777777" w:rsidR="00DA7972" w:rsidRDefault="00000000">
            <w:pPr>
              <w:spacing w:after="0" w:line="260" w:lineRule="auto"/>
              <w:jc w:val="left"/>
            </w:pPr>
            <w:r>
              <w:rPr>
                <w:rFonts w:ascii="Calibri" w:eastAsia="Calibri" w:hAnsi="Calibri" w:cs="Calibri"/>
                <w:sz w:val="19"/>
                <w:szCs w:val="19"/>
              </w:rPr>
              <w:t>Neutral Keel Office</w:t>
            </w:r>
          </w:p>
        </w:tc>
      </w:tr>
      <w:tr w:rsidR="00DA7972" w14:paraId="43AA42EF" w14:textId="77777777">
        <w:tc>
          <w:tcPr>
            <w:tcW w:w="3003" w:type="dxa"/>
          </w:tcPr>
          <w:p w14:paraId="4B813E01" w14:textId="77777777" w:rsidR="00DA7972" w:rsidRDefault="00000000">
            <w:pPr>
              <w:spacing w:after="0" w:line="260" w:lineRule="auto"/>
              <w:jc w:val="left"/>
            </w:pPr>
            <w:r>
              <w:rPr>
                <w:rFonts w:ascii="Calibri" w:eastAsia="Calibri" w:hAnsi="Calibri" w:cs="Calibri"/>
                <w:sz w:val="19"/>
                <w:szCs w:val="19"/>
              </w:rPr>
              <w:t>Fund statement</w:t>
            </w:r>
          </w:p>
        </w:tc>
        <w:tc>
          <w:tcPr>
            <w:tcW w:w="3003" w:type="dxa"/>
          </w:tcPr>
          <w:p w14:paraId="38347D23" w14:textId="77777777" w:rsidR="00DA7972" w:rsidRDefault="00000000">
            <w:pPr>
              <w:spacing w:after="0" w:line="260" w:lineRule="auto"/>
              <w:jc w:val="left"/>
            </w:pPr>
            <w:r>
              <w:rPr>
                <w:rFonts w:ascii="Calibri" w:eastAsia="Calibri" w:hAnsi="Calibri" w:cs="Calibri"/>
                <w:sz w:val="19"/>
                <w:szCs w:val="19"/>
              </w:rPr>
              <w:t>Monthly</w:t>
            </w:r>
          </w:p>
        </w:tc>
        <w:tc>
          <w:tcPr>
            <w:tcW w:w="3004" w:type="dxa"/>
          </w:tcPr>
          <w:p w14:paraId="50B17A36" w14:textId="77777777" w:rsidR="00DA7972" w:rsidRDefault="00000000">
            <w:pPr>
              <w:spacing w:after="0" w:line="260" w:lineRule="auto"/>
              <w:jc w:val="left"/>
            </w:pPr>
            <w:r>
              <w:rPr>
                <w:rFonts w:ascii="Calibri" w:eastAsia="Calibri" w:hAnsi="Calibri" w:cs="Calibri"/>
                <w:sz w:val="19"/>
                <w:szCs w:val="19"/>
              </w:rPr>
              <w:t>Neutral Administrator</w:t>
            </w:r>
          </w:p>
        </w:tc>
      </w:tr>
      <w:tr w:rsidR="00DA7972" w14:paraId="52395060" w14:textId="77777777">
        <w:tc>
          <w:tcPr>
            <w:tcW w:w="3003" w:type="dxa"/>
          </w:tcPr>
          <w:p w14:paraId="75D69214" w14:textId="77777777" w:rsidR="00DA7972" w:rsidRDefault="00000000">
            <w:pPr>
              <w:spacing w:after="0" w:line="260" w:lineRule="auto"/>
              <w:jc w:val="left"/>
            </w:pPr>
            <w:r>
              <w:rPr>
                <w:rFonts w:ascii="Calibri" w:eastAsia="Calibri" w:hAnsi="Calibri" w:cs="Calibri"/>
                <w:sz w:val="19"/>
                <w:szCs w:val="19"/>
              </w:rPr>
              <w:t>Reciprocity Ledger and standings</w:t>
            </w:r>
          </w:p>
        </w:tc>
        <w:tc>
          <w:tcPr>
            <w:tcW w:w="3003" w:type="dxa"/>
          </w:tcPr>
          <w:p w14:paraId="43AEFF81" w14:textId="77777777" w:rsidR="00DA7972" w:rsidRDefault="00000000">
            <w:pPr>
              <w:spacing w:after="0" w:line="260" w:lineRule="auto"/>
              <w:jc w:val="left"/>
            </w:pPr>
            <w:r>
              <w:rPr>
                <w:rFonts w:ascii="Calibri" w:eastAsia="Calibri" w:hAnsi="Calibri" w:cs="Calibri"/>
                <w:sz w:val="19"/>
                <w:szCs w:val="19"/>
              </w:rPr>
              <w:t>Quarterly</w:t>
            </w:r>
          </w:p>
        </w:tc>
        <w:tc>
          <w:tcPr>
            <w:tcW w:w="3004" w:type="dxa"/>
          </w:tcPr>
          <w:p w14:paraId="2B8CC39E" w14:textId="77777777" w:rsidR="00DA7972" w:rsidRDefault="00000000">
            <w:pPr>
              <w:spacing w:after="0" w:line="260" w:lineRule="auto"/>
              <w:jc w:val="left"/>
            </w:pPr>
            <w:r>
              <w:rPr>
                <w:rFonts w:ascii="Calibri" w:eastAsia="Calibri" w:hAnsi="Calibri" w:cs="Calibri"/>
                <w:sz w:val="19"/>
                <w:szCs w:val="19"/>
              </w:rPr>
              <w:t>Neutral Administrator, audited by the Neutral Keel Office</w:t>
            </w:r>
          </w:p>
        </w:tc>
      </w:tr>
      <w:tr w:rsidR="00DA7972" w14:paraId="29F9263C" w14:textId="77777777">
        <w:tc>
          <w:tcPr>
            <w:tcW w:w="3003" w:type="dxa"/>
          </w:tcPr>
          <w:p w14:paraId="7BCD53C1" w14:textId="77777777" w:rsidR="00DA7972" w:rsidRDefault="00000000">
            <w:pPr>
              <w:spacing w:after="0" w:line="260" w:lineRule="auto"/>
              <w:jc w:val="left"/>
            </w:pPr>
            <w:r>
              <w:rPr>
                <w:rFonts w:ascii="Calibri" w:eastAsia="Calibri" w:hAnsi="Calibri" w:cs="Calibri"/>
                <w:sz w:val="19"/>
                <w:szCs w:val="19"/>
              </w:rPr>
              <w:t>Environmental report</w:t>
            </w:r>
          </w:p>
        </w:tc>
        <w:tc>
          <w:tcPr>
            <w:tcW w:w="3003" w:type="dxa"/>
          </w:tcPr>
          <w:p w14:paraId="0F130E00" w14:textId="77777777" w:rsidR="00DA7972" w:rsidRDefault="00000000">
            <w:pPr>
              <w:spacing w:after="0" w:line="260" w:lineRule="auto"/>
              <w:jc w:val="left"/>
            </w:pPr>
            <w:r>
              <w:rPr>
                <w:rFonts w:ascii="Calibri" w:eastAsia="Calibri" w:hAnsi="Calibri" w:cs="Calibri"/>
                <w:sz w:val="19"/>
                <w:szCs w:val="19"/>
              </w:rPr>
              <w:t>Quarterly</w:t>
            </w:r>
          </w:p>
        </w:tc>
        <w:tc>
          <w:tcPr>
            <w:tcW w:w="3004" w:type="dxa"/>
          </w:tcPr>
          <w:p w14:paraId="690CC547" w14:textId="77777777" w:rsidR="00DA7972" w:rsidRDefault="00000000">
            <w:pPr>
              <w:spacing w:after="0" w:line="260" w:lineRule="auto"/>
              <w:jc w:val="left"/>
            </w:pPr>
            <w:r>
              <w:rPr>
                <w:rFonts w:ascii="Calibri" w:eastAsia="Calibri" w:hAnsi="Calibri" w:cs="Calibri"/>
                <w:sz w:val="19"/>
                <w:szCs w:val="19"/>
              </w:rPr>
              <w:t>Meridian Operations Center</w:t>
            </w:r>
          </w:p>
        </w:tc>
      </w:tr>
      <w:tr w:rsidR="00DA7972" w14:paraId="16B57044" w14:textId="77777777">
        <w:tc>
          <w:tcPr>
            <w:tcW w:w="3003" w:type="dxa"/>
          </w:tcPr>
          <w:p w14:paraId="563CA5C9" w14:textId="77777777" w:rsidR="00DA7972" w:rsidRDefault="00000000">
            <w:pPr>
              <w:spacing w:after="0" w:line="260" w:lineRule="auto"/>
              <w:jc w:val="left"/>
            </w:pPr>
            <w:r>
              <w:rPr>
                <w:rFonts w:ascii="Calibri" w:eastAsia="Calibri" w:hAnsi="Calibri" w:cs="Calibri"/>
                <w:sz w:val="19"/>
                <w:szCs w:val="19"/>
              </w:rPr>
              <w:t>Service quality index</w:t>
            </w:r>
          </w:p>
        </w:tc>
        <w:tc>
          <w:tcPr>
            <w:tcW w:w="3003" w:type="dxa"/>
          </w:tcPr>
          <w:p w14:paraId="6FB0EFA0" w14:textId="77777777" w:rsidR="00DA7972" w:rsidRDefault="00000000">
            <w:pPr>
              <w:spacing w:after="0" w:line="260" w:lineRule="auto"/>
              <w:jc w:val="left"/>
            </w:pPr>
            <w:r>
              <w:rPr>
                <w:rFonts w:ascii="Calibri" w:eastAsia="Calibri" w:hAnsi="Calibri" w:cs="Calibri"/>
                <w:sz w:val="19"/>
                <w:szCs w:val="19"/>
              </w:rPr>
              <w:t>Quarterly</w:t>
            </w:r>
          </w:p>
        </w:tc>
        <w:tc>
          <w:tcPr>
            <w:tcW w:w="3004" w:type="dxa"/>
          </w:tcPr>
          <w:p w14:paraId="71E5C4A2" w14:textId="77777777" w:rsidR="00DA7972" w:rsidRDefault="00000000">
            <w:pPr>
              <w:spacing w:after="0" w:line="260" w:lineRule="auto"/>
              <w:jc w:val="left"/>
            </w:pPr>
            <w:r>
              <w:rPr>
                <w:rFonts w:ascii="Calibri" w:eastAsia="Calibri" w:hAnsi="Calibri" w:cs="Calibri"/>
                <w:sz w:val="19"/>
                <w:szCs w:val="19"/>
              </w:rPr>
              <w:t>Neutral Keel Office</w:t>
            </w:r>
          </w:p>
        </w:tc>
      </w:tr>
      <w:tr w:rsidR="00DA7972" w14:paraId="30939232" w14:textId="77777777">
        <w:tc>
          <w:tcPr>
            <w:tcW w:w="3003" w:type="dxa"/>
          </w:tcPr>
          <w:p w14:paraId="49A0AC75" w14:textId="77777777" w:rsidR="00DA7972" w:rsidRDefault="00000000">
            <w:pPr>
              <w:spacing w:after="0" w:line="260" w:lineRule="auto"/>
              <w:jc w:val="left"/>
            </w:pPr>
            <w:r>
              <w:rPr>
                <w:rFonts w:ascii="Calibri" w:eastAsia="Calibri" w:hAnsi="Calibri" w:cs="Calibri"/>
                <w:sz w:val="19"/>
                <w:szCs w:val="19"/>
              </w:rPr>
              <w:t>Audit summaries</w:t>
            </w:r>
          </w:p>
        </w:tc>
        <w:tc>
          <w:tcPr>
            <w:tcW w:w="3003" w:type="dxa"/>
          </w:tcPr>
          <w:p w14:paraId="3404D07B" w14:textId="77777777" w:rsidR="00DA7972" w:rsidRDefault="00000000">
            <w:pPr>
              <w:spacing w:after="0" w:line="260" w:lineRule="auto"/>
              <w:jc w:val="left"/>
            </w:pPr>
            <w:r>
              <w:rPr>
                <w:rFonts w:ascii="Calibri" w:eastAsia="Calibri" w:hAnsi="Calibri" w:cs="Calibri"/>
                <w:sz w:val="19"/>
                <w:szCs w:val="19"/>
              </w:rPr>
              <w:t>Annual and per engagement</w:t>
            </w:r>
          </w:p>
        </w:tc>
        <w:tc>
          <w:tcPr>
            <w:tcW w:w="3004" w:type="dxa"/>
          </w:tcPr>
          <w:p w14:paraId="37BEDF91" w14:textId="77777777" w:rsidR="00DA7972" w:rsidRDefault="00000000">
            <w:pPr>
              <w:spacing w:after="0" w:line="260" w:lineRule="auto"/>
              <w:jc w:val="left"/>
            </w:pPr>
            <w:r>
              <w:rPr>
                <w:rFonts w:ascii="Calibri" w:eastAsia="Calibri" w:hAnsi="Calibri" w:cs="Calibri"/>
                <w:sz w:val="19"/>
                <w:szCs w:val="19"/>
              </w:rPr>
              <w:t>External auditor; Neutral Keel Office</w:t>
            </w:r>
          </w:p>
        </w:tc>
      </w:tr>
      <w:tr w:rsidR="00DA7972" w14:paraId="66AD6256" w14:textId="77777777">
        <w:tc>
          <w:tcPr>
            <w:tcW w:w="3003" w:type="dxa"/>
          </w:tcPr>
          <w:p w14:paraId="285C5DCF" w14:textId="77777777" w:rsidR="00DA7972" w:rsidRDefault="00000000">
            <w:pPr>
              <w:spacing w:after="0" w:line="260" w:lineRule="auto"/>
              <w:jc w:val="left"/>
            </w:pPr>
            <w:r>
              <w:rPr>
                <w:rFonts w:ascii="Calibri" w:eastAsia="Calibri" w:hAnsi="Calibri" w:cs="Calibri"/>
                <w:sz w:val="19"/>
                <w:szCs w:val="19"/>
              </w:rPr>
              <w:t>Incident trends and decision-log analysis</w:t>
            </w:r>
          </w:p>
        </w:tc>
        <w:tc>
          <w:tcPr>
            <w:tcW w:w="3003" w:type="dxa"/>
          </w:tcPr>
          <w:p w14:paraId="7A879946" w14:textId="77777777" w:rsidR="00DA7972" w:rsidRDefault="00000000">
            <w:pPr>
              <w:spacing w:after="0" w:line="260" w:lineRule="auto"/>
              <w:jc w:val="left"/>
            </w:pPr>
            <w:r>
              <w:rPr>
                <w:rFonts w:ascii="Calibri" w:eastAsia="Calibri" w:hAnsi="Calibri" w:cs="Calibri"/>
                <w:sz w:val="19"/>
                <w:szCs w:val="19"/>
              </w:rPr>
              <w:t>Annual</w:t>
            </w:r>
          </w:p>
        </w:tc>
        <w:tc>
          <w:tcPr>
            <w:tcW w:w="3004" w:type="dxa"/>
          </w:tcPr>
          <w:p w14:paraId="3F1012C8" w14:textId="77777777" w:rsidR="00DA7972" w:rsidRDefault="00000000">
            <w:pPr>
              <w:spacing w:after="0" w:line="260" w:lineRule="auto"/>
              <w:jc w:val="left"/>
            </w:pPr>
            <w:r>
              <w:rPr>
                <w:rFonts w:ascii="Calibri" w:eastAsia="Calibri" w:hAnsi="Calibri" w:cs="Calibri"/>
                <w:sz w:val="19"/>
                <w:szCs w:val="19"/>
              </w:rPr>
              <w:t>Meridian Operations Center</w:t>
            </w:r>
          </w:p>
        </w:tc>
      </w:tr>
      <w:tr w:rsidR="00DA7972" w14:paraId="70758A29" w14:textId="77777777">
        <w:tc>
          <w:tcPr>
            <w:tcW w:w="3003" w:type="dxa"/>
          </w:tcPr>
          <w:p w14:paraId="24A27BB9" w14:textId="77777777" w:rsidR="00DA7972" w:rsidRDefault="00000000">
            <w:pPr>
              <w:spacing w:after="0" w:line="260" w:lineRule="auto"/>
              <w:jc w:val="left"/>
            </w:pPr>
            <w:r>
              <w:rPr>
                <w:rFonts w:ascii="Calibri" w:eastAsia="Calibri" w:hAnsi="Calibri" w:cs="Calibri"/>
                <w:sz w:val="19"/>
                <w:szCs w:val="19"/>
              </w:rPr>
              <w:t>State of the Strait report</w:t>
            </w:r>
          </w:p>
        </w:tc>
        <w:tc>
          <w:tcPr>
            <w:tcW w:w="3003" w:type="dxa"/>
          </w:tcPr>
          <w:p w14:paraId="08713310" w14:textId="77777777" w:rsidR="00DA7972" w:rsidRDefault="00000000">
            <w:pPr>
              <w:spacing w:after="0" w:line="260" w:lineRule="auto"/>
              <w:jc w:val="left"/>
            </w:pPr>
            <w:r>
              <w:rPr>
                <w:rFonts w:ascii="Calibri" w:eastAsia="Calibri" w:hAnsi="Calibri" w:cs="Calibri"/>
                <w:sz w:val="19"/>
                <w:szCs w:val="19"/>
              </w:rPr>
              <w:t>Annual, per Article 11.8</w:t>
            </w:r>
          </w:p>
        </w:tc>
        <w:tc>
          <w:tcPr>
            <w:tcW w:w="3004" w:type="dxa"/>
          </w:tcPr>
          <w:p w14:paraId="79C0B1E5" w14:textId="77777777" w:rsidR="00DA7972" w:rsidRDefault="00000000">
            <w:pPr>
              <w:spacing w:after="0" w:line="260" w:lineRule="auto"/>
              <w:jc w:val="left"/>
            </w:pPr>
            <w:r>
              <w:rPr>
                <w:rFonts w:ascii="Calibri" w:eastAsia="Calibri" w:hAnsi="Calibri" w:cs="Calibri"/>
                <w:sz w:val="19"/>
                <w:szCs w:val="19"/>
              </w:rPr>
              <w:t>Meridian Operations Center</w:t>
            </w:r>
          </w:p>
        </w:tc>
      </w:tr>
      <w:tr w:rsidR="00DA7972" w14:paraId="2E24D69F" w14:textId="77777777">
        <w:tc>
          <w:tcPr>
            <w:tcW w:w="3003" w:type="dxa"/>
          </w:tcPr>
          <w:p w14:paraId="68423D5B" w14:textId="77777777" w:rsidR="00DA7972" w:rsidRDefault="00000000">
            <w:pPr>
              <w:spacing w:after="0" w:line="260" w:lineRule="auto"/>
              <w:jc w:val="left"/>
            </w:pPr>
            <w:r>
              <w:rPr>
                <w:rFonts w:ascii="Calibri" w:eastAsia="Calibri" w:hAnsi="Calibri" w:cs="Calibri"/>
                <w:sz w:val="19"/>
                <w:szCs w:val="19"/>
              </w:rPr>
              <w:t>Integrity review of the protected core</w:t>
            </w:r>
          </w:p>
        </w:tc>
        <w:tc>
          <w:tcPr>
            <w:tcW w:w="3003" w:type="dxa"/>
          </w:tcPr>
          <w:p w14:paraId="5038ACA4" w14:textId="77777777" w:rsidR="00DA7972" w:rsidRDefault="00000000">
            <w:pPr>
              <w:spacing w:after="0" w:line="260" w:lineRule="auto"/>
              <w:jc w:val="left"/>
            </w:pPr>
            <w:r>
              <w:rPr>
                <w:rFonts w:ascii="Calibri" w:eastAsia="Calibri" w:hAnsi="Calibri" w:cs="Calibri"/>
                <w:sz w:val="19"/>
                <w:szCs w:val="19"/>
              </w:rPr>
              <w:t>Annual, per Article 36.5</w:t>
            </w:r>
          </w:p>
        </w:tc>
        <w:tc>
          <w:tcPr>
            <w:tcW w:w="3004" w:type="dxa"/>
          </w:tcPr>
          <w:p w14:paraId="2943EE97" w14:textId="77777777" w:rsidR="00DA7972" w:rsidRDefault="00000000">
            <w:pPr>
              <w:spacing w:after="0" w:line="260" w:lineRule="auto"/>
              <w:jc w:val="left"/>
            </w:pPr>
            <w:r>
              <w:rPr>
                <w:rFonts w:ascii="Calibri" w:eastAsia="Calibri" w:hAnsi="Calibri" w:cs="Calibri"/>
                <w:sz w:val="19"/>
                <w:szCs w:val="19"/>
              </w:rPr>
              <w:t>Independent Assurance Council</w:t>
            </w:r>
          </w:p>
        </w:tc>
      </w:tr>
    </w:tbl>
    <w:p w14:paraId="564A5B57" w14:textId="77777777" w:rsidR="00DA7972" w:rsidRDefault="00DA7972">
      <w:pPr>
        <w:spacing w:after="60"/>
      </w:pPr>
    </w:p>
    <w:p w14:paraId="7D9F00AD" w14:textId="77777777" w:rsidR="00DA7972" w:rsidRDefault="00000000">
      <w:pPr>
        <w:pStyle w:val="Caption"/>
      </w:pPr>
      <w:r>
        <w:rPr>
          <w:rFonts w:eastAsia="Calibri" w:cs="Calibri"/>
          <w:szCs w:val="18"/>
        </w:rPr>
        <w:t>Table R.2: Publication schedules; every product reaches all Parties and the public tiers simultaneously</w:t>
      </w:r>
    </w:p>
    <w:p w14:paraId="57E9F883" w14:textId="77777777" w:rsidR="00DA7972" w:rsidRDefault="00000000">
      <w:pPr>
        <w:pStyle w:val="Heading3"/>
      </w:pPr>
      <w:r>
        <w:rPr>
          <w:rFonts w:eastAsia="Calibri" w:cs="Calibri"/>
          <w:szCs w:val="22"/>
        </w:rPr>
        <w:t>R.3 Use of metrics</w:t>
      </w:r>
    </w:p>
    <w:p w14:paraId="45EFA99C" w14:textId="77777777" w:rsidR="00DA7972" w:rsidRDefault="00000000">
      <w:r>
        <w:rPr>
          <w:rFonts w:eastAsia="Georgia" w:cs="Georgia"/>
          <w:szCs w:val="21"/>
        </w:rPr>
        <w:t>Metrics inform the ladder, the quality premium, the standing formula, and the architecture review. A metric never classifies an event by itself: classification travels the human-anchored path of Article 31, with metrics as evidence, never as verdict.</w:t>
      </w:r>
    </w:p>
    <w:p w14:paraId="164A8E5B" w14:textId="77777777" w:rsidR="00DA7972" w:rsidRDefault="00000000">
      <w:pPr>
        <w:pStyle w:val="Heading1"/>
      </w:pPr>
      <w:bookmarkStart w:id="79" w:name="_Toc236229960"/>
      <w:r>
        <w:rPr>
          <w:rFonts w:eastAsia="Calibri" w:cs="Calibri"/>
          <w:szCs w:val="32"/>
        </w:rPr>
        <w:lastRenderedPageBreak/>
        <w:t>Annex S: Implementation Maturity Levels and Worked Examples</w:t>
      </w:r>
      <w:bookmarkEnd w:id="79"/>
    </w:p>
    <w:p w14:paraId="4543F3E1" w14:textId="77777777" w:rsidR="00DA7972" w:rsidRDefault="00000000">
      <w:pPr>
        <w:pStyle w:val="Heading3"/>
      </w:pPr>
      <w:r>
        <w:rPr>
          <w:rFonts w:eastAsia="Calibri" w:cs="Calibri"/>
          <w:szCs w:val="22"/>
        </w:rPr>
        <w:t>S.1 The maturity scale</w:t>
      </w:r>
    </w:p>
    <w:p w14:paraId="5AEFC8C4" w14:textId="77777777" w:rsidR="00DA7972" w:rsidRDefault="00000000">
      <w:r>
        <w:rPr>
          <w:rFonts w:eastAsia="Georgia" w:cs="Georgia"/>
          <w:szCs w:val="21"/>
        </w:rPr>
        <w:t>The Accord describes its own operational maturity on a published scale, so that every participant and every market reads the system's development state without ambiguity. The phases of Article 37 mark activation; the maturity levels mark capability. The Council certifies the current level at each quarterly session on the Neutral Keel Office's assessment, and the certification publishes in the Bulletin. Maturity never gates rights: every right in this Accord operates at every level from entry into force.</w:t>
      </w:r>
    </w:p>
    <w:tbl>
      <w:tblPr>
        <w:tblW w:w="5000" w:type="pct"/>
        <w:tblInd w:w="100" w:type="dxa"/>
        <w:tblBorders>
          <w:top w:val="single" w:sz="10" w:space="0" w:color="546E7A"/>
          <w:left w:val="nil"/>
          <w:bottom w:val="single" w:sz="10" w:space="0" w:color="546E7A"/>
          <w:right w:val="nil"/>
          <w:insideH w:val="single" w:sz="1" w:space="0" w:color="B0BEC5"/>
          <w:insideV w:val="nil"/>
        </w:tblBorders>
        <w:tblCellMar>
          <w:top w:w="70" w:type="dxa"/>
          <w:left w:w="100" w:type="dxa"/>
          <w:bottom w:w="70" w:type="dxa"/>
          <w:right w:w="100" w:type="dxa"/>
        </w:tblCellMar>
        <w:tblLook w:val="04A0" w:firstRow="1" w:lastRow="0" w:firstColumn="1" w:lastColumn="0" w:noHBand="0" w:noVBand="1"/>
      </w:tblPr>
      <w:tblGrid>
        <w:gridCol w:w="3075"/>
        <w:gridCol w:w="3075"/>
        <w:gridCol w:w="3076"/>
      </w:tblGrid>
      <w:tr w:rsidR="00DA7972" w14:paraId="243628AB" w14:textId="77777777">
        <w:trPr>
          <w:tblHeader/>
        </w:trPr>
        <w:tc>
          <w:tcPr>
            <w:tcW w:w="3003" w:type="dxa"/>
            <w:tcBorders>
              <w:bottom w:val="single" w:sz="6" w:space="0" w:color="546E7A"/>
            </w:tcBorders>
            <w:shd w:val="clear" w:color="auto" w:fill="E4E9EC"/>
          </w:tcPr>
          <w:p w14:paraId="3BF5F2BA" w14:textId="77777777" w:rsidR="00DA7972" w:rsidRDefault="00000000">
            <w:pPr>
              <w:spacing w:after="0" w:line="260" w:lineRule="auto"/>
              <w:jc w:val="left"/>
            </w:pPr>
            <w:r>
              <w:rPr>
                <w:rFonts w:ascii="Calibri" w:eastAsia="Calibri" w:hAnsi="Calibri" w:cs="Calibri"/>
                <w:b/>
                <w:color w:val="37474F"/>
                <w:sz w:val="19"/>
                <w:szCs w:val="19"/>
              </w:rPr>
              <w:t>Level</w:t>
            </w:r>
          </w:p>
        </w:tc>
        <w:tc>
          <w:tcPr>
            <w:tcW w:w="3003" w:type="dxa"/>
            <w:tcBorders>
              <w:bottom w:val="single" w:sz="6" w:space="0" w:color="546E7A"/>
            </w:tcBorders>
            <w:shd w:val="clear" w:color="auto" w:fill="E4E9EC"/>
          </w:tcPr>
          <w:p w14:paraId="656D9625" w14:textId="77777777" w:rsidR="00DA7972" w:rsidRDefault="00000000">
            <w:pPr>
              <w:spacing w:after="0" w:line="260" w:lineRule="auto"/>
              <w:jc w:val="left"/>
            </w:pPr>
            <w:r>
              <w:rPr>
                <w:rFonts w:ascii="Calibri" w:eastAsia="Calibri" w:hAnsi="Calibri" w:cs="Calibri"/>
                <w:b/>
                <w:color w:val="37474F"/>
                <w:sz w:val="19"/>
                <w:szCs w:val="19"/>
              </w:rPr>
              <w:t>Name</w:t>
            </w:r>
          </w:p>
        </w:tc>
        <w:tc>
          <w:tcPr>
            <w:tcW w:w="3004" w:type="dxa"/>
            <w:tcBorders>
              <w:bottom w:val="single" w:sz="6" w:space="0" w:color="546E7A"/>
            </w:tcBorders>
            <w:shd w:val="clear" w:color="auto" w:fill="E4E9EC"/>
          </w:tcPr>
          <w:p w14:paraId="3825FBB5" w14:textId="77777777" w:rsidR="00DA7972" w:rsidRDefault="00000000">
            <w:pPr>
              <w:spacing w:after="0" w:line="260" w:lineRule="auto"/>
              <w:jc w:val="left"/>
            </w:pPr>
            <w:r>
              <w:rPr>
                <w:rFonts w:ascii="Calibri" w:eastAsia="Calibri" w:hAnsi="Calibri" w:cs="Calibri"/>
                <w:b/>
                <w:color w:val="37474F"/>
                <w:sz w:val="19"/>
                <w:szCs w:val="19"/>
              </w:rPr>
              <w:t>Capability description</w:t>
            </w:r>
          </w:p>
        </w:tc>
      </w:tr>
      <w:tr w:rsidR="00DA7972" w14:paraId="2081723D" w14:textId="77777777">
        <w:tc>
          <w:tcPr>
            <w:tcW w:w="3003" w:type="dxa"/>
          </w:tcPr>
          <w:p w14:paraId="4CC300C3" w14:textId="77777777" w:rsidR="00DA7972" w:rsidRDefault="00000000">
            <w:pPr>
              <w:spacing w:after="0" w:line="260" w:lineRule="auto"/>
              <w:jc w:val="left"/>
            </w:pPr>
            <w:r>
              <w:rPr>
                <w:rFonts w:ascii="Calibri" w:eastAsia="Calibri" w:hAnsi="Calibri" w:cs="Calibri"/>
                <w:sz w:val="19"/>
                <w:szCs w:val="19"/>
              </w:rPr>
              <w:t>Level 1</w:t>
            </w:r>
          </w:p>
        </w:tc>
        <w:tc>
          <w:tcPr>
            <w:tcW w:w="3003" w:type="dxa"/>
          </w:tcPr>
          <w:p w14:paraId="70010E1B" w14:textId="77777777" w:rsidR="00DA7972" w:rsidRDefault="00000000">
            <w:pPr>
              <w:spacing w:after="0" w:line="260" w:lineRule="auto"/>
              <w:jc w:val="left"/>
            </w:pPr>
            <w:r>
              <w:rPr>
                <w:rFonts w:ascii="Calibri" w:eastAsia="Calibri" w:hAnsi="Calibri" w:cs="Calibri"/>
                <w:sz w:val="19"/>
                <w:szCs w:val="19"/>
              </w:rPr>
              <w:t>Basic operation</w:t>
            </w:r>
          </w:p>
        </w:tc>
        <w:tc>
          <w:tcPr>
            <w:tcW w:w="3004" w:type="dxa"/>
          </w:tcPr>
          <w:p w14:paraId="738716C5" w14:textId="77777777" w:rsidR="00DA7972" w:rsidRDefault="00000000">
            <w:pPr>
              <w:spacing w:after="0" w:line="260" w:lineRule="auto"/>
              <w:jc w:val="left"/>
            </w:pPr>
            <w:r>
              <w:rPr>
                <w:rFonts w:ascii="Calibri" w:eastAsia="Calibri" w:hAnsi="Calibri" w:cs="Calibri"/>
                <w:sz w:val="19"/>
                <w:szCs w:val="19"/>
              </w:rPr>
              <w:t>Watch floor live; all three corridors scheduling; Bulletin publishing; acknowledgment-by-default tested; patrols and observers rotating; Fund executing first payments</w:t>
            </w:r>
          </w:p>
        </w:tc>
      </w:tr>
      <w:tr w:rsidR="00DA7972" w14:paraId="0D7C9964" w14:textId="77777777">
        <w:tc>
          <w:tcPr>
            <w:tcW w:w="3003" w:type="dxa"/>
          </w:tcPr>
          <w:p w14:paraId="21084C94" w14:textId="77777777" w:rsidR="00DA7972" w:rsidRDefault="00000000">
            <w:pPr>
              <w:spacing w:after="0" w:line="260" w:lineRule="auto"/>
              <w:jc w:val="left"/>
            </w:pPr>
            <w:r>
              <w:rPr>
                <w:rFonts w:ascii="Calibri" w:eastAsia="Calibri" w:hAnsi="Calibri" w:cs="Calibri"/>
                <w:sz w:val="19"/>
                <w:szCs w:val="19"/>
              </w:rPr>
              <w:t>Level 2</w:t>
            </w:r>
          </w:p>
        </w:tc>
        <w:tc>
          <w:tcPr>
            <w:tcW w:w="3003" w:type="dxa"/>
          </w:tcPr>
          <w:p w14:paraId="566E8901" w14:textId="77777777" w:rsidR="00DA7972" w:rsidRDefault="00000000">
            <w:pPr>
              <w:spacing w:after="0" w:line="260" w:lineRule="auto"/>
              <w:jc w:val="left"/>
            </w:pPr>
            <w:r>
              <w:rPr>
                <w:rFonts w:ascii="Calibri" w:eastAsia="Calibri" w:hAnsi="Calibri" w:cs="Calibri"/>
                <w:sz w:val="19"/>
                <w:szCs w:val="19"/>
              </w:rPr>
              <w:t>Integrated verification</w:t>
            </w:r>
          </w:p>
        </w:tc>
        <w:tc>
          <w:tcPr>
            <w:tcW w:w="3004" w:type="dxa"/>
          </w:tcPr>
          <w:p w14:paraId="698AD0E4" w14:textId="77777777" w:rsidR="00DA7972" w:rsidRDefault="00000000">
            <w:pPr>
              <w:spacing w:after="0" w:line="260" w:lineRule="auto"/>
              <w:jc w:val="left"/>
            </w:pPr>
            <w:r>
              <w:rPr>
                <w:rFonts w:ascii="Calibri" w:eastAsia="Calibri" w:hAnsi="Calibri" w:cs="Calibri"/>
                <w:sz w:val="19"/>
                <w:szCs w:val="19"/>
              </w:rPr>
              <w:t>Full verification stack operating with convergence discipline; observer coverage at target; signal-integrity watch live; cyber baseline of Article 26A certified; first stress-test cycle complete</w:t>
            </w:r>
          </w:p>
        </w:tc>
      </w:tr>
      <w:tr w:rsidR="00DA7972" w14:paraId="574F8930" w14:textId="77777777">
        <w:tc>
          <w:tcPr>
            <w:tcW w:w="3003" w:type="dxa"/>
          </w:tcPr>
          <w:p w14:paraId="00154DA6" w14:textId="77777777" w:rsidR="00DA7972" w:rsidRDefault="00000000">
            <w:pPr>
              <w:spacing w:after="0" w:line="260" w:lineRule="auto"/>
              <w:jc w:val="left"/>
            </w:pPr>
            <w:r>
              <w:rPr>
                <w:rFonts w:ascii="Calibri" w:eastAsia="Calibri" w:hAnsi="Calibri" w:cs="Calibri"/>
                <w:sz w:val="19"/>
                <w:szCs w:val="19"/>
              </w:rPr>
              <w:t>Level 3</w:t>
            </w:r>
          </w:p>
        </w:tc>
        <w:tc>
          <w:tcPr>
            <w:tcW w:w="3003" w:type="dxa"/>
          </w:tcPr>
          <w:p w14:paraId="4C50953F" w14:textId="77777777" w:rsidR="00DA7972" w:rsidRDefault="00000000">
            <w:pPr>
              <w:spacing w:after="0" w:line="260" w:lineRule="auto"/>
              <w:jc w:val="left"/>
            </w:pPr>
            <w:r>
              <w:rPr>
                <w:rFonts w:ascii="Calibri" w:eastAsia="Calibri" w:hAnsi="Calibri" w:cs="Calibri"/>
                <w:sz w:val="19"/>
                <w:szCs w:val="19"/>
              </w:rPr>
              <w:t>Full institutional capability</w:t>
            </w:r>
          </w:p>
        </w:tc>
        <w:tc>
          <w:tcPr>
            <w:tcW w:w="3004" w:type="dxa"/>
          </w:tcPr>
          <w:p w14:paraId="4A7A77B7" w14:textId="77777777" w:rsidR="00DA7972" w:rsidRDefault="00000000">
            <w:pPr>
              <w:spacing w:after="0" w:line="260" w:lineRule="auto"/>
              <w:jc w:val="left"/>
            </w:pPr>
            <w:r>
              <w:rPr>
                <w:rFonts w:ascii="Calibri" w:eastAsia="Calibri" w:hAnsi="Calibri" w:cs="Calibri"/>
                <w:sz w:val="19"/>
                <w:szCs w:val="19"/>
              </w:rPr>
              <w:t>All organs operating at full staffing and parity; all publication schedules met for four consecutive quarters; metrics within target bands; first architecture review delivered</w:t>
            </w:r>
          </w:p>
        </w:tc>
      </w:tr>
    </w:tbl>
    <w:p w14:paraId="214ECAE2" w14:textId="77777777" w:rsidR="00DA7972" w:rsidRDefault="00DA7972">
      <w:pPr>
        <w:spacing w:after="60"/>
      </w:pPr>
    </w:p>
    <w:p w14:paraId="66CA0EC6" w14:textId="77777777" w:rsidR="00DA7972" w:rsidRDefault="00000000">
      <w:pPr>
        <w:pStyle w:val="Caption"/>
      </w:pPr>
      <w:r>
        <w:rPr>
          <w:rFonts w:eastAsia="Calibri" w:cs="Calibri"/>
          <w:szCs w:val="18"/>
        </w:rPr>
        <w:t>Table S.1: Maturity levels; certification publishes quarterly</w:t>
      </w:r>
    </w:p>
    <w:p w14:paraId="70A5B77D" w14:textId="77777777" w:rsidR="00DA7972" w:rsidRDefault="00000000">
      <w:pPr>
        <w:pStyle w:val="Heading3"/>
      </w:pPr>
      <w:r>
        <w:rPr>
          <w:rFonts w:eastAsia="Calibri" w:cs="Calibri"/>
          <w:szCs w:val="22"/>
        </w:rPr>
        <w:t>S.2 Worked example: Class H verification with contradictory cargo documentation</w:t>
      </w:r>
    </w:p>
    <w:p w14:paraId="207D3664" w14:textId="77777777" w:rsidR="00DA7972" w:rsidRDefault="00000000">
      <w:r>
        <w:rPr>
          <w:rFonts w:eastAsia="Georgia" w:cs="Georgia"/>
          <w:szCs w:val="21"/>
        </w:rPr>
        <w:t>A product tanker files a Corridor Two notice declaring refined petroleum. A classification society refers the vessel under Article 9.5, attaching port documents that describe a different cargo category. The referral names the specific question and the evidence, so it passes the automatic screen. The vessel proceeds to Anchorage Alpha East. The joint team assembles within 24 hours: a flag-state inspector, an Iranian coastal inspector, and a Neutral Keel roster inspector. The team examines the full document set, finds the contradiction confined to one transshipment record, and verifies the cargo documents against the loading terminal's electronic record. No physical cargo examination occurs, because the documents close the gap. The vessel resumes transit at hour 31 with a verified-transit marker; the referral, the record, and the resolution publish; and the referring society's claim record notes a referral resolved without fault, which counts neutrally. The example illustrates the design: the question moves at anchorage, the corridor never feels it, and the record treats everyone fairly.</w:t>
      </w:r>
    </w:p>
    <w:p w14:paraId="7E9C5717" w14:textId="77777777" w:rsidR="00DA7972" w:rsidRDefault="00000000">
      <w:pPr>
        <w:pStyle w:val="Heading3"/>
      </w:pPr>
      <w:r>
        <w:rPr>
          <w:rFonts w:eastAsia="Calibri" w:cs="Calibri"/>
          <w:szCs w:val="22"/>
        </w:rPr>
        <w:lastRenderedPageBreak/>
        <w:t>S.3 Worked example: a late acknowledgment and the ladder</w:t>
      </w:r>
    </w:p>
    <w:p w14:paraId="4EC61979" w14:textId="77777777" w:rsidR="00DA7972" w:rsidRDefault="00000000">
      <w:r>
        <w:rPr>
          <w:rFonts w:eastAsia="Georgia" w:cs="Georgia"/>
          <w:szCs w:val="21"/>
        </w:rPr>
        <w:t>The notification desk acknowledges a notice at 74 minutes, past the 30-minute rule, and the vessel's transit proceeds unaffected because acknowledgment-by-default protected it. The Neutral Keel Office's monthly audit flags the latency; the Center issues a notice and cure under step one; the Co-Directors trace the cause to a staffing gap and cure it with a roster change within 7 days; the event closes as an Operational Variation with one P-1 point; and the pattern doctrine of Annex E.4 watches for repetition. The example illustrates proportionality: the system records the deviation, fixes the cause, and spends no political capital on an administrative hour.</w:t>
      </w:r>
    </w:p>
    <w:p w14:paraId="20CC0436" w14:textId="77777777" w:rsidR="00DA7972" w:rsidRDefault="00000000">
      <w:pPr>
        <w:pStyle w:val="Heading3"/>
      </w:pPr>
      <w:r>
        <w:rPr>
          <w:rFonts w:eastAsia="Calibri" w:cs="Calibri"/>
          <w:szCs w:val="22"/>
        </w:rPr>
        <w:t>S.4 Worked example: an unjustified Stop-Loss order</w:t>
      </w:r>
    </w:p>
    <w:p w14:paraId="4DCA4982" w14:textId="77777777" w:rsidR="00DA7972" w:rsidRDefault="00000000">
      <w:r>
        <w:rPr>
          <w:rFonts w:eastAsia="Georgia" w:cs="Georgia"/>
          <w:szCs w:val="21"/>
        </w:rPr>
        <w:t>The Neutral Keel Office issues a Stop-Loss order pausing one vessel's transit on a reported threat, and the Council's 24-hour review finds the evidence below the demonstrable-threat standard. The order lapses; the vessel's operator receives the compensation window's consideration where the delay qualifies; the order enters the Office's own record in the Ledger's institutional column; and the Independent Assurance Council notes the event in its next public comment. The example illustrates the symmetry of the architecture: the emergency brake is real, and so is its accountability.</w:t>
      </w:r>
    </w:p>
    <w:p w14:paraId="6472DB6A" w14:textId="77777777" w:rsidR="00DA7972" w:rsidRDefault="00000000">
      <w:pPr>
        <w:pStyle w:val="Heading3"/>
      </w:pPr>
      <w:r>
        <w:rPr>
          <w:rFonts w:eastAsia="Calibri" w:cs="Calibri"/>
          <w:szCs w:val="22"/>
        </w:rPr>
        <w:t>S.5 Worked example: accession of a new Acceding Member</w:t>
      </w:r>
    </w:p>
    <w:p w14:paraId="25584D86" w14:textId="77777777" w:rsidR="00DA7972" w:rsidRDefault="00000000">
      <w:r>
        <w:rPr>
          <w:rFonts w:eastAsia="Georgia" w:cs="Georgia"/>
          <w:szCs w:val="21"/>
        </w:rPr>
        <w:t>Kuwait deposits its instrument of accession. Thirty days later the depositary notifies entry into force for Kuwait; the Council seats Kuwait's two voting members; the staffing table adds Kuwaiti paired posts within the parity band of Annex L.5; Kuwait's endowment contribution follows the Annex C schedule; Kuwaiti officers begin watch certification under Article 14A.4; and the Bulletin welcomes the new member with the same prominence it gives every operational fact. The example illustrates the multilateral promise of Article 38: the door is real, the path is short, and the seat is equal.</w:t>
      </w:r>
    </w:p>
    <w:p w14:paraId="47A2C341" w14:textId="77777777" w:rsidR="00DA7972" w:rsidRDefault="00000000">
      <w:pPr>
        <w:pStyle w:val="Heading1"/>
      </w:pPr>
      <w:bookmarkStart w:id="80" w:name="_Toc236229961"/>
      <w:r>
        <w:rPr>
          <w:rFonts w:eastAsia="Calibri" w:cs="Calibri"/>
          <w:szCs w:val="32"/>
        </w:rPr>
        <w:lastRenderedPageBreak/>
        <w:t>Annex T: Architectural Principles: The Engineering Manual</w:t>
      </w:r>
      <w:bookmarkEnd w:id="80"/>
    </w:p>
    <w:p w14:paraId="4A296995" w14:textId="77777777" w:rsidR="00DA7972" w:rsidRDefault="00000000">
      <w:r>
        <w:rPr>
          <w:rFonts w:eastAsia="Georgia" w:cs="Georgia"/>
          <w:szCs w:val="21"/>
        </w:rPr>
        <w:t>This Annex explains why the Accord's principles exist, which historical failures they answer, how they guide interpretation, and how future amendments preserve them. It binds interpretation through Articles 3 and 5.2, and it guides drafting through the symmetry review of Article 39.3. Future negotiators read this Annex first: it is the Accord's account of itself.</w:t>
      </w:r>
    </w:p>
    <w:p w14:paraId="31C45238" w14:textId="77777777" w:rsidR="00DA7972" w:rsidRDefault="00000000">
      <w:pPr>
        <w:pStyle w:val="Heading3"/>
      </w:pPr>
      <w:r>
        <w:rPr>
          <w:rFonts w:eastAsia="Calibri" w:cs="Calibri"/>
          <w:szCs w:val="22"/>
        </w:rPr>
        <w:t>T.1 The Nofade Guarantee</w:t>
      </w:r>
    </w:p>
    <w:p w14:paraId="5393070F" w14:textId="77777777" w:rsidR="00DA7972" w:rsidRDefault="00000000">
      <w:r>
        <w:rPr>
          <w:rFonts w:eastAsia="Georgia" w:cs="Georgia"/>
          <w:szCs w:val="21"/>
        </w:rPr>
        <w:t>Why it exists. Every maritime arrangement in the region that carried a sunset died at its sunset, and several died before it, because parties hedge against expiry and hedging looks like bad faith. The Guarantee removes the expiry around which hedging organizes. Historical failure answered: the collapse of time-limited understandings whose final months became theaters of leverage. Interpretive influence: every doubt about duration resolves in favor of continuity, per Article 5.2, rule 8. Preservation rule for amendments: no amendment introduces a date-bound obligation, a silent lapse, or a reset at any boundary; where a mechanism needs review, the amendment uses a review with default continuity, never an expiry.</w:t>
      </w:r>
    </w:p>
    <w:p w14:paraId="4A82A6B0" w14:textId="77777777" w:rsidR="00DA7972" w:rsidRDefault="00000000">
      <w:pPr>
        <w:pStyle w:val="Heading3"/>
      </w:pPr>
      <w:r>
        <w:rPr>
          <w:rFonts w:eastAsia="Calibri" w:cs="Calibri"/>
          <w:szCs w:val="22"/>
        </w:rPr>
        <w:t>T.2 Mutual architecture</w:t>
      </w:r>
    </w:p>
    <w:p w14:paraId="1141786B" w14:textId="77777777" w:rsidR="00DA7972" w:rsidRDefault="00000000">
      <w:r>
        <w:rPr>
          <w:rFonts w:eastAsia="Georgia" w:cs="Georgia"/>
          <w:szCs w:val="21"/>
        </w:rPr>
        <w:t>Why it exists. Agreements written as one side's restraint for the other's benefit produce a creditor and a debtor, and the debtor eventually defaults. The Accord instead builds a structure that constrains and serves every participant through the same rules. Historical failure answered: asymmetric arrangements that domestic politics in one capital could portray as capitulation. Interpretive influence: every doubt about who bears a prohibition resolves toward equal application. Preservation rule: no amendment attaches an obligation to one Party or one class of Parties without a structurally identical attachment to all.</w:t>
      </w:r>
    </w:p>
    <w:p w14:paraId="17B5697B" w14:textId="77777777" w:rsidR="00DA7972" w:rsidRDefault="00000000">
      <w:pPr>
        <w:pStyle w:val="Heading3"/>
      </w:pPr>
      <w:r>
        <w:rPr>
          <w:rFonts w:eastAsia="Calibri" w:cs="Calibri"/>
          <w:szCs w:val="22"/>
        </w:rPr>
        <w:t>T.3 Multilateral balance</w:t>
      </w:r>
    </w:p>
    <w:p w14:paraId="259C4789" w14:textId="77777777" w:rsidR="00DA7972" w:rsidRDefault="00000000">
      <w:r>
        <w:rPr>
          <w:rFonts w:eastAsia="Georgia" w:cs="Georgia"/>
          <w:szCs w:val="21"/>
        </w:rPr>
        <w:t>Why it exists. The Strait touches eight coasts, and a governance system that seats two of them invites the other six to ignore it, obstruct it, or replicate it. Historical failure answered: bilateral arrangements that the region treated as foreign impositions. Interpretive influence: institutional questions resolve toward wider seating and never toward concentration. Preservation rule: no amendment reduces a Littoral Party's defined seat, vote, or parity protection, and every expansion mechanism stays open without time limit.</w:t>
      </w:r>
    </w:p>
    <w:p w14:paraId="777120EB" w14:textId="77777777" w:rsidR="00DA7972" w:rsidRDefault="00000000">
      <w:pPr>
        <w:pStyle w:val="Heading3"/>
      </w:pPr>
      <w:r>
        <w:rPr>
          <w:rFonts w:eastAsia="Calibri" w:cs="Calibri"/>
          <w:szCs w:val="22"/>
        </w:rPr>
        <w:t>T.4 Proportionality and restoration</w:t>
      </w:r>
    </w:p>
    <w:p w14:paraId="4A08C285" w14:textId="77777777" w:rsidR="00DA7972" w:rsidRDefault="00000000">
      <w:r>
        <w:rPr>
          <w:rFonts w:eastAsia="Georgia" w:cs="Georgia"/>
          <w:szCs w:val="21"/>
        </w:rPr>
        <w:t>Why they exist. Disproportionate consequences teach parties to fear the system, and systems that are feared are gamed. Graduated, reversible consequences with automatic earn-back keep every deviation inside the architecture. Historical failure answered: snapback regimes whose first serious use ended the agreement they enforced. Interpretive influence: consequence provisions read narrowly; restoration provisions read generously. Preservation rule: no amendment removes a restoration path, lengthens one, or adds a consequence without a paired earn-back.</w:t>
      </w:r>
    </w:p>
    <w:p w14:paraId="4D1B3890" w14:textId="77777777" w:rsidR="00DA7972" w:rsidRDefault="00000000">
      <w:pPr>
        <w:pStyle w:val="Heading3"/>
      </w:pPr>
      <w:r>
        <w:rPr>
          <w:rFonts w:eastAsia="Calibri" w:cs="Calibri"/>
          <w:szCs w:val="22"/>
        </w:rPr>
        <w:lastRenderedPageBreak/>
        <w:t>T.5 The humanitarian absolute</w:t>
      </w:r>
    </w:p>
    <w:p w14:paraId="2855DAC2" w14:textId="77777777" w:rsidR="00DA7972" w:rsidRDefault="00000000">
      <w:r>
        <w:rPr>
          <w:rFonts w:eastAsia="Georgia" w:cs="Georgia"/>
          <w:szCs w:val="21"/>
        </w:rPr>
        <w:t>Why it exists. Humanitarian carve-outs that yield under pressure are not carve-outs; they are hostages. The absolute protects the flows that politics never touches, because the day medicine waits on a dispute, the Accord loses the moral ground that justifies everything else in it. Historical failure answered: sanctions and counter-measure regimes that starved civilian populations while claiming precision. Interpretive influence: every doubt resolves in favor of the flow. Preservation rule: no amendment narrows the humanitarian firewall, the Surge, or the distress priority, in any circumstance.</w:t>
      </w:r>
    </w:p>
    <w:p w14:paraId="00B61448" w14:textId="77777777" w:rsidR="00DA7972" w:rsidRDefault="00000000">
      <w:pPr>
        <w:pStyle w:val="Heading3"/>
      </w:pPr>
      <w:r>
        <w:rPr>
          <w:rFonts w:eastAsia="Calibri" w:cs="Calibri"/>
          <w:szCs w:val="22"/>
        </w:rPr>
        <w:t>T.6 Modularity and the anti-cascade firewall</w:t>
      </w:r>
    </w:p>
    <w:p w14:paraId="6434AC6D" w14:textId="77777777" w:rsidR="00DA7972" w:rsidRDefault="00000000">
      <w:r>
        <w:rPr>
          <w:rFonts w:eastAsia="Georgia" w:cs="Georgia"/>
          <w:szCs w:val="21"/>
        </w:rPr>
        <w:t>Why they exist. Coupled systems fail together. The Accord separates domains so that a financial dispute cannot stop a rescue and a safety incident cannot stop a payment. Historical failure answered: comprehensive settlements in which one file's collapse took down every other file. Interpretive influence: spillover reads against itself; the firewall reads broadly. Preservation rule: no amendment adds coupling between modules except through the certified-spillover path of Article 31.8.</w:t>
      </w:r>
    </w:p>
    <w:p w14:paraId="53C7BA1F" w14:textId="77777777" w:rsidR="00DA7972" w:rsidRDefault="00000000">
      <w:pPr>
        <w:pStyle w:val="Heading3"/>
      </w:pPr>
      <w:r>
        <w:rPr>
          <w:rFonts w:eastAsia="Calibri" w:cs="Calibri"/>
          <w:szCs w:val="22"/>
        </w:rPr>
        <w:t>T.7 Human judgment above automation</w:t>
      </w:r>
    </w:p>
    <w:p w14:paraId="303C2B7A" w14:textId="77777777" w:rsidR="00DA7972" w:rsidRDefault="00000000">
      <w:r>
        <w:rPr>
          <w:rFonts w:eastAsia="Georgia" w:cs="Georgia"/>
          <w:szCs w:val="21"/>
        </w:rPr>
        <w:t>Why it exists. Automated escalation is escalation without a mind, and the region has seen where unreviewed triggers lead. The Accord lets machines flag and never lets them judge. Historical failure answered: automated alert chains that compressed decision time past the point where wisdom operates. Interpretive influence: any automated process reads as advisory unless the text expressly assigns a human review, in which case the review is real. Preservation rule: no amendment removes a human review step or converts a classification to automation.</w:t>
      </w:r>
    </w:p>
    <w:p w14:paraId="0F5CB699" w14:textId="77777777" w:rsidR="00DA7972" w:rsidRDefault="00000000">
      <w:pPr>
        <w:pStyle w:val="Heading3"/>
      </w:pPr>
      <w:r>
        <w:rPr>
          <w:rFonts w:eastAsia="Calibri" w:cs="Calibri"/>
          <w:szCs w:val="22"/>
        </w:rPr>
        <w:t>T.8 Structural decoupling of force</w:t>
      </w:r>
    </w:p>
    <w:p w14:paraId="72D5C5CC" w14:textId="77777777" w:rsidR="00DA7972" w:rsidRDefault="00000000">
      <w:r>
        <w:rPr>
          <w:rFonts w:eastAsia="Georgia" w:cs="Georgia"/>
          <w:szCs w:val="21"/>
        </w:rPr>
        <w:t>Why it exists. A compliance system able to summon force becomes a war trigger with an administrative face. The Accord classifies, publishes, and repairs, and it leaves force to constitutions, outside itself. Historical failure answered: enforcement mechanisms that laundered political decisions into automatic conflict. Interpretive influence: no provision reads as an authorization of force, ever. Preservation rule: absolute; Article 27.9 admits no amendment below the elevated threshold.</w:t>
      </w:r>
    </w:p>
    <w:p w14:paraId="0E12287C" w14:textId="77777777" w:rsidR="00DA7972" w:rsidRDefault="00000000">
      <w:pPr>
        <w:pStyle w:val="Heading3"/>
      </w:pPr>
      <w:r>
        <w:rPr>
          <w:rFonts w:eastAsia="Calibri" w:cs="Calibri"/>
          <w:szCs w:val="22"/>
        </w:rPr>
        <w:t>T.9 Civilian character</w:t>
      </w:r>
    </w:p>
    <w:p w14:paraId="69A7DCCF" w14:textId="77777777" w:rsidR="00DA7972" w:rsidRDefault="00000000">
      <w:r>
        <w:rPr>
          <w:rFonts w:eastAsia="Georgia" w:cs="Georgia"/>
          <w:szCs w:val="21"/>
        </w:rPr>
        <w:t>Why it exists. A militarized governance body is a command post, and nobody trusts a command post with their shipping. Civilian professionals keep the architecture legible as service rather than strategy. Historical failure answered: coordination bodies that became extensions of one side's security apparatus. Interpretive influence: staffing and liaison questions resolve toward the civilian reading. Preservation rule: no amendment admits military personnel to operational posts.</w:t>
      </w:r>
    </w:p>
    <w:p w14:paraId="67CEE124" w14:textId="77777777" w:rsidR="00DA7972" w:rsidRDefault="00000000">
      <w:pPr>
        <w:pStyle w:val="Heading3"/>
      </w:pPr>
      <w:r>
        <w:rPr>
          <w:rFonts w:eastAsia="Calibri" w:cs="Calibri"/>
          <w:szCs w:val="22"/>
        </w:rPr>
        <w:t>T.10 Transparency over trust</w:t>
      </w:r>
    </w:p>
    <w:p w14:paraId="06A00A28" w14:textId="77777777" w:rsidR="00DA7972" w:rsidRDefault="00000000">
      <w:r>
        <w:rPr>
          <w:rFonts w:eastAsia="Georgia" w:cs="Georgia"/>
          <w:szCs w:val="21"/>
        </w:rPr>
        <w:t>Why it exists. Assurances decay; records do not. The Accord publishes everything publishable so that confidence rests on what every participant checks. Historical failure answered: confidential-</w:t>
      </w:r>
      <w:r>
        <w:rPr>
          <w:rFonts w:eastAsia="Georgia" w:cs="Georgia"/>
          <w:szCs w:val="21"/>
        </w:rPr>
        <w:lastRenderedPageBreak/>
        <w:t>compliance regimes in which each side's suspicions grew in the dark. Interpretive influence: publication obligations read broadly; confidentiality exceptions read narrowly. Preservation rule: no amendment reduces a publication schedule or closes a record without an elevated amendment.</w:t>
      </w:r>
    </w:p>
    <w:p w14:paraId="44B25F79" w14:textId="77777777" w:rsidR="00DA7972" w:rsidRDefault="00000000">
      <w:pPr>
        <w:pStyle w:val="Heading3"/>
      </w:pPr>
      <w:r>
        <w:rPr>
          <w:rFonts w:eastAsia="Calibri" w:cs="Calibri"/>
          <w:szCs w:val="22"/>
        </w:rPr>
        <w:t>T.11 Cost discipline</w:t>
      </w:r>
    </w:p>
    <w:p w14:paraId="0A056E9D" w14:textId="77777777" w:rsidR="00DA7972" w:rsidRDefault="00000000">
      <w:r>
        <w:rPr>
          <w:rFonts w:eastAsia="Georgia" w:cs="Georgia"/>
          <w:szCs w:val="21"/>
        </w:rPr>
        <w:t>Why it exists. Expensive architectures die of their own budgets. The Accord reuses existing schemes, institutions, and infrastructure wherever they carry the load, and builds only what nothing else carries. Historical failure answered: over-built frameworks that collapsed when donor attention moved on. Interpretive influence: new-structure proposals carry the burden of showing that no existing structure serves. Preservation rule: every amendment states its cost and its reuse analysis in the symmetry review.</w:t>
      </w:r>
    </w:p>
    <w:p w14:paraId="0D7145B8" w14:textId="77777777" w:rsidR="00DA7972" w:rsidRDefault="00000000">
      <w:pPr>
        <w:pStyle w:val="Heading3"/>
      </w:pPr>
      <w:r>
        <w:rPr>
          <w:rFonts w:eastAsia="Calibri" w:cs="Calibri"/>
          <w:szCs w:val="22"/>
        </w:rPr>
        <w:t>T.12 Verification with dignity</w:t>
      </w:r>
    </w:p>
    <w:p w14:paraId="4D8C5EA9" w14:textId="77777777" w:rsidR="00DA7972" w:rsidRDefault="00000000">
      <w:r>
        <w:rPr>
          <w:rFonts w:eastAsia="Georgia" w:cs="Georgia"/>
          <w:szCs w:val="21"/>
        </w:rPr>
        <w:t>Why it exists. Verification that humiliates produces evasion; verification that protects dignity produces compliance. The Convergence Standard, the human anchor, and the anchor-and-verify design verify conduct without degrading any participant. Historical failure answered: inspection regimes that became instruments of pressure and collapsed into resistance. Interpretive influence: verification provisions resolve toward the two-input, human-signed reading. Preservation rule: no amendment permits a finding on a single input or a verification act designed to degrade.</w:t>
      </w:r>
    </w:p>
    <w:p w14:paraId="1D1869CA" w14:textId="77777777" w:rsidR="00DA7972" w:rsidRDefault="00000000">
      <w:pPr>
        <w:pStyle w:val="Heading1"/>
      </w:pPr>
      <w:bookmarkStart w:id="81" w:name="_Toc236229962"/>
      <w:r>
        <w:rPr>
          <w:rFonts w:eastAsia="Calibri" w:cs="Calibri"/>
          <w:i/>
          <w:color w:val="78909C"/>
          <w:sz w:val="18"/>
          <w:szCs w:val="32"/>
        </w:rPr>
        <w:lastRenderedPageBreak/>
        <w:t>Annex U: Transition and Integration of National Structures</w:t>
      </w:r>
      <w:bookmarkEnd w:id="81"/>
    </w:p>
    <w:p w14:paraId="4C9F2F8B" w14:textId="77777777" w:rsidR="00DA7972" w:rsidRDefault="00000000">
      <w:pPr>
        <w:pStyle w:val="Heading3"/>
      </w:pPr>
      <w:r>
        <w:rPr>
          <w:rFonts w:eastAsia="Calibri" w:cs="Calibri"/>
          <w:szCs w:val="22"/>
        </w:rPr>
        <w:t>U.1 Transfer of functions</w:t>
      </w:r>
    </w:p>
    <w:p w14:paraId="11EFB413" w14:textId="77777777" w:rsidR="00DA7972" w:rsidRDefault="00000000">
      <w:r>
        <w:rPr>
          <w:rFonts w:eastAsia="Georgia" w:cs="Georgia"/>
          <w:szCs w:val="21"/>
        </w:rPr>
        <w:t>The following functions of the Founding Members' national maritime coordination structures transfer to the Meridian Operations Center upon entry into force: (a) corridor vessel traffic service operations; (b) notification and acknowledgment systems; (c) watch rotas; and (d) traffic records. The transition schedule of Annex L governs the timing of each transfer.</w:t>
      </w:r>
    </w:p>
    <w:p w14:paraId="33DC08CE" w14:textId="77777777" w:rsidR="00DA7972" w:rsidRDefault="00000000">
      <w:pPr>
        <w:pStyle w:val="Heading3"/>
      </w:pPr>
      <w:r>
        <w:rPr>
          <w:rFonts w:eastAsia="Calibri" w:cs="Calibri"/>
          <w:szCs w:val="22"/>
        </w:rPr>
        <w:t>U.2 Personnel</w:t>
      </w:r>
    </w:p>
    <w:p w14:paraId="1B4AA0C1" w14:textId="77777777" w:rsidR="00DA7972" w:rsidRDefault="00000000">
      <w:r>
        <w:rPr>
          <w:rFonts w:eastAsia="Georgia" w:cs="Georgia"/>
          <w:szCs w:val="21"/>
        </w:rPr>
        <w:t>Personnel of the transferred structures receive priority for Center posts, subject to certification under Article 14.2.</w:t>
      </w:r>
    </w:p>
    <w:p w14:paraId="1905BE65" w14:textId="77777777" w:rsidR="00DA7972" w:rsidRDefault="00000000">
      <w:pPr>
        <w:pStyle w:val="Heading3"/>
      </w:pPr>
      <w:r>
        <w:rPr>
          <w:rFonts w:eastAsia="Calibri" w:cs="Calibri"/>
          <w:szCs w:val="22"/>
        </w:rPr>
        <w:t>U.3 Transition disputes</w:t>
      </w:r>
    </w:p>
    <w:p w14:paraId="0C65D79A" w14:textId="77777777" w:rsidR="00DA7972" w:rsidRDefault="00000000">
      <w:r>
        <w:rPr>
          <w:rFonts w:eastAsia="Georgia" w:cs="Georgia"/>
          <w:szCs w:val="21"/>
        </w:rPr>
        <w:t>Any dispute concerning the transfer of functions, records, or personnel routes to the Technical and Standards Committee, which resolves it within 30 days. The Committee's determination binds the Parties.</w:t>
      </w:r>
    </w:p>
    <w:p w14:paraId="3A0CD72F" w14:textId="77777777" w:rsidR="00DA7972" w:rsidRDefault="00000000">
      <w:pPr>
        <w:pStyle w:val="Heading3"/>
      </w:pPr>
      <w:r>
        <w:rPr>
          <w:rFonts w:eastAsia="Calibri" w:cs="Calibri"/>
          <w:szCs w:val="22"/>
        </w:rPr>
        <w:t>U.4 No diminution</w:t>
      </w:r>
    </w:p>
    <w:p w14:paraId="19A7EE4F" w14:textId="77777777" w:rsidR="00DA7972" w:rsidRDefault="00000000">
      <w:r>
        <w:rPr>
          <w:rFonts w:eastAsia="Georgia" w:cs="Georgia"/>
          <w:szCs w:val="21"/>
        </w:rPr>
        <w:t>No function transferred under this Annex diminishes during the transition or thereafter. The Center holds every transferred function at full capability from the moment of transfer.</w:t>
      </w:r>
    </w:p>
    <w:p w14:paraId="5A6E0412" w14:textId="77777777" w:rsidR="00DA7972" w:rsidRDefault="00000000">
      <w:pPr>
        <w:pStyle w:val="Heading3"/>
      </w:pPr>
      <w:r>
        <w:rPr>
          <w:rFonts w:eastAsia="Calibri" w:cs="Calibri"/>
          <w:szCs w:val="22"/>
        </w:rPr>
        <w:t>U.5 Permanence</w:t>
      </w:r>
    </w:p>
    <w:p w14:paraId="499F094B" w14:textId="77777777" w:rsidR="00DA7972" w:rsidRDefault="00000000">
      <w:r>
        <w:rPr>
          <w:rFonts w:eastAsia="Georgia" w:cs="Georgia"/>
          <w:szCs w:val="21"/>
        </w:rPr>
        <w:t>This Annex is permanent and continues without expiry under the Nofade Guarantee of Article 4.</w:t>
      </w:r>
    </w:p>
    <w:sectPr w:rsidR="00DA7972">
      <w:headerReference w:type="default" r:id="rId8"/>
      <w:footerReference w:type="default" r:id="rId9"/>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06A4D" w14:textId="77777777" w:rsidR="007735D8" w:rsidRDefault="007735D8">
      <w:pPr>
        <w:spacing w:after="0" w:line="240" w:lineRule="auto"/>
      </w:pPr>
      <w:r>
        <w:separator/>
      </w:r>
    </w:p>
  </w:endnote>
  <w:endnote w:type="continuationSeparator" w:id="0">
    <w:p w14:paraId="22F3C575" w14:textId="77777777" w:rsidR="007735D8" w:rsidRDefault="00773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439B0" w14:textId="77777777" w:rsidR="00DA7972" w:rsidRDefault="00000000">
    <w:pPr>
      <w:pBdr>
        <w:top w:val="single" w:sz="2" w:space="4" w:color="B0BEC5"/>
      </w:pBdr>
      <w:jc w:val="center"/>
    </w:pPr>
    <w:r>
      <w:rPr>
        <w:rFonts w:ascii="Calibri" w:hAnsi="Calibri"/>
        <w:color w:val="78909C"/>
        <w:sz w:val="18"/>
      </w:rPr>
      <w:t xml:space="preserve">Page </w:t>
    </w:r>
    <w:r>
      <w:rPr>
        <w:rFonts w:ascii="Calibri" w:hAnsi="Calibri"/>
        <w:color w:val="78909C"/>
        <w:sz w:val="18"/>
      </w:rPr>
      <w:fldChar w:fldCharType="begin"/>
    </w:r>
    <w:r>
      <w:rPr>
        <w:rFonts w:ascii="Calibri" w:hAnsi="Calibri"/>
        <w:color w:val="78909C"/>
        <w:sz w:val="18"/>
      </w:rPr>
      <w:instrText xml:space="preserve"> PAGE </w:instrText>
    </w:r>
    <w:r>
      <w:rPr>
        <w:rFonts w:ascii="Calibri" w:hAnsi="Calibri"/>
        <w:color w:val="78909C"/>
        <w:sz w:val="18"/>
      </w:rPr>
      <w:fldChar w:fldCharType="separate"/>
    </w:r>
    <w:r>
      <w:rPr>
        <w:rFonts w:ascii="Calibri" w:hAnsi="Calibri"/>
        <w:color w:val="78909C"/>
        <w:sz w:val="18"/>
      </w:rPr>
      <w:t>1</w:t>
    </w:r>
    <w:r>
      <w:rPr>
        <w:rFonts w:ascii="Calibri" w:hAnsi="Calibri"/>
        <w:color w:val="78909C"/>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C57C0" w14:textId="77777777" w:rsidR="00DA7972" w:rsidRDefault="00000000">
    <w:pPr>
      <w:pBdr>
        <w:top w:val="single" w:sz="2" w:space="4" w:color="B0BEC5"/>
      </w:pBdr>
      <w:jc w:val="center"/>
    </w:pPr>
    <w:r>
      <w:rPr>
        <w:rFonts w:ascii="Calibri" w:hAnsi="Calibri"/>
        <w:color w:val="78909C"/>
        <w:sz w:val="18"/>
      </w:rPr>
      <w:t xml:space="preserve">Page </w:t>
    </w:r>
    <w:r>
      <w:rPr>
        <w:rFonts w:ascii="Calibri" w:hAnsi="Calibri"/>
        <w:color w:val="78909C"/>
        <w:sz w:val="18"/>
      </w:rPr>
      <w:fldChar w:fldCharType="begin"/>
    </w:r>
    <w:r>
      <w:rPr>
        <w:rFonts w:ascii="Calibri" w:hAnsi="Calibri"/>
        <w:color w:val="78909C"/>
        <w:sz w:val="18"/>
      </w:rPr>
      <w:instrText xml:space="preserve"> PAGE </w:instrText>
    </w:r>
    <w:r>
      <w:rPr>
        <w:rFonts w:ascii="Calibri" w:hAnsi="Calibri"/>
        <w:color w:val="78909C"/>
        <w:sz w:val="18"/>
      </w:rPr>
      <w:fldChar w:fldCharType="separate"/>
    </w:r>
    <w:r>
      <w:rPr>
        <w:rFonts w:ascii="Calibri" w:hAnsi="Calibri"/>
        <w:color w:val="78909C"/>
        <w:sz w:val="18"/>
      </w:rPr>
      <w:t>1</w:t>
    </w:r>
    <w:r>
      <w:rPr>
        <w:rFonts w:ascii="Calibri" w:hAnsi="Calibri"/>
        <w:color w:val="78909C"/>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0711A" w14:textId="77777777" w:rsidR="007735D8" w:rsidRDefault="007735D8">
      <w:pPr>
        <w:spacing w:after="0" w:line="240" w:lineRule="auto"/>
      </w:pPr>
      <w:r>
        <w:separator/>
      </w:r>
    </w:p>
  </w:footnote>
  <w:footnote w:type="continuationSeparator" w:id="0">
    <w:p w14:paraId="1397D6E5" w14:textId="77777777" w:rsidR="007735D8" w:rsidRDefault="007735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1A582" w14:textId="77777777" w:rsidR="00DA7972" w:rsidRDefault="00000000">
    <w:pPr>
      <w:pBdr>
        <w:bottom w:val="single" w:sz="2" w:space="4" w:color="B0BEC5"/>
      </w:pBdr>
      <w:jc w:val="right"/>
    </w:pPr>
    <w:r>
      <w:rPr>
        <w:rFonts w:ascii="Calibri" w:hAnsi="Calibri"/>
        <w:caps/>
        <w:color w:val="78909C"/>
        <w:sz w:val="16"/>
      </w:rPr>
      <w:t>The Stillwater Accord  ·  Multilateral Governance of the Strait of Hormuz</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5C3D" w14:textId="77777777" w:rsidR="00DA7972" w:rsidRDefault="00000000">
    <w:pPr>
      <w:pBdr>
        <w:bottom w:val="single" w:sz="2" w:space="4" w:color="B0BEC5"/>
      </w:pBdr>
      <w:jc w:val="right"/>
    </w:pPr>
    <w:r>
      <w:rPr>
        <w:rFonts w:ascii="Calibri" w:hAnsi="Calibri"/>
        <w:caps/>
        <w:color w:val="78909C"/>
        <w:sz w:val="16"/>
      </w:rPr>
      <w:t>The Stillwater Accord  ·  Multilateral Governance of the Strait of Hormuz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A7972"/>
    <w:rsid w:val="001F1E7D"/>
    <w:rsid w:val="005539D3"/>
    <w:rsid w:val="007735D8"/>
    <w:rsid w:val="00DA79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1DFC3"/>
  <w15:docId w15:val="{49F99618-7940-4DC8-9C8D-97723F0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jc w:val="both"/>
    </w:pPr>
    <w:rPr>
      <w:rFonts w:ascii="Georgia" w:hAnsi="Georgia"/>
      <w:color w:val="212121"/>
      <w:sz w:val="21"/>
    </w:rPr>
  </w:style>
  <w:style w:type="paragraph" w:styleId="Heading1">
    <w:name w:val="heading 1"/>
    <w:basedOn w:val="Normal"/>
    <w:uiPriority w:val="9"/>
    <w:qFormat/>
    <w:pPr>
      <w:keepNext/>
      <w:keepLines/>
      <w:pageBreakBefore/>
      <w:spacing w:after="280"/>
      <w:jc w:val="left"/>
      <w:outlineLvl w:val="0"/>
    </w:pPr>
    <w:rPr>
      <w:rFonts w:ascii="Calibri" w:hAnsi="Calibri"/>
      <w:b/>
      <w:caps/>
      <w:color w:val="37474F"/>
      <w:spacing w:val="12"/>
      <w:sz w:val="32"/>
    </w:rPr>
  </w:style>
  <w:style w:type="paragraph" w:styleId="Heading2">
    <w:name w:val="heading 2"/>
    <w:basedOn w:val="Normal"/>
    <w:uiPriority w:val="9"/>
    <w:unhideWhenUsed/>
    <w:qFormat/>
    <w:pPr>
      <w:keepNext/>
      <w:keepLines/>
      <w:spacing w:before="360" w:after="160"/>
      <w:jc w:val="left"/>
      <w:outlineLvl w:val="1"/>
    </w:pPr>
    <w:rPr>
      <w:rFonts w:ascii="Calibri" w:hAnsi="Calibri"/>
      <w:b/>
      <w:color w:val="37474F"/>
      <w:spacing w:val="12"/>
      <w:sz w:val="26"/>
    </w:rPr>
  </w:style>
  <w:style w:type="paragraph" w:styleId="Heading3">
    <w:name w:val="heading 3"/>
    <w:basedOn w:val="Normal"/>
    <w:uiPriority w:val="9"/>
    <w:unhideWhenUsed/>
    <w:qFormat/>
    <w:pPr>
      <w:keepNext/>
      <w:keepLines/>
      <w:spacing w:before="280"/>
      <w:jc w:val="left"/>
      <w:outlineLvl w:val="2"/>
    </w:pPr>
    <w:rPr>
      <w:rFonts w:ascii="Calibri" w:hAnsi="Calibri"/>
      <w:b/>
      <w:color w:val="546E7A"/>
      <w:spacing w:val="12"/>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40"/>
      <w:jc w:val="center"/>
    </w:pPr>
    <w:rPr>
      <w:rFonts w:ascii="Calibri" w:hAnsi="Calibri"/>
      <w:i/>
      <w:color w:val="78909C"/>
      <w:sz w:val="18"/>
    </w:rPr>
  </w:style>
  <w:style w:type="paragraph" w:styleId="TOC1">
    <w:name w:val="toc 1"/>
    <w:uiPriority w:val="39"/>
    <w:pPr>
      <w:tabs>
        <w:tab w:val="right" w:leader="dot" w:pos="9010"/>
      </w:tabs>
      <w:spacing w:before="120" w:after="40"/>
    </w:pPr>
    <w:rPr>
      <w:rFonts w:ascii="Calibri" w:hAnsi="Calibri"/>
      <w:b/>
      <w:color w:val="37474F"/>
      <w:sz w:val="21"/>
    </w:rPr>
  </w:style>
  <w:style w:type="paragraph" w:styleId="TOC2">
    <w:name w:val="toc 2"/>
    <w:uiPriority w:val="39"/>
    <w:pPr>
      <w:tabs>
        <w:tab w:val="right" w:leader="dot" w:pos="9010"/>
      </w:tabs>
      <w:spacing w:after="20"/>
      <w:ind w:left="360"/>
    </w:pPr>
    <w:rPr>
      <w:rFonts w:ascii="Calibri" w:hAnsi="Calibri"/>
      <w:color w:val="212121"/>
      <w:sz w:val="20"/>
    </w:rPr>
  </w:style>
  <w:style w:type="character" w:styleId="Hyperlink">
    <w:name w:val="Hyperlink"/>
    <w:basedOn w:val="DefaultParagraphFont"/>
    <w:uiPriority w:val="99"/>
    <w:unhideWhenUsed/>
    <w:rsid w:val="001F1E7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111</Pages>
  <Words>38971</Words>
  <Characters>222141</Characters>
  <Application>Microsoft Office Word</Application>
  <DocSecurity>0</DocSecurity>
  <Lines>1851</Lines>
  <Paragraphs>521</Paragraphs>
  <ScaleCrop>false</ScaleCrop>
  <Company/>
  <LinksUpToDate>false</LinksUpToDate>
  <CharactersWithSpaces>260591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2026-07-29T19:04:00Z</dcterms:created>
  <dcterms:modified xsi:type="dcterms:W3CDTF">2026-07-29T19:04:00Z</dcterms:modified>
</cp:coreProperties>
</file>