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c35737623e954d86"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19196b9aa9245fe"/>
                    <a:stretch>
                      <a:fillRect/>
                    </a:stretch>
                  </pic:blipFill>
                  <pic:spPr>
                    <a:xfrm>
                      <a:off x="0" y="0"/>
                      <a:ext cx="7560000" cy="10692000"/>
                    </a:xfrm>
                    <a:prstGeom prst="rect"/>
                  </pic:spPr>
                </pic:pic>
              </a:graphicData>
            </a:graphic>
          </wp:anchor>
        </w:drawing>
      </w:r>
    </w:p>
    <w:p>
      <w:pPr>
        <w:spacing w:before="5000"/>
      </w:pPr>
      <w:r/>
    </w:p>
    <w:p>
      <w:pPr>
        <w:spacing w:after="400"/>
        <w:jc w:val="center"/>
      </w:pPr>
      <w:r>
        <w:rPr>
          <w:rFonts w:ascii="Inter" w:hAnsi="Inter"/>
          <w:color w:val="c9a84c"/>
          <w:spacing w:val="40"/>
          <w:sz w:val="16"/>
        </w:rPr>
        <w:t>DIPLOMATIC WORKING DOCUMENT — MODULAR ANNEX</w:t>
      </w:r>
    </w:p>
    <w:p>
      <w:pPr>
        <w:spacing w:after="300"/>
        <w:jc w:val="center"/>
      </w:pPr>
      <w:r>
        <w:rPr>
          <w:rFonts w:ascii="Inter" w:hAnsi="Inter"/>
          <w:b/>
          <w:color w:val="c9a84c"/>
          <w:spacing w:val="60"/>
          <w:sz w:val="96"/>
        </w:rPr>
        <w:t>ANNEX E</w:t>
      </w:r>
    </w:p>
    <w:p>
      <w:pPr>
        <w:spacing w:after="200"/>
        <w:jc w:val="center"/>
      </w:pPr>
      <w:r>
        <w:rPr>
          <w:rFonts w:ascii="Crimson Text" w:hAnsi="Crimson Text"/>
          <w:b/>
          <w:color w:val="f0ece3"/>
          <w:sz w:val="44"/>
        </w:rPr>
        <w:t>U.S. Assurance and</w:t>
      </w:r>
    </w:p>
    <w:p>
      <w:pPr>
        <w:spacing w:after="400"/>
        <w:jc w:val="center"/>
      </w:pPr>
      <w:r>
        <w:rPr>
          <w:rFonts w:ascii="Crimson Text" w:hAnsi="Crimson Text"/>
          <w:b/>
          <w:color w:val="f0ece3"/>
          <w:sz w:val="44"/>
        </w:rPr>
        <w:t>Dispute Resolution Protocol</w:t>
      </w:r>
    </w:p>
    <w:p>
      <w:pPr>
        <w:spacing w:after="2400"/>
        <w:jc w:val="center"/>
      </w:pPr>
      <w:r>
        <w:rPr>
          <w:rFonts w:ascii="Crimson Text" w:hAnsi="Crimson Text"/>
          <w:i/>
          <w:color w:val="b0a990"/>
          <w:sz w:val="22"/>
        </w:rPr>
        <w:t>Procedural Safeguards, Transparency Commitments, and</w:t>
      </w:r>
    </w:p>
    <w:p>
      <w:pPr>
        <w:spacing w:after="2000"/>
        <w:jc w:val="center"/>
      </w:pPr>
      <w:r>
        <w:rPr>
          <w:rFonts w:ascii="Crimson Text" w:hAnsi="Crimson Text"/>
          <w:i/>
          <w:color w:val="b0a990"/>
          <w:sz w:val="22"/>
        </w:rPr>
        <w:t>Expedited Binding Arbitration for U.S.-Iran Disputes</w:t>
      </w:r>
    </w:p>
    <w:p>
      <w:pPr>
        <w:spacing w:after="200"/>
        <w:jc w:val="center"/>
      </w:pPr>
      <w:r>
        <w:rPr>
          <w:rFonts w:ascii="Inter" w:hAnsi="Inter"/>
          <w:color w:val="8a7d5e"/>
          <w:spacing w:val="30"/>
          <w:sz w:val="16"/>
        </w:rPr>
        <w:t>Modular · Self-Contained · Incorporable by Reference</w:t>
      </w:r>
    </w:p>
    <w:p>
      <w:pPr>
        <w:jc w:val="center"/>
      </w:pPr>
      <w:r>
        <w:rPr>
          <w:rFonts w:ascii="Inter" w:hAnsi="Inter"/>
          <w:color w:val="8a7d5e"/>
          <w:spacing w:val="30"/>
          <w:sz w:val="16"/>
        </w:rPr>
        <w:t>MOU Pertaining to PEACE (v7.0) · June 2026</w:t>
      </w:r>
    </w:p>
    <w:p>
      <w:pPr>
        <w:sectPr>
          <w:type w:val="nextPage"/>
          <w:pgSz w:w="11906" w:h="16838"/>
          <w:pgMar w:top="0" w:right="0" w:bottom="0" w:left="0" w:header="0" w:footer="0"/>
          <w:titlePg/>
        </w:sectPr>
      </w:pPr>
    </w:p>
    <w:p>
      <w:pPr>
        <w:spacing w:before="600" w:after="600"/>
        <w:jc w:val="center"/>
      </w:pPr>
      <w:r>
        <w:rPr>
          <w:rFonts w:ascii="Inter" w:hAnsi="Inter"/>
          <w:b/>
          <w:color w:val="1a1a2e"/>
          <w:spacing w:val="30"/>
          <w:sz w:val="36"/>
        </w:rPr>
        <w:t>CONTENTS</w:t>
      </w:r>
    </w:p>
    <w:p>
      <w:r>
        <w:fldChar w:fldCharType="begin"/>
      </w:r>
      <w:r>
        <w:instrText xml:space="preserve"> TOC \o "1-3" \h \z \u </w:instrText>
      </w:r>
      <w:r>
        <w:fldChar w:fldCharType="separate"/>
      </w:r>
    </w:p>
    <w:p>
      <w:pPr>
        <w:pStyle w:val="TOC1"/>
      </w:pPr>
      <w:r>
        <w:t>Purpose</w:t>
      </w:r>
      <w:r>
        <w:tab/>
      </w:r>
      <w:r>
        <w:t>1</w:t>
      </w:r>
    </w:p>
    <w:p>
      <w:pPr>
        <w:pStyle w:val="TOC1"/>
      </w:pPr>
      <w:r>
        <w:t>Preamble (Operative, Binding)</w:t>
      </w:r>
      <w:r>
        <w:tab/>
      </w:r>
      <w:r>
        <w:t>2</w:t>
      </w:r>
    </w:p>
    <w:p>
      <w:pPr>
        <w:pStyle w:val="TOC1"/>
      </w:pPr>
      <w:r>
        <w:t>Article 1 — Non-Resumption of Nuclear-Related Sanctions</w:t>
      </w:r>
      <w:r>
        <w:tab/>
      </w:r>
      <w:r>
        <w:t>3</w:t>
      </w:r>
    </w:p>
    <w:p>
      <w:pPr>
        <w:pStyle w:val="TOC2"/>
      </w:pPr>
      <w:r>
        <w:t>1.1 Pledge (Binding, with Exception)</w:t>
      </w:r>
      <w:r>
        <w:tab/>
      </w:r>
      <w:r>
        <w:t>3</w:t>
      </w:r>
    </w:p>
    <w:p>
      <w:pPr>
        <w:pStyle w:val="TOC2"/>
      </w:pPr>
      <w:r>
        <w:t>1.2 Prohibition on Pretextual Re-imposition</w:t>
      </w:r>
      <w:r>
        <w:tab/>
      </w:r>
      <w:r>
        <w:t>3</w:t>
      </w:r>
    </w:p>
    <w:p>
      <w:pPr>
        <w:pStyle w:val="TOC2"/>
      </w:pPr>
      <w:r>
        <w:t>1.3 PCA Arbitration for Bad-Faith Re-imposition</w:t>
      </w:r>
      <w:r>
        <w:tab/>
      </w:r>
      <w:r>
        <w:t>4</w:t>
      </w:r>
    </w:p>
    <w:p>
      <w:pPr>
        <w:pStyle w:val="TOC1"/>
      </w:pPr>
      <w:r>
        <w:t>Article 2 — No Military Strikes Against Iranian Nuclear Facilities</w:t>
      </w:r>
      <w:r>
        <w:tab/>
      </w:r>
      <w:r>
        <w:t>4</w:t>
      </w:r>
    </w:p>
    <w:p>
      <w:pPr>
        <w:pStyle w:val="TOC2"/>
      </w:pPr>
      <w:r>
        <w:t>2.1 Political Assurance (Non-Binding, Recorded)</w:t>
      </w:r>
      <w:r>
        <w:tab/>
      </w:r>
      <w:r>
        <w:t>4</w:t>
      </w:r>
    </w:p>
    <w:p>
      <w:pPr>
        <w:pStyle w:val="TOC2"/>
      </w:pPr>
      <w:r>
        <w:t>2.2 No Legal Binding Effect</w:t>
      </w:r>
      <w:r>
        <w:tab/>
      </w:r>
      <w:r>
        <w:t>5</w:t>
      </w:r>
    </w:p>
    <w:p>
      <w:pPr>
        <w:pStyle w:val="TOC2"/>
      </w:pPr>
      <w:r>
        <w:t>2.3 Notification and Consultation</w:t>
      </w:r>
      <w:r>
        <w:tab/>
      </w:r>
      <w:r>
        <w:t>5</w:t>
      </w:r>
    </w:p>
    <w:p>
      <w:pPr>
        <w:pStyle w:val="TOC1"/>
      </w:pPr>
      <w:r>
        <w:t>Article 3 — Binding Dispute Resolution for U.S.-Iran Disputes</w:t>
      </w:r>
      <w:r>
        <w:tab/>
      </w:r>
      <w:r>
        <w:t>5</w:t>
      </w:r>
    </w:p>
    <w:p>
      <w:pPr>
        <w:pStyle w:val="TOC2"/>
      </w:pPr>
      <w:r>
        <w:t>3.1 Scope</w:t>
      </w:r>
      <w:r>
        <w:tab/>
      </w:r>
      <w:r>
        <w:t>5</w:t>
      </w:r>
    </w:p>
    <w:p>
      <w:pPr>
        <w:pStyle w:val="TOC2"/>
      </w:pPr>
      <w:r>
        <w:t>3.2 Expedited Timeline</w:t>
      </w:r>
      <w:r>
        <w:tab/>
      </w:r>
      <w:r>
        <w:t>6</w:t>
      </w:r>
    </w:p>
    <w:p>
      <w:pPr>
        <w:pStyle w:val="TOC2"/>
      </w:pPr>
      <w:r>
        <w:t>3.3 Remedies</w:t>
      </w:r>
      <w:r>
        <w:tab/>
      </w:r>
      <w:r>
        <w:t>6</w:t>
      </w:r>
    </w:p>
    <w:p>
      <w:pPr>
        <w:pStyle w:val="TOC2"/>
      </w:pPr>
      <w:r>
        <w:t>3.4 Israeli Actions Not Attributable to the United States</w:t>
      </w:r>
      <w:r>
        <w:tab/>
      </w:r>
      <w:r>
        <w:t>6</w:t>
      </w:r>
    </w:p>
    <w:p>
      <w:pPr>
        <w:pStyle w:val="TOC1"/>
      </w:pPr>
      <w:r>
        <w:t>Article 4 — Relationship to Other Annexes</w:t>
      </w:r>
      <w:r>
        <w:tab/>
      </w:r>
      <w:r>
        <w:t>7</w:t>
      </w:r>
    </w:p>
    <w:p>
      <w:pPr>
        <w:pStyle w:val="TOC1"/>
      </w:pPr>
      <w:r>
        <w:t>Article 5 — Duration</w:t>
      </w:r>
      <w:r>
        <w:tab/>
      </w:r>
      <w:r>
        <w:t>7</w:t>
      </w:r>
    </w:p>
    <w:p>
      <w:pPr>
        <w:pStyle w:val="TOC1"/>
      </w:pPr>
      <w:r>
        <w:t>Article 6 — Incorporation by Reference</w:t>
      </w:r>
      <w:r>
        <w:tab/>
      </w:r>
      <w:r>
        <w:t>8</w:t>
      </w:r>
    </w:p>
    <w:p>
      <w:pPr>
        <w:pStyle w:val="TOC1"/>
      </w:pPr>
      <w:r>
        <w:t>Practical Note for Negotiators (Informative)</w:t>
      </w:r>
      <w:r>
        <w:tab/>
      </w:r>
      <w:r>
        <w:t>8</w:t>
      </w:r>
    </w:p>
    <w:p>
      <w:pPr>
        <w:pStyle w:val="TOC1"/>
      </w:pPr>
      <w:r>
        <w:t>Signature Block</w:t>
      </w:r>
      <w:r>
        <w:tab/>
      </w:r>
      <w:r>
        <w:t>9</w:t>
      </w:r>
    </w:p>
    <w:p>
      <w:r>
        <w:fldChar w:fldCharType="end"/>
      </w:r>
    </w:p>
    <w:p>
      <w:pPr>
        <w:sectPr>
          <w:type w:val="nextPage"/>
          <w:pgSz w:w="11906" w:h="16838"/>
          <w:pgMar w:top="1800" w:right="1440" w:bottom="1440" w:left="1440" w:header="720" w:footer="720"/>
        </w:sectPr>
      </w:pPr>
    </w:p>
    <w:p>
      <w:pPr>
        <w:pStyle w:val="Heading1"/>
      </w:pPr>
      <w:r>
        <w:t>Purpose</w:t>
      </w:r>
      <w:bookmarkStart w:name="_TocPurpose" w:id="1"/>
      <w:bookmarkEnd w:id="1"/>
    </w:p>
    <w:p>
      <w:r>
        <w:t>Annex E provides a structured, verifiable framework for U.S. assurances that Iran requests, while respecting the constitutional and policy limits the United States articulates. It does not create legally binding no-strike or no-sanctions obligations in areas where the framework architecture excludes U.S. binding commitments. Instead, it establishes procedural safeguards, transparency commitments, and expedited dispute resolution that give Iran meaningful recourse.</w:t>
      </w:r>
    </w:p>
    <w:p>
      <w:r>
        <w:t>The Annex divides into three parts, matching the three missing elements the Parties identified.</w:t>
      </w:r>
    </w:p>
    <w:p>
      <w:pPr>
        <w:pStyle w:val="Heading1"/>
      </w:pPr>
      <w:r>
        <w:t>Preamble (Operative, Binding)</w:t>
      </w:r>
      <w:bookmarkStart w:name="_TocPreamble" w:id="2"/>
      <w:bookmarkEnd w:id="2"/>
    </w:p>
    <w:p>
      <w:r>
        <w:t>The Parties recognize that the stability of this MOU depends on predictable U.S. conduct during the 60-day implementation period and beyond. The United States affirms its commitment to the following procedural and substantive assurances, subject to its inherent right to self-defense and its obligations under the MOU's compliance architecture. Any dispute arising under this Annex falls under binding arbitration at the Permanent Court of Arbitration (PCA) in The Hague, using the expedited procedures of Annex O, Article 6.</w:t>
      </w:r>
    </w:p>
    <w:p>
      <w:r>
        <w:t>The framework architecture anchors this Annex in the following interpretive principles:</w:t>
      </w:r>
    </w:p>
    <w:p>
      <w:pPr>
        <w:spacing w:before="160" w:after="80"/>
      </w:pPr>
      <w:r>
        <w:rPr>
          <w:rFonts w:ascii="Inter" w:hAnsi="Inter"/>
          <w:b/>
        </w:rPr>
        <w:t>Present-tense mutual architecture. </w:t>
      </w:r>
      <w:r>
        <w:t>Each provision in this Annex functions as a feature of the shared framework, binding both Parties equally, rather than a unilateral restraint by one Party for the benefit of the other.</w:t>
      </w:r>
    </w:p>
    <w:p>
      <w:pPr>
        <w:spacing w:before="160" w:after="80"/>
      </w:pPr>
      <w:r>
        <w:rPr>
          <w:rFonts w:ascii="Inter" w:hAnsi="Inter"/>
          <w:b/>
        </w:rPr>
        <w:t>Non-recognition. </w:t>
      </w:r>
      <w:r>
        <w:t>Nothing in this Annex constitutes recognition of the other Party's government, political system, or regional policies, consistent with MOU Article 1.5.</w:t>
      </w:r>
    </w:p>
    <w:p>
      <w:pPr>
        <w:spacing w:before="160" w:after="80"/>
      </w:pPr>
      <w:r>
        <w:rPr>
          <w:rFonts w:ascii="Inter" w:hAnsi="Inter"/>
          <w:b/>
        </w:rPr>
        <w:t>Framing autonomy. </w:t>
      </w:r>
      <w:r>
        <w:t>Each Party describes this Annex to its own public in its own terminology; neither Party requires the other to adopt a specific label, consistent with MOU Article 1.7.</w:t>
      </w:r>
    </w:p>
    <w:p>
      <w:pPr>
        <w:spacing w:before="160" w:after="80"/>
      </w:pPr>
      <w:r>
        <w:rPr>
          <w:rFonts w:ascii="Inter" w:hAnsi="Inter"/>
          <w:b/>
        </w:rPr>
        <w:t>Sovereign equality. </w:t>
      </w:r>
      <w:r>
        <w:t>The framework architecture treats both states as equal sovereign entities. Neither Party subordinates itself to the other through the assurances recorded in this Annex.</w:t>
      </w:r>
    </w:p>
    <w:p>
      <w:pPr>
        <w:pStyle w:val="Heading1"/>
      </w:pPr>
      <w:r>
        <w:t>Article 1 — Non-Resumption of Nuclear-Related Sanctions</w:t>
      </w:r>
      <w:bookmarkStart w:name="_TocArt1" w:id="3"/>
      <w:bookmarkEnd w:id="3"/>
    </w:p>
    <w:p>
      <w:pPr>
        <w:pStyle w:val="Heading2"/>
      </w:pPr>
      <w:r>
        <w:t>1.1 Pledge (Binding, with Exception)</w:t>
      </w:r>
    </w:p>
    <w:p>
      <w:pPr>
        <w:pStyle w:val="Normal"/>
      </w:pPr>
      <w:r>
        <w:rPr>
          <w:rFonts w:ascii="Crimson Text" w:hAnsi="Crimson Text" w:eastAsia="Microsoft YaHei" w:cs="Crimson Text"/>
          <w:color w:val="2A2A2A"/>
          <w:sz w:val="22"/>
          <w:szCs w:val="22"/>
        </w:rPr>
        <w:t>The framework architecture prohibits the United States from re-imposing, re-designating, or reinstating any nuclear-related sanctions that this MOU suspends or terminates, unless:</w:t>
      </w:r>
    </w:p>
    <w:p>
      <w:pPr>
        <w:pStyle w:val="Normal"/>
        <w:spacing w:before="80" w:after="80"/>
        <w:ind w:left="720" w:hanging="360"/>
      </w:pPr>
      <w:r>
        <w:rPr>
          <w:rFonts w:ascii="Crimson Text" w:hAnsi="Crimson Text" w:eastAsia="Microsoft YaHei" w:cs="Crimson Text"/>
          <w:color w:val="2A2A2A"/>
          <w:sz w:val="22"/>
          <w:szCs w:val="22"/>
        </w:rPr>
        <w:t xml:space="preserve">(a)  The PCC issues a final, non-appealable determination of a Tier 3 Deliberate Hostile Violation by Iran under Annex T, and</w:t>
      </w:r>
    </w:p>
    <w:p>
      <w:pPr>
        <w:pStyle w:val="Normal"/>
        <w:spacing w:before="80" w:after="80"/>
        <w:ind w:left="720" w:hanging="360"/>
      </w:pPr>
      <w:r>
        <w:rPr>
          <w:rFonts w:ascii="Crimson Text" w:hAnsi="Crimson Text" w:eastAsia="Microsoft YaHei" w:cs="Crimson Text"/>
          <w:color w:val="2A2A2A"/>
          <w:sz w:val="22"/>
          <w:szCs w:val="22"/>
        </w:rPr>
        <w:t xml:space="preserve">(b)  The 90-day Tier 3 remediation window expires without remediation, or</w:t>
      </w:r>
    </w:p>
    <w:p>
      <w:pPr>
        <w:pStyle w:val="Normal"/>
        <w:spacing w:before="80" w:after="80"/>
        <w:ind w:left="720" w:hanging="360"/>
      </w:pPr>
      <w:r>
        <w:rPr>
          <w:rFonts w:ascii="Crimson Text" w:hAnsi="Crimson Text" w:eastAsia="Microsoft YaHei" w:cs="Crimson Text"/>
          <w:color w:val="2A2A2A"/>
          <w:sz w:val="22"/>
          <w:szCs w:val="22"/>
        </w:rPr>
        <w:t xml:space="preserve">(c)  The violation involves enrichment above 3.67% or diversion of HEU from dual-key custody, in which case the framework architecture permits the United States to re-impose sanctions immediately while simultaneously referring the matter to the PCC for retrospective review within 72 hours.</w:t>
      </w:r>
    </w:p>
    <w:p>
      <w:pPr>
        <w:pStyle w:val="Heading2"/>
      </w:pPr>
      <w:r>
        <w:rPr>
          <w:rFonts w:ascii="Inter" w:hAnsi="Inter" w:eastAsia="Microsoft YaHei" w:cs="Inter"/>
          <w:b/>
          <w:color w:val="1A1A2E"/>
          <w:sz w:val="26"/>
          <w:szCs w:val="26"/>
        </w:rPr>
        <w:t>1.2 Prohibition on Pretextual Re-imposition</w:t>
      </w:r>
    </w:p>
    <w:p>
      <w:pPr>
        <w:pStyle w:val="Normal"/>
      </w:pPr>
      <w:r>
        <w:rPr>
          <w:rFonts w:ascii="Crimson Text" w:hAnsi="Crimson Text" w:eastAsia="Microsoft YaHei" w:cs="Crimson Text"/>
          <w:color w:val="2A2A2A"/>
          <w:sz w:val="22"/>
          <w:szCs w:val="22"/>
        </w:rPr>
        <w:t>The framework architecture prohibits the United States from invoking a Tier 1 or Tier 2 technical variance as grounds for re-imposing nuclear-related sanctions. Any such attempt is automatically void and the framework architecture classifies it as a Tier 2 material disruption by the United States under Annex T.</w:t>
      </w:r>
    </w:p>
    <w:p>
      <w:pPr>
        <w:pStyle w:val="Heading2"/>
      </w:pPr>
      <w:r>
        <w:rPr>
          <w:rFonts w:ascii="Inter" w:hAnsi="Inter" w:eastAsia="Microsoft YaHei" w:cs="Inter"/>
          <w:b/>
          <w:color w:val="1A1A2E"/>
          <w:sz w:val="26"/>
          <w:szCs w:val="26"/>
        </w:rPr>
        <w:t>1.3 PCA Arbitration for Bad-Faith Re-imposition</w:t>
      </w:r>
    </w:p>
    <w:p>
      <w:pPr>
        <w:pStyle w:val="Normal"/>
      </w:pPr>
      <w:r>
        <w:rPr>
          <w:rFonts w:ascii="Crimson Text" w:hAnsi="Crimson Text" w:eastAsia="Microsoft YaHei" w:cs="Crimson Text"/>
          <w:color w:val="2A2A2A"/>
          <w:sz w:val="22"/>
          <w:szCs w:val="22"/>
        </w:rPr>
        <w:t>If Iran determines that the United States re-imposed sanctions in bad faith or without a valid Tier 3 determination, Iran files a Request for Arbitration with the PCA within 96 hours (4 days). The arbitration panel issues a provisional order within 72 hours. If the panel finds bad faith, the United States reverses the re-imposition within 24 hours and pays Iran's arbitration costs.</w:t>
      </w:r>
    </w:p>
    <w:p>
      <w:pPr>
        <w:pStyle w:val="Normal"/>
      </w:pPr>
      <w:r>
        <w:rPr>
          <w:rFonts w:ascii="Crimson Text" w:hAnsi="Crimson Text" w:eastAsia="Microsoft YaHei" w:cs="Crimson Text"/>
          <w:color w:val="2A2A2A"/>
          <w:sz w:val="22"/>
          <w:szCs w:val="22"/>
        </w:rPr>
        <w:t>For purposes of this Article, "bad faith" includes: (a) re-imposition of sanctions based on a Tier 1 or Tier 2 technical variance disguised as a Tier 3 violation; (b) re-imposition of sanctions after the PCC issues a final determination of no violation; (c) the United States provides no evidence to the PCC that purportedly justifies re-imposition within 24 hours of the re-imposition; or (d) any pattern of conduct that the tribunal finds inconsistent with the object and purpose of Article 1.1.</w:t>
      </w:r>
    </w:p>
    <w:p>
      <w:pPr>
        <w:pStyle w:val="Normal"/>
        <w:pBdr>
          <w:left w:val="single" w:color="c9a84c" w:sz="18" w:space="8"/>
        </w:pBdr>
        <w:shd w:val="clear" w:fill="faf9f6"/>
        <w:spacing w:before="280" w:after="280"/>
        <w:ind w:left="360" w:right="360"/>
      </w:pPr>
      <w:r>
        <w:rPr>
          <w:b/>
          <w:i/>
          <w:color w:val="2A2A2A"/>
          <w:rFonts w:ascii="Crimson Text" w:hAnsi="Crimson Text" w:eastAsia="Microsoft YaHei" w:cs="Crimson Text"/>
          <w:sz w:val="22"/>
          <w:szCs w:val="22"/>
        </w:rPr>
        <w:t xml:space="preserve">Note. </w:t>
      </w:r>
      <w:r>
        <w:rPr>
          <w:i/>
          <w:color w:val="555555"/>
          <w:rFonts w:ascii="Crimson Text" w:hAnsi="Crimson Text" w:eastAsia="Microsoft YaHei" w:cs="Crimson Text"/>
          <w:sz w:val="22"/>
          <w:szCs w:val="22"/>
        </w:rPr>
        <w:t>This article is not a prohibition on U.S. re-imposition of non-nuclear sanctions (terrorism, human rights, missiles) at any time. Those matters fall outside the scope of this Annex.</w:t>
      </w:r>
    </w:p>
    <w:p>
      <w:pPr>
        <w:pStyle w:val="Heading1"/>
      </w:pPr>
      <w:bookmarkStart w:name="_TocArt2" w:id="4"/>
      <w:r>
        <w:rPr>
          <w:rFonts w:ascii="Inter" w:hAnsi="Inter" w:eastAsia="Microsoft YaHei" w:cs="Inter"/>
          <w:b/>
          <w:color w:val="1A1A2E"/>
          <w:sz w:val="32"/>
          <w:szCs w:val="32"/>
        </w:rPr>
        <w:t>Article 2 — No Military Strikes Against Iranian Nuclear Facilities</w:t>
      </w:r>
      <w:bookmarkEnd w:id="4"/>
    </w:p>
    <w:p>
      <w:pPr>
        <w:pStyle w:val="Heading2"/>
      </w:pPr>
      <w:r>
        <w:rPr>
          <w:rFonts w:ascii="Inter" w:hAnsi="Inter" w:eastAsia="Microsoft YaHei" w:cs="Inter"/>
          <w:b/>
          <w:color w:val="1A1A2E"/>
          <w:sz w:val="26"/>
          <w:szCs w:val="26"/>
        </w:rPr>
        <w:t>2.1 Political Assurance (Non-Binding, Recorded)</w:t>
      </w:r>
    </w:p>
    <w:p>
      <w:pPr>
        <w:pStyle w:val="Normal"/>
      </w:pPr>
      <w:r>
        <w:rPr>
          <w:rFonts w:ascii="Crimson Text" w:hAnsi="Crimson Text" w:eastAsia="Microsoft YaHei" w:cs="Crimson Text"/>
          <w:color w:val="2A2A2A"/>
          <w:sz w:val="22"/>
          <w:szCs w:val="22"/>
        </w:rPr>
        <w:t>The United States records its political commitment that, for the duration of this MOU, the framework architecture excludes U.S. ordering, conducting, or supporting military strikes against Iranian nuclear facilities that are under IAEA safeguards and dual-key custody, except:</w:t>
      </w:r>
    </w:p>
    <w:p>
      <w:pPr>
        <w:pStyle w:val="Normal"/>
        <w:spacing w:before="80" w:after="80"/>
        <w:ind w:left="720" w:hanging="360"/>
      </w:pPr>
      <w:r>
        <w:rPr>
          <w:rFonts w:ascii="Crimson Text" w:hAnsi="Crimson Text" w:eastAsia="Microsoft YaHei" w:cs="Crimson Text"/>
          <w:color w:val="2A2A2A"/>
          <w:sz w:val="22"/>
          <w:szCs w:val="22"/>
        </w:rPr>
        <w:t xml:space="preserve">(a)  In the exercise of the inherent right of self-defense against an ongoing armed attack originating from Iranian territory that poses an imminent threat of death or serious injury to U.S. personnel or allies, or</w:t>
      </w:r>
    </w:p>
    <w:p>
      <w:pPr>
        <w:pStyle w:val="Normal"/>
        <w:spacing w:before="80" w:after="80"/>
        <w:ind w:left="720" w:hanging="360"/>
      </w:pPr>
      <w:r>
        <w:rPr>
          <w:rFonts w:ascii="Crimson Text" w:hAnsi="Crimson Text" w:eastAsia="Microsoft YaHei" w:cs="Crimson Text"/>
          <w:color w:val="2A2A2A"/>
          <w:sz w:val="22"/>
          <w:szCs w:val="22"/>
        </w:rPr>
        <w:t xml:space="preserve">(b)  Following a PCC determination of a Tier 3 Deliberate Hostile Violation involving diversion of HEU to weapons-usable form, and after the 90-day remediation window expires without compliance.</w:t>
      </w:r>
    </w:p>
    <w:p>
      <w:pPr>
        <w:pStyle w:val="Heading2"/>
      </w:pPr>
      <w:r>
        <w:rPr>
          <w:rFonts w:ascii="Inter" w:hAnsi="Inter" w:eastAsia="Microsoft YaHei" w:cs="Inter"/>
          <w:b/>
          <w:color w:val="1A1A2E"/>
          <w:sz w:val="26"/>
          <w:szCs w:val="26"/>
        </w:rPr>
        <w:t>2.2 No Legal Binding Effect</w:t>
      </w:r>
    </w:p>
    <w:p>
      <w:pPr>
        <w:pStyle w:val="Normal"/>
      </w:pPr>
      <w:r>
        <w:rPr>
          <w:rFonts w:ascii="Crimson Text" w:hAnsi="Crimson Text" w:eastAsia="Microsoft YaHei" w:cs="Crimson Text"/>
          <w:color w:val="2A2A2A"/>
          <w:sz w:val="22"/>
          <w:szCs w:val="22"/>
        </w:rPr>
        <w:t>This article does not create a legally enforceable obligation under international or U.S. domestic law. It is a political assurance recorded in the joint minutes of the MOU. Each Party characterizes it as a "solemn commitment" or "non-binding statement of intent" according to its domestic framing autonomy (MOU Article 1.7). This Article operates consistently with Article 3.1, which excludes the substantive political assurance in Article 2.1 from arbitration.</w:t>
      </w:r>
    </w:p>
    <w:p>
      <w:pPr>
        <w:pStyle w:val="Heading2"/>
      </w:pPr>
      <w:r>
        <w:rPr>
          <w:rFonts w:ascii="Inter" w:hAnsi="Inter" w:eastAsia="Microsoft YaHei" w:cs="Inter"/>
          <w:b/>
          <w:color w:val="1A1A2E"/>
          <w:sz w:val="26"/>
          <w:szCs w:val="26"/>
        </w:rPr>
        <w:t>2.3 Notification and Consultation</w:t>
      </w:r>
    </w:p>
    <w:p>
      <w:pPr>
        <w:pStyle w:val="Normal"/>
      </w:pPr>
      <w:r>
        <w:rPr>
          <w:rFonts w:ascii="Crimson Text" w:hAnsi="Crimson Text" w:eastAsia="Microsoft YaHei" w:cs="Crimson Text"/>
          <w:color w:val="2A2A2A"/>
          <w:sz w:val="22"/>
          <w:szCs w:val="22"/>
        </w:rPr>
        <w:t>In the event the United States determines that self-defense requires a military strike against a nuclear facility, the United States:</w:t>
      </w:r>
    </w:p>
    <w:p>
      <w:pPr>
        <w:pStyle w:val="Normal"/>
        <w:spacing w:before="80" w:after="80"/>
        <w:ind w:left="720" w:hanging="360"/>
      </w:pPr>
      <w:r>
        <w:rPr>
          <w:rFonts w:ascii="Crimson Text" w:hAnsi="Crimson Text" w:eastAsia="Microsoft YaHei" w:cs="Crimson Text"/>
          <w:color w:val="2A2A2A"/>
          <w:sz w:val="22"/>
          <w:szCs w:val="22"/>
        </w:rPr>
        <w:t xml:space="preserve">(a)  Notifies Iran through the PCC back-channel (Annex R) within 2 hours of the decision, unless operational security prevents such notification.</w:t>
      </w:r>
    </w:p>
    <w:p>
      <w:pPr>
        <w:pStyle w:val="Normal"/>
        <w:spacing w:before="80" w:after="80"/>
        <w:ind w:left="720" w:hanging="360"/>
      </w:pPr>
      <w:r>
        <w:rPr>
          <w:rFonts w:ascii="Crimson Text" w:hAnsi="Crimson Text" w:eastAsia="Microsoft YaHei" w:cs="Crimson Text"/>
          <w:color w:val="2A2A2A"/>
          <w:sz w:val="22"/>
          <w:szCs w:val="22"/>
        </w:rPr>
        <w:t xml:space="preserve">(b)  Provides a written explanation to the PCC within 24 hours.</w:t>
      </w:r>
    </w:p>
    <w:p>
      <w:pPr>
        <w:pStyle w:val="Normal"/>
        <w:spacing w:before="80" w:after="80"/>
        <w:ind w:left="720" w:hanging="360"/>
      </w:pPr>
      <w:r>
        <w:rPr>
          <w:rFonts w:ascii="Crimson Text" w:hAnsi="Crimson Text" w:eastAsia="Microsoft YaHei" w:cs="Crimson Text"/>
          <w:color w:val="2A2A2A"/>
          <w:sz w:val="22"/>
          <w:szCs w:val="22"/>
        </w:rPr>
        <w:t xml:space="preserve">(c)  Participates in an emergency PCC session within 48 hours to review the incident.</w:t>
      </w:r>
    </w:p>
    <w:p>
      <w:pPr>
        <w:pStyle w:val="Normal"/>
      </w:pPr>
      <w:r>
        <w:rPr>
          <w:rFonts w:ascii="Crimson Text" w:hAnsi="Crimson Text" w:eastAsia="Microsoft YaHei" w:cs="Crimson Text"/>
          <w:color w:val="2A2A2A"/>
          <w:sz w:val="22"/>
          <w:szCs w:val="22"/>
        </w:rPr>
        <w:t>Failure to notify does not create a right of retaliation, but the framework architecture permits the Parties to report it to the Guarantor Matrix.</w:t>
      </w:r>
    </w:p>
    <w:p>
      <w:pPr>
        <w:pStyle w:val="Heading1"/>
      </w:pPr>
      <w:bookmarkStart w:name="_TocArt3" w:id="5"/>
      <w:r>
        <w:rPr>
          <w:rFonts w:ascii="Inter" w:hAnsi="Inter" w:eastAsia="Microsoft YaHei" w:cs="Inter"/>
          <w:b/>
          <w:color w:val="1A1A2E"/>
          <w:sz w:val="32"/>
          <w:szCs w:val="32"/>
        </w:rPr>
        <w:t>Article 3 — Binding Dispute Resolution for U.S.-Iran Disputes Over U.S. or Israeli Violations</w:t>
      </w:r>
      <w:bookmarkEnd w:id="5"/>
    </w:p>
    <w:p>
      <w:pPr>
        <w:pStyle w:val="Heading2"/>
      </w:pPr>
      <w:r>
        <w:rPr>
          <w:rFonts w:ascii="Inter" w:hAnsi="Inter" w:eastAsia="Microsoft YaHei" w:cs="Inter"/>
          <w:b/>
          <w:color w:val="1A1A2E"/>
          <w:sz w:val="26"/>
          <w:szCs w:val="26"/>
        </w:rPr>
        <w:t>3.1 Scope</w:t>
      </w:r>
    </w:p>
    <w:p>
      <w:pPr>
        <w:pStyle w:val="Normal"/>
      </w:pPr>
      <w:r>
        <w:rPr>
          <w:rFonts w:ascii="Crimson Text" w:hAnsi="Crimson Text" w:eastAsia="Microsoft YaHei" w:cs="Crimson Text"/>
          <w:color w:val="2A2A2A"/>
          <w:sz w:val="22"/>
          <w:szCs w:val="22"/>
        </w:rPr>
        <w:t>Any dispute arising under this Annex or any claim by Iran that the United States violated its obligations under Article 1 of this Annex, or its procedural obligations under Article 2.3 (notification and consultation), or that the United States failed to use its good offices to prevent Israeli actions that materially impair Iran's performance under Articles 2–5 of the MOU, falls under binding arbitration at the Permanent Court of Arbitration (PCA) in The Hague. The substantive political assurance in Article 2.1 is not subject to arbitration, consistent with Article 2.2.</w:t>
      </w:r>
    </w:p>
    <w:p>
      <w:pPr>
        <w:pStyle w:val="Heading2"/>
      </w:pPr>
      <w:r>
        <w:rPr>
          <w:rFonts w:ascii="Inter" w:hAnsi="Inter" w:eastAsia="Microsoft YaHei" w:cs="Inter"/>
          <w:b/>
          <w:color w:val="1A1A2E"/>
          <w:sz w:val="26"/>
          <w:szCs w:val="26"/>
        </w:rPr>
        <w:t>3.2 Expedited Timeline</w:t>
      </w:r>
    </w:p>
    <w:tbl>
      <w:tblPr>
        <w:tblW w:w="5000" w:type="pct"/>
        <w:tblBorders>
          <w:top w:val="single" w:color="333333" w:sz="12"/>
          <w:bottom w:val="single" w:color="333333" w:sz="12"/>
          <w:insideH w:val="single" w:color="cccccc" w:sz="4"/>
        </w:tblBorders>
      </w:tblPr>
      <w:tblGrid>
        <w:gridCol w:w="5500"/>
        <w:gridCol w:w="4500"/>
      </w:tblGrid>
      <w:tr>
        <w:trPr>
          <w:tblHeader w:val="1"/>
        </w:trPr>
        <w:tc>
          <w:tcPr>
            <w:tcW w:w="5500" w:type="dxa"/>
            <w:shd w:val="clear" w:fill="F5F3EF" w:color="auto"/>
          </w:tcPr>
          <w:p>
            <w:pPr>
              <w:pStyle w:val="Normal"/>
              <w:spacing w:before="60" w:after="60"/>
            </w:pPr>
            <w:r>
              <w:rPr>
                <w:b/>
                <w:color w:val="2A2A2A"/>
                <w:sz w:val="20"/>
                <w:rFonts w:ascii="Crimson Text" w:hAnsi="Crimson Text" w:eastAsia="Microsoft YaHei" w:cs="Crimson Text"/>
                <w:szCs w:val="20"/>
              </w:rPr>
              <w:t>Step</w:t>
            </w:r>
          </w:p>
        </w:tc>
        <w:tc>
          <w:tcPr>
            <w:tcW w:w="4500" w:type="dxa"/>
            <w:shd w:val="clear" w:fill="F5F3EF" w:color="auto"/>
          </w:tcPr>
          <w:p>
            <w:pPr>
              <w:pStyle w:val="Normal"/>
              <w:spacing w:before="60" w:after="60"/>
            </w:pPr>
            <w:r>
              <w:rPr>
                <w:b/>
                <w:color w:val="2A2A2A"/>
                <w:sz w:val="20"/>
                <w:rFonts w:ascii="Crimson Text" w:hAnsi="Crimson Text" w:eastAsia="Microsoft YaHei" w:cs="Crimson Text"/>
                <w:szCs w:val="20"/>
              </w:rPr>
              <w:t>Deadline</w:t>
            </w:r>
          </w:p>
        </w:tc>
      </w:tr>
      <w:tr>
        <w:tc>
          <w:tcPr>
            <w:tcW w:w="5500" w:type="dxa"/>
          </w:tcPr>
          <w:p>
            <w:pPr>
              <w:pStyle w:val="Normal"/>
              <w:spacing w:before="60" w:after="60"/>
            </w:pPr>
            <w:r>
              <w:rPr>
                <w:color w:val="555555"/>
                <w:sz w:val="20"/>
                <w:rFonts w:ascii="Crimson Text" w:hAnsi="Crimson Text" w:eastAsia="Microsoft YaHei" w:cs="Crimson Text"/>
                <w:szCs w:val="20"/>
              </w:rPr>
              <w:t>Iran files Request for Arbitration</w:t>
            </w:r>
          </w:p>
        </w:tc>
        <w:tc>
          <w:tcPr>
            <w:tcW w:w="4500" w:type="dxa"/>
          </w:tcPr>
          <w:p>
            <w:pPr>
              <w:pStyle w:val="Normal"/>
              <w:spacing w:before="60" w:after="60"/>
            </w:pPr>
            <w:r>
              <w:rPr>
                <w:color w:val="555555"/>
                <w:sz w:val="20"/>
                <w:rFonts w:ascii="Crimson Text" w:hAnsi="Crimson Text" w:eastAsia="Microsoft YaHei" w:cs="Crimson Text"/>
                <w:szCs w:val="20"/>
              </w:rPr>
              <w:t>Within 14 days of alleged violation</w:t>
            </w:r>
          </w:p>
        </w:tc>
      </w:tr>
      <w:tr>
        <w:tc>
          <w:tcPr>
            <w:tcW w:w="5500" w:type="dxa"/>
          </w:tcPr>
          <w:p>
            <w:pPr>
              <w:pStyle w:val="Normal"/>
              <w:spacing w:before="60" w:after="60"/>
            </w:pPr>
            <w:r>
              <w:rPr>
                <w:color w:val="555555"/>
                <w:sz w:val="20"/>
                <w:rFonts w:ascii="Crimson Text" w:hAnsi="Crimson Text" w:eastAsia="Microsoft YaHei" w:cs="Crimson Text"/>
                <w:szCs w:val="20"/>
              </w:rPr>
              <w:t>PCA appoints three-member tribunal</w:t>
            </w:r>
          </w:p>
        </w:tc>
        <w:tc>
          <w:tcPr>
            <w:tcW w:w="4500" w:type="dxa"/>
          </w:tcPr>
          <w:p>
            <w:pPr>
              <w:pStyle w:val="Normal"/>
              <w:spacing w:before="60" w:after="60"/>
            </w:pPr>
            <w:r>
              <w:rPr>
                <w:color w:val="555555"/>
                <w:sz w:val="20"/>
                <w:rFonts w:ascii="Crimson Text" w:hAnsi="Crimson Text" w:eastAsia="Microsoft YaHei" w:cs="Crimson Text"/>
                <w:szCs w:val="20"/>
              </w:rPr>
              <w:t>Within 7 days of filing</w:t>
            </w:r>
          </w:p>
        </w:tc>
      </w:tr>
      <w:tr>
        <w:tc>
          <w:tcPr>
            <w:tcW w:w="5500" w:type="dxa"/>
          </w:tcPr>
          <w:p>
            <w:pPr>
              <w:pStyle w:val="Normal"/>
              <w:spacing w:before="60" w:after="60"/>
            </w:pPr>
            <w:r>
              <w:rPr>
                <w:color w:val="555555"/>
                <w:sz w:val="20"/>
                <w:rFonts w:ascii="Crimson Text" w:hAnsi="Crimson Text" w:eastAsia="Microsoft YaHei" w:cs="Crimson Text"/>
                <w:szCs w:val="20"/>
              </w:rPr>
              <w:t>Tribunal issues provisional measures (if requested)</w:t>
            </w:r>
          </w:p>
        </w:tc>
        <w:tc>
          <w:tcPr>
            <w:tcW w:w="4500" w:type="dxa"/>
          </w:tcPr>
          <w:p>
            <w:pPr>
              <w:pStyle w:val="Normal"/>
              <w:spacing w:before="60" w:after="60"/>
            </w:pPr>
            <w:r>
              <w:rPr>
                <w:color w:val="555555"/>
                <w:sz w:val="20"/>
                <w:rFonts w:ascii="Crimson Text" w:hAnsi="Crimson Text" w:eastAsia="Microsoft YaHei" w:cs="Crimson Text"/>
                <w:szCs w:val="20"/>
              </w:rPr>
              <w:t>Within 48 hours of appointment</w:t>
            </w:r>
          </w:p>
        </w:tc>
      </w:tr>
      <w:tr>
        <w:tc>
          <w:tcPr>
            <w:tcW w:w="5500" w:type="dxa"/>
          </w:tcPr>
          <w:p>
            <w:pPr>
              <w:pStyle w:val="Normal"/>
              <w:spacing w:before="60" w:after="60"/>
            </w:pPr>
            <w:r>
              <w:rPr>
                <w:color w:val="555555"/>
                <w:sz w:val="20"/>
                <w:rFonts w:ascii="Crimson Text" w:hAnsi="Crimson Text" w:eastAsia="Microsoft YaHei" w:cs="Crimson Text"/>
                <w:szCs w:val="20"/>
              </w:rPr>
              <w:t>Full evidentiary hearing (if needed)</w:t>
            </w:r>
          </w:p>
        </w:tc>
        <w:tc>
          <w:tcPr>
            <w:tcW w:w="4500" w:type="dxa"/>
          </w:tcPr>
          <w:p>
            <w:pPr>
              <w:pStyle w:val="Normal"/>
              <w:spacing w:before="60" w:after="60"/>
            </w:pPr>
            <w:r>
              <w:rPr>
                <w:color w:val="555555"/>
                <w:sz w:val="20"/>
                <w:rFonts w:ascii="Crimson Text" w:hAnsi="Crimson Text" w:eastAsia="Microsoft YaHei" w:cs="Crimson Text"/>
                <w:szCs w:val="20"/>
              </w:rPr>
              <w:t>Within 21 days of appointment</w:t>
            </w:r>
          </w:p>
        </w:tc>
      </w:tr>
      <w:tr>
        <w:tc>
          <w:tcPr>
            <w:tcW w:w="5500" w:type="dxa"/>
          </w:tcPr>
          <w:p>
            <w:pPr>
              <w:pStyle w:val="Normal"/>
              <w:spacing w:before="60" w:after="60"/>
            </w:pPr>
            <w:r>
              <w:rPr>
                <w:color w:val="555555"/>
                <w:sz w:val="20"/>
                <w:rFonts w:ascii="Crimson Text" w:hAnsi="Crimson Text" w:eastAsia="Microsoft YaHei" w:cs="Crimson Text"/>
                <w:szCs w:val="20"/>
              </w:rPr>
              <w:t>Final award</w:t>
            </w:r>
          </w:p>
        </w:tc>
        <w:tc>
          <w:tcPr>
            <w:tcW w:w="4500" w:type="dxa"/>
          </w:tcPr>
          <w:p>
            <w:pPr>
              <w:pStyle w:val="Normal"/>
              <w:spacing w:before="60" w:after="60"/>
            </w:pPr>
            <w:r>
              <w:rPr>
                <w:color w:val="555555"/>
                <w:sz w:val="20"/>
                <w:rFonts w:ascii="Crimson Text" w:hAnsi="Crimson Text" w:eastAsia="Microsoft YaHei" w:cs="Crimson Text"/>
                <w:szCs w:val="20"/>
              </w:rPr>
              <w:t>Within 30 days of appointment</w:t>
            </w:r>
          </w:p>
        </w:tc>
      </w:tr>
    </w:tbl>
    <w:p>
      <w:pPr>
        <w:pStyle w:val="Heading2"/>
      </w:pPr>
      <w:r>
        <w:rPr>
          <w:rFonts w:ascii="Inter" w:hAnsi="Inter" w:eastAsia="Microsoft YaHei" w:cs="Inter"/>
          <w:b/>
          <w:color w:val="1A1A2E"/>
          <w:sz w:val="26"/>
          <w:szCs w:val="26"/>
        </w:rPr>
        <w:t>3.3 Remedies</w:t>
      </w:r>
    </w:p>
    <w:p>
      <w:pPr>
        <w:pStyle w:val="Normal"/>
      </w:pPr>
      <w:r>
        <w:rPr>
          <w:rFonts w:ascii="Crimson Text" w:hAnsi="Crimson Text" w:eastAsia="Microsoft YaHei" w:cs="Crimson Text"/>
          <w:color w:val="2A2A2A"/>
          <w:sz w:val="22"/>
          <w:szCs w:val="22"/>
        </w:rPr>
        <w:t>If the tribunal finds the United States in breach, it orders:</w:t>
      </w:r>
    </w:p>
    <w:p>
      <w:pPr>
        <w:pStyle w:val="Normal"/>
        <w:spacing w:before="80" w:after="80"/>
        <w:ind w:left="720" w:hanging="360"/>
      </w:pPr>
      <w:r>
        <w:rPr>
          <w:rFonts w:ascii="Crimson Text" w:hAnsi="Crimson Text" w:eastAsia="Microsoft YaHei" w:cs="Crimson Text"/>
          <w:color w:val="2A2A2A"/>
          <w:sz w:val="22"/>
          <w:szCs w:val="22"/>
        </w:rPr>
        <w:t xml:space="preserve">(a)  Cessation of the violating conduct within 24 hours.</w:t>
      </w:r>
    </w:p>
    <w:p>
      <w:pPr>
        <w:pStyle w:val="Normal"/>
        <w:spacing w:before="80" w:after="80"/>
        <w:ind w:left="720" w:hanging="360"/>
      </w:pPr>
      <w:r>
        <w:rPr>
          <w:rFonts w:ascii="Crimson Text" w:hAnsi="Crimson Text" w:eastAsia="Microsoft YaHei" w:cs="Crimson Text"/>
          <w:color w:val="2A2A2A"/>
          <w:sz w:val="22"/>
          <w:szCs w:val="22"/>
        </w:rPr>
        <w:t xml:space="preserve">(b)  Restoration of any suspended benefits.</w:t>
      </w:r>
    </w:p>
    <w:p>
      <w:pPr>
        <w:pStyle w:val="Normal"/>
        <w:spacing w:before="80" w:after="80"/>
        <w:ind w:left="720" w:hanging="360"/>
      </w:pPr>
      <w:r>
        <w:rPr>
          <w:rFonts w:ascii="Crimson Text" w:hAnsi="Crimson Text" w:eastAsia="Microsoft YaHei" w:cs="Crimson Text"/>
          <w:color w:val="2A2A2A"/>
          <w:sz w:val="22"/>
          <w:szCs w:val="22"/>
        </w:rPr>
        <w:t xml:space="preserve">(c)  Payment of Iran's arbitration costs.</w:t>
      </w:r>
    </w:p>
    <w:p>
      <w:pPr>
        <w:pStyle w:val="Normal"/>
        <w:spacing w:before="80" w:after="80"/>
        <w:ind w:left="720" w:hanging="360"/>
      </w:pPr>
      <w:r>
        <w:rPr>
          <w:rFonts w:ascii="Crimson Text" w:hAnsi="Crimson Text" w:eastAsia="Microsoft YaHei" w:cs="Crimson Text"/>
          <w:color w:val="2A2A2A"/>
          <w:sz w:val="22"/>
          <w:szCs w:val="22"/>
        </w:rPr>
        <w:t xml:space="preserve">(d)  A declaratory finding that the United States breached its obligations.</w:t>
      </w:r>
    </w:p>
    <w:p>
      <w:pPr>
        <w:pStyle w:val="Normal"/>
      </w:pPr>
      <w:r>
        <w:rPr>
          <w:rFonts w:ascii="Crimson Text" w:hAnsi="Crimson Text" w:eastAsia="Microsoft YaHei" w:cs="Crimson Text"/>
          <w:color w:val="2A2A2A"/>
          <w:sz w:val="22"/>
          <w:szCs w:val="22"/>
        </w:rPr>
        <w:t>The tribunal does not order the United States to take military action against Israel or to impose sanctions on Israel. Such orders fall outside the tribunal's jurisdiction.</w:t>
      </w:r>
    </w:p>
    <w:p>
      <w:pPr>
        <w:pStyle w:val="Heading2"/>
      </w:pPr>
      <w:r>
        <w:rPr>
          <w:rFonts w:ascii="Inter" w:hAnsi="Inter" w:eastAsia="Microsoft YaHei" w:cs="Inter"/>
          <w:b/>
          <w:color w:val="1A1A2E"/>
          <w:sz w:val="26"/>
          <w:szCs w:val="26"/>
        </w:rPr>
        <w:t>3.4 Israeli Actions Not Attributable to the United States</w:t>
      </w:r>
    </w:p>
    <w:p>
      <w:pPr>
        <w:pStyle w:val="Normal"/>
      </w:pPr>
      <w:r>
        <w:rPr>
          <w:rFonts w:ascii="Crimson Text" w:hAnsi="Crimson Text" w:eastAsia="Microsoft YaHei" w:cs="Crimson Text"/>
          <w:color w:val="2A2A2A"/>
          <w:sz w:val="22"/>
          <w:szCs w:val="22"/>
        </w:rPr>
        <w:t>For the avoidance of doubt, an Israeli military operation does not constitute a breach by the United States unless the PCA tribunal finds that the United States directed, authorized, or materially supported the operation. The United States' good-offices commitment (MOU Article 13.3 and Side Letter) constitutes a best-efforts political commitment to use its diplomatic influence to discourage Israeli actions that materially impair this MOU. A failure of outcome — i.e., an Israeli strike occurring despite U.S. efforts — is not a breach. However, a refusal by the United States to exercise good offices at all, or a pattern of bad-faith nominal engagement, is arbitrable under this Article.</w:t>
      </w:r>
    </w:p>
    <w:p>
      <w:pPr>
        <w:pStyle w:val="Normal"/>
      </w:pPr>
      <w:r>
        <w:rPr>
          <w:rFonts w:ascii="Crimson Text" w:hAnsi="Crimson Text" w:eastAsia="Microsoft YaHei" w:cs="Crimson Text"/>
          <w:color w:val="2A2A2A"/>
          <w:sz w:val="22"/>
          <w:szCs w:val="22"/>
        </w:rPr>
        <w:t>However, if the United States (i) fails to activate the Tel Aviv Channel or the 72-hour cooling-off period (Article 13.3) following an Israeli strike on a declared nuclear facility, or (ii) refuses to engage in good-offices discussions through the PCC or Pakistan within 48 hours of a written request by Iran, Iran files a dispute under this Article. The tribunal awards only declaratory relief and costs. The tribunal does not order the United States to take military action against Israel or to impose sanctions on Israel.</w:t>
      </w:r>
    </w:p>
    <w:p>
      <w:pPr>
        <w:pStyle w:val="Heading1"/>
      </w:pPr>
      <w:bookmarkStart w:name="_TocArt4" w:id="6"/>
      <w:r>
        <w:rPr>
          <w:rFonts w:ascii="Inter" w:hAnsi="Inter" w:eastAsia="Microsoft YaHei" w:cs="Inter"/>
          <w:b/>
          <w:color w:val="1A1A2E"/>
          <w:sz w:val="32"/>
          <w:szCs w:val="32"/>
        </w:rPr>
        <w:t>Article 4 — Relationship to Other Annexes</w:t>
      </w:r>
      <w:bookmarkEnd w:id="6"/>
    </w:p>
    <w:tbl>
      <w:tblPr>
        <w:tblW w:w="5000" w:type="pct"/>
        <w:tblBorders>
          <w:top w:val="single" w:color="333333" w:sz="12"/>
          <w:bottom w:val="single" w:color="333333" w:sz="12"/>
          <w:insideH w:val="single" w:color="cccccc" w:sz="4"/>
        </w:tblBorders>
      </w:tblPr>
      <w:tblGrid>
        <w:gridCol w:w="3000"/>
        <w:gridCol w:w="7000"/>
      </w:tblGrid>
      <w:tr>
        <w:trPr>
          <w:tblHeader w:val="1"/>
        </w:trPr>
        <w:tc>
          <w:tcPr>
            <w:tcW w:w="3000" w:type="dxa"/>
            <w:shd w:val="clear" w:fill="F5F3EF" w:color="auto"/>
          </w:tcPr>
          <w:p>
            <w:pPr>
              <w:pStyle w:val="Normal"/>
              <w:spacing w:before="60" w:after="60"/>
            </w:pPr>
            <w:r>
              <w:rPr>
                <w:b/>
                <w:color w:val="2A2A2A"/>
                <w:sz w:val="20"/>
                <w:rFonts w:ascii="Crimson Text" w:hAnsi="Crimson Text" w:eastAsia="Microsoft YaHei" w:cs="Crimson Text"/>
                <w:szCs w:val="20"/>
              </w:rPr>
              <w:t>Annex</w:t>
            </w:r>
          </w:p>
        </w:tc>
        <w:tc>
          <w:tcPr>
            <w:tcW w:w="7000" w:type="dxa"/>
            <w:shd w:val="clear" w:fill="F5F3EF" w:color="auto"/>
          </w:tcPr>
          <w:p>
            <w:pPr>
              <w:pStyle w:val="Normal"/>
              <w:spacing w:before="60" w:after="60"/>
            </w:pPr>
            <w:r>
              <w:rPr>
                <w:b/>
                <w:color w:val="2A2A2A"/>
                <w:sz w:val="20"/>
                <w:rFonts w:ascii="Crimson Text" w:hAnsi="Crimson Text" w:eastAsia="Microsoft YaHei" w:cs="Crimson Text"/>
                <w:szCs w:val="20"/>
              </w:rPr>
              <w:t>Relationship</w:t>
            </w:r>
          </w:p>
        </w:tc>
      </w:tr>
      <w:tr>
        <w:tc>
          <w:tcPr>
            <w:tcW w:w="3000" w:type="dxa"/>
          </w:tcPr>
          <w:p>
            <w:pPr>
              <w:pStyle w:val="Normal"/>
              <w:spacing w:before="60" w:after="60"/>
            </w:pPr>
            <w:r>
              <w:rPr>
                <w:color w:val="555555"/>
                <w:sz w:val="20"/>
                <w:rFonts w:ascii="Crimson Text" w:hAnsi="Crimson Text" w:eastAsia="Microsoft YaHei" w:cs="Crimson Text"/>
                <w:szCs w:val="20"/>
              </w:rPr>
              <w:t>Annex T (Step-Back / Earn-Back)</w:t>
            </w:r>
          </w:p>
        </w:tc>
        <w:tc>
          <w:tcPr>
            <w:tcW w:w="7000" w:type="dxa"/>
          </w:tcPr>
          <w:p>
            <w:pPr>
              <w:pStyle w:val="Normal"/>
              <w:spacing w:before="60" w:after="60"/>
            </w:pPr>
            <w:r>
              <w:rPr>
                <w:color w:val="555555"/>
                <w:sz w:val="20"/>
                <w:rFonts w:ascii="Crimson Text" w:hAnsi="Crimson Text" w:eastAsia="Microsoft YaHei" w:cs="Crimson Text"/>
                <w:szCs w:val="20"/>
              </w:rPr>
              <w:t>A U.S. violation of Article 1 of this Annex (bad-faith sanctions re-imposition) is a Tier 2 material disruption by the United States.</w:t>
            </w:r>
          </w:p>
        </w:tc>
      </w:tr>
      <w:tr>
        <w:tc>
          <w:tcPr>
            <w:tcW w:w="3000" w:type="dxa"/>
          </w:tcPr>
          <w:p>
            <w:pPr>
              <w:pStyle w:val="Normal"/>
              <w:spacing w:before="60" w:after="60"/>
            </w:pPr>
            <w:r>
              <w:rPr>
                <w:color w:val="555555"/>
                <w:sz w:val="20"/>
                <w:rFonts w:ascii="Crimson Text" w:hAnsi="Crimson Text" w:eastAsia="Microsoft YaHei" w:cs="Crimson Text"/>
                <w:szCs w:val="20"/>
              </w:rPr>
              <w:t>Annex R / R.a (Escalation Buffer)</w:t>
            </w:r>
          </w:p>
        </w:tc>
        <w:tc>
          <w:tcPr>
            <w:tcW w:w="7000" w:type="dxa"/>
          </w:tcPr>
          <w:p>
            <w:pPr>
              <w:pStyle w:val="Normal"/>
              <w:spacing w:before="60" w:after="60"/>
            </w:pPr>
            <w:r>
              <w:rPr>
                <w:color w:val="555555"/>
                <w:sz w:val="20"/>
                <w:rFonts w:ascii="Crimson Text" w:hAnsi="Crimson Text" w:eastAsia="Microsoft YaHei" w:cs="Crimson Text"/>
                <w:szCs w:val="20"/>
              </w:rPr>
              <w:t>A U.S. military strike triggers the 72-hour escalation buffer automatically, with Iran's right to self-defense preserved.</w:t>
            </w:r>
          </w:p>
        </w:tc>
      </w:tr>
      <w:tr>
        <w:tc>
          <w:tcPr>
            <w:tcW w:w="3000" w:type="dxa"/>
          </w:tcPr>
          <w:p>
            <w:pPr>
              <w:pStyle w:val="Normal"/>
              <w:spacing w:before="60" w:after="60"/>
            </w:pPr>
            <w:r>
              <w:rPr>
                <w:color w:val="555555"/>
                <w:sz w:val="20"/>
                <w:rFonts w:ascii="Crimson Text" w:hAnsi="Crimson Text" w:eastAsia="Microsoft YaHei" w:cs="Crimson Text"/>
                <w:szCs w:val="20"/>
              </w:rPr>
              <w:t>Annex O (PCA Arbitration)</w:t>
            </w:r>
          </w:p>
        </w:tc>
        <w:tc>
          <w:tcPr>
            <w:tcW w:w="7000" w:type="dxa"/>
          </w:tcPr>
          <w:p>
            <w:pPr>
              <w:pStyle w:val="Normal"/>
              <w:spacing w:before="60" w:after="60"/>
            </w:pPr>
            <w:r>
              <w:rPr>
                <w:color w:val="555555"/>
                <w:sz w:val="20"/>
                <w:rFonts w:ascii="Crimson Text" w:hAnsi="Crimson Text" w:eastAsia="Microsoft YaHei" w:cs="Crimson Text"/>
                <w:szCs w:val="20"/>
              </w:rPr>
              <w:t>All arbitration under this Annex follows Annex O, Article 6 expedited procedures.</w:t>
            </w:r>
          </w:p>
        </w:tc>
      </w:tr>
      <w:tr>
        <w:tc>
          <w:tcPr>
            <w:tcW w:w="3000" w:type="dxa"/>
          </w:tcPr>
          <w:p>
            <w:pPr>
              <w:pStyle w:val="Normal"/>
              <w:spacing w:before="60" w:after="60"/>
            </w:pPr>
            <w:r>
              <w:rPr>
                <w:color w:val="555555"/>
                <w:sz w:val="20"/>
                <w:rFonts w:ascii="Crimson Text" w:hAnsi="Crimson Text" w:eastAsia="Microsoft YaHei" w:cs="Crimson Text"/>
                <w:szCs w:val="20"/>
              </w:rPr>
              <w:t>MOU Article 8.5 (Clean-Break Withdrawal)</w:t>
            </w:r>
          </w:p>
        </w:tc>
        <w:tc>
          <w:tcPr>
            <w:tcW w:w="7000" w:type="dxa"/>
          </w:tcPr>
          <w:p>
            <w:pPr>
              <w:pStyle w:val="Normal"/>
              <w:spacing w:before="60" w:after="60"/>
            </w:pPr>
            <w:r>
              <w:rPr>
                <w:color w:val="555555"/>
                <w:sz w:val="20"/>
                <w:rFonts w:ascii="Crimson Text" w:hAnsi="Crimson Text" w:eastAsia="Microsoft YaHei" w:cs="Crimson Text"/>
                <w:szCs w:val="20"/>
              </w:rPr>
              <w:t>A finding against the United States under this Annex does not automatically terminate the MOU, but Iran withdraws on 14 days' notice if the United States fails to comply with a final arbitral award within 30 days.</w:t>
            </w:r>
          </w:p>
        </w:tc>
      </w:tr>
    </w:tbl>
    <w:p>
      <w:pPr>
        <w:pStyle w:val="Heading1"/>
      </w:pPr>
      <w:bookmarkStart w:name="_TocArt5" w:id="7"/>
      <w:r>
        <w:rPr>
          <w:rFonts w:ascii="Inter" w:hAnsi="Inter" w:eastAsia="Microsoft YaHei" w:cs="Inter"/>
          <w:b/>
          <w:color w:val="1A1A2E"/>
          <w:sz w:val="32"/>
          <w:szCs w:val="32"/>
        </w:rPr>
        <w:t>Article 5 — Duration</w:t>
      </w:r>
      <w:bookmarkEnd w:id="7"/>
    </w:p>
    <w:p>
      <w:pPr>
        <w:pStyle w:val="Normal"/>
      </w:pPr>
      <w:r>
        <w:rPr>
          <w:rFonts w:ascii="Crimson Text" w:hAnsi="Crimson Text" w:eastAsia="Microsoft YaHei" w:cs="Crimson Text"/>
          <w:color w:val="2A2A2A"/>
          <w:sz w:val="22"/>
          <w:szCs w:val="22"/>
        </w:rPr>
        <w:t>This Annex remains in force for the duration of the MOU. Articles 1 and 3 survive any withdrawal or termination for five years, consistent with Annex IC, Article 3.1.</w:t>
      </w:r>
    </w:p>
    <w:p>
      <w:pPr>
        <w:pStyle w:val="Heading1"/>
      </w:pPr>
      <w:bookmarkStart w:name="_TocArt6" w:id="8"/>
      <w:r>
        <w:rPr>
          <w:rFonts w:ascii="Inter" w:hAnsi="Inter" w:eastAsia="Microsoft YaHei" w:cs="Inter"/>
          <w:b/>
          <w:color w:val="1A1A2E"/>
          <w:sz w:val="32"/>
          <w:szCs w:val="32"/>
        </w:rPr>
        <w:t>Article 6 — Incorporation by Reference</w:t>
      </w:r>
      <w:bookmarkEnd w:id="8"/>
    </w:p>
    <w:p>
      <w:pPr>
        <w:pStyle w:val="Normal"/>
      </w:pPr>
      <w:r>
        <w:rPr>
          <w:rFonts w:ascii="Crimson Text" w:hAnsi="Crimson Text" w:eastAsia="Microsoft YaHei" w:cs="Crimson Text"/>
          <w:color w:val="2A2A2A"/>
          <w:sz w:val="22"/>
          <w:szCs w:val="22"/>
        </w:rPr>
        <w:t>This Annex is incorporable into the MOU by the following sentence:</w:t>
      </w:r>
    </w:p>
    <w:p>
      <w:pPr>
        <w:pStyle w:val="Normal"/>
        <w:pBdr>
          <w:left w:val="single" w:color="1a1a2e" w:sz="12" w:space="8"/>
        </w:pBdr>
        <w:spacing w:before="200" w:after="200"/>
        <w:ind w:left="720" w:right="720"/>
      </w:pPr>
      <w:r>
        <w:rPr>
          <w:i/>
          <w:color w:val="555555"/>
          <w:rFonts w:ascii="Crimson Text" w:hAnsi="Crimson Text" w:eastAsia="Microsoft YaHei" w:cs="Crimson Text"/>
          <w:sz w:val="22"/>
          <w:szCs w:val="22"/>
        </w:rPr>
        <w:t>“The Parties adopt Annex E (U.S. Assurance and Dispute Resolution Protocol) as an operative provision of this Agreement. In the event of any inconsistency, Annex E governs with respect to U.S. non-resumption of nuclear-related sanctions, political assurances regarding military strikes, and binding dispute resolution for alleged U.S. or Israeli violations.”</w:t>
      </w:r>
    </w:p>
    <w:p>
      <w:pPr>
        <w:pStyle w:val="Heading1"/>
      </w:pPr>
      <w:bookmarkStart w:name="_TocPractical" w:id="9"/>
      <w:r>
        <w:rPr>
          <w:rFonts w:ascii="Inter" w:hAnsi="Inter" w:eastAsia="Microsoft YaHei" w:cs="Inter"/>
          <w:b/>
          <w:color w:val="1A1A2E"/>
          <w:sz w:val="32"/>
          <w:szCs w:val="32"/>
        </w:rPr>
        <w:t>Practical Note for Negotiators (Informative, Not Operative)</w:t>
      </w:r>
      <w:bookmarkEnd w:id="9"/>
    </w:p>
    <w:p>
      <w:pPr>
        <w:pStyle w:val="Normal"/>
      </w:pPr>
      <w:r>
        <w:rPr>
          <w:rFonts w:ascii="Crimson Text" w:hAnsi="Crimson Text" w:eastAsia="Microsoft YaHei" w:cs="Crimson Text"/>
          <w:color w:val="2A2A2A"/>
          <w:sz w:val="22"/>
          <w:szCs w:val="22"/>
        </w:rPr>
        <w:t>This framework does not give Iran everything it wants, because the U.S. refused written no-strike guarantees. Instead, it:</w:t>
      </w:r>
    </w:p>
    <w:p>
      <w:pPr>
        <w:pStyle w:val="Normal"/>
        <w:spacing w:before="120" w:after="120"/>
        <w:ind w:left="720" w:hanging="360"/>
      </w:pPr>
      <w:r>
        <w:rPr>
          <w:b/>
          <w:rFonts w:ascii="Crimson Text" w:hAnsi="Crimson Text" w:eastAsia="Microsoft YaHei" w:cs="Crimson Text"/>
          <w:color w:val="2A2A2A"/>
          <w:sz w:val="22"/>
          <w:szCs w:val="22"/>
        </w:rPr>
        <w:t xml:space="preserve">—  Codifies the sanctions-re-imposition rule </w:t>
      </w:r>
      <w:r>
        <w:rPr>
          <w:rFonts w:ascii="Crimson Text" w:hAnsi="Crimson Text" w:eastAsia="Microsoft YaHei" w:cs="Crimson Text"/>
          <w:color w:val="2A2A2A"/>
          <w:sz w:val="22"/>
          <w:szCs w:val="22"/>
        </w:rPr>
        <w:t>— binding, with PCA arbitration. This is the most concrete gain for Iran.</w:t>
      </w:r>
    </w:p>
    <w:p>
      <w:pPr>
        <w:pStyle w:val="Normal"/>
        <w:spacing w:before="120" w:after="120"/>
        <w:ind w:left="720" w:hanging="360"/>
      </w:pPr>
      <w:r>
        <w:rPr>
          <w:b/>
          <w:rFonts w:ascii="Crimson Text" w:hAnsi="Crimson Text" w:eastAsia="Microsoft YaHei" w:cs="Crimson Text"/>
          <w:color w:val="2A2A2A"/>
          <w:sz w:val="22"/>
          <w:szCs w:val="22"/>
        </w:rPr>
        <w:t xml:space="preserve">—  Records a political no-strike assurance </w:t>
      </w:r>
      <w:r>
        <w:rPr>
          <w:rFonts w:ascii="Crimson Text" w:hAnsi="Crimson Text" w:eastAsia="Microsoft YaHei" w:cs="Crimson Text"/>
          <w:color w:val="2A2A2A"/>
          <w:sz w:val="22"/>
          <w:szCs w:val="22"/>
        </w:rPr>
        <w:t>— not legally binding, but it creates reputational cost and a notification obligation. Iran frames this as a "solemn U.S. commitment" at home.</w:t>
      </w:r>
    </w:p>
    <w:p>
      <w:pPr>
        <w:pStyle w:val="Normal"/>
        <w:spacing w:before="120" w:after="120"/>
        <w:ind w:left="720" w:hanging="360"/>
      </w:pPr>
      <w:r>
        <w:rPr>
          <w:b/>
          <w:rFonts w:ascii="Crimson Text" w:hAnsi="Crimson Text" w:eastAsia="Microsoft YaHei" w:cs="Crimson Text"/>
          <w:color w:val="2A2A2A"/>
          <w:sz w:val="22"/>
          <w:szCs w:val="22"/>
        </w:rPr>
        <w:t xml:space="preserve">—  Opens binding arbitration for U.S. failures to de-escalate after Israeli strikes </w:t>
      </w:r>
      <w:r>
        <w:rPr>
          <w:rFonts w:ascii="Crimson Text" w:hAnsi="Crimson Text" w:eastAsia="Microsoft YaHei" w:cs="Crimson Text"/>
          <w:color w:val="2A2A2A"/>
          <w:sz w:val="22"/>
          <w:szCs w:val="22"/>
        </w:rPr>
        <w:t>— a narrow but real pathway for Iran to hold the U.S. accountable for procedural failures.</w:t>
      </w:r>
    </w:p>
    <w:p>
      <w:pPr>
        <w:pStyle w:val="Normal"/>
      </w:pPr>
      <w:r>
        <w:rPr>
          <w:b/>
          <w:rFonts w:ascii="Crimson Text" w:hAnsi="Crimson Text" w:eastAsia="Microsoft YaHei" w:cs="Crimson Text"/>
          <w:color w:val="2A2A2A"/>
          <w:sz w:val="22"/>
          <w:szCs w:val="22"/>
        </w:rPr>
        <w:t>What the U.S. gets:</w:t>
      </w:r>
      <w:r>
        <w:rPr>
          <w:rFonts w:ascii="Crimson Text" w:hAnsi="Crimson Text" w:eastAsia="Microsoft YaHei" w:cs="Crimson Text"/>
          <w:color w:val="2A2A2A"/>
          <w:sz w:val="22"/>
          <w:szCs w:val="22"/>
        </w:rPr>
        <w:t xml:space="preserve"> It preserves self-defense, keeps the no-strike pledge non-binding, and limits arbitration remedies to declaratory relief and costs — no orders to constrain Israel.</w:t>
      </w:r>
    </w:p>
    <w:p>
      <w:r>
        <w:t>If Iran rejects this as insufficient, the fallback is the existing Annex IC (state-to-state commitment) and the Side Letter, with no additional guarantees.</w:t>
      </w:r>
    </w:p>
    <w:p>
      <w:pPr>
        <w:pStyle w:val="Heading1"/>
      </w:pPr>
      <w:r>
        <w:t>Signature Block (Optional — Side Letter Format)</w:t>
      </w:r>
      <w:bookmarkStart w:name="_TocSignature" w:id="10"/>
      <w:bookmarkEnd w:id="10"/>
    </w:p>
    <w:p>
      <w:r>
        <w:t>In witness whereof, the undersigned, being duly authorized by their respective governments, have signed this Annex E: U.S. Assurance and Dispute Resolution Protocol.</w:t>
      </w:r>
    </w:p>
    <w:p>
      <w:r>
        <w:t>Done at _________________________, this ______ day of _________________________, 2026, in duplicate in the English language.</w:t>
      </w:r>
    </w:p>
    <w:tbl>
      <w:tblPr>
        <w:tblW w:w="5000" w:type="pct"/>
        <w:tblBorders>
          <w:top w:val="nil"/>
          <w:left w:val="nil"/>
          <w:bottom w:val="nil"/>
          <w:right w:val="nil"/>
          <w:insideH w:val="nil"/>
          <w:insideV w:val="nil"/>
        </w:tblBorders>
      </w:tblPr>
      <w:tblGrid>
        <w:gridCol w:w="5000"/>
        <w:gridCol w:w="5000"/>
      </w:tblGrid>
      <w:tr>
        <w:tc>
          <w:tcPr>
            <w:tcW w:w="5000" w:type="auto"/>
          </w:tcPr>
          <w:p>
            <w:pPr>
              <w:spacing w:before="200" w:after="100"/>
            </w:pPr>
            <w:r>
              <w:rPr>
                <w:b/>
                <w:color w:val="2a2a2a"/>
                <w:sz w:val="22"/>
              </w:rPr>
              <w:t>For the United States of America:</w:t>
            </w:r>
          </w:p>
        </w:tc>
        <w:tc>
          <w:tcPr>
            <w:tcW w:w="5000" w:type="auto"/>
          </w:tcPr>
          <w:p>
            <w:pPr>
              <w:spacing w:before="200" w:after="100"/>
            </w:pPr>
            <w:r>
              <w:rPr>
                <w:b/>
                <w:color w:val="2a2a2a"/>
                <w:sz w:val="22"/>
              </w:rPr>
              <w:t>For the Islamic Republic of Iran:</w:t>
            </w:r>
          </w:p>
        </w:tc>
      </w:tr>
      <w:tr>
        <w:tc>
          <w:tcPr>
            <w:tcW w:w="5000" w:type="auto"/>
          </w:tcPr>
          <w:p>
            <w:pPr>
              <w:spacing w:before="400"/>
            </w:pPr>
            <w:r>
              <w:t>_________________________</w:t>
            </w:r>
          </w:p>
        </w:tc>
        <w:tc>
          <w:tcPr>
            <w:tcW w:w="5000" w:type="auto"/>
          </w:tcPr>
          <w:p>
            <w:pPr>
              <w:spacing w:before="400"/>
            </w:pPr>
            <w:r>
              <w:t>_________________________</w:t>
            </w:r>
          </w:p>
        </w:tc>
      </w:tr>
      <w:tr>
        <w:tc>
          <w:tcPr>
            <w:tcW w:w="5000" w:type="auto"/>
          </w:tcPr>
          <w:p>
            <w:pPr>
              <w:spacing w:before="200" w:after="100"/>
            </w:pPr>
            <w:r>
              <w:rPr>
                <w:color w:val="2a2a2a"/>
                <w:sz w:val="22"/>
              </w:rPr>
              <w:t>Signature</w:t>
            </w:r>
          </w:p>
        </w:tc>
        <w:tc>
          <w:tcPr>
            <w:tcW w:w="5000" w:type="auto"/>
          </w:tcPr>
          <w:p>
            <w:pPr>
              <w:spacing w:before="200" w:after="100"/>
            </w:pPr>
            <w:r>
              <w:rPr>
                <w:color w:val="2a2a2a"/>
                <w:sz w:val="22"/>
              </w:rPr>
              <w:t>Signature</w:t>
            </w:r>
          </w:p>
        </w:tc>
      </w:tr>
      <w:tr>
        <w:tc>
          <w:tcPr>
            <w:tcW w:w="5000" w:type="auto"/>
          </w:tcPr>
          <w:p>
            <w:pPr>
              <w:spacing w:before="400"/>
            </w:pPr>
            <w:r>
              <w:t>_________________________</w:t>
            </w:r>
          </w:p>
        </w:tc>
        <w:tc>
          <w:tcPr>
            <w:tcW w:w="5000" w:type="auto"/>
          </w:tcPr>
          <w:p>
            <w:pPr>
              <w:spacing w:before="400"/>
            </w:pPr>
            <w:r>
              <w:t>_________________________</w:t>
            </w:r>
          </w:p>
        </w:tc>
      </w:tr>
      <w:tr>
        <w:tc>
          <w:tcPr>
            <w:tcW w:w="5000" w:type="auto"/>
          </w:tcPr>
          <w:p>
            <w:pPr>
              <w:spacing w:before="200" w:after="100"/>
            </w:pPr>
            <w:r>
              <w:rPr>
                <w:color w:val="2a2a2a"/>
                <w:sz w:val="22"/>
              </w:rPr>
              <w:t>Name / Title</w:t>
            </w:r>
          </w:p>
        </w:tc>
        <w:tc>
          <w:tcPr>
            <w:tcW w:w="5000" w:type="auto"/>
          </w:tcPr>
          <w:p>
            <w:pPr>
              <w:spacing w:before="200" w:after="100"/>
            </w:pPr>
            <w:r>
              <w:rPr>
                <w:color w:val="2a2a2a"/>
                <w:sz w:val="22"/>
              </w:rPr>
              <w:t>Name / Title</w:t>
            </w:r>
          </w:p>
        </w:tc>
      </w:tr>
      <w:tr>
        <w:tc>
          <w:tcPr>
            <w:tcW w:w="5000" w:type="auto"/>
          </w:tcPr>
          <w:p>
            <w:pPr>
              <w:spacing w:before="400"/>
            </w:pPr>
            <w:r>
              <w:t>_________________________</w:t>
            </w:r>
          </w:p>
        </w:tc>
        <w:tc>
          <w:tcPr>
            <w:tcW w:w="5000" w:type="auto"/>
          </w:tcPr>
          <w:p>
            <w:pPr>
              <w:spacing w:before="400"/>
            </w:pPr>
            <w:r>
              <w:t>_________________________</w:t>
            </w:r>
          </w:p>
        </w:tc>
      </w:tr>
      <w:tr>
        <w:tc>
          <w:tcPr>
            <w:tcW w:w="5000" w:type="auto"/>
          </w:tcPr>
          <w:p>
            <w:pPr>
              <w:spacing w:before="200" w:after="100"/>
            </w:pPr>
            <w:r>
              <w:rPr>
                <w:color w:val="2a2a2a"/>
                <w:sz w:val="22"/>
              </w:rPr>
              <w:t>Date</w:t>
            </w:r>
          </w:p>
        </w:tc>
        <w:tc>
          <w:tcPr>
            <w:tcW w:w="5000" w:type="auto"/>
          </w:tcPr>
          <w:p>
            <w:pPr>
              <w:spacing w:before="200" w:after="100"/>
            </w:pPr>
            <w:r>
              <w:rPr>
                <w:color w:val="2a2a2a"/>
                <w:sz w:val="22"/>
              </w:rPr>
              <w:t>Date</w:t>
            </w:r>
          </w:p>
        </w:tc>
      </w:tr>
    </w:tbl>
    <w:p>
      <w:r>
        <w:t>Witnessed by the Joint Secretariat (Muscat):</w:t>
      </w:r>
    </w:p>
    <w:p>
      <w:pPr>
        <w:spacing w:before="600"/>
      </w:pPr>
      <w:r>
        <w:rPr>
          <w:color w:val="2a2a2a"/>
        </w:rPr>
        <w:t>_________________________</w:t>
      </w:r>
    </w:p>
    <w:p>
      <w:pPr>
        <w:spacing w:after="200"/>
      </w:pPr>
      <w:r>
        <w:rPr>
          <w:color w:val="555555"/>
          <w:sz w:val="20"/>
        </w:rPr>
        <w:t>Signature</w:t>
      </w:r>
    </w:p>
    <w:p>
      <w:r>
        <w:rPr>
          <w:color w:val="2a2a2a"/>
        </w:rPr>
        <w:t>_________________________</w:t>
      </w:r>
    </w:p>
    <w:p>
      <w:r>
        <w:rPr>
          <w:color w:val="555555"/>
          <w:sz w:val="20"/>
        </w:rPr>
        <w:t>Date</w:t>
      </w:r>
    </w:p>
    <w:p>
      <w:pPr>
        <w:sectPr>
          <w:headerReference w:type="default" r:id="Rf5aba780600e4cda"/>
          <w:footerReference w:type="default" r:id="R4ed8091d64f14149"/>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50707fda402a4a39"/>
                    <a:stretch>
                      <a:fillRect/>
                    </a:stretch>
                  </pic:blipFill>
                  <pic:spPr>
                    <a:xfrm>
                      <a:off x="0" y="0"/>
                      <a:ext cx="7560000" cy="10692000"/>
                    </a:xfrm>
                    <a:prstGeom prst="rect"/>
                  </pic:spPr>
                </pic:pic>
              </a:graphicData>
            </a:graphic>
          </wp:anchor>
        </w:drawing>
      </w:r>
    </w:p>
    <w:p>
      <w:pPr>
        <w:spacing w:before="8000"/>
      </w:pPr>
      <w:r/>
    </w:p>
    <w:p>
      <w:pPr>
        <w:spacing w:after="300"/>
        <w:jc w:val="center"/>
      </w:pPr>
      <w:r>
        <w:rPr>
          <w:rFonts w:ascii="Inter" w:hAnsi="Inter"/>
          <w:b/>
          <w:color w:val="c9a84c"/>
          <w:spacing w:val="50"/>
          <w:sz w:val="28"/>
        </w:rPr>
        <w:t>SAFEGUARDS ENDURE. DISPUTES RESOLVE. THE ARCHITECTURE HOLDS.</w:t>
      </w:r>
    </w:p>
    <w:p>
      <w:pPr>
        <w:spacing w:before="600"/>
        <w:jc w:val="center"/>
      </w:pPr>
      <w:r>
        <w:rPr>
          <w:rFonts w:ascii="Inter" w:hAnsi="Inter"/>
          <w:color w:val="8a7d5e"/>
          <w:spacing w:val="30"/>
          <w:sz w:val="18"/>
        </w:rPr>
        <w:t>Annex E — U.S. Assurance and Dispute Resolution Protocol</w:t>
      </w:r>
    </w:p>
    <w:p>
      <w:pPr>
        <w:jc w:val="center"/>
      </w:pPr>
      <w:r>
        <w:rPr>
          <w:rFonts w:ascii="Inter" w:hAnsi="Inter"/>
          <w:color w:val="8a7d5e"/>
          <w:spacing w:val="30"/>
          <w:sz w:val="16"/>
        </w:rPr>
        <w:t>Modular · Self-Contained · Incorporable by Reference</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Inter" w:hAnsi="Inter"/>
        <w:color w:val="888888"/>
        <w:sz w:val="16"/>
      </w:rPr>
      <w:fldChar w:fldCharType="begin"/>
    </w:r>
    <w:r>
      <w:rPr>
        <w:rFonts w:ascii="Inter" w:hAnsi="Inter"/>
        <w:color w:val="888888"/>
        <w:sz w:val="16"/>
      </w:rPr>
      <w:instrText xml:space="preserve"> PAGE </w:instrText>
    </w:r>
    <w:r>
      <w:rPr>
        <w:rFonts w:ascii="Inter" w:hAnsi="Inter"/>
        <w:color w:val="888888"/>
        <w:sz w:val="16"/>
      </w:rPr>
      <w:fldChar w:fldCharType="separate"/>
    </w:r>
    <w:r>
      <w:rPr>
        <w:rFonts w:ascii="Inter" w:hAnsi="Inter"/>
        <w:color w:val="888888"/>
        <w:sz w:val="16"/>
      </w:rPr>
      <w:t>1</w:t>
    </w:r>
    <w:r>
      <w:rPr>
        <w:rFonts w:ascii="Inter" w:hAnsi="Inter"/>
        <w:color w:val="888888"/>
        <w:sz w:val="16"/>
      </w:rPr>
      <w:fldChar w:fldCharType="end"/>
    </w:r>
  </w:p>
</w:ftr>
</file>

<file path=word/header1.xml><?xml version="1.0" encoding="utf-8"?>
<w:hdr xmlns:w="http://schemas.openxmlformats.org/wordprocessingml/2006/main">
  <w:p>
    <w:pPr>
      <w:jc w:val="center"/>
    </w:pPr>
    <w:r>
      <w:rPr>
        <w:rFonts w:ascii="Inter" w:hAnsi="Inter"/>
        <w:color w:val="888888"/>
        <w:spacing w:val="20"/>
        <w:sz w:val="16"/>
      </w:rPr>
      <w:t>Annex E — U.S. Assurance and Dispute Resolution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jc w:val="both"/>
    </w:pPr>
    <w:rPr>
      <w:rFonts w:ascii="Crimson Text" w:hAnsi="Crimson Text" w:eastAsia="Microsoft YaHei"/>
      <w:color w:val="2a2a2a"/>
      <w:sz w:val="22"/>
    </w:rPr>
  </w:style>
  <w:style w:type="paragraph" w:styleId="Heading1">
    <w:name w:val="heading 1"/>
    <w:basedOn w:val="Normal"/>
    <w:pPr>
      <w:keepNext/>
      <w:keepLines/>
      <w:pageBreakBefore/>
      <w:spacing w:before="480" w:after="280"/>
      <w:outlineLvl w:val="0"/>
    </w:pPr>
    <w:rPr>
      <w:rFonts w:ascii="Inter" w:hAnsi="Inter" w:eastAsia="Microsoft YaHei"/>
      <w:b/>
      <w:color w:val="1a1a2e"/>
      <w:sz w:val="32"/>
    </w:rPr>
  </w:style>
  <w:style w:type="paragraph" w:styleId="Heading2">
    <w:name w:val="heading 2"/>
    <w:basedOn w:val="Normal"/>
    <w:pPr>
      <w:keepNext/>
      <w:keepLines/>
      <w:spacing w:before="360" w:after="200"/>
      <w:outlineLvl w:val="1"/>
    </w:pPr>
    <w:rPr>
      <w:rFonts w:ascii="Inter" w:hAnsi="Inter" w:eastAsia="Microsoft YaHei"/>
      <w:b/>
      <w:color w:val="1a1a2e"/>
      <w:sz w:val="26"/>
    </w:rPr>
  </w:style>
  <w:style w:type="paragraph" w:styleId="Heading3">
    <w:name w:val="heading 3"/>
    <w:basedOn w:val="Normal"/>
    <w:pPr>
      <w:keepNext/>
      <w:keepLines/>
      <w:spacing w:before="280" w:after="120"/>
      <w:outlineLvl w:val="2"/>
    </w:pPr>
    <w:rPr>
      <w:rFonts w:ascii="Inter" w:hAnsi="Inter" w:eastAsia="Microsoft YaHei"/>
      <w:b/>
      <w:color w:val="2a2a2a"/>
      <w:sz w:val="24"/>
    </w:rPr>
  </w:style>
  <w:style w:type="paragraph" w:styleId="TOC1">
    <w:name w:val="toc 1"/>
    <w:basedOn w:val="Normal"/>
    <w:pPr>
      <w:tabs>
        <w:tab w:val="right" w:leader="dot" w:pos="9350"/>
      </w:tabs>
      <w:spacing w:before="200" w:after="80"/>
    </w:pPr>
    <w:rPr>
      <w:b/>
      <w:color w:val="1a1a2e"/>
    </w:rPr>
  </w:style>
  <w:style w:type="paragraph" w:styleId="TOC2">
    <w:name w:val="toc 2"/>
    <w:basedOn w:val="Normal"/>
    <w:pPr>
      <w:tabs>
        <w:tab w:val="right" w:leader="dot" w:pos="9350"/>
      </w:tabs>
      <w:spacing w:before="60" w:after="60"/>
      <w:ind w:left="400"/>
    </w:pPr>
    <w:rPr>
      <w:color w:val="555555"/>
    </w:rPr>
  </w:style>
  <w:style w:type="paragraph" w:styleId="TOC3">
    <w:name w:val="toc 3"/>
    <w:basedOn w:val="Normal"/>
    <w:pPr>
      <w:tabs>
        <w:tab w:val="right" w:leader="dot" w:pos="9350"/>
      </w:tabs>
      <w:spacing w:before="40" w:after="40"/>
      <w:ind w:left="800"/>
    </w:pPr>
    <w:rPr>
      <w:color w:val="888888"/>
      <w:sz w:val="20"/>
    </w:rPr>
  </w:style>
</w:styles>
</file>

<file path=word/_rels/document.xml.rels><?xml version='1.0' encoding='UTF-8'?>
<Relationships xmlns="http://schemas.openxmlformats.org/package/2006/relationships"><Relationship Id="R1276560850a44398" Type="http://schemas.openxmlformats.org/officeDocument/2006/relationships/numbering" Target="numbering.xml" /><Relationship Id="R4ed8091d64f14149" Type="http://schemas.openxmlformats.org/officeDocument/2006/relationships/footer" Target="footer1.xml" /><Relationship Id="R50707fda402a4a39" Type="http://schemas.openxmlformats.org/officeDocument/2006/relationships/image" Target="media/image2.png" /><Relationship Id="R519196b9aa9245fe" Type="http://schemas.openxmlformats.org/officeDocument/2006/relationships/image" Target="media/image.png" /><Relationship Id="R9af1b93a21584eb0" Type="http://schemas.openxmlformats.org/officeDocument/2006/relationships/settings" Target="settings.xml" /><Relationship Id="Rf5aba780600e4cda" Type="http://schemas.openxmlformats.org/officeDocument/2006/relationships/header" Target="header1.xml" /><Relationship Id="Rfa0ffd3463de4ac2" Type="http://schemas.openxmlformats.org/officeDocument/2006/relationships/styles" Target="styles.xml" /></Relationships>
</file>