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10fdcd367a854166"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a4c4a481ab104e8b"/>
                    <a:stretch>
                      <a:fillRect/>
                    </a:stretch>
                  </pic:blipFill>
                  <pic:spPr>
                    <a:xfrm>
                      <a:off x="0" y="0"/>
                      <a:ext cx="7560000" cy="10692000"/>
                    </a:xfrm>
                    <a:prstGeom prst="rect"/>
                  </pic:spPr>
                </pic:pic>
              </a:graphicData>
            </a:graphic>
          </wp:anchor>
        </w:drawing>
      </w:r>
    </w:p>
    <w:p>
      <w:pPr>
        <w:pStyle w:val="Normal"/>
        <w:spacing w:before="4800"/>
      </w:pPr>
    </w:p>
    <w:p>
      <w:pPr>
        <w:pStyle w:val="Normal"/>
        <w:spacing w:after="360"/>
        <w:jc w:val="center"/>
      </w:pPr>
      <w:r>
        <w:rPr>
          <w:rFonts w:ascii="Inter" w:hAnsi="Inter" w:eastAsia="Inter" w:cs="Inter"/>
          <w:color w:val="4A9AAA"/>
          <w:sz w:val="14"/>
          <w:szCs w:val="14"/>
          <w:spacing w:val="40"/>
        </w:rPr>
        <w:t>DIPLOMATIC WORKING DOCUMENT — MODULAR ANNEX</w:t>
      </w:r>
    </w:p>
    <w:p>
      <w:pPr>
        <w:pStyle w:val="Normal"/>
        <w:spacing w:after="280"/>
        <w:jc w:val="center"/>
      </w:pPr>
      <w:r>
        <w:rPr>
          <w:rFonts w:ascii="Inter" w:hAnsi="Inter" w:eastAsia="Inter" w:cs="Inter"/>
          <w:b/>
          <w:color w:val="4A9AAA"/>
          <w:sz w:val="88"/>
          <w:szCs w:val="88"/>
          <w:spacing w:val="50"/>
        </w:rPr>
        <w:t>ANNEX Mi</w:t>
      </w:r>
    </w:p>
    <w:p>
      <w:pPr>
        <w:pStyle w:val="Normal"/>
        <w:spacing w:after="160"/>
        <w:jc w:val="center"/>
      </w:pPr>
      <w:r>
        <w:rPr>
          <w:rFonts w:ascii="Crimson Text" w:hAnsi="Crimson Text" w:eastAsia="Crimson Text" w:cs="Crimson Text"/>
          <w:b/>
          <w:color w:val="E8F4F0"/>
          <w:sz w:val="40"/>
          <w:szCs w:val="40"/>
        </w:rPr>
        <w:t>Maritime Implementation Schedule</w:t>
      </w:r>
    </w:p>
    <w:p>
      <w:pPr>
        <w:pStyle w:val="Normal"/>
        <w:spacing w:after="360"/>
        <w:jc w:val="center"/>
      </w:pPr>
      <w:r>
        <w:rPr>
          <w:rFonts w:ascii="Crimson Text" w:hAnsi="Crimson Text" w:eastAsia="Crimson Text" w:cs="Crimson Text"/>
          <w:b/>
          <w:color w:val="E8F4F0"/>
          <w:sz w:val="40"/>
          <w:szCs w:val="40"/>
        </w:rPr>
        <w:t>Mine Removal &amp; Reopening Timetable</w:t>
      </w:r>
    </w:p>
    <w:p>
      <w:pPr>
        <w:pStyle w:val="Normal"/>
        <w:spacing w:after="2000"/>
        <w:jc w:val="center"/>
      </w:pPr>
      <w:r>
        <w:rPr>
          <w:rFonts w:ascii="Crimson Text" w:hAnsi="Crimson Text" w:eastAsia="Crimson Text" w:cs="Crimson Text"/>
          <w:i/>
          <w:color w:val="90B0A8"/>
          <w:sz w:val="20"/>
          <w:szCs w:val="20"/>
        </w:rPr>
        <w:t>Step-by-Step Operational Schedule for Clearing the Strait of Hormuz</w:t>
      </w:r>
    </w:p>
    <w:p>
      <w:pPr>
        <w:pStyle w:val="Normal"/>
        <w:spacing w:after="160"/>
        <w:jc w:val="center"/>
      </w:pPr>
      <w:r>
        <w:rPr>
          <w:rFonts w:ascii="Inter" w:hAnsi="Inter" w:eastAsia="Inter" w:cs="Inter"/>
          <w:color w:val="6A8A80"/>
          <w:sz w:val="14"/>
          <w:szCs w:val="14"/>
          <w:spacing w:val="30"/>
        </w:rPr>
        <w:t>Modular · Self-Contained · Incorporable by Reference</w:t>
      </w:r>
    </w:p>
    <w:p>
      <w:pPr>
        <w:pStyle w:val="Normal"/>
        <w:jc w:val="center"/>
      </w:pPr>
      <w:r>
        <w:rPr>
          <w:rFonts w:ascii="Inter" w:hAnsi="Inter" w:eastAsia="Inter" w:cs="Inter"/>
          <w:color w:val="6A8A80"/>
          <w:sz w:val="14"/>
          <w:szCs w:val="14"/>
          <w:spacing w:val="30"/>
        </w:rPr>
        <w:t>MOU Pertaining to PEACE (v7.0) · June 2026</w:t>
      </w:r>
    </w:p>
    <w:p>
      <w:pPr>
        <w:pStyle w:val="Normal"/>
        <w:sectPr>
          <w:type w:val="nextPage"/>
          <w:pgSz w:w="11906" w:h="16838"/>
          <w:pgMar w:top="0" w:right="0" w:bottom="0" w:left="0" w:header="0" w:footer="0"/>
          <w:titlePg/>
        </w:sectPr>
      </w:pPr>
    </w:p>
    <w:p>
      <w:pPr>
        <w:pStyle w:val="Normal"/>
        <w:spacing w:before="400" w:after="480"/>
        <w:jc w:val="center"/>
      </w:pPr>
      <w:r>
        <w:rPr>
          <w:rFonts w:ascii="Inter" w:hAnsi="Inter" w:eastAsia="Inter" w:cs="Inter"/>
          <w:b/>
          <w:color w:val="0F1F2E"/>
          <w:sz w:val="32"/>
          <w:szCs w:val="32"/>
          <w:spacing w:val="30"/>
        </w:rPr>
        <w:t>CONTENTS</w:t>
      </w:r>
    </w:p>
    <w:p>
      <w:pPr>
        <w:pStyle w:val="Normal"/>
      </w:pPr>
      <w:r>
        <w:fldChar w:fldCharType="begin"/>
      </w:r>
      <w:r>
        <w:instrText xml:space="preserve"> TOC \o "1-3" \h \z \u </w:instrText>
      </w:r>
      <w:r>
        <w:fldChar w:fldCharType="separate"/>
      </w:r>
    </w:p>
    <w:p>
      <w:pPr>
        <w:pStyle w:val="TOC1"/>
      </w:pPr>
      <w:r>
        <w:rPr>
          <w:rFonts w:ascii="Crimson Text" w:hAnsi="Crimson Text" w:eastAsia="Microsoft YaHei" w:cs="Crimson Text"/>
          <w:sz w:val="21"/>
          <w:b/>
          <w:color w:val="0F1F2E"/>
          <w:szCs w:val="21"/>
        </w:rPr>
        <w:t>Purpose</w:t>
      </w:r>
      <w:r>
        <w:rPr>
          <w:rFonts w:ascii="Crimson Text" w:hAnsi="Crimson Text" w:eastAsia="Microsoft YaHei"/>
          <w:sz w:val="21"/>
          <w:b/>
          <w:color w:val="0f1f2e"/>
        </w:rPr>
        <w:tab/>
      </w:r>
      <w:r>
        <w:rPr>
          <w:rFonts w:ascii="Crimson Text" w:hAnsi="Crimson Text" w:eastAsia="Microsoft YaHei" w:cs="Crimson Text"/>
          <w:sz w:val="21"/>
          <w:b/>
          <w:color w:val="0F1F2E"/>
          <w:szCs w:val="21"/>
        </w:rPr>
        <w:t>1</w:t>
      </w:r>
    </w:p>
    <w:p>
      <w:pPr>
        <w:pStyle w:val="TOC1"/>
      </w:pPr>
      <w:r>
        <w:rPr>
          <w:rFonts w:ascii="Crimson Text" w:hAnsi="Crimson Text" w:eastAsia="Microsoft YaHei" w:cs="Crimson Text"/>
          <w:sz w:val="21"/>
          <w:b/>
          <w:color w:val="0F1F2E"/>
          <w:szCs w:val="21"/>
        </w:rPr>
        <w:t>Preamble</w:t>
      </w:r>
      <w:r>
        <w:rPr>
          <w:rFonts w:ascii="Crimson Text" w:hAnsi="Crimson Text" w:eastAsia="Microsoft YaHei"/>
          <w:sz w:val="21"/>
          <w:b/>
          <w:color w:val="0f1f2e"/>
        </w:rPr>
        <w:tab/>
      </w:r>
      <w:r>
        <w:rPr>
          <w:rFonts w:ascii="Crimson Text" w:hAnsi="Crimson Text" w:eastAsia="Microsoft YaHei" w:cs="Crimson Text"/>
          <w:sz w:val="21"/>
          <w:b/>
          <w:color w:val="0F1F2E"/>
          <w:szCs w:val="21"/>
        </w:rPr>
        <w:t>2</w:t>
      </w:r>
    </w:p>
    <w:p>
      <w:pPr>
        <w:pStyle w:val="TOC1"/>
      </w:pPr>
      <w:r>
        <w:rPr>
          <w:rFonts w:ascii="Crimson Text" w:hAnsi="Crimson Text" w:eastAsia="Microsoft YaHei" w:cs="Crimson Text"/>
          <w:sz w:val="21"/>
          <w:b/>
          <w:color w:val="0F1F2E"/>
          <w:szCs w:val="21"/>
        </w:rPr>
        <w:t>Article 1 — Definitions</w:t>
      </w:r>
      <w:r>
        <w:rPr>
          <w:rFonts w:ascii="Crimson Text" w:hAnsi="Crimson Text" w:eastAsia="Microsoft YaHei"/>
          <w:sz w:val="21"/>
          <w:b/>
          <w:color w:val="0f1f2e"/>
        </w:rPr>
        <w:tab/>
      </w:r>
      <w:r>
        <w:rPr>
          <w:rFonts w:ascii="Crimson Text" w:hAnsi="Crimson Text" w:eastAsia="Microsoft YaHei" w:cs="Crimson Text"/>
          <w:sz w:val="21"/>
          <w:b/>
          <w:color w:val="0F1F2E"/>
          <w:szCs w:val="21"/>
        </w:rPr>
        <w:t>3</w:t>
      </w:r>
    </w:p>
    <w:p>
      <w:pPr>
        <w:pStyle w:val="TOC1"/>
      </w:pPr>
      <w:r>
        <w:rPr>
          <w:rFonts w:ascii="Crimson Text" w:hAnsi="Crimson Text" w:eastAsia="Microsoft YaHei" w:cs="Crimson Text"/>
          <w:sz w:val="21"/>
          <w:b/>
          <w:color w:val="0F1F2E"/>
          <w:szCs w:val="21"/>
        </w:rPr>
        <w:t>Article 2 — Phased Mine Clearance Schedule</w:t>
      </w:r>
      <w:r>
        <w:rPr>
          <w:rFonts w:ascii="Crimson Text" w:hAnsi="Crimson Text" w:eastAsia="Microsoft YaHei"/>
          <w:sz w:val="21"/>
          <w:b/>
          <w:color w:val="0f1f2e"/>
        </w:rPr>
        <w:tab/>
      </w:r>
      <w:r>
        <w:rPr>
          <w:rFonts w:ascii="Crimson Text" w:hAnsi="Crimson Text" w:eastAsia="Microsoft YaHei" w:cs="Crimson Text"/>
          <w:sz w:val="21"/>
          <w:b/>
          <w:color w:val="0F1F2E"/>
          <w:szCs w:val="21"/>
        </w:rPr>
        <w:t>3</w:t>
      </w:r>
    </w:p>
    <w:p>
      <w:pPr>
        <w:pStyle w:val="TOC2"/>
      </w:pPr>
      <w:r>
        <w:rPr>
          <w:rFonts w:ascii="Crimson Text" w:hAnsi="Crimson Text" w:eastAsia="Microsoft YaHei" w:cs="Crimson Text"/>
          <w:sz w:val="21"/>
          <w:color w:val="555555"/>
          <w:szCs w:val="21"/>
        </w:rPr>
        <w:t>Phase 0 — Pre-Clearance Information Exchange (Days 1–2)</w:t>
      </w:r>
      <w:r>
        <w:rPr>
          <w:rFonts w:ascii="Crimson Text" w:hAnsi="Crimson Text" w:eastAsia="Microsoft YaHei"/>
          <w:sz w:val="21"/>
          <w:color w:val="555555"/>
        </w:rPr>
        <w:tab/>
      </w:r>
      <w:r>
        <w:rPr>
          <w:rFonts w:ascii="Crimson Text" w:hAnsi="Crimson Text" w:eastAsia="Microsoft YaHei" w:cs="Crimson Text"/>
          <w:sz w:val="21"/>
          <w:color w:val="555555"/>
          <w:szCs w:val="21"/>
        </w:rPr>
        <w:t>3</w:t>
      </w:r>
    </w:p>
    <w:p>
      <w:pPr>
        <w:pStyle w:val="TOC2"/>
      </w:pPr>
      <w:r>
        <w:rPr>
          <w:rFonts w:ascii="Crimson Text" w:hAnsi="Crimson Text" w:eastAsia="Microsoft YaHei" w:cs="Crimson Text"/>
          <w:sz w:val="21"/>
          <w:color w:val="555555"/>
          <w:szCs w:val="21"/>
        </w:rPr>
        <w:t>Phase 1 — Initial Sweep of Primary Lane (Days 3–5)</w:t>
      </w:r>
      <w:r>
        <w:rPr>
          <w:rFonts w:ascii="Crimson Text" w:hAnsi="Crimson Text" w:eastAsia="Microsoft YaHei"/>
          <w:sz w:val="21"/>
          <w:color w:val="555555"/>
        </w:rPr>
        <w:tab/>
      </w:r>
      <w:r>
        <w:rPr>
          <w:rFonts w:ascii="Crimson Text" w:hAnsi="Crimson Text" w:eastAsia="Microsoft YaHei" w:cs="Crimson Text"/>
          <w:sz w:val="21"/>
          <w:color w:val="555555"/>
          <w:szCs w:val="21"/>
        </w:rPr>
        <w:t>4</w:t>
      </w:r>
    </w:p>
    <w:p>
      <w:pPr>
        <w:pStyle w:val="TOC2"/>
      </w:pPr>
      <w:r>
        <w:rPr>
          <w:rFonts w:ascii="Crimson Text" w:hAnsi="Crimson Text" w:eastAsia="Microsoft YaHei" w:cs="Crimson Text"/>
          <w:sz w:val="21"/>
          <w:color w:val="555555"/>
          <w:szCs w:val="21"/>
        </w:rPr>
        <w:t>Phase 2 — Final Confirmation Sweep (Day 6)</w:t>
      </w:r>
      <w:r>
        <w:rPr>
          <w:rFonts w:ascii="Crimson Text" w:hAnsi="Crimson Text" w:eastAsia="Microsoft YaHei"/>
          <w:sz w:val="21"/>
          <w:color w:val="555555"/>
        </w:rPr>
        <w:tab/>
      </w:r>
      <w:r>
        <w:rPr>
          <w:rFonts w:ascii="Crimson Text" w:hAnsi="Crimson Text" w:eastAsia="Microsoft YaHei" w:cs="Crimson Text"/>
          <w:sz w:val="21"/>
          <w:color w:val="555555"/>
          <w:szCs w:val="21"/>
        </w:rPr>
        <w:t>4</w:t>
      </w:r>
    </w:p>
    <w:p>
      <w:pPr>
        <w:pStyle w:val="TOC2"/>
      </w:pPr>
      <w:r>
        <w:rPr>
          <w:rFonts w:ascii="Crimson Text" w:hAnsi="Crimson Text" w:eastAsia="Microsoft YaHei" w:cs="Crimson Text"/>
          <w:sz w:val="21"/>
          <w:color w:val="555555"/>
          <w:szCs w:val="21"/>
        </w:rPr>
        <w:t>Phase 3 — First Commercial Transit &amp; Full Certification (Day 7)</w:t>
      </w:r>
      <w:r>
        <w:rPr>
          <w:rFonts w:ascii="Crimson Text" w:hAnsi="Crimson Text" w:eastAsia="Microsoft YaHei"/>
          <w:sz w:val="21"/>
          <w:color w:val="555555"/>
        </w:rPr>
        <w:tab/>
      </w:r>
      <w:r>
        <w:rPr>
          <w:rFonts w:ascii="Crimson Text" w:hAnsi="Crimson Text" w:eastAsia="Microsoft YaHei" w:cs="Crimson Text"/>
          <w:sz w:val="21"/>
          <w:color w:val="555555"/>
          <w:szCs w:val="21"/>
        </w:rPr>
        <w:t>5</w:t>
      </w:r>
    </w:p>
    <w:p>
      <w:pPr>
        <w:pStyle w:val="TOC1"/>
      </w:pPr>
      <w:r>
        <w:rPr>
          <w:rFonts w:ascii="Crimson Text" w:hAnsi="Crimson Text" w:eastAsia="Microsoft YaHei" w:cs="Crimson Text"/>
          <w:sz w:val="21"/>
          <w:b/>
          <w:color w:val="0F1F2E"/>
          <w:szCs w:val="21"/>
        </w:rPr>
        <w:t>Article 3 — Verification and Telemetry</w:t>
      </w:r>
      <w:r>
        <w:rPr>
          <w:rFonts w:ascii="Crimson Text" w:hAnsi="Crimson Text" w:eastAsia="Microsoft YaHei"/>
          <w:sz w:val="21"/>
          <w:b/>
          <w:color w:val="0f1f2e"/>
        </w:rPr>
        <w:tab/>
      </w:r>
      <w:r>
        <w:rPr>
          <w:rFonts w:ascii="Crimson Text" w:hAnsi="Crimson Text" w:eastAsia="Microsoft YaHei" w:cs="Crimson Text"/>
          <w:sz w:val="21"/>
          <w:b/>
          <w:color w:val="0F1F2E"/>
          <w:szCs w:val="21"/>
        </w:rPr>
        <w:t>5</w:t>
      </w:r>
    </w:p>
    <w:p>
      <w:pPr>
        <w:pStyle w:val="TOC1"/>
      </w:pPr>
      <w:r>
        <w:rPr>
          <w:rFonts w:ascii="Crimson Text" w:hAnsi="Crimson Text" w:eastAsia="Microsoft YaHei" w:cs="Crimson Text"/>
          <w:sz w:val="21"/>
          <w:b/>
          <w:color w:val="0F1F2E"/>
          <w:szCs w:val="21"/>
        </w:rPr>
        <w:t>Article 4 — Role of Third Parties</w:t>
      </w:r>
      <w:r>
        <w:rPr>
          <w:rFonts w:ascii="Crimson Text" w:hAnsi="Crimson Text" w:eastAsia="Microsoft YaHei"/>
          <w:sz w:val="21"/>
          <w:b/>
          <w:color w:val="0f1f2e"/>
        </w:rPr>
        <w:tab/>
      </w:r>
      <w:r>
        <w:rPr>
          <w:rFonts w:ascii="Crimson Text" w:hAnsi="Crimson Text" w:eastAsia="Microsoft YaHei" w:cs="Crimson Text"/>
          <w:sz w:val="21"/>
          <w:b/>
          <w:color w:val="0F1F2E"/>
          <w:szCs w:val="21"/>
        </w:rPr>
        <w:t>6</w:t>
      </w:r>
    </w:p>
    <w:p>
      <w:pPr>
        <w:pStyle w:val="TOC1"/>
      </w:pPr>
      <w:r>
        <w:rPr>
          <w:rFonts w:ascii="Crimson Text" w:hAnsi="Crimson Text" w:eastAsia="Microsoft YaHei" w:cs="Crimson Text"/>
          <w:sz w:val="21"/>
          <w:b/>
          <w:color w:val="0F1F2E"/>
          <w:szCs w:val="21"/>
        </w:rPr>
        <w:t>Article 5 — Force Majeure and Technical Delays</w:t>
      </w:r>
      <w:r>
        <w:rPr>
          <w:rFonts w:ascii="Crimson Text" w:hAnsi="Crimson Text" w:eastAsia="Microsoft YaHei"/>
          <w:sz w:val="21"/>
          <w:b/>
          <w:color w:val="0f1f2e"/>
        </w:rPr>
        <w:tab/>
      </w:r>
      <w:r>
        <w:rPr>
          <w:rFonts w:ascii="Crimson Text" w:hAnsi="Crimson Text" w:eastAsia="Microsoft YaHei" w:cs="Crimson Text"/>
          <w:sz w:val="21"/>
          <w:b/>
          <w:color w:val="0F1F2E"/>
          <w:szCs w:val="21"/>
        </w:rPr>
        <w:t>6</w:t>
      </w:r>
    </w:p>
    <w:p>
      <w:pPr>
        <w:pStyle w:val="TOC1"/>
      </w:pPr>
      <w:r>
        <w:rPr>
          <w:rFonts w:ascii="Crimson Text" w:hAnsi="Crimson Text" w:eastAsia="Microsoft YaHei" w:cs="Crimson Text"/>
          <w:sz w:val="21"/>
          <w:b/>
          <w:color w:val="0F1F2E"/>
          <w:szCs w:val="21"/>
        </w:rPr>
        <w:t>Article 6 — Consequences of Delay Without Justification</w:t>
      </w:r>
      <w:r>
        <w:rPr>
          <w:rFonts w:ascii="Crimson Text" w:hAnsi="Crimson Text" w:eastAsia="Microsoft YaHei"/>
          <w:sz w:val="21"/>
          <w:b/>
          <w:color w:val="0f1f2e"/>
        </w:rPr>
        <w:tab/>
      </w:r>
      <w:r>
        <w:rPr>
          <w:rFonts w:ascii="Crimson Text" w:hAnsi="Crimson Text" w:eastAsia="Microsoft YaHei" w:cs="Crimson Text"/>
          <w:sz w:val="21"/>
          <w:b/>
          <w:color w:val="0F1F2E"/>
          <w:szCs w:val="21"/>
        </w:rPr>
        <w:t>7</w:t>
      </w:r>
    </w:p>
    <w:p>
      <w:pPr>
        <w:pStyle w:val="TOC1"/>
      </w:pPr>
      <w:r>
        <w:rPr>
          <w:rFonts w:ascii="Crimson Text" w:hAnsi="Crimson Text" w:eastAsia="Microsoft YaHei" w:cs="Crimson Text"/>
          <w:sz w:val="21"/>
          <w:b/>
          <w:color w:val="0F1F2E"/>
          <w:szCs w:val="21"/>
        </w:rPr>
        <w:t>Article 7 — Post-Clearance Monitoring</w:t>
      </w:r>
      <w:r>
        <w:rPr>
          <w:rFonts w:ascii="Crimson Text" w:hAnsi="Crimson Text" w:eastAsia="Microsoft YaHei"/>
          <w:sz w:val="21"/>
          <w:b/>
          <w:color w:val="0f1f2e"/>
        </w:rPr>
        <w:tab/>
      </w:r>
      <w:r>
        <w:rPr>
          <w:rFonts w:ascii="Crimson Text" w:hAnsi="Crimson Text" w:eastAsia="Microsoft YaHei" w:cs="Crimson Text"/>
          <w:sz w:val="21"/>
          <w:b/>
          <w:color w:val="0F1F2E"/>
          <w:szCs w:val="21"/>
        </w:rPr>
        <w:t>7</w:t>
      </w:r>
    </w:p>
    <w:p>
      <w:pPr>
        <w:pStyle w:val="TOC1"/>
      </w:pPr>
      <w:r>
        <w:rPr>
          <w:rFonts w:ascii="Crimson Text" w:hAnsi="Crimson Text" w:eastAsia="Microsoft YaHei" w:cs="Crimson Text"/>
          <w:sz w:val="21"/>
          <w:b/>
          <w:color w:val="0F1F2E"/>
          <w:szCs w:val="21"/>
        </w:rPr>
        <w:t>Article 8 — Incorporation by Reference</w:t>
      </w:r>
      <w:r>
        <w:rPr>
          <w:rFonts w:ascii="Crimson Text" w:hAnsi="Crimson Text" w:eastAsia="Microsoft YaHei"/>
          <w:sz w:val="21"/>
          <w:b/>
          <w:color w:val="0f1f2e"/>
        </w:rPr>
        <w:tab/>
      </w:r>
      <w:r>
        <w:rPr>
          <w:rFonts w:ascii="Crimson Text" w:hAnsi="Crimson Text" w:eastAsia="Microsoft YaHei" w:cs="Crimson Text"/>
          <w:sz w:val="21"/>
          <w:b/>
          <w:color w:val="0F1F2E"/>
          <w:szCs w:val="21"/>
        </w:rPr>
        <w:t>8</w:t>
      </w:r>
    </w:p>
    <w:p>
      <w:pPr>
        <w:pStyle w:val="TOC1"/>
      </w:pPr>
      <w:r>
        <w:rPr>
          <w:rFonts w:ascii="Crimson Text" w:hAnsi="Crimson Text" w:eastAsia="Microsoft YaHei" w:cs="Crimson Text"/>
          <w:sz w:val="21"/>
          <w:b/>
          <w:color w:val="0F1F2E"/>
          <w:szCs w:val="21"/>
        </w:rPr>
        <w:t>Signature Block</w:t>
      </w:r>
      <w:r>
        <w:rPr>
          <w:rFonts w:ascii="Crimson Text" w:hAnsi="Crimson Text" w:eastAsia="Microsoft YaHei"/>
          <w:sz w:val="21"/>
          <w:b/>
          <w:color w:val="0f1f2e"/>
        </w:rPr>
        <w:tab/>
      </w:r>
      <w:r>
        <w:rPr>
          <w:rFonts w:ascii="Crimson Text" w:hAnsi="Crimson Text" w:eastAsia="Microsoft YaHei" w:cs="Crimson Text"/>
          <w:sz w:val="21"/>
          <w:b/>
          <w:color w:val="0F1F2E"/>
          <w:szCs w:val="21"/>
        </w:rPr>
        <w:t>8</w:t>
      </w:r>
    </w:p>
    <w:p>
      <w:pPr>
        <w:pStyle w:val="TOC1"/>
      </w:pPr>
      <w:r>
        <w:rPr>
          <w:rFonts w:ascii="Crimson Text" w:hAnsi="Crimson Text" w:eastAsia="Microsoft YaHei" w:cs="Crimson Text"/>
          <w:sz w:val="21"/>
          <w:b/>
          <w:color w:val="0F1F2E"/>
          <w:szCs w:val="21"/>
        </w:rPr>
        <w:t>Drafting Note (Informative)</w:t>
      </w:r>
      <w:r>
        <w:rPr>
          <w:rFonts w:ascii="Crimson Text" w:hAnsi="Crimson Text" w:eastAsia="Microsoft YaHei"/>
          <w:sz w:val="21"/>
          <w:b/>
          <w:color w:val="0f1f2e"/>
        </w:rPr>
        <w:tab/>
      </w:r>
      <w:r>
        <w:rPr>
          <w:rFonts w:ascii="Crimson Text" w:hAnsi="Crimson Text" w:eastAsia="Microsoft YaHei" w:cs="Crimson Text"/>
          <w:sz w:val="21"/>
          <w:b/>
          <w:color w:val="0F1F2E"/>
          <w:szCs w:val="21"/>
        </w:rPr>
        <w:t>9</w:t>
      </w:r>
    </w:p>
    <w:p>
      <w:pPr>
        <w:pStyle w:val="Normal"/>
      </w:pPr>
      <w:r>
        <w:fldChar w:fldCharType="end"/>
      </w:r>
    </w:p>
    <w:p>
      <w:pPr>
        <w:pStyle w:val="Normal"/>
        <w:sectPr>
          <w:type w:val="nextPage"/>
          <w:pgSz w:w="11906" w:h="16838"/>
          <w:pgMar w:top="1800" w:right="1440" w:bottom="1440" w:left="1440" w:header="720" w:footer="720"/>
        </w:sectPr>
      </w:pPr>
    </w:p>
    <w:p>
      <w:pPr>
        <w:pStyle w:val="Heading1"/>
      </w:pPr>
      <w:bookmarkStart w:name="_TocPurpose" w:id="1"/>
      <w:r>
        <w:rPr>
          <w:rFonts w:ascii="Inter" w:hAnsi="Inter" w:eastAsia="Microsoft YaHei" w:cs="Inter"/>
          <w:b/>
          <w:color w:val="0F1F2E"/>
          <w:sz w:val="30"/>
          <w:szCs w:val="30"/>
        </w:rPr>
        <w:t>Purpose</w:t>
      </w:r>
      <w:bookmarkEnd w:id="1"/>
    </w:p>
    <w:p>
      <w:pPr>
        <w:pStyle w:val="Normal"/>
      </w:pPr>
      <w:r>
        <w:rPr>
          <w:rFonts w:ascii="Crimson Text" w:hAnsi="Crimson Text" w:eastAsia="Microsoft YaHei" w:cs="Crimson Text"/>
          <w:color w:val="2A2A2A"/>
          <w:sz w:val="21"/>
          <w:szCs w:val="21"/>
        </w:rPr>
        <w:t>Annex Mi provides the missing step-by-step operational schedule for clearing the Strait of Hormuz of naval mines and reopening the transit corridor. It transforms the current text ("Day 7 mines cleared") into a verifiable, day-by-day sequence with clear responsibilities, verification checkpoints, and automatic consequences for delay.</w:t>
      </w:r>
    </w:p>
    <w:p>
      <w:pPr>
        <w:pStyle w:val="Normal"/>
      </w:pPr>
      <w:r>
        <w:rPr>
          <w:rFonts w:ascii="Crimson Text" w:hAnsi="Crimson Text" w:eastAsia="Microsoft YaHei" w:cs="Crimson Text"/>
          <w:color w:val="2A2A2A"/>
          <w:sz w:val="21"/>
          <w:szCs w:val="21"/>
        </w:rPr>
        <w:t>The framework architecture treats this Annex as the operative counterpart to the political commitments in Annex N.a and the telemetry infrastructure of Annex W. Where those annexes establish what happens, this Annex establishes precisely when, by whom, and under what verification standard each operational milestone executes.</w:t>
      </w:r>
    </w:p>
    <w:p>
      <w:pPr>
        <w:pStyle w:val="Heading1"/>
      </w:pPr>
      <w:bookmarkStart w:name="_TocPreamble" w:id="2"/>
      <w:r>
        <w:rPr>
          <w:rFonts w:ascii="Inter" w:hAnsi="Inter" w:eastAsia="Microsoft YaHei" w:cs="Inter"/>
          <w:b/>
          <w:color w:val="0F1F2E"/>
          <w:sz w:val="30"/>
          <w:szCs w:val="30"/>
        </w:rPr>
        <w:t>Preamble</w:t>
      </w:r>
      <w:bookmarkEnd w:id="2"/>
    </w:p>
    <w:p>
      <w:pPr>
        <w:pStyle w:val="Normal"/>
      </w:pPr>
      <w:r>
        <w:rPr>
          <w:rFonts w:ascii="Crimson Text" w:hAnsi="Crimson Text" w:eastAsia="Microsoft YaHei" w:cs="Crimson Text"/>
          <w:color w:val="2A2A2A"/>
          <w:sz w:val="21"/>
          <w:szCs w:val="21"/>
        </w:rPr>
        <w:t>The Parties recognize that the stability of the Hormuz Transit Zone depends on predictable, phased mine clearance executed on a strict timeline with real-time verification. The framework architecture governs all mine clearance operations under the verification authority of the Maritime Stability Board (MSB) in Muscat, with real-time telemetry logged in the Shared Digital Registry (Annex U). Any delay not caused by force majeure or verified technical conditions triggers the proportional delay penalties set out in Article 6.</w:t>
      </w:r>
    </w:p>
    <w:p>
      <w:pPr>
        <w:pStyle w:val="Normal"/>
      </w:pPr>
      <w:r>
        <w:rPr>
          <w:rFonts w:ascii="Crimson Text" w:hAnsi="Crimson Text" w:eastAsia="Microsoft YaHei" w:cs="Crimson Text"/>
          <w:color w:val="2A2A2A"/>
          <w:sz w:val="21"/>
          <w:szCs w:val="21"/>
        </w:rPr>
        <w:t>The following principles anchor the interpretation of this Annex:</w:t>
      </w:r>
    </w:p>
    <w:p>
      <w:pPr>
        <w:pStyle w:val="Normal"/>
        <w:spacing w:before="140" w:after="60"/>
      </w:pPr>
      <w:r>
        <w:rPr>
          <w:rFonts w:ascii="Inter" w:hAnsi="Inter" w:eastAsia="Inter" w:cs="Inter"/>
          <w:b/>
          <w:color w:val="2A2A2A"/>
          <w:sz w:val="21"/>
          <w:szCs w:val="21"/>
        </w:rPr>
        <w:t xml:space="preserve">Present-tense mutual architecture. </w:t>
      </w:r>
      <w:r>
        <w:rPr>
          <w:rFonts w:ascii="Crimson Text" w:hAnsi="Crimson Text" w:eastAsia="Microsoft YaHei" w:cs="Crimson Text"/>
          <w:color w:val="2A2A2A"/>
          <w:sz w:val="21"/>
          <w:szCs w:val="21"/>
        </w:rPr>
        <w:t>Each provision in this Annex functions as a feature of the shared framework, binding both Parties equally, rather than a unilateral restraint by one Party for the benefit of the other.</w:t>
      </w:r>
    </w:p>
    <w:p>
      <w:pPr>
        <w:pStyle w:val="Normal"/>
        <w:spacing w:before="140" w:after="60"/>
      </w:pPr>
      <w:r>
        <w:rPr>
          <w:rFonts w:ascii="Inter" w:hAnsi="Inter" w:eastAsia="Inter" w:cs="Inter"/>
          <w:b/>
          <w:color w:val="2A2A2A"/>
          <w:sz w:val="21"/>
          <w:szCs w:val="21"/>
        </w:rPr>
        <w:t xml:space="preserve">Non-recognition. </w:t>
      </w:r>
      <w:r>
        <w:rPr>
          <w:rFonts w:ascii="Crimson Text" w:hAnsi="Crimson Text" w:eastAsia="Microsoft YaHei" w:cs="Crimson Text"/>
          <w:color w:val="2A2A2A"/>
          <w:sz w:val="21"/>
          <w:szCs w:val="21"/>
        </w:rPr>
        <w:t>Nothing in this Annex constitutes recognition of the other Party's government, political system, or regional policies, consistent with MOU Article 1.5.</w:t>
      </w:r>
    </w:p>
    <w:p>
      <w:pPr>
        <w:pStyle w:val="Normal"/>
        <w:spacing w:before="140" w:after="60"/>
      </w:pPr>
      <w:r>
        <w:rPr>
          <w:rFonts w:ascii="Inter" w:hAnsi="Inter" w:eastAsia="Inter" w:cs="Inter"/>
          <w:b/>
          <w:color w:val="2A2A2A"/>
          <w:sz w:val="21"/>
          <w:szCs w:val="21"/>
        </w:rPr>
        <w:t xml:space="preserve">Framing autonomy. </w:t>
      </w:r>
      <w:r>
        <w:rPr>
          <w:rFonts w:ascii="Crimson Text" w:hAnsi="Crimson Text" w:eastAsia="Microsoft YaHei" w:cs="Crimson Text"/>
          <w:color w:val="2A2A2A"/>
          <w:sz w:val="21"/>
          <w:szCs w:val="21"/>
        </w:rPr>
        <w:t>Each Party describes this Annex to its own public in its own terminology; neither Party requires the other to adopt a specific label, consistent with MOU Article 1.7.</w:t>
      </w:r>
    </w:p>
    <w:p>
      <w:pPr>
        <w:pStyle w:val="Normal"/>
        <w:spacing w:before="140" w:after="60"/>
      </w:pPr>
      <w:r>
        <w:rPr>
          <w:rFonts w:ascii="Inter" w:hAnsi="Inter" w:eastAsia="Inter" w:cs="Inter"/>
          <w:b/>
          <w:color w:val="2A2A2A"/>
          <w:sz w:val="21"/>
          <w:szCs w:val="21"/>
        </w:rPr>
        <w:t xml:space="preserve">Telemetry-first verification. </w:t>
      </w:r>
      <w:r>
        <w:rPr>
          <w:rFonts w:ascii="Crimson Text" w:hAnsi="Crimson Text" w:eastAsia="Microsoft YaHei" w:cs="Crimson Text"/>
          <w:color w:val="2A2A2A"/>
          <w:sz w:val="21"/>
          <w:szCs w:val="21"/>
        </w:rPr>
        <w:t>Every clearance milestone requires MSB telemetry confirmation. No milestone achieves completion status through self-certification by either Party.</w:t>
      </w:r>
    </w:p>
    <w:p>
      <w:pPr>
        <w:pStyle w:val="Normal"/>
        <w:spacing w:before="140" w:after="60"/>
      </w:pPr>
      <w:r>
        <w:rPr>
          <w:rFonts w:ascii="Inter" w:hAnsi="Inter" w:eastAsia="Inter" w:cs="Inter"/>
          <w:b/>
          <w:color w:val="2A2A2A"/>
          <w:sz w:val="21"/>
          <w:szCs w:val="21"/>
        </w:rPr>
        <w:t xml:space="preserve">Sovereign equality. </w:t>
      </w:r>
      <w:r>
        <w:rPr>
          <w:rFonts w:ascii="Crimson Text" w:hAnsi="Crimson Text" w:eastAsia="Microsoft YaHei" w:cs="Crimson Text"/>
          <w:color w:val="2A2A2A"/>
          <w:sz w:val="21"/>
          <w:szCs w:val="21"/>
        </w:rPr>
        <w:t>The framework architecture treats both states as equal sovereign entities. Neither Party subordinates itself to the other through the operational procedures recorded in this Annex.</w:t>
      </w:r>
    </w:p>
    <w:p>
      <w:pPr>
        <w:pStyle w:val="Heading1"/>
      </w:pPr>
      <w:bookmarkStart w:name="_TocArt1" w:id="3"/>
      <w:r>
        <w:rPr>
          <w:rFonts w:ascii="Inter" w:hAnsi="Inter" w:eastAsia="Microsoft YaHei" w:cs="Inter"/>
          <w:b/>
          <w:color w:val="0F1F2E"/>
          <w:sz w:val="30"/>
          <w:szCs w:val="30"/>
        </w:rPr>
        <w:t>Article 1 — Definitions</w:t>
      </w:r>
      <w:bookmarkEnd w:id="3"/>
    </w:p>
    <w:tbl>
      <w:tblPr>
        <w:tblW w:w="5000" w:type="pct"/>
        <w:tblBorders>
          <w:top w:val="single" w:color="333333" w:sz="12"/>
          <w:bottom w:val="single" w:color="333333" w:sz="12"/>
          <w:insideH w:val="single" w:color="cccccc" w:sz="4"/>
        </w:tblBorders>
      </w:tblPr>
      <w:tblGrid>
        <w:gridCol w:w="2200"/>
        <w:gridCol w:w="7800"/>
      </w:tblGrid>
      <w:tr>
        <w:trPr>
          <w:tblHeader w:val="1"/>
        </w:trPr>
        <w:tc>
          <w:tcPr>
            <w:tcW w:w="2200" w:type="dxa"/>
            <w:shd w:val="clear" w:fill="F0F6F7" w:color="auto"/>
          </w:tcPr>
          <w:p>
            <w:pPr>
              <w:pStyle w:val="Normal"/>
              <w:spacing w:before="40" w:after="40"/>
            </w:pPr>
            <w:r>
              <w:rPr>
                <w:b/>
                <w:color w:val="2A2A2A"/>
                <w:sz w:val="18"/>
                <w:rFonts w:ascii="Crimson Text" w:hAnsi="Crimson Text" w:eastAsia="Microsoft YaHei" w:cs="Crimson Text"/>
                <w:szCs w:val="18"/>
              </w:rPr>
              <w:t>Term</w:t>
            </w:r>
          </w:p>
        </w:tc>
        <w:tc>
          <w:tcPr>
            <w:tcW w:w="7800" w:type="dxa"/>
            <w:shd w:val="clear" w:fill="F0F6F7" w:color="auto"/>
          </w:tcPr>
          <w:p>
            <w:pPr>
              <w:pStyle w:val="Normal"/>
              <w:spacing w:before="40" w:after="40"/>
            </w:pPr>
            <w:r>
              <w:rPr>
                <w:b/>
                <w:color w:val="2A2A2A"/>
                <w:sz w:val="18"/>
                <w:rFonts w:ascii="Crimson Text" w:hAnsi="Crimson Text" w:eastAsia="Microsoft YaHei" w:cs="Crimson Text"/>
                <w:szCs w:val="18"/>
              </w:rPr>
              <w:t>Meaning</w:t>
            </w:r>
          </w:p>
        </w:tc>
      </w:tr>
      <w:tr>
        <w:tc>
          <w:tcPr>
            <w:tcW w:w="2200" w:type="dxa"/>
          </w:tcPr>
          <w:p>
            <w:pPr>
              <w:pStyle w:val="Normal"/>
              <w:spacing w:before="40" w:after="40"/>
            </w:pPr>
            <w:r>
              <w:rPr>
                <w:color w:val="555555"/>
                <w:sz w:val="18"/>
                <w:rFonts w:ascii="Crimson Text" w:hAnsi="Crimson Text" w:eastAsia="Microsoft YaHei" w:cs="Crimson Text"/>
                <w:szCs w:val="18"/>
              </w:rPr>
              <w:t>Mine-free</w:t>
            </w:r>
          </w:p>
        </w:tc>
        <w:tc>
          <w:tcPr>
            <w:tcW w:w="7800" w:type="dxa"/>
          </w:tcPr>
          <w:p>
            <w:pPr>
              <w:pStyle w:val="Normal"/>
              <w:spacing w:before="40" w:after="40"/>
            </w:pPr>
            <w:r>
              <w:rPr>
                <w:color w:val="555555"/>
                <w:sz w:val="18"/>
                <w:rFonts w:ascii="Crimson Text" w:hAnsi="Crimson Text" w:eastAsia="Microsoft YaHei" w:cs="Crimson Text"/>
                <w:szCs w:val="18"/>
              </w:rPr>
              <w:t>No live naval mines within the Commercial Transit Corridor (CTC), as verified by MSB telemetry, side-scan sonar, and a final clearance dive/sweep.</w:t>
            </w:r>
          </w:p>
        </w:tc>
      </w:tr>
      <w:tr>
        <w:tc>
          <w:tcPr>
            <w:tcW w:w="2200" w:type="dxa"/>
          </w:tcPr>
          <w:p>
            <w:pPr>
              <w:pStyle w:val="Normal"/>
              <w:spacing w:before="40" w:after="40"/>
            </w:pPr>
            <w:r>
              <w:rPr>
                <w:color w:val="555555"/>
                <w:sz w:val="18"/>
                <w:rFonts w:ascii="Crimson Text" w:hAnsi="Crimson Text" w:eastAsia="Microsoft YaHei" w:cs="Crimson Text"/>
                <w:szCs w:val="18"/>
              </w:rPr>
              <w:t>CTC</w:t>
            </w:r>
          </w:p>
        </w:tc>
        <w:tc>
          <w:tcPr>
            <w:tcW w:w="7800" w:type="dxa"/>
          </w:tcPr>
          <w:p>
            <w:pPr>
              <w:pStyle w:val="Normal"/>
              <w:spacing w:before="40" w:after="40"/>
            </w:pPr>
            <w:r>
              <w:rPr>
                <w:color w:val="555555"/>
                <w:sz w:val="18"/>
                <w:rFonts w:ascii="Crimson Text" w:hAnsi="Crimson Text" w:eastAsia="Microsoft YaHei" w:cs="Crimson Text"/>
                <w:szCs w:val="18"/>
              </w:rPr>
              <w:t>The Commercial Transit Corridor: a 10-nautical-mile-wide lane extending from the Strait entrance to exit, as charted in Annex Mi-A (confidential coordinates).</w:t>
            </w:r>
          </w:p>
        </w:tc>
      </w:tr>
      <w:tr>
        <w:tc>
          <w:tcPr>
            <w:tcW w:w="2200" w:type="dxa"/>
          </w:tcPr>
          <w:p>
            <w:pPr>
              <w:pStyle w:val="Normal"/>
              <w:spacing w:before="40" w:after="40"/>
            </w:pPr>
            <w:r>
              <w:rPr>
                <w:color w:val="555555"/>
                <w:sz w:val="18"/>
                <w:rFonts w:ascii="Crimson Text" w:hAnsi="Crimson Text" w:eastAsia="Microsoft YaHei" w:cs="Crimson Text"/>
                <w:szCs w:val="18"/>
              </w:rPr>
              <w:t>MSB</w:t>
            </w:r>
          </w:p>
        </w:tc>
        <w:tc>
          <w:tcPr>
            <w:tcW w:w="7800" w:type="dxa"/>
          </w:tcPr>
          <w:p>
            <w:pPr>
              <w:pStyle w:val="Normal"/>
              <w:spacing w:before="40" w:after="40"/>
            </w:pPr>
            <w:r>
              <w:rPr>
                <w:color w:val="555555"/>
                <w:sz w:val="18"/>
                <w:rFonts w:ascii="Crimson Text" w:hAnsi="Crimson Text" w:eastAsia="Microsoft YaHei" w:cs="Crimson Text"/>
                <w:szCs w:val="18"/>
              </w:rPr>
              <w:t>Maritime Stability Board (Muscat) — the advisory body that certifies each clearance milestone.</w:t>
            </w:r>
          </w:p>
        </w:tc>
      </w:tr>
      <w:tr>
        <w:tc>
          <w:tcPr>
            <w:tcW w:w="2200" w:type="dxa"/>
          </w:tcPr>
          <w:p>
            <w:pPr>
              <w:pStyle w:val="Normal"/>
              <w:spacing w:before="40" w:after="40"/>
            </w:pPr>
            <w:r>
              <w:rPr>
                <w:color w:val="555555"/>
                <w:sz w:val="18"/>
                <w:rFonts w:ascii="Crimson Text" w:hAnsi="Crimson Text" w:eastAsia="Microsoft YaHei" w:cs="Crimson Text"/>
                <w:szCs w:val="18"/>
              </w:rPr>
              <w:t>Clearance asset</w:t>
            </w:r>
          </w:p>
        </w:tc>
        <w:tc>
          <w:tcPr>
            <w:tcW w:w="7800" w:type="dxa"/>
          </w:tcPr>
          <w:p>
            <w:pPr>
              <w:pStyle w:val="Normal"/>
              <w:spacing w:before="40" w:after="40"/>
            </w:pPr>
            <w:r>
              <w:rPr>
                <w:color w:val="555555"/>
                <w:sz w:val="18"/>
                <w:rFonts w:ascii="Crimson Text" w:hAnsi="Crimson Text" w:eastAsia="Microsoft YaHei" w:cs="Crimson Text"/>
                <w:szCs w:val="18"/>
              </w:rPr>
              <w:t>Minesweeping vessels, remotely operated vehicles (ROVs), divers, and sonar systems operated by Iran, the U.S.-led coalition, or third-party states (Oman, UAE).</w:t>
            </w:r>
          </w:p>
        </w:tc>
      </w:tr>
      <w:tr>
        <w:tc>
          <w:tcPr>
            <w:tcW w:w="2200" w:type="dxa"/>
          </w:tcPr>
          <w:p>
            <w:pPr>
              <w:pStyle w:val="Normal"/>
              <w:spacing w:before="40" w:after="40"/>
            </w:pPr>
            <w:r>
              <w:rPr>
                <w:b/>
                <w:color w:val="555555"/>
                <w:sz w:val="18"/>
                <w:rFonts w:ascii="Crimson Text" w:hAnsi="Crimson Text" w:eastAsia="Microsoft YaHei" w:cs="Crimson Text"/>
                <w:szCs w:val="18"/>
              </w:rPr>
              <w:t>Deployment</w:t>
            </w:r>
          </w:p>
        </w:tc>
        <w:tc>
          <w:tcPr>
            <w:tcW w:w="7800" w:type="dxa"/>
          </w:tcPr>
          <w:p>
            <w:pPr>
              <w:pStyle w:val="Normal"/>
              <w:spacing w:before="40" w:after="40"/>
            </w:pPr>
            <w:r>
              <w:rPr>
                <w:b/>
                <w:color w:val="555555"/>
                <w:sz w:val="18"/>
                <w:rFonts w:ascii="Crimson Text" w:hAnsi="Crimson Text" w:eastAsia="Microsoft YaHei" w:cs="Crimson Text"/>
                <w:szCs w:val="18"/>
              </w:rPr>
              <w:t>With respect to minesweeping vessels, the vessel has (a) departed its home port or designated anchorage, (b) entered the Commercial Transit Corridor (CTC) or its designated sector, and (c) activated its side-scan sonar for clearance operations. A vessel that is en route but not yet within the CTC boundaries does not qualify as deployed.</w:t>
            </w:r>
          </w:p>
        </w:tc>
      </w:tr>
      <w:tr>
        <w:tc>
          <w:tcPr>
            <w:tcW w:w="2200" w:type="dxa"/>
          </w:tcPr>
          <w:p>
            <w:pPr>
              <w:pStyle w:val="Normal"/>
              <w:spacing w:before="40" w:after="40"/>
            </w:pPr>
            <w:r>
              <w:rPr>
                <w:color w:val="555555"/>
                <w:sz w:val="18"/>
                <w:rFonts w:ascii="Crimson Text" w:hAnsi="Crimson Text" w:eastAsia="Microsoft YaHei" w:cs="Crimson Text"/>
                <w:szCs w:val="18"/>
              </w:rPr>
              <w:t>Shared Digital Registry</w:t>
            </w:r>
          </w:p>
        </w:tc>
        <w:tc>
          <w:tcPr>
            <w:tcW w:w="7800" w:type="dxa"/>
          </w:tcPr>
          <w:p>
            <w:pPr>
              <w:pStyle w:val="Normal"/>
              <w:spacing w:before="40" w:after="40"/>
            </w:pPr>
            <w:r>
              <w:rPr>
                <w:color w:val="555555"/>
                <w:sz w:val="18"/>
                <w:rFonts w:ascii="Crimson Text" w:hAnsi="Crimson Text" w:eastAsia="Microsoft YaHei" w:cs="Crimson Text"/>
                <w:szCs w:val="18"/>
              </w:rPr>
              <w:t>The centralized data repository established under Annex U, Article 5, logging all telemetry, breach classifications, and milestone certifications in real time.</w:t>
            </w:r>
          </w:p>
        </w:tc>
      </w:tr>
      <w:tr>
        <w:tc>
          <w:tcPr>
            <w:tcW w:w="2200" w:type="dxa"/>
          </w:tcPr>
          <w:p>
            <w:pPr>
              <w:pStyle w:val="Normal"/>
              <w:spacing w:before="40" w:after="40"/>
            </w:pPr>
            <w:r>
              <w:rPr>
                <w:color w:val="555555"/>
                <w:sz w:val="18"/>
                <w:rFonts w:ascii="Crimson Text" w:hAnsi="Crimson Text" w:eastAsia="Microsoft YaHei" w:cs="Crimson Text"/>
                <w:szCs w:val="18"/>
              </w:rPr>
              <w:t>Force majeure</w:t>
            </w:r>
          </w:p>
        </w:tc>
        <w:tc>
          <w:tcPr>
            <w:tcW w:w="7800" w:type="dxa"/>
          </w:tcPr>
          <w:p>
            <w:pPr>
              <w:pStyle w:val="Normal"/>
              <w:spacing w:before="40" w:after="40"/>
            </w:pPr>
            <w:r>
              <w:rPr>
                <w:color w:val="555555"/>
                <w:sz w:val="18"/>
                <w:rFonts w:ascii="Crimson Text" w:hAnsi="Crimson Text" w:eastAsia="Microsoft YaHei" w:cs="Crimson Text"/>
                <w:szCs w:val="18"/>
              </w:rPr>
              <w:t>Events meeting the criteria of MOU Article 8.8: adverse weather conditions comprising a Douglas sea state scale value of 5 or higher (waves 2.5–4 meters), or visibility below 500 meters due to fog, dust, or precipitation, as measured by the MSB's coastal weather station at the nearest reference point — for example, Ras al-Kouh or Quoin Island; equipment failure of a critical minesweeping asset; or unexploded ordnance not previously mapped.</w:t>
            </w:r>
          </w:p>
        </w:tc>
      </w:tr>
      <w:tr>
        <w:tc>
          <w:tcPr>
            <w:tcW w:w="2200" w:type="dxa"/>
          </w:tcPr>
          <w:p>
            <w:pPr>
              <w:pStyle w:val="Normal"/>
              <w:spacing w:before="40" w:after="40"/>
            </w:pPr>
            <w:r>
              <w:rPr>
                <w:color w:val="555555"/>
                <w:sz w:val="18"/>
                <w:rFonts w:ascii="Crimson Text" w:hAnsi="Crimson Text" w:eastAsia="Microsoft YaHei" w:cs="Crimson Text"/>
                <w:szCs w:val="18"/>
              </w:rPr>
              <w:t>Tier 1 Technical Variance</w:t>
            </w:r>
          </w:p>
        </w:tc>
        <w:tc>
          <w:tcPr>
            <w:tcW w:w="7800" w:type="dxa"/>
          </w:tcPr>
          <w:p>
            <w:pPr>
              <w:pStyle w:val="Normal"/>
              <w:spacing w:before="40" w:after="40"/>
            </w:pPr>
            <w:r>
              <w:rPr>
                <w:color w:val="555555"/>
                <w:sz w:val="18"/>
                <w:rFonts w:ascii="Crimson Text" w:hAnsi="Crimson Text" w:eastAsia="Microsoft YaHei" w:cs="Crimson Text"/>
                <w:szCs w:val="18"/>
              </w:rPr>
              <w:t>A minor operational deviation not involving safety risk, as classified under Annex T, Article II.1.</w:t>
            </w:r>
          </w:p>
        </w:tc>
      </w:tr>
      <w:tr>
        <w:tc>
          <w:tcPr>
            <w:tcW w:w="2200" w:type="dxa"/>
          </w:tcPr>
          <w:p>
            <w:pPr>
              <w:pStyle w:val="Normal"/>
              <w:spacing w:before="40" w:after="40"/>
            </w:pPr>
            <w:r>
              <w:rPr>
                <w:color w:val="555555"/>
                <w:sz w:val="18"/>
                <w:rFonts w:ascii="Crimson Text" w:hAnsi="Crimson Text" w:eastAsia="Microsoft YaHei" w:cs="Crimson Text"/>
                <w:szCs w:val="18"/>
              </w:rPr>
              <w:t>Tier 2 Material Disruption</w:t>
            </w:r>
          </w:p>
        </w:tc>
        <w:tc>
          <w:tcPr>
            <w:tcW w:w="7800" w:type="dxa"/>
          </w:tcPr>
          <w:p>
            <w:pPr>
              <w:pStyle w:val="Normal"/>
              <w:spacing w:before="40" w:after="40"/>
            </w:pPr>
            <w:r>
              <w:rPr>
                <w:color w:val="555555"/>
                <w:sz w:val="18"/>
                <w:rFonts w:ascii="Crimson Text" w:hAnsi="Crimson Text" w:eastAsia="Microsoft YaHei" w:cs="Crimson Text"/>
                <w:szCs w:val="18"/>
              </w:rPr>
              <w:t>A substantial operational failure affecting the clearance timeline, as classified under Annex T, Article II.2.</w:t>
            </w:r>
          </w:p>
        </w:tc>
      </w:tr>
      <w:tr>
        <w:tc>
          <w:tcPr>
            <w:tcW w:w="2200" w:type="dxa"/>
          </w:tcPr>
          <w:p>
            <w:pPr>
              <w:pStyle w:val="Normal"/>
              <w:spacing w:before="40" w:after="40"/>
            </w:pPr>
            <w:r>
              <w:rPr>
                <w:color w:val="555555"/>
                <w:sz w:val="18"/>
                <w:rFonts w:ascii="Crimson Text" w:hAnsi="Crimson Text" w:eastAsia="Microsoft YaHei" w:cs="Crimson Text"/>
                <w:szCs w:val="18"/>
              </w:rPr>
              <w:t>Tier 3 Deliberate Hostile Violation</w:t>
            </w:r>
          </w:p>
        </w:tc>
        <w:tc>
          <w:tcPr>
            <w:tcW w:w="7800" w:type="dxa"/>
          </w:tcPr>
          <w:p>
            <w:pPr>
              <w:pStyle w:val="Normal"/>
              <w:spacing w:before="40" w:after="40"/>
            </w:pPr>
            <w:r>
              <w:rPr>
                <w:color w:val="555555"/>
                <w:sz w:val="18"/>
                <w:rFonts w:ascii="Crimson Text" w:hAnsi="Crimson Text" w:eastAsia="Microsoft YaHei" w:cs="Crimson Text"/>
                <w:szCs w:val="18"/>
              </w:rPr>
              <w:t>A deliberate act of sabotage or obstruction, as classified under Annex T, Article III.</w:t>
            </w:r>
          </w:p>
        </w:tc>
      </w:tr>
    </w:tbl>
    <w:p>
      <w:pPr>
        <w:pStyle w:val="Heading1"/>
      </w:pPr>
      <w:bookmarkStart w:name="_TocArt2" w:id="4"/>
      <w:r>
        <w:rPr>
          <w:rFonts w:ascii="Inter" w:hAnsi="Inter" w:eastAsia="Microsoft YaHei" w:cs="Inter"/>
          <w:b/>
          <w:color w:val="0F1F2E"/>
          <w:sz w:val="30"/>
          <w:szCs w:val="30"/>
        </w:rPr>
        <w:t>Article 2 — Phased Mine Clearance Schedule</w:t>
      </w:r>
      <w:bookmarkEnd w:id="4"/>
    </w:p>
    <w:p>
      <w:pPr>
        <w:pStyle w:val="Heading2"/>
      </w:pPr>
      <w:r>
        <w:rPr>
          <w:rFonts w:ascii="Inter" w:hAnsi="Inter" w:eastAsia="Microsoft YaHei" w:cs="Inter"/>
          <w:b/>
          <w:color w:val="0F1F2E"/>
          <w:sz w:val="24"/>
          <w:szCs w:val="24"/>
        </w:rPr>
        <w:t>Phase 0 — Pre-Clearance Information Exchange (Days 1–2)</w:t>
      </w:r>
    </w:p>
    <w:p>
      <w:pPr>
        <w:pStyle w:val="Normal"/>
      </w:pPr>
      <w:r>
        <w:rPr>
          <w:rFonts w:ascii="Crimson Text" w:hAnsi="Crimson Text" w:eastAsia="Microsoft YaHei" w:cs="Crimson Text"/>
          <w:color w:val="2A2A2A"/>
          <w:sz w:val="21"/>
          <w:szCs w:val="21"/>
        </w:rPr>
        <w:t>The framework architecture requires full information transparency before any clearance asset enters the CTC. Neither Party deploys minesweeping vessels until Phase 0 completes.</w:t>
      </w:r>
    </w:p>
    <w:tbl>
      <w:tblPr>
        <w:tblW w:w="5000" w:type="pct"/>
        <w:tblBorders>
          <w:top w:val="single" w:color="333333" w:sz="12"/>
          <w:bottom w:val="single" w:color="333333" w:sz="12"/>
          <w:insideH w:val="single" w:color="cccccc" w:sz="4"/>
        </w:tblBorders>
      </w:tblPr>
      <w:tblGrid>
        <w:gridCol w:w="1300"/>
        <w:gridCol w:w="2900"/>
        <w:gridCol w:w="2900"/>
        <w:gridCol w:w="2900"/>
      </w:tblGrid>
      <w:tr>
        <w:trPr>
          <w:tblHeader w:val="1"/>
        </w:trPr>
        <w:tc>
          <w:tcPr>
            <w:tcW w:w="1300" w:type="dxa"/>
            <w:shd w:val="clear" w:fill="F0F6F7" w:color="auto"/>
          </w:tcPr>
          <w:p>
            <w:pPr>
              <w:pStyle w:val="Normal"/>
              <w:spacing w:before="40" w:after="40"/>
            </w:pPr>
            <w:r>
              <w:rPr>
                <w:b/>
                <w:color w:val="2A2A2A"/>
                <w:sz w:val="18"/>
                <w:rFonts w:ascii="Crimson Text" w:hAnsi="Crimson Text" w:eastAsia="Microsoft YaHei" w:cs="Crimson Text"/>
                <w:szCs w:val="18"/>
              </w:rPr>
              <w:t>Day</w:t>
            </w:r>
          </w:p>
        </w:tc>
        <w:tc>
          <w:tcPr>
            <w:tcW w:w="2900" w:type="dxa"/>
            <w:shd w:val="clear" w:fill="F0F6F7" w:color="auto"/>
          </w:tcPr>
          <w:p>
            <w:pPr>
              <w:pStyle w:val="Normal"/>
              <w:spacing w:before="40" w:after="40"/>
            </w:pPr>
            <w:r>
              <w:rPr>
                <w:b/>
                <w:color w:val="2A2A2A"/>
                <w:sz w:val="18"/>
                <w:rFonts w:ascii="Crimson Text" w:hAnsi="Crimson Text" w:eastAsia="Microsoft YaHei" w:cs="Crimson Text"/>
                <w:szCs w:val="18"/>
              </w:rPr>
              <w:t>Iran Action</w:t>
            </w:r>
          </w:p>
        </w:tc>
        <w:tc>
          <w:tcPr>
            <w:tcW w:w="2900" w:type="dxa"/>
            <w:shd w:val="clear" w:fill="F0F6F7" w:color="auto"/>
          </w:tcPr>
          <w:p>
            <w:pPr>
              <w:pStyle w:val="Normal"/>
              <w:spacing w:before="40" w:after="40"/>
            </w:pPr>
            <w:r>
              <w:rPr>
                <w:b/>
                <w:color w:val="2A2A2A"/>
                <w:sz w:val="18"/>
                <w:rFonts w:ascii="Crimson Text" w:hAnsi="Crimson Text" w:eastAsia="Microsoft YaHei" w:cs="Crimson Text"/>
                <w:szCs w:val="18"/>
              </w:rPr>
              <w:t>U.S./Coalition Action</w:t>
            </w:r>
          </w:p>
        </w:tc>
        <w:tc>
          <w:tcPr>
            <w:tcW w:w="2900" w:type="dxa"/>
            <w:shd w:val="clear" w:fill="F0F6F7" w:color="auto"/>
          </w:tcPr>
          <w:p>
            <w:pPr>
              <w:pStyle w:val="Normal"/>
              <w:spacing w:before="40" w:after="40"/>
            </w:pPr>
            <w:r>
              <w:rPr>
                <w:b/>
                <w:color w:val="2A2A2A"/>
                <w:sz w:val="18"/>
                <w:rFonts w:ascii="Crimson Text" w:hAnsi="Crimson Text" w:eastAsia="Microsoft YaHei" w:cs="Crimson Text"/>
                <w:szCs w:val="18"/>
              </w:rPr>
              <w:t>Verification</w:t>
            </w:r>
          </w:p>
        </w:tc>
      </w:tr>
      <w:tr>
        <w:tc>
          <w:tcPr>
            <w:tcW w:w="1300" w:type="dxa"/>
          </w:tcPr>
          <w:p>
            <w:pPr>
              <w:pStyle w:val="Normal"/>
              <w:spacing w:before="40" w:after="40"/>
            </w:pPr>
            <w:r>
              <w:rPr>
                <w:color w:val="555555"/>
                <w:sz w:val="18"/>
                <w:rFonts w:ascii="Crimson Text" w:hAnsi="Crimson Text" w:eastAsia="Microsoft YaHei" w:cs="Crimson Text"/>
                <w:szCs w:val="18"/>
              </w:rPr>
              <w:t>Day 1, Hour 6</w:t>
            </w:r>
          </w:p>
        </w:tc>
        <w:tc>
          <w:tcPr>
            <w:tcW w:w="2900" w:type="dxa"/>
          </w:tcPr>
          <w:p>
            <w:pPr>
              <w:pStyle w:val="Normal"/>
              <w:spacing w:before="40" w:after="40"/>
            </w:pPr>
            <w:r>
              <w:rPr>
                <w:color w:val="555555"/>
                <w:sz w:val="18"/>
                <w:rFonts w:ascii="Crimson Text" w:hAnsi="Crimson Text" w:eastAsia="Microsoft YaHei" w:cs="Crimson Text"/>
                <w:szCs w:val="18"/>
              </w:rPr>
              <w:t>Iran submits to MSB all existing minefield maps, including approximate locations, types, and quantities of mines laid.</w:t>
            </w:r>
          </w:p>
        </w:tc>
        <w:tc>
          <w:tcPr>
            <w:tcW w:w="2900" w:type="dxa"/>
          </w:tcPr>
          <w:p>
            <w:pPr>
              <w:pStyle w:val="Normal"/>
              <w:spacing w:before="40" w:after="40"/>
            </w:pPr>
            <w:r>
              <w:rPr>
                <w:color w:val="555555"/>
                <w:sz w:val="18"/>
                <w:rFonts w:ascii="Crimson Text" w:hAnsi="Crimson Text" w:eastAsia="Microsoft YaHei" w:cs="Crimson Text"/>
                <w:szCs w:val="18"/>
              </w:rPr>
              <w:t>U.S. submits to MSB all mine detection data from national technical means (satellites, drones).</w:t>
            </w:r>
          </w:p>
        </w:tc>
        <w:tc>
          <w:tcPr>
            <w:tcW w:w="2900" w:type="dxa"/>
          </w:tcPr>
          <w:p>
            <w:pPr>
              <w:pStyle w:val="Normal"/>
              <w:spacing w:before="40" w:after="40"/>
            </w:pPr>
            <w:r>
              <w:rPr>
                <w:color w:val="555555"/>
                <w:sz w:val="18"/>
                <w:rFonts w:ascii="Crimson Text" w:hAnsi="Crimson Text" w:eastAsia="Microsoft YaHei" w:cs="Crimson Text"/>
                <w:szCs w:val="18"/>
              </w:rPr>
              <w:t>MSB logs both submissions in the Shared Digital Registry.</w:t>
            </w:r>
          </w:p>
        </w:tc>
      </w:tr>
      <w:tr>
        <w:tc>
          <w:tcPr>
            <w:tcW w:w="1300" w:type="dxa"/>
          </w:tcPr>
          <w:p>
            <w:pPr>
              <w:pStyle w:val="Normal"/>
              <w:spacing w:before="40" w:after="40"/>
            </w:pPr>
            <w:r>
              <w:rPr>
                <w:color w:val="555555"/>
                <w:sz w:val="18"/>
                <w:rFonts w:ascii="Crimson Text" w:hAnsi="Crimson Text" w:eastAsia="Microsoft YaHei" w:cs="Crimson Text"/>
                <w:szCs w:val="18"/>
              </w:rPr>
              <w:t>Day 1, Hour 24</w:t>
            </w:r>
          </w:p>
        </w:tc>
        <w:tc>
          <w:tcPr>
            <w:tcW w:w="2900" w:type="dxa"/>
          </w:tcPr>
          <w:p>
            <w:pPr>
              <w:pStyle w:val="Normal"/>
              <w:spacing w:before="40" w:after="40"/>
            </w:pPr>
            <w:r>
              <w:rPr>
                <w:color w:val="555555"/>
                <w:sz w:val="18"/>
                <w:rFonts w:ascii="Crimson Text" w:hAnsi="Crimson Text" w:eastAsia="Microsoft YaHei" w:cs="Crimson Text"/>
                <w:szCs w:val="18"/>
              </w:rPr>
              <w:t>Iran provides safe passage coordinates for its own minesweeping vessels.</w:t>
            </w:r>
          </w:p>
        </w:tc>
        <w:tc>
          <w:tcPr>
            <w:tcW w:w="2900" w:type="dxa"/>
          </w:tcPr>
          <w:p>
            <w:pPr>
              <w:pStyle w:val="Normal"/>
              <w:spacing w:before="40" w:after="40"/>
            </w:pPr>
            <w:r>
              <w:rPr>
                <w:color w:val="555555"/>
                <w:sz w:val="18"/>
                <w:rFonts w:ascii="Crimson Text" w:hAnsi="Crimson Text" w:eastAsia="Microsoft YaHei" w:cs="Crimson Text"/>
                <w:szCs w:val="18"/>
              </w:rPr>
              <w:t>Coalition provides safe passage coordinates for its minesweeping vessels.</w:t>
            </w:r>
          </w:p>
        </w:tc>
        <w:tc>
          <w:tcPr>
            <w:tcW w:w="2900" w:type="dxa"/>
          </w:tcPr>
          <w:p>
            <w:pPr>
              <w:pStyle w:val="Normal"/>
              <w:spacing w:before="40" w:after="40"/>
            </w:pPr>
            <w:r>
              <w:rPr>
                <w:color w:val="555555"/>
                <w:sz w:val="18"/>
                <w:rFonts w:ascii="Crimson Text" w:hAnsi="Crimson Text" w:eastAsia="Microsoft YaHei" w:cs="Crimson Text"/>
                <w:szCs w:val="18"/>
              </w:rPr>
              <w:t>MSB issues a preliminary traffic separation scheme.</w:t>
            </w:r>
          </w:p>
        </w:tc>
      </w:tr>
      <w:tr>
        <w:tc>
          <w:tcPr>
            <w:tcW w:w="1300" w:type="dxa"/>
          </w:tcPr>
          <w:p>
            <w:pPr>
              <w:pStyle w:val="Normal"/>
              <w:spacing w:before="40" w:after="40"/>
            </w:pPr>
            <w:r>
              <w:rPr>
                <w:color w:val="555555"/>
                <w:sz w:val="18"/>
                <w:rFonts w:ascii="Crimson Text" w:hAnsi="Crimson Text" w:eastAsia="Microsoft YaHei" w:cs="Crimson Text"/>
                <w:szCs w:val="18"/>
              </w:rPr>
              <w:t>Day 2</w:t>
            </w:r>
          </w:p>
        </w:tc>
        <w:tc>
          <w:tcPr>
            <w:tcW w:w="2900" w:type="dxa"/>
          </w:tcPr>
          <w:p>
            <w:pPr>
              <w:pStyle w:val="Normal"/>
              <w:spacing w:before="40" w:after="40"/>
            </w:pPr>
            <w:r>
              <w:rPr>
                <w:color w:val="555555"/>
                <w:sz w:val="18"/>
                <w:rFonts w:ascii="Crimson Text" w:hAnsi="Crimson Text" w:eastAsia="Microsoft YaHei" w:cs="Crimson Text"/>
                <w:szCs w:val="18"/>
              </w:rPr>
              <w:t>Iran and the U.S. hold a joint technical teleconference (Oman-facilitated) to reconcile conflicting mine location data.</w:t>
            </w:r>
          </w:p>
        </w:tc>
        <w:tc>
          <w:tcPr>
            <w:tcW w:w="2900" w:type="dxa"/>
          </w:tcPr>
          <w:p>
            <w:pPr>
              <w:pStyle w:val="Normal"/>
              <w:spacing w:before="40" w:after="40"/>
            </w:pPr>
            <w:r>
              <w:rPr>
                <w:color w:val="555555"/>
                <w:sz w:val="18"/>
                <w:rFonts w:ascii="Crimson Text" w:hAnsi="Crimson Text" w:eastAsia="Microsoft YaHei" w:cs="Crimson Text"/>
                <w:szCs w:val="18"/>
              </w:rPr>
              <w:t>Same.</w:t>
            </w:r>
          </w:p>
        </w:tc>
        <w:tc>
          <w:tcPr>
            <w:tcW w:w="2900" w:type="dxa"/>
          </w:tcPr>
          <w:p>
            <w:pPr>
              <w:pStyle w:val="Normal"/>
              <w:spacing w:before="40" w:after="40"/>
            </w:pPr>
            <w:r>
              <w:rPr>
                <w:color w:val="555555"/>
                <w:sz w:val="18"/>
                <w:rFonts w:ascii="Crimson Text" w:hAnsi="Crimson Text" w:eastAsia="Microsoft YaHei" w:cs="Crimson Text"/>
                <w:szCs w:val="18"/>
              </w:rPr>
              <w:t>MSB publishes a reconciled mine threat map (classified appendix).</w:t>
            </w:r>
          </w:p>
        </w:tc>
      </w:tr>
    </w:tbl>
    <w:p>
      <w:pPr>
        <w:pStyle w:val="Normal"/>
        <w:pBdr>
          <w:left w:val="single" w:color="4a9aaa" w:sz="16" w:space="6"/>
        </w:pBdr>
        <w:shd w:val="clear" w:fill="f0f6f7"/>
        <w:spacing w:before="240" w:after="240"/>
        <w:ind w:left="360" w:right="360"/>
      </w:pPr>
      <w:r>
        <w:rPr>
          <w:b/>
          <w:i/>
          <w:color w:val="2A2A2A"/>
          <w:rFonts w:ascii="Crimson Text" w:hAnsi="Crimson Text" w:eastAsia="Microsoft YaHei" w:cs="Crimson Text"/>
          <w:sz w:val="21"/>
          <w:szCs w:val="21"/>
        </w:rPr>
        <w:t xml:space="preserve">Data integrity rule. </w:t>
      </w:r>
      <w:r>
        <w:rPr>
          <w:i/>
          <w:color w:val="555555"/>
          <w:rFonts w:ascii="Crimson Text" w:hAnsi="Crimson Text" w:eastAsia="Microsoft YaHei" w:cs="Crimson Text"/>
          <w:sz w:val="21"/>
          <w:szCs w:val="21"/>
        </w:rPr>
        <w:t>The framework architecture prohibits either Party from withholding, falsifying, or selectively editing mine location data. Any deliberate submission of inaccurate minefield data constitutes a Tier 3 Deliberate Hostile Violation under Annex T.</w:t>
      </w:r>
    </w:p>
    <w:p>
      <w:pPr>
        <w:pStyle w:val="Heading2"/>
      </w:pPr>
      <w:r>
        <w:rPr>
          <w:rFonts w:ascii="Inter" w:hAnsi="Inter" w:eastAsia="Microsoft YaHei" w:cs="Inter"/>
          <w:b/>
          <w:color w:val="0F1F2E"/>
          <w:sz w:val="24"/>
          <w:szCs w:val="24"/>
        </w:rPr>
        <w:t>Phase 1 — Initial Sweep of Primary Lane (Days 3–5)</w:t>
      </w:r>
    </w:p>
    <w:p>
      <w:pPr>
        <w:pStyle w:val="Normal"/>
      </w:pPr>
      <w:r>
        <w:rPr>
          <w:rFonts w:ascii="Crimson Text" w:hAnsi="Crimson Text" w:eastAsia="Microsoft YaHei" w:cs="Crimson Text"/>
          <w:color w:val="2A2A2A"/>
          <w:sz w:val="21"/>
          <w:szCs w:val="21"/>
        </w:rPr>
        <w:t>The CTC divides into two equal sectors for parallel clearance operations. Iran holds responsibility for the eastern half; the U.S.-led coalition holds responsibility for the western half. Both sectors require clearance before any vessel transits the CTC.</w:t>
      </w:r>
    </w:p>
    <w:tbl>
      <w:tblPr>
        <w:tblW w:w="5000" w:type="pct"/>
        <w:tblBorders>
          <w:top w:val="single" w:color="333333" w:sz="12"/>
          <w:bottom w:val="single" w:color="333333" w:sz="12"/>
          <w:insideH w:val="single" w:color="cccccc" w:sz="4"/>
        </w:tblBorders>
      </w:tblPr>
      <w:tblGrid>
        <w:gridCol w:w="1300"/>
        <w:gridCol w:w="2900"/>
        <w:gridCol w:w="2900"/>
        <w:gridCol w:w="2900"/>
      </w:tblGrid>
      <w:tr>
        <w:trPr>
          <w:tblHeader w:val="1"/>
        </w:trPr>
        <w:tc>
          <w:tcPr>
            <w:tcW w:w="1300" w:type="dxa"/>
            <w:shd w:val="clear" w:fill="F0F6F7" w:color="auto"/>
          </w:tcPr>
          <w:p>
            <w:pPr>
              <w:pStyle w:val="Normal"/>
              <w:spacing w:before="40" w:after="40"/>
            </w:pPr>
            <w:r>
              <w:rPr>
                <w:b/>
                <w:color w:val="2A2A2A"/>
                <w:sz w:val="18"/>
                <w:rFonts w:ascii="Crimson Text" w:hAnsi="Crimson Text" w:eastAsia="Microsoft YaHei" w:cs="Crimson Text"/>
                <w:szCs w:val="18"/>
              </w:rPr>
              <w:t>Day</w:t>
            </w:r>
          </w:p>
        </w:tc>
        <w:tc>
          <w:tcPr>
            <w:tcW w:w="2900" w:type="dxa"/>
            <w:shd w:val="clear" w:fill="F0F6F7" w:color="auto"/>
          </w:tcPr>
          <w:p>
            <w:pPr>
              <w:pStyle w:val="Normal"/>
              <w:spacing w:before="40" w:after="40"/>
            </w:pPr>
            <w:r>
              <w:rPr>
                <w:b/>
                <w:color w:val="2A2A2A"/>
                <w:sz w:val="18"/>
                <w:rFonts w:ascii="Crimson Text" w:hAnsi="Crimson Text" w:eastAsia="Microsoft YaHei" w:cs="Crimson Text"/>
                <w:szCs w:val="18"/>
              </w:rPr>
              <w:t>Iran Action</w:t>
            </w:r>
          </w:p>
        </w:tc>
        <w:tc>
          <w:tcPr>
            <w:tcW w:w="2900" w:type="dxa"/>
            <w:shd w:val="clear" w:fill="F0F6F7" w:color="auto"/>
          </w:tcPr>
          <w:p>
            <w:pPr>
              <w:pStyle w:val="Normal"/>
              <w:spacing w:before="40" w:after="40"/>
            </w:pPr>
            <w:r>
              <w:rPr>
                <w:b/>
                <w:color w:val="2A2A2A"/>
                <w:sz w:val="18"/>
                <w:rFonts w:ascii="Crimson Text" w:hAnsi="Crimson Text" w:eastAsia="Microsoft YaHei" w:cs="Crimson Text"/>
                <w:szCs w:val="18"/>
              </w:rPr>
              <w:t>U.S./Coalition Action</w:t>
            </w:r>
          </w:p>
        </w:tc>
        <w:tc>
          <w:tcPr>
            <w:tcW w:w="2900" w:type="dxa"/>
            <w:shd w:val="clear" w:fill="F0F6F7" w:color="auto"/>
          </w:tcPr>
          <w:p>
            <w:pPr>
              <w:pStyle w:val="Normal"/>
              <w:spacing w:before="40" w:after="40"/>
            </w:pPr>
            <w:r>
              <w:rPr>
                <w:b/>
                <w:color w:val="2A2A2A"/>
                <w:sz w:val="18"/>
                <w:rFonts w:ascii="Crimson Text" w:hAnsi="Crimson Text" w:eastAsia="Microsoft YaHei" w:cs="Crimson Text"/>
                <w:szCs w:val="18"/>
              </w:rPr>
              <w:t>Verification</w:t>
            </w:r>
          </w:p>
        </w:tc>
      </w:tr>
      <w:tr>
        <w:tc>
          <w:tcPr>
            <w:tcW w:w="1300" w:type="dxa"/>
          </w:tcPr>
          <w:p>
            <w:pPr>
              <w:pStyle w:val="Normal"/>
              <w:spacing w:before="40" w:after="40"/>
            </w:pPr>
            <w:r>
              <w:rPr>
                <w:color w:val="555555"/>
                <w:sz w:val="18"/>
                <w:rFonts w:ascii="Crimson Text" w:hAnsi="Crimson Text" w:eastAsia="Microsoft YaHei" w:cs="Crimson Text"/>
                <w:szCs w:val="18"/>
              </w:rPr>
              <w:t>Day 3</w:t>
            </w:r>
          </w:p>
        </w:tc>
        <w:tc>
          <w:tcPr>
            <w:tcW w:w="2900" w:type="dxa"/>
          </w:tcPr>
          <w:p>
            <w:pPr>
              <w:pStyle w:val="Normal"/>
              <w:spacing w:before="40" w:after="40"/>
            </w:pPr>
            <w:r>
              <w:rPr>
                <w:color w:val="555555"/>
                <w:sz w:val="18"/>
                <w:rFonts w:ascii="Crimson Text" w:hAnsi="Crimson Text" w:eastAsia="Microsoft YaHei" w:cs="Crimson Text"/>
                <w:szCs w:val="18"/>
              </w:rPr>
              <w:t>Iran deploys minesweeping vessels to its designated sector (eastern half of CTC).</w:t>
            </w:r>
          </w:p>
        </w:tc>
        <w:tc>
          <w:tcPr>
            <w:tcW w:w="2900" w:type="dxa"/>
          </w:tcPr>
          <w:p>
            <w:pPr>
              <w:pStyle w:val="Normal"/>
              <w:spacing w:before="40" w:after="40"/>
            </w:pPr>
            <w:r>
              <w:rPr>
                <w:color w:val="555555"/>
                <w:sz w:val="18"/>
                <w:rFonts w:ascii="Crimson Text" w:hAnsi="Crimson Text" w:eastAsia="Microsoft YaHei" w:cs="Crimson Text"/>
                <w:szCs w:val="18"/>
              </w:rPr>
              <w:t>Coalition deploys minesweeping vessels to western half of CTC.</w:t>
            </w:r>
          </w:p>
        </w:tc>
        <w:tc>
          <w:tcPr>
            <w:tcW w:w="2900" w:type="dxa"/>
          </w:tcPr>
          <w:p>
            <w:pPr>
              <w:pStyle w:val="Normal"/>
              <w:spacing w:before="40" w:after="40"/>
            </w:pPr>
            <w:r>
              <w:rPr>
                <w:color w:val="555555"/>
                <w:sz w:val="18"/>
                <w:rFonts w:ascii="Crimson Text" w:hAnsi="Crimson Text" w:eastAsia="Microsoft YaHei" w:cs="Crimson Text"/>
                <w:szCs w:val="18"/>
              </w:rPr>
              <w:t>MSB confirms both fleets on station via AIS and radar telemetry.</w:t>
            </w:r>
          </w:p>
        </w:tc>
      </w:tr>
      <w:tr>
        <w:tc>
          <w:tcPr>
            <w:tcW w:w="1300" w:type="dxa"/>
          </w:tcPr>
          <w:p>
            <w:pPr>
              <w:pStyle w:val="Normal"/>
              <w:spacing w:before="40" w:after="40"/>
            </w:pPr>
            <w:r>
              <w:rPr>
                <w:color w:val="555555"/>
                <w:sz w:val="18"/>
                <w:rFonts w:ascii="Crimson Text" w:hAnsi="Crimson Text" w:eastAsia="Microsoft YaHei" w:cs="Crimson Text"/>
                <w:szCs w:val="18"/>
              </w:rPr>
              <w:t>Day 4</w:t>
            </w:r>
          </w:p>
        </w:tc>
        <w:tc>
          <w:tcPr>
            <w:tcW w:w="2900" w:type="dxa"/>
          </w:tcPr>
          <w:p>
            <w:pPr>
              <w:pStyle w:val="Normal"/>
              <w:spacing w:before="40" w:after="40"/>
            </w:pPr>
            <w:r>
              <w:rPr>
                <w:color w:val="555555"/>
                <w:sz w:val="18"/>
                <w:rFonts w:ascii="Crimson Text" w:hAnsi="Crimson Text" w:eastAsia="Microsoft YaHei" w:cs="Crimson Text"/>
                <w:szCs w:val="18"/>
              </w:rPr>
              <w:t>Iran conducts side-scan sonar sweep of its sector; marks or neutralizes any detected mines.</w:t>
            </w:r>
          </w:p>
        </w:tc>
        <w:tc>
          <w:tcPr>
            <w:tcW w:w="2900" w:type="dxa"/>
          </w:tcPr>
          <w:p>
            <w:pPr>
              <w:pStyle w:val="Normal"/>
              <w:spacing w:before="40" w:after="40"/>
            </w:pPr>
            <w:r>
              <w:rPr>
                <w:color w:val="555555"/>
                <w:sz w:val="18"/>
                <w:rFonts w:ascii="Crimson Text" w:hAnsi="Crimson Text" w:eastAsia="Microsoft YaHei" w:cs="Crimson Text"/>
                <w:szCs w:val="18"/>
              </w:rPr>
              <w:t>Coalition conducts side-scan sonar sweep of its sector.</w:t>
            </w:r>
          </w:p>
        </w:tc>
        <w:tc>
          <w:tcPr>
            <w:tcW w:w="2900" w:type="dxa"/>
          </w:tcPr>
          <w:p>
            <w:pPr>
              <w:pStyle w:val="Normal"/>
              <w:spacing w:before="40" w:after="40"/>
            </w:pPr>
            <w:r>
              <w:rPr>
                <w:color w:val="555555"/>
                <w:sz w:val="18"/>
                <w:rFonts w:ascii="Crimson Text" w:hAnsi="Crimson Text" w:eastAsia="Microsoft YaHei" w:cs="Crimson Text"/>
                <w:szCs w:val="18"/>
              </w:rPr>
              <w:t>MSB receives raw sonar logs from both sectors in real time.</w:t>
            </w:r>
          </w:p>
        </w:tc>
      </w:tr>
      <w:tr>
        <w:tc>
          <w:tcPr>
            <w:tcW w:w="1300" w:type="dxa"/>
          </w:tcPr>
          <w:p>
            <w:pPr>
              <w:pStyle w:val="Normal"/>
              <w:spacing w:before="40" w:after="40"/>
            </w:pPr>
            <w:r>
              <w:rPr>
                <w:color w:val="555555"/>
                <w:sz w:val="18"/>
                <w:rFonts w:ascii="Crimson Text" w:hAnsi="Crimson Text" w:eastAsia="Microsoft YaHei" w:cs="Crimson Text"/>
                <w:szCs w:val="18"/>
              </w:rPr>
              <w:t>Day 5</w:t>
            </w:r>
          </w:p>
        </w:tc>
        <w:tc>
          <w:tcPr>
            <w:tcW w:w="2900" w:type="dxa"/>
          </w:tcPr>
          <w:p>
            <w:pPr>
              <w:pStyle w:val="Normal"/>
              <w:spacing w:before="40" w:after="40"/>
            </w:pPr>
            <w:r>
              <w:rPr>
                <w:color w:val="555555"/>
                <w:sz w:val="18"/>
                <w:rFonts w:ascii="Crimson Text" w:hAnsi="Crimson Text" w:eastAsia="Microsoft YaHei" w:cs="Crimson Text"/>
                <w:szCs w:val="18"/>
              </w:rPr>
              <w:t>Iran completes initial clearance of its sector.</w:t>
            </w:r>
          </w:p>
        </w:tc>
        <w:tc>
          <w:tcPr>
            <w:tcW w:w="2900" w:type="dxa"/>
          </w:tcPr>
          <w:p>
            <w:pPr>
              <w:pStyle w:val="Normal"/>
              <w:spacing w:before="40" w:after="40"/>
            </w:pPr>
            <w:r>
              <w:rPr>
                <w:color w:val="555555"/>
                <w:sz w:val="18"/>
                <w:rFonts w:ascii="Crimson Text" w:hAnsi="Crimson Text" w:eastAsia="Microsoft YaHei" w:cs="Crimson Text"/>
                <w:szCs w:val="18"/>
              </w:rPr>
              <w:t>Coalition completes initial clearance of its sector.</w:t>
            </w:r>
          </w:p>
        </w:tc>
        <w:tc>
          <w:tcPr>
            <w:tcW w:w="2900" w:type="dxa"/>
          </w:tcPr>
          <w:p>
            <w:pPr>
              <w:pStyle w:val="Normal"/>
              <w:spacing w:before="40" w:after="40"/>
            </w:pPr>
            <w:r>
              <w:rPr>
                <w:color w:val="555555"/>
                <w:sz w:val="18"/>
                <w:rFonts w:ascii="Crimson Text" w:hAnsi="Crimson Text" w:eastAsia="Microsoft YaHei" w:cs="Crimson Text"/>
                <w:szCs w:val="18"/>
              </w:rPr>
              <w:t>MSB tentatively certifies "primary lane clear — pending final sweep."</w:t>
            </w:r>
          </w:p>
        </w:tc>
      </w:tr>
    </w:tbl>
    <w:p>
      <w:pPr>
        <w:pStyle w:val="Normal"/>
        <w:pBdr>
          <w:top w:val="single" w:color="e0e3e5" w:sz="4"/>
          <w:bottom w:val="single" w:color="e0e3e5" w:sz="4"/>
        </w:pBdr>
        <w:shd w:val="clear" w:fill="f8f9fa"/>
        <w:spacing w:before="200" w:after="200"/>
        <w:ind w:left="240" w:right="240"/>
      </w:pPr>
      <w:r>
        <w:rPr>
          <w:b/>
          <w:color w:val="2A2A2A"/>
          <w:rFonts w:ascii="Crimson Text" w:hAnsi="Crimson Text" w:eastAsia="Microsoft YaHei" w:cs="Crimson Text"/>
          <w:sz w:val="21"/>
          <w:szCs w:val="21"/>
        </w:rPr>
        <w:t xml:space="preserve">Fallback provision. </w:t>
      </w:r>
      <w:r>
        <w:rPr>
          <w:color w:val="555555"/>
          <w:rFonts w:ascii="Crimson Text" w:hAnsi="Crimson Text" w:eastAsia="Microsoft YaHei" w:cs="Crimson Text"/>
          <w:sz w:val="21"/>
          <w:szCs w:val="21"/>
        </w:rPr>
        <w:t>If either Party fails to deploy clearance assets by Day 3, the following procedure activates:</w:t>
      </w:r>
    </w:p>
    <w:p>
      <w:pPr>
        <w:pStyle w:val="Normal"/>
        <w:spacing w:before="60" w:after="60"/>
        <w:ind w:left="720" w:hanging="360"/>
      </w:pPr>
      <w:r>
        <w:rPr>
          <w:rFonts w:ascii="Crimson Text" w:hAnsi="Crimson Text" w:eastAsia="Microsoft YaHei" w:cs="Crimson Text"/>
          <w:color w:val="2A2A2A"/>
          <w:sz w:val="21"/>
          <w:szCs w:val="21"/>
        </w:rPr>
        <w:t>(a) First 12 hours (Day 3, Hours 0–12): The MSB issues a formal notice of delay to the PCC. The delayed Party provides an explanation and estimated deployment time.</w:t>
      </w:r>
    </w:p>
    <w:p>
      <w:pPr>
        <w:pStyle w:val="Normal"/>
        <w:spacing w:before="60" w:after="60"/>
        <w:ind w:left="720" w:hanging="360"/>
      </w:pPr>
      <w:r>
        <w:rPr>
          <w:rFonts w:ascii="Crimson Text" w:hAnsi="Crimson Text" w:eastAsia="Microsoft YaHei" w:cs="Crimson Text"/>
          <w:color w:val="2A2A2A"/>
          <w:sz w:val="21"/>
          <w:szCs w:val="21"/>
        </w:rPr>
        <w:t>(b) Next 12 hours (Day 3, Hours 12–24): If the delayed Party still has not deployed, the other Party requests PCC authorization to expand its sweep into the delayed sector. The PCC convenes an emergency session within 6 hours.</w:t>
      </w:r>
    </w:p>
    <w:p>
      <w:pPr>
        <w:pStyle w:val="Normal"/>
        <w:spacing w:before="60" w:after="60"/>
        <w:ind w:left="720" w:hanging="360"/>
      </w:pPr>
      <w:r>
        <w:rPr>
          <w:rFonts w:ascii="Crimson Text" w:hAnsi="Crimson Text" w:eastAsia="Microsoft YaHei" w:cs="Crimson Text"/>
          <w:color w:val="2A2A2A"/>
          <w:sz w:val="21"/>
          <w:szCs w:val="21"/>
        </w:rPr>
        <w:t>(c) PCC authorization standard: The PCC authorizes expansion if it determines, by consensus-minus-one, that (i) the delay lacks justification and does not constitute force majeure, and (ii) the delayed sector poses no active threat to the expanding Party's vessels. The PCC imposes conditions at its discretion — for example, ICRC or Omani observers on all expanding vessels.</w:t>
      </w:r>
    </w:p>
    <w:p>
      <w:pPr>
        <w:pStyle w:val="Normal"/>
        <w:spacing w:before="60" w:after="60"/>
        <w:ind w:left="720" w:hanging="360"/>
      </w:pPr>
      <w:r>
        <w:rPr>
          <w:rFonts w:ascii="Crimson Text" w:hAnsi="Crimson Text" w:eastAsia="Microsoft YaHei" w:cs="Crimson Text"/>
          <w:color w:val="2A2A2A"/>
          <w:sz w:val="21"/>
          <w:szCs w:val="21"/>
        </w:rPr>
        <w:t>(d) If the PCC does not authorize expansion within 24 hours of the request, the delayed Party receives automatic Tier 2 classification under Article 6, but the other Party does not enter the delayed sector. Instead, the MSB extends the clearance timeline by 24 hours.</w:t>
      </w:r>
    </w:p>
    <w:p>
      <w:pPr>
        <w:pStyle w:val="Normal"/>
        <w:spacing w:before="60" w:after="60"/>
        <w:ind w:left="720" w:hanging="360"/>
      </w:pPr>
      <w:r>
        <w:rPr>
          <w:rFonts w:ascii="Crimson Text" w:hAnsi="Crimson Text" w:eastAsia="Microsoft YaHei" w:cs="Crimson Text"/>
          <w:color w:val="2A2A2A"/>
          <w:sz w:val="21"/>
          <w:szCs w:val="21"/>
        </w:rPr>
        <w:t>(e) If the delayed Party objects but the PCC authorizes expansion, the expanding Party marks all operations as neutral — for example, under ICRC or Omani observation — and shares all telemetry data with the delayed Party in real time.</w:t>
      </w:r>
    </w:p>
    <w:p>
      <w:pPr>
        <w:pStyle w:val="Normal"/>
        <w:pBdr>
          <w:top w:val="single" w:color="e0e3e5" w:sz="4"/>
          <w:bottom w:val="single" w:color="e0e3e5" w:sz="4"/>
        </w:pBdr>
        <w:shd w:val="clear" w:fill="f8f9fa"/>
        <w:spacing w:before="200" w:after="200"/>
        <w:ind w:left="240" w:right="240"/>
      </w:pPr>
      <w:r>
        <w:rPr>
          <w:b/>
          <w:color w:val="2A2A2A"/>
          <w:rFonts w:ascii="Crimson Text" w:hAnsi="Crimson Text" w:eastAsia="Microsoft YaHei" w:cs="Crimson Text"/>
          <w:sz w:val="21"/>
          <w:szCs w:val="21"/>
        </w:rPr>
        <w:t xml:space="preserve">Sector overlap protocol. </w:t>
      </w:r>
      <w:r>
        <w:rPr>
          <w:color w:val="555555"/>
          <w:rFonts w:ascii="Crimson Text" w:hAnsi="Crimson Text" w:eastAsia="Microsoft YaHei" w:cs="Crimson Text"/>
          <w:sz w:val="21"/>
          <w:szCs w:val="21"/>
        </w:rPr>
        <w:t>If the framework architecture detects simultaneous deployment of both fleets to the same sector, MSB issues an immediate course correction. Neither Party exercises priority over the other in sector assignment. The framework architecture treats both sectors as equally critical to corridor reopening.</w:t>
      </w:r>
    </w:p>
    <w:p>
      <w:pPr>
        <w:pStyle w:val="Heading2"/>
      </w:pPr>
      <w:r>
        <w:rPr>
          <w:rFonts w:ascii="Inter" w:hAnsi="Inter" w:eastAsia="Microsoft YaHei" w:cs="Inter"/>
          <w:b/>
          <w:color w:val="0F1F2E"/>
          <w:sz w:val="24"/>
          <w:szCs w:val="24"/>
        </w:rPr>
        <w:t>Phase 2 — Final Confirmation Sweep (Day 6)</w:t>
      </w:r>
    </w:p>
    <w:p>
      <w:pPr>
        <w:pStyle w:val="Normal"/>
      </w:pPr>
      <w:r>
        <w:rPr>
          <w:rFonts w:ascii="Crimson Text" w:hAnsi="Crimson Text" w:eastAsia="Microsoft YaHei" w:cs="Crimson Text"/>
          <w:color w:val="2A2A2A"/>
          <w:sz w:val="21"/>
          <w:szCs w:val="21"/>
        </w:rPr>
        <w:t>Day 6 executes a second-pass verification of the entire CTC. No clearance milestone receives full certification without the Phase 2 confirmation sweep.</w:t>
      </w:r>
    </w:p>
    <w:tbl>
      <w:tblPr>
        <w:tblW w:w="5000" w:type="pct"/>
        <w:tblBorders>
          <w:top w:val="single" w:color="333333" w:sz="12"/>
          <w:bottom w:val="single" w:color="333333" w:sz="12"/>
          <w:insideH w:val="single" w:color="cccccc" w:sz="4"/>
        </w:tblBorders>
      </w:tblPr>
      <w:tblGrid>
        <w:gridCol w:w="1800"/>
        <w:gridCol w:w="2700"/>
        <w:gridCol w:w="2700"/>
        <w:gridCol w:w="2800"/>
      </w:tblGrid>
      <w:tr>
        <w:trPr>
          <w:tblHeader w:val="1"/>
        </w:trPr>
        <w:tc>
          <w:tcPr>
            <w:tcW w:w="1800" w:type="dxa"/>
            <w:shd w:val="clear" w:fill="F0F6F7" w:color="auto"/>
          </w:tcPr>
          <w:p>
            <w:pPr>
              <w:pStyle w:val="Normal"/>
              <w:spacing w:before="40" w:after="40"/>
            </w:pPr>
            <w:r>
              <w:rPr>
                <w:b/>
                <w:color w:val="2A2A2A"/>
                <w:sz w:val="18"/>
                <w:rFonts w:ascii="Crimson Text" w:hAnsi="Crimson Text" w:eastAsia="Microsoft YaHei" w:cs="Crimson Text"/>
                <w:szCs w:val="18"/>
              </w:rPr>
              <w:t>Day</w:t>
            </w:r>
          </w:p>
        </w:tc>
        <w:tc>
          <w:tcPr>
            <w:tcW w:w="2700" w:type="dxa"/>
            <w:shd w:val="clear" w:fill="F0F6F7" w:color="auto"/>
          </w:tcPr>
          <w:p>
            <w:pPr>
              <w:pStyle w:val="Normal"/>
              <w:spacing w:before="40" w:after="40"/>
            </w:pPr>
            <w:r>
              <w:rPr>
                <w:b/>
                <w:color w:val="2A2A2A"/>
                <w:sz w:val="18"/>
                <w:rFonts w:ascii="Crimson Text" w:hAnsi="Crimson Text" w:eastAsia="Microsoft YaHei" w:cs="Crimson Text"/>
                <w:szCs w:val="18"/>
              </w:rPr>
              <w:t>Iran Action</w:t>
            </w:r>
          </w:p>
        </w:tc>
        <w:tc>
          <w:tcPr>
            <w:tcW w:w="2700" w:type="dxa"/>
            <w:shd w:val="clear" w:fill="F0F6F7" w:color="auto"/>
          </w:tcPr>
          <w:p>
            <w:pPr>
              <w:pStyle w:val="Normal"/>
              <w:spacing w:before="40" w:after="40"/>
            </w:pPr>
            <w:r>
              <w:rPr>
                <w:b/>
                <w:color w:val="2A2A2A"/>
                <w:sz w:val="18"/>
                <w:rFonts w:ascii="Crimson Text" w:hAnsi="Crimson Text" w:eastAsia="Microsoft YaHei" w:cs="Crimson Text"/>
                <w:szCs w:val="18"/>
              </w:rPr>
              <w:t>U.S./Coalition Action</w:t>
            </w:r>
          </w:p>
        </w:tc>
        <w:tc>
          <w:tcPr>
            <w:tcW w:w="2800" w:type="dxa"/>
            <w:shd w:val="clear" w:fill="F0F6F7" w:color="auto"/>
          </w:tcPr>
          <w:p>
            <w:pPr>
              <w:pStyle w:val="Normal"/>
              <w:spacing w:before="40" w:after="40"/>
            </w:pPr>
            <w:r>
              <w:rPr>
                <w:b/>
                <w:color w:val="2A2A2A"/>
                <w:sz w:val="18"/>
                <w:rFonts w:ascii="Crimson Text" w:hAnsi="Crimson Text" w:eastAsia="Microsoft YaHei" w:cs="Crimson Text"/>
                <w:szCs w:val="18"/>
              </w:rPr>
              <w:t>Verification</w:t>
            </w:r>
          </w:p>
        </w:tc>
      </w:tr>
      <w:tr>
        <w:tc>
          <w:tcPr>
            <w:tcW w:w="1800" w:type="dxa"/>
          </w:tcPr>
          <w:p>
            <w:pPr>
              <w:pStyle w:val="Normal"/>
              <w:spacing w:before="40" w:after="40"/>
            </w:pPr>
            <w:r>
              <w:rPr>
                <w:color w:val="555555"/>
                <w:sz w:val="18"/>
                <w:rFonts w:ascii="Crimson Text" w:hAnsi="Crimson Text" w:eastAsia="Microsoft YaHei" w:cs="Crimson Text"/>
                <w:szCs w:val="18"/>
              </w:rPr>
              <w:t>Day 6, Hours 0–12</w:t>
            </w:r>
          </w:p>
        </w:tc>
        <w:tc>
          <w:tcPr>
            <w:tcW w:w="2700" w:type="dxa"/>
          </w:tcPr>
          <w:p>
            <w:pPr>
              <w:pStyle w:val="Normal"/>
              <w:spacing w:before="40" w:after="40"/>
            </w:pPr>
            <w:r>
              <w:rPr>
                <w:color w:val="555555"/>
                <w:sz w:val="18"/>
                <w:rFonts w:ascii="Crimson Text" w:hAnsi="Crimson Text" w:eastAsia="Microsoft YaHei" w:cs="Crimson Text"/>
                <w:szCs w:val="18"/>
              </w:rPr>
              <w:t>Iran conducts a second sonar sweep and, where suspicious returns exist, deploys ROV or divers for visual inspection.</w:t>
            </w:r>
          </w:p>
        </w:tc>
        <w:tc>
          <w:tcPr>
            <w:tcW w:w="2700" w:type="dxa"/>
          </w:tcPr>
          <w:p>
            <w:pPr>
              <w:pStyle w:val="Normal"/>
              <w:spacing w:before="40" w:after="40"/>
            </w:pPr>
            <w:r>
              <w:rPr>
                <w:color w:val="555555"/>
                <w:sz w:val="18"/>
                <w:rFonts w:ascii="Crimson Text" w:hAnsi="Crimson Text" w:eastAsia="Microsoft YaHei" w:cs="Crimson Text"/>
                <w:szCs w:val="18"/>
              </w:rPr>
              <w:t>Coalition conducts second sonar sweep and ROV inspection.</w:t>
            </w:r>
          </w:p>
        </w:tc>
        <w:tc>
          <w:tcPr>
            <w:tcW w:w="2800" w:type="dxa"/>
          </w:tcPr>
          <w:p>
            <w:pPr>
              <w:pStyle w:val="Normal"/>
              <w:spacing w:before="40" w:after="40"/>
            </w:pPr>
            <w:r>
              <w:rPr>
                <w:color w:val="555555"/>
                <w:sz w:val="18"/>
                <w:rFonts w:ascii="Crimson Text" w:hAnsi="Crimson Text" w:eastAsia="Microsoft YaHei" w:cs="Crimson Text"/>
                <w:szCs w:val="18"/>
              </w:rPr>
              <w:t>Live video feed transmits to MSB from all ROV units.</w:t>
            </w:r>
          </w:p>
        </w:tc>
      </w:tr>
      <w:tr>
        <w:tc>
          <w:tcPr>
            <w:tcW w:w="1800" w:type="dxa"/>
          </w:tcPr>
          <w:p>
            <w:pPr>
              <w:pStyle w:val="Normal"/>
              <w:spacing w:before="40" w:after="40"/>
            </w:pPr>
            <w:r>
              <w:rPr>
                <w:color w:val="555555"/>
                <w:sz w:val="18"/>
                <w:rFonts w:ascii="Crimson Text" w:hAnsi="Crimson Text" w:eastAsia="Microsoft YaHei" w:cs="Crimson Text"/>
                <w:szCs w:val="18"/>
              </w:rPr>
              <w:t>Day 6, Hours 12–18</w:t>
            </w:r>
          </w:p>
        </w:tc>
        <w:tc>
          <w:tcPr>
            <w:tcW w:w="2700" w:type="dxa"/>
          </w:tcPr>
          <w:p>
            <w:pPr>
              <w:pStyle w:val="Normal"/>
              <w:spacing w:before="40" w:after="40"/>
            </w:pPr>
            <w:r>
              <w:rPr>
                <w:color w:val="555555"/>
                <w:sz w:val="18"/>
                <w:rFonts w:ascii="Crimson Text" w:hAnsi="Crimson Text" w:eastAsia="Microsoft YaHei" w:cs="Crimson Text"/>
                <w:szCs w:val="18"/>
              </w:rPr>
              <w:t>Iran submits final clearance report to MSB.</w:t>
            </w:r>
          </w:p>
        </w:tc>
        <w:tc>
          <w:tcPr>
            <w:tcW w:w="2700" w:type="dxa"/>
          </w:tcPr>
          <w:p>
            <w:pPr>
              <w:pStyle w:val="Normal"/>
              <w:spacing w:before="40" w:after="40"/>
            </w:pPr>
            <w:r>
              <w:rPr>
                <w:color w:val="555555"/>
                <w:sz w:val="18"/>
                <w:rFonts w:ascii="Crimson Text" w:hAnsi="Crimson Text" w:eastAsia="Microsoft YaHei" w:cs="Crimson Text"/>
                <w:szCs w:val="18"/>
              </w:rPr>
              <w:t>Coalition submits final clearance report to MSB.</w:t>
            </w:r>
          </w:p>
        </w:tc>
        <w:tc>
          <w:tcPr>
            <w:tcW w:w="2800" w:type="dxa"/>
          </w:tcPr>
          <w:p>
            <w:pPr>
              <w:pStyle w:val="Normal"/>
              <w:spacing w:before="40" w:after="40"/>
            </w:pPr>
            <w:r>
              <w:rPr>
                <w:color w:val="555555"/>
                <w:sz w:val="18"/>
                <w:rFonts w:ascii="Crimson Text" w:hAnsi="Crimson Text" w:eastAsia="Microsoft YaHei" w:cs="Crimson Text"/>
                <w:szCs w:val="18"/>
              </w:rPr>
              <w:t>MSB compares both reports for discrepancies.</w:t>
            </w:r>
          </w:p>
        </w:tc>
      </w:tr>
      <w:tr>
        <w:tc>
          <w:tcPr>
            <w:tcW w:w="1800" w:type="dxa"/>
          </w:tcPr>
          <w:p>
            <w:pPr>
              <w:pStyle w:val="Normal"/>
              <w:spacing w:before="40" w:after="40"/>
            </w:pPr>
            <w:r>
              <w:rPr>
                <w:color w:val="555555"/>
                <w:sz w:val="18"/>
                <w:rFonts w:ascii="Crimson Text" w:hAnsi="Crimson Text" w:eastAsia="Microsoft YaHei" w:cs="Crimson Text"/>
                <w:szCs w:val="18"/>
              </w:rPr>
              <w:t>Day 6, Hour 22</w:t>
            </w:r>
          </w:p>
        </w:tc>
        <w:tc>
          <w:tcPr>
            <w:tcW w:w="2700" w:type="dxa"/>
          </w:tcPr>
          <w:p>
            <w:pPr>
              <w:pStyle w:val="Normal"/>
              <w:spacing w:before="40" w:after="40"/>
            </w:pPr>
            <w:r>
              <w:rPr>
                <w:color w:val="555555"/>
                <w:sz w:val="18"/>
                <w:rFonts w:ascii="Crimson Text" w:hAnsi="Crimson Text" w:eastAsia="Microsoft YaHei" w:cs="Crimson Text"/>
                <w:szCs w:val="18"/>
              </w:rPr>
              <w:t>If both reports concur that no mines remain, MSB issues Provisional Clearance Certificate.</w:t>
            </w:r>
          </w:p>
        </w:tc>
        <w:tc>
          <w:tcPr>
            <w:tcW w:w="2700" w:type="dxa"/>
          </w:tcPr>
          <w:p>
            <w:pPr>
              <w:pStyle w:val="Normal"/>
              <w:spacing w:before="40" w:after="40"/>
            </w:pPr>
            <w:r>
              <w:rPr>
                <w:color w:val="555555"/>
                <w:sz w:val="18"/>
                <w:rFonts w:ascii="Crimson Text" w:hAnsi="Crimson Text" w:eastAsia="Microsoft YaHei" w:cs="Crimson Text"/>
                <w:szCs w:val="18"/>
              </w:rPr>
              <w:t>—</w:t>
            </w:r>
          </w:p>
        </w:tc>
        <w:tc>
          <w:tcPr>
            <w:tcW w:w="2800" w:type="dxa"/>
          </w:tcPr>
          <w:p>
            <w:pPr>
              <w:pStyle w:val="Normal"/>
              <w:spacing w:before="40" w:after="40"/>
            </w:pPr>
            <w:r>
              <w:rPr>
                <w:color w:val="555555"/>
                <w:sz w:val="18"/>
                <w:rFonts w:ascii="Crimson Text" w:hAnsi="Crimson Text" w:eastAsia="Microsoft YaHei" w:cs="Crimson Text"/>
                <w:szCs w:val="18"/>
              </w:rPr>
              <w:t>Certificate logs in Shared Digital Registry.</w:t>
            </w:r>
          </w:p>
        </w:tc>
      </w:tr>
      <w:tr>
        <w:tc>
          <w:tcPr>
            <w:tcW w:w="1800" w:type="dxa"/>
          </w:tcPr>
          <w:p>
            <w:pPr>
              <w:pStyle w:val="Normal"/>
              <w:spacing w:before="40" w:after="40"/>
            </w:pPr>
            <w:r>
              <w:rPr>
                <w:color w:val="555555"/>
                <w:sz w:val="18"/>
                <w:rFonts w:ascii="Crimson Text" w:hAnsi="Crimson Text" w:eastAsia="Microsoft YaHei" w:cs="Crimson Text"/>
                <w:szCs w:val="18"/>
              </w:rPr>
              <w:t>Day 6, Hour 24</w:t>
            </w:r>
          </w:p>
        </w:tc>
        <w:tc>
          <w:tcPr>
            <w:tcW w:w="2700" w:type="dxa"/>
          </w:tcPr>
          <w:p>
            <w:pPr>
              <w:pStyle w:val="Normal"/>
              <w:spacing w:before="40" w:after="40"/>
            </w:pPr>
            <w:r>
              <w:rPr>
                <w:color w:val="555555"/>
                <w:sz w:val="18"/>
                <w:rFonts w:ascii="Crimson Text" w:hAnsi="Crimson Text" w:eastAsia="Microsoft YaHei" w:cs="Crimson Text"/>
                <w:szCs w:val="18"/>
              </w:rPr>
              <w:t>If reports diverge, MSB convenes an emergency technical session to resolve the discrepancy.</w:t>
            </w:r>
          </w:p>
        </w:tc>
        <w:tc>
          <w:tcPr>
            <w:tcW w:w="2700" w:type="dxa"/>
          </w:tcPr>
          <w:p>
            <w:pPr>
              <w:pStyle w:val="Normal"/>
              <w:spacing w:before="40" w:after="40"/>
            </w:pPr>
            <w:r>
              <w:rPr>
                <w:color w:val="555555"/>
                <w:sz w:val="18"/>
                <w:rFonts w:ascii="Crimson Text" w:hAnsi="Crimson Text" w:eastAsia="Microsoft YaHei" w:cs="Crimson Text"/>
                <w:szCs w:val="18"/>
              </w:rPr>
              <w:t>Same.</w:t>
            </w:r>
          </w:p>
        </w:tc>
        <w:tc>
          <w:tcPr>
            <w:tcW w:w="2800" w:type="dxa"/>
          </w:tcPr>
          <w:p>
            <w:pPr>
              <w:pStyle w:val="Normal"/>
              <w:spacing w:before="40" w:after="40"/>
            </w:pPr>
            <w:r>
              <w:rPr>
                <w:color w:val="555555"/>
                <w:sz w:val="18"/>
                <w:rFonts w:ascii="Crimson Text" w:hAnsi="Crimson Text" w:eastAsia="Microsoft YaHei" w:cs="Crimson Text"/>
                <w:szCs w:val="18"/>
              </w:rPr>
              <w:t>MSB's determination is final and binding on both Parties.</w:t>
            </w:r>
          </w:p>
        </w:tc>
      </w:tr>
    </w:tbl>
    <w:p>
      <w:pPr>
        <w:pStyle w:val="Normal"/>
        <w:pBdr>
          <w:left w:val="single" w:color="0f1f2e" w:sz="12" w:space="6"/>
        </w:pBdr>
        <w:shd w:val="clear" w:fill="f0f6f7"/>
        <w:spacing w:before="200" w:after="200"/>
        <w:ind w:left="360" w:right="360"/>
      </w:pPr>
      <w:r>
        <w:rPr>
          <w:b/>
          <w:color w:val="0F1F2E"/>
          <w:rFonts w:ascii="Crimson Text" w:hAnsi="Crimson Text" w:eastAsia="Microsoft YaHei" w:cs="Crimson Text"/>
          <w:sz w:val="21"/>
          <w:szCs w:val="21"/>
        </w:rPr>
        <w:t xml:space="preserve">Discrepancy resolution protocol. </w:t>
      </w:r>
      <w:r>
        <w:rPr>
          <w:color w:val="555555"/>
          <w:rFonts w:ascii="Crimson Text" w:hAnsi="Crimson Text" w:eastAsia="Microsoft YaHei" w:cs="Crimson Text"/>
          <w:sz w:val="21"/>
          <w:szCs w:val="21"/>
        </w:rPr>
        <w:t>If the Iranian report identifies a mine where the coalition report identifies clear seabed, MSB dispatches an Omani ROV to the disputed coordinate within 12 hours, or within 24 hours if adverse weather prevents ROV launch. If the Omani ROV is unavailable due to operational constraints, the MSB dispatches a neutral ROV from a third party agreed by both Parties — for example, Pakistan or the UAE. The MSB's determination of unavailability is final and not subject to challenge. The neutral ROV finding is presumptive. If neither report addresses a specific coordinate, the framework architecture treats that coordinate as uncleared, and the responsible Party returns to sweep it before Phase 3 commences.</w:t>
      </w:r>
    </w:p>
    <w:p>
      <w:pPr>
        <w:pStyle w:val="Heading2"/>
      </w:pPr>
      <w:r>
        <w:rPr>
          <w:rFonts w:ascii="Inter" w:hAnsi="Inter" w:eastAsia="Microsoft YaHei" w:cs="Inter"/>
          <w:b/>
          <w:color w:val="0F1F2E"/>
          <w:sz w:val="24"/>
          <w:szCs w:val="24"/>
        </w:rPr>
        <w:t>Phase 3 — First Commercial Transit &amp; Full Certification (Day 7)</w:t>
      </w:r>
    </w:p>
    <w:tbl>
      <w:tblPr>
        <w:tblW w:w="5000" w:type="pct"/>
        <w:tblBorders>
          <w:top w:val="single" w:color="333333" w:sz="12"/>
          <w:bottom w:val="single" w:color="333333" w:sz="12"/>
          <w:insideH w:val="single" w:color="cccccc" w:sz="4"/>
        </w:tblBorders>
      </w:tblPr>
      <w:tblGrid>
        <w:gridCol w:w="1800"/>
        <w:gridCol w:w="4200"/>
        <w:gridCol w:w="4000"/>
      </w:tblGrid>
      <w:tr>
        <w:trPr>
          <w:tblHeader w:val="1"/>
        </w:trPr>
        <w:tc>
          <w:tcPr>
            <w:tcW w:w="1800" w:type="dxa"/>
            <w:shd w:val="clear" w:fill="F0F6F7" w:color="auto"/>
          </w:tcPr>
          <w:p>
            <w:pPr>
              <w:pStyle w:val="Normal"/>
              <w:spacing w:before="40" w:after="40"/>
            </w:pPr>
            <w:r>
              <w:rPr>
                <w:b/>
                <w:color w:val="2A2A2A"/>
                <w:sz w:val="18"/>
                <w:rFonts w:ascii="Crimson Text" w:hAnsi="Crimson Text" w:eastAsia="Microsoft YaHei" w:cs="Crimson Text"/>
                <w:szCs w:val="18"/>
              </w:rPr>
              <w:t>Day</w:t>
            </w:r>
          </w:p>
        </w:tc>
        <w:tc>
          <w:tcPr>
            <w:tcW w:w="4200" w:type="dxa"/>
            <w:shd w:val="clear" w:fill="F0F6F7" w:color="auto"/>
          </w:tcPr>
          <w:p>
            <w:pPr>
              <w:pStyle w:val="Normal"/>
              <w:spacing w:before="40" w:after="40"/>
            </w:pPr>
            <w:r>
              <w:rPr>
                <w:b/>
                <w:color w:val="2A2A2A"/>
                <w:sz w:val="18"/>
                <w:rFonts w:ascii="Crimson Text" w:hAnsi="Crimson Text" w:eastAsia="Microsoft YaHei" w:cs="Crimson Text"/>
                <w:szCs w:val="18"/>
              </w:rPr>
              <w:t>Action</w:t>
            </w:r>
          </w:p>
        </w:tc>
        <w:tc>
          <w:tcPr>
            <w:tcW w:w="4000" w:type="dxa"/>
            <w:shd w:val="clear" w:fill="F0F6F7" w:color="auto"/>
          </w:tcPr>
          <w:p>
            <w:pPr>
              <w:pStyle w:val="Normal"/>
              <w:spacing w:before="40" w:after="40"/>
            </w:pPr>
            <w:r>
              <w:rPr>
                <w:b/>
                <w:color w:val="2A2A2A"/>
                <w:sz w:val="18"/>
                <w:rFonts w:ascii="Crimson Text" w:hAnsi="Crimson Text" w:eastAsia="Microsoft YaHei" w:cs="Crimson Text"/>
                <w:szCs w:val="18"/>
              </w:rPr>
              <w:t>Verification</w:t>
            </w:r>
          </w:p>
        </w:tc>
      </w:tr>
      <w:tr>
        <w:tc>
          <w:tcPr>
            <w:tcW w:w="1800" w:type="dxa"/>
          </w:tcPr>
          <w:p>
            <w:pPr>
              <w:pStyle w:val="Normal"/>
              <w:spacing w:before="40" w:after="40"/>
            </w:pPr>
            <w:r>
              <w:rPr>
                <w:color w:val="555555"/>
                <w:sz w:val="18"/>
                <w:rFonts w:ascii="Crimson Text" w:hAnsi="Crimson Text" w:eastAsia="Microsoft YaHei" w:cs="Crimson Text"/>
                <w:szCs w:val="18"/>
              </w:rPr>
              <w:t>Day 7, Hour 0</w:t>
            </w:r>
          </w:p>
        </w:tc>
        <w:tc>
          <w:tcPr>
            <w:tcW w:w="4200" w:type="dxa"/>
          </w:tcPr>
          <w:p>
            <w:pPr>
              <w:pStyle w:val="Normal"/>
              <w:spacing w:before="40" w:after="40"/>
            </w:pPr>
            <w:r>
              <w:rPr>
                <w:color w:val="555555"/>
                <w:sz w:val="18"/>
                <w:rFonts w:ascii="Crimson Text" w:hAnsi="Crimson Text" w:eastAsia="Microsoft YaHei" w:cs="Crimson Text"/>
                <w:szCs w:val="18"/>
              </w:rPr>
              <w:t>Provisional Clearance Certificate takes effect.</w:t>
            </w:r>
          </w:p>
        </w:tc>
        <w:tc>
          <w:tcPr>
            <w:tcW w:w="4000" w:type="dxa"/>
          </w:tcPr>
          <w:p>
            <w:pPr>
              <w:pStyle w:val="Normal"/>
              <w:spacing w:before="40" w:after="40"/>
            </w:pPr>
            <w:r>
              <w:rPr>
                <w:color w:val="555555"/>
                <w:sz w:val="18"/>
                <w:rFonts w:ascii="Crimson Text" w:hAnsi="Crimson Text" w:eastAsia="Microsoft YaHei" w:cs="Crimson Text"/>
                <w:szCs w:val="18"/>
              </w:rPr>
              <w:t>MSB notifies both Parties via secure channel.</w:t>
            </w:r>
          </w:p>
        </w:tc>
      </w:tr>
      <w:tr>
        <w:tc>
          <w:tcPr>
            <w:tcW w:w="1800" w:type="dxa"/>
          </w:tcPr>
          <w:p>
            <w:pPr>
              <w:pStyle w:val="Normal"/>
              <w:spacing w:before="40" w:after="40"/>
            </w:pPr>
            <w:r>
              <w:rPr>
                <w:color w:val="555555"/>
                <w:sz w:val="18"/>
                <w:rFonts w:ascii="Crimson Text" w:hAnsi="Crimson Text" w:eastAsia="Microsoft YaHei" w:cs="Crimson Text"/>
                <w:szCs w:val="18"/>
              </w:rPr>
              <w:t>Day 7, Hours 0–6</w:t>
            </w:r>
          </w:p>
        </w:tc>
        <w:tc>
          <w:tcPr>
            <w:tcW w:w="4200" w:type="dxa"/>
          </w:tcPr>
          <w:p>
            <w:pPr>
              <w:pStyle w:val="Normal"/>
              <w:spacing w:before="40" w:after="40"/>
            </w:pPr>
            <w:r>
              <w:rPr>
                <w:color w:val="555555"/>
                <w:sz w:val="18"/>
                <w:rFonts w:ascii="Crimson Text" w:hAnsi="Crimson Text" w:eastAsia="Microsoft YaHei" w:cs="Crimson Text"/>
                <w:szCs w:val="18"/>
              </w:rPr>
              <w:t>First commercial test vessel (pre-registered, non-military) transits the CTC under MSB observation.</w:t>
            </w:r>
          </w:p>
        </w:tc>
        <w:tc>
          <w:tcPr>
            <w:tcW w:w="4000" w:type="dxa"/>
          </w:tcPr>
          <w:p>
            <w:pPr>
              <w:pStyle w:val="Normal"/>
              <w:spacing w:before="40" w:after="40"/>
            </w:pPr>
            <w:r>
              <w:rPr>
                <w:color w:val="555555"/>
                <w:sz w:val="18"/>
                <w:rFonts w:ascii="Crimson Text" w:hAnsi="Crimson Text" w:eastAsia="Microsoft YaHei" w:cs="Crimson Text"/>
                <w:szCs w:val="18"/>
              </w:rPr>
              <w:t>Vessel AIS, radar track, and onboard MSB observer report transmit to Shared Digital Registry in real time.</w:t>
            </w:r>
          </w:p>
        </w:tc>
      </w:tr>
      <w:tr>
        <w:tc>
          <w:tcPr>
            <w:tcW w:w="1800" w:type="dxa"/>
          </w:tcPr>
          <w:p>
            <w:pPr>
              <w:pStyle w:val="Normal"/>
              <w:spacing w:before="40" w:after="40"/>
            </w:pPr>
            <w:r>
              <w:rPr>
                <w:color w:val="555555"/>
                <w:sz w:val="18"/>
                <w:rFonts w:ascii="Crimson Text" w:hAnsi="Crimson Text" w:eastAsia="Microsoft YaHei" w:cs="Crimson Text"/>
                <w:szCs w:val="18"/>
              </w:rPr>
              <w:t>Day 7, Hour 8</w:t>
            </w:r>
          </w:p>
        </w:tc>
        <w:tc>
          <w:tcPr>
            <w:tcW w:w="4200" w:type="dxa"/>
          </w:tcPr>
          <w:p>
            <w:pPr>
              <w:pStyle w:val="Normal"/>
              <w:spacing w:before="40" w:after="40"/>
            </w:pPr>
            <w:r>
              <w:rPr>
                <w:color w:val="555555"/>
                <w:sz w:val="18"/>
                <w:rFonts w:ascii="Crimson Text" w:hAnsi="Crimson Text" w:eastAsia="Microsoft YaHei" w:cs="Crimson Text"/>
                <w:szCs w:val="18"/>
              </w:rPr>
              <w:t>If the test vessel completes transit without incident, MSB issues Full Clearance Certificate.</w:t>
            </w:r>
          </w:p>
        </w:tc>
        <w:tc>
          <w:tcPr>
            <w:tcW w:w="4000" w:type="dxa"/>
          </w:tcPr>
          <w:p>
            <w:pPr>
              <w:pStyle w:val="Normal"/>
              <w:spacing w:before="40" w:after="40"/>
            </w:pPr>
            <w:r>
              <w:rPr>
                <w:color w:val="555555"/>
                <w:sz w:val="18"/>
                <w:rFonts w:ascii="Crimson Text" w:hAnsi="Crimson Text" w:eastAsia="Microsoft YaHei" w:cs="Crimson Text"/>
                <w:szCs w:val="18"/>
              </w:rPr>
              <w:t>MSB publishes the certificate to all Parties.</w:t>
            </w:r>
          </w:p>
        </w:tc>
      </w:tr>
      <w:tr>
        <w:tc>
          <w:tcPr>
            <w:tcW w:w="1800" w:type="dxa"/>
          </w:tcPr>
          <w:p>
            <w:pPr>
              <w:pStyle w:val="Normal"/>
              <w:spacing w:before="40" w:after="40"/>
            </w:pPr>
            <w:r>
              <w:rPr>
                <w:color w:val="555555"/>
                <w:sz w:val="18"/>
                <w:rFonts w:ascii="Crimson Text" w:hAnsi="Crimson Text" w:eastAsia="Microsoft YaHei" w:cs="Crimson Text"/>
                <w:szCs w:val="18"/>
              </w:rPr>
              <w:t>Day 7, Hour 12</w:t>
            </w:r>
          </w:p>
        </w:tc>
        <w:tc>
          <w:tcPr>
            <w:tcW w:w="4200" w:type="dxa"/>
          </w:tcPr>
          <w:p>
            <w:pPr>
              <w:pStyle w:val="Normal"/>
              <w:spacing w:before="40" w:after="40"/>
            </w:pPr>
            <w:r>
              <w:rPr>
                <w:color w:val="555555"/>
                <w:sz w:val="18"/>
                <w:rFonts w:ascii="Crimson Text" w:hAnsi="Crimson Text" w:eastAsia="Microsoft YaHei" w:cs="Crimson Text"/>
                <w:szCs w:val="18"/>
              </w:rPr>
              <w:t>Full commercial traffic opens. U.S. naval blockade lifts proportionally to the certified clearance.</w:t>
            </w:r>
          </w:p>
        </w:tc>
        <w:tc>
          <w:tcPr>
            <w:tcW w:w="4000" w:type="dxa"/>
          </w:tcPr>
          <w:p>
            <w:pPr>
              <w:pStyle w:val="Normal"/>
              <w:spacing w:before="40" w:after="40"/>
            </w:pPr>
            <w:r>
              <w:rPr>
                <w:color w:val="555555"/>
                <w:sz w:val="18"/>
                <w:rFonts w:ascii="Crimson Text" w:hAnsi="Crimson Text" w:eastAsia="Microsoft YaHei" w:cs="Crimson Text"/>
                <w:szCs w:val="18"/>
              </w:rPr>
              <w:t>MSB confirms synchronized lift of blockade elements with certificate validity.</w:t>
            </w:r>
          </w:p>
        </w:tc>
      </w:tr>
    </w:tbl>
    <w:p>
      <w:pPr>
        <w:pStyle w:val="Normal"/>
        <w:pBdr>
          <w:left w:val="single" w:color="4a9aaa" w:sz="16" w:space="6"/>
        </w:pBdr>
        <w:shd w:val="clear" w:fill="f0f6f7"/>
        <w:spacing w:before="240" w:after="240"/>
        <w:ind w:left="360" w:right="360"/>
      </w:pPr>
      <w:r>
        <w:rPr>
          <w:b/>
          <w:i/>
          <w:color w:val="2A2A2A"/>
          <w:rFonts w:ascii="Crimson Text" w:hAnsi="Crimson Text" w:eastAsia="Microsoft YaHei" w:cs="Crimson Text"/>
          <w:sz w:val="21"/>
          <w:szCs w:val="21"/>
        </w:rPr>
        <w:t xml:space="preserve">Test vessel failure protocol. </w:t>
      </w:r>
      <w:r>
        <w:rPr>
          <w:i/>
          <w:color w:val="555555"/>
          <w:rFonts w:ascii="Crimson Text" w:hAnsi="Crimson Text" w:eastAsia="Microsoft YaHei" w:cs="Crimson Text"/>
          <w:sz w:val="21"/>
          <w:szCs w:val="21"/>
        </w:rPr>
        <w:t>If the test vessel strikes a mine or detects a hazard, MSB suspends clearance immediately. The framework architecture triggers an investigation within 24 hours, and the timeline resets to Day 5. Both Parties return to Phase 1 sweeps of the affected sector. The MSB determines responsibility for the missed mine within 24 hours, based on (a) mine type — Iranian or coalition-origin markings, (b) telemetry logs from the responsible Party's clearance sweep, and (c) any prior intelligence on mine laying. If the MSB cannot determine responsibility, both Parties share the reset cost equally and both receive a Tier 1 Technical Variance — not Tier 2. Either Party appeals the MSB's responsibility finding to the PCC within 7 days. If the MSB assigns responsibility to one Party, that Party bears the full cost of the reset operation and receives automatic Tier 2 classification.</w:t>
      </w:r>
    </w:p>
    <w:p>
      <w:pPr>
        <w:pStyle w:val="Heading1"/>
      </w:pPr>
      <w:bookmarkStart w:name="_TocArt3" w:id="5"/>
      <w:r>
        <w:rPr>
          <w:rFonts w:ascii="Inter" w:hAnsi="Inter" w:eastAsia="Microsoft YaHei" w:cs="Inter"/>
          <w:b/>
          <w:color w:val="0F1F2E"/>
          <w:sz w:val="30"/>
          <w:szCs w:val="30"/>
        </w:rPr>
        <w:t>Article 3 — Verification and Telemetry</w:t>
      </w:r>
      <w:bookmarkEnd w:id="5"/>
    </w:p>
    <w:tbl>
      <w:tblPr>
        <w:tblW w:w="5000" w:type="pct"/>
        <w:tblBorders>
          <w:top w:val="single" w:color="333333" w:sz="12"/>
          <w:bottom w:val="single" w:color="333333" w:sz="12"/>
          <w:insideH w:val="single" w:color="cccccc" w:sz="4"/>
        </w:tblBorders>
      </w:tblPr>
      <w:tblGrid>
        <w:gridCol w:w="2800"/>
        <w:gridCol w:w="3200"/>
        <w:gridCol w:w="4000"/>
      </w:tblGrid>
      <w:tr>
        <w:trPr>
          <w:tblHeader w:val="1"/>
        </w:trPr>
        <w:tc>
          <w:tcPr>
            <w:tcW w:w="2800" w:type="dxa"/>
            <w:shd w:val="clear" w:fill="F0F6F7" w:color="auto"/>
          </w:tcPr>
          <w:p>
            <w:pPr>
              <w:pStyle w:val="Normal"/>
              <w:spacing w:before="40" w:after="40"/>
            </w:pPr>
            <w:r>
              <w:rPr>
                <w:b/>
                <w:color w:val="2A2A2A"/>
                <w:sz w:val="18"/>
                <w:rFonts w:ascii="Crimson Text" w:hAnsi="Crimson Text" w:eastAsia="Microsoft YaHei" w:cs="Crimson Text"/>
                <w:szCs w:val="18"/>
              </w:rPr>
              <w:t>Verification Tool</w:t>
            </w:r>
          </w:p>
        </w:tc>
        <w:tc>
          <w:tcPr>
            <w:tcW w:w="3200" w:type="dxa"/>
            <w:shd w:val="clear" w:fill="F0F6F7" w:color="auto"/>
          </w:tcPr>
          <w:p>
            <w:pPr>
              <w:pStyle w:val="Normal"/>
              <w:spacing w:before="40" w:after="40"/>
            </w:pPr>
            <w:r>
              <w:rPr>
                <w:b/>
                <w:color w:val="2A2A2A"/>
                <w:sz w:val="18"/>
                <w:rFonts w:ascii="Crimson Text" w:hAnsi="Crimson Text" w:eastAsia="Microsoft YaHei" w:cs="Crimson Text"/>
                <w:szCs w:val="18"/>
              </w:rPr>
              <w:t>Responsible Party</w:t>
            </w:r>
          </w:p>
        </w:tc>
        <w:tc>
          <w:tcPr>
            <w:tcW w:w="4000" w:type="dxa"/>
            <w:shd w:val="clear" w:fill="F0F6F7" w:color="auto"/>
          </w:tcPr>
          <w:p>
            <w:pPr>
              <w:pStyle w:val="Normal"/>
              <w:spacing w:before="40" w:after="40"/>
            </w:pPr>
            <w:r>
              <w:rPr>
                <w:b/>
                <w:color w:val="2A2A2A"/>
                <w:sz w:val="18"/>
                <w:rFonts w:ascii="Crimson Text" w:hAnsi="Crimson Text" w:eastAsia="Microsoft YaHei" w:cs="Crimson Text"/>
                <w:szCs w:val="18"/>
              </w:rPr>
              <w:t>Data Feed</w:t>
            </w:r>
          </w:p>
        </w:tc>
      </w:tr>
      <w:tr>
        <w:tc>
          <w:tcPr>
            <w:tcW w:w="2800" w:type="dxa"/>
          </w:tcPr>
          <w:p>
            <w:pPr>
              <w:pStyle w:val="Normal"/>
              <w:spacing w:before="40" w:after="40"/>
            </w:pPr>
            <w:r>
              <w:rPr>
                <w:color w:val="555555"/>
                <w:sz w:val="18"/>
                <w:rFonts w:ascii="Crimson Text" w:hAnsi="Crimson Text" w:eastAsia="Microsoft YaHei" w:cs="Crimson Text"/>
                <w:szCs w:val="18"/>
              </w:rPr>
              <w:t>Side-scan sonar logs</w:t>
            </w:r>
          </w:p>
        </w:tc>
        <w:tc>
          <w:tcPr>
            <w:tcW w:w="3200" w:type="dxa"/>
          </w:tcPr>
          <w:p>
            <w:pPr>
              <w:pStyle w:val="Normal"/>
              <w:spacing w:before="40" w:after="40"/>
            </w:pPr>
            <w:r>
              <w:rPr>
                <w:color w:val="555555"/>
                <w:sz w:val="18"/>
                <w:rFonts w:ascii="Crimson Text" w:hAnsi="Crimson Text" w:eastAsia="Microsoft YaHei" w:cs="Crimson Text"/>
                <w:szCs w:val="18"/>
              </w:rPr>
              <w:t>Iran / Coalition</w:t>
            </w:r>
          </w:p>
        </w:tc>
        <w:tc>
          <w:tcPr>
            <w:tcW w:w="4000" w:type="dxa"/>
          </w:tcPr>
          <w:p>
            <w:pPr>
              <w:pStyle w:val="Normal"/>
              <w:spacing w:before="40" w:after="40"/>
            </w:pPr>
            <w:r>
              <w:rPr>
                <w:color w:val="555555"/>
                <w:sz w:val="18"/>
                <w:rFonts w:ascii="Crimson Text" w:hAnsi="Crimson Text" w:eastAsia="Microsoft YaHei" w:cs="Crimson Text"/>
                <w:szCs w:val="18"/>
              </w:rPr>
              <w:t>MSB receives in real time</w:t>
            </w:r>
          </w:p>
        </w:tc>
      </w:tr>
      <w:tr>
        <w:tc>
          <w:tcPr>
            <w:tcW w:w="2800" w:type="dxa"/>
          </w:tcPr>
          <w:p>
            <w:pPr>
              <w:pStyle w:val="Normal"/>
              <w:spacing w:before="40" w:after="40"/>
            </w:pPr>
            <w:r>
              <w:rPr>
                <w:color w:val="555555"/>
                <w:sz w:val="18"/>
                <w:rFonts w:ascii="Crimson Text" w:hAnsi="Crimson Text" w:eastAsia="Microsoft YaHei" w:cs="Crimson Text"/>
                <w:szCs w:val="18"/>
              </w:rPr>
              <w:t>ROV video feeds</w:t>
            </w:r>
          </w:p>
        </w:tc>
        <w:tc>
          <w:tcPr>
            <w:tcW w:w="3200" w:type="dxa"/>
          </w:tcPr>
          <w:p>
            <w:pPr>
              <w:pStyle w:val="Normal"/>
              <w:spacing w:before="40" w:after="40"/>
            </w:pPr>
            <w:r>
              <w:rPr>
                <w:color w:val="555555"/>
                <w:sz w:val="18"/>
                <w:rFonts w:ascii="Crimson Text" w:hAnsi="Crimson Text" w:eastAsia="Microsoft YaHei" w:cs="Crimson Text"/>
                <w:szCs w:val="18"/>
              </w:rPr>
              <w:t>Iran / Coalition</w:t>
            </w:r>
          </w:p>
        </w:tc>
        <w:tc>
          <w:tcPr>
            <w:tcW w:w="4000" w:type="dxa"/>
          </w:tcPr>
          <w:p>
            <w:pPr>
              <w:pStyle w:val="Normal"/>
              <w:spacing w:before="40" w:after="40"/>
            </w:pPr>
            <w:r>
              <w:rPr>
                <w:color w:val="555555"/>
                <w:sz w:val="18"/>
                <w:rFonts w:ascii="Crimson Text" w:hAnsi="Crimson Text" w:eastAsia="Microsoft YaHei" w:cs="Crimson Text"/>
                <w:szCs w:val="18"/>
              </w:rPr>
              <w:t>MSB + both Parties via encrypted link</w:t>
            </w:r>
          </w:p>
        </w:tc>
      </w:tr>
      <w:tr>
        <w:tc>
          <w:tcPr>
            <w:tcW w:w="2800" w:type="dxa"/>
          </w:tcPr>
          <w:p>
            <w:pPr>
              <w:pStyle w:val="Normal"/>
              <w:spacing w:before="40" w:after="40"/>
            </w:pPr>
            <w:r>
              <w:rPr>
                <w:color w:val="555555"/>
                <w:sz w:val="18"/>
                <w:rFonts w:ascii="Crimson Text" w:hAnsi="Crimson Text" w:eastAsia="Microsoft YaHei" w:cs="Crimson Text"/>
                <w:szCs w:val="18"/>
              </w:rPr>
              <w:t>AIS positions of clearance vessels</w:t>
            </w:r>
          </w:p>
        </w:tc>
        <w:tc>
          <w:tcPr>
            <w:tcW w:w="3200" w:type="dxa"/>
          </w:tcPr>
          <w:p>
            <w:pPr>
              <w:pStyle w:val="Normal"/>
              <w:spacing w:before="40" w:after="40"/>
            </w:pPr>
            <w:r>
              <w:rPr>
                <w:color w:val="555555"/>
                <w:sz w:val="18"/>
                <w:rFonts w:ascii="Crimson Text" w:hAnsi="Crimson Text" w:eastAsia="Microsoft YaHei" w:cs="Crimson Text"/>
                <w:szCs w:val="18"/>
              </w:rPr>
              <w:t>MSB</w:t>
            </w:r>
          </w:p>
        </w:tc>
        <w:tc>
          <w:tcPr>
            <w:tcW w:w="4000" w:type="dxa"/>
          </w:tcPr>
          <w:p>
            <w:pPr>
              <w:pStyle w:val="Normal"/>
              <w:spacing w:before="40" w:after="40"/>
            </w:pPr>
            <w:r>
              <w:rPr>
                <w:color w:val="555555"/>
                <w:sz w:val="18"/>
                <w:rFonts w:ascii="Crimson Text" w:hAnsi="Crimson Text" w:eastAsia="Microsoft YaHei" w:cs="Crimson Text"/>
                <w:szCs w:val="18"/>
              </w:rPr>
              <w:t>Shared Digital Registry every 5 minutes</w:t>
            </w:r>
          </w:p>
        </w:tc>
      </w:tr>
      <w:tr>
        <w:tc>
          <w:tcPr>
            <w:tcW w:w="2800" w:type="dxa"/>
          </w:tcPr>
          <w:p>
            <w:pPr>
              <w:pStyle w:val="Normal"/>
              <w:spacing w:before="40" w:after="40"/>
            </w:pPr>
            <w:r>
              <w:rPr>
                <w:color w:val="555555"/>
                <w:sz w:val="18"/>
                <w:rFonts w:ascii="Crimson Text" w:hAnsi="Crimson Text" w:eastAsia="Microsoft YaHei" w:cs="Crimson Text"/>
                <w:szCs w:val="18"/>
              </w:rPr>
              <w:t>Post-clearance diver inspection</w:t>
            </w:r>
          </w:p>
        </w:tc>
        <w:tc>
          <w:tcPr>
            <w:tcW w:w="3200" w:type="dxa"/>
          </w:tcPr>
          <w:p>
            <w:pPr>
              <w:pStyle w:val="Normal"/>
              <w:spacing w:before="40" w:after="40"/>
            </w:pPr>
            <w:r>
              <w:rPr>
                <w:color w:val="555555"/>
                <w:sz w:val="18"/>
                <w:rFonts w:ascii="Crimson Text" w:hAnsi="Crimson Text" w:eastAsia="Microsoft YaHei" w:cs="Crimson Text"/>
                <w:szCs w:val="18"/>
              </w:rPr>
              <w:t>Iran or coalition (alternating per sector)</w:t>
            </w:r>
          </w:p>
        </w:tc>
        <w:tc>
          <w:tcPr>
            <w:tcW w:w="4000" w:type="dxa"/>
          </w:tcPr>
          <w:p>
            <w:pPr>
              <w:pStyle w:val="Normal"/>
              <w:spacing w:before="40" w:after="40"/>
            </w:pPr>
            <w:r>
              <w:rPr>
                <w:color w:val="555555"/>
                <w:sz w:val="18"/>
                <w:rFonts w:ascii="Crimson Text" w:hAnsi="Crimson Text" w:eastAsia="Microsoft YaHei" w:cs="Crimson Text"/>
                <w:szCs w:val="18"/>
              </w:rPr>
              <w:t>MSB observer present on all dives</w:t>
            </w:r>
          </w:p>
        </w:tc>
      </w:tr>
      <w:tr>
        <w:tc>
          <w:tcPr>
            <w:tcW w:w="2800" w:type="dxa"/>
          </w:tcPr>
          <w:p>
            <w:pPr>
              <w:pStyle w:val="Normal"/>
              <w:spacing w:before="40" w:after="40"/>
            </w:pPr>
            <w:r>
              <w:rPr>
                <w:color w:val="555555"/>
                <w:sz w:val="18"/>
                <w:rFonts w:ascii="Crimson Text" w:hAnsi="Crimson Text" w:eastAsia="Microsoft YaHei" w:cs="Crimson Text"/>
                <w:szCs w:val="18"/>
              </w:rPr>
              <w:t>Environmental sensor readings</w:t>
            </w:r>
          </w:p>
        </w:tc>
        <w:tc>
          <w:tcPr>
            <w:tcW w:w="3200" w:type="dxa"/>
          </w:tcPr>
          <w:p>
            <w:pPr>
              <w:pStyle w:val="Normal"/>
              <w:spacing w:before="40" w:after="40"/>
            </w:pPr>
            <w:r>
              <w:rPr>
                <w:color w:val="555555"/>
                <w:sz w:val="18"/>
                <w:rFonts w:ascii="Crimson Text" w:hAnsi="Crimson Text" w:eastAsia="Microsoft YaHei" w:cs="Crimson Text"/>
                <w:szCs w:val="18"/>
              </w:rPr>
              <w:t>MSB</w:t>
            </w:r>
          </w:p>
        </w:tc>
        <w:tc>
          <w:tcPr>
            <w:tcW w:w="4000" w:type="dxa"/>
          </w:tcPr>
          <w:p>
            <w:pPr>
              <w:pStyle w:val="Normal"/>
              <w:spacing w:before="40" w:after="40"/>
            </w:pPr>
            <w:r>
              <w:rPr>
                <w:color w:val="555555"/>
                <w:sz w:val="18"/>
                <w:rFonts w:ascii="Crimson Text" w:hAnsi="Crimson Text" w:eastAsia="Microsoft YaHei" w:cs="Crimson Text"/>
                <w:szCs w:val="18"/>
              </w:rPr>
              <w:t>Shared Digital Registry every 15 minutes</w:t>
            </w:r>
          </w:p>
        </w:tc>
      </w:tr>
    </w:tbl>
    <w:p>
      <w:pPr>
        <w:pStyle w:val="Normal"/>
        <w:pBdr>
          <w:left w:val="single" w:color="0f1f2e" w:sz="12" w:space="6"/>
        </w:pBdr>
        <w:shd w:val="clear" w:fill="f0f6f7"/>
        <w:spacing w:before="200" w:after="200"/>
        <w:ind w:left="360" w:right="360"/>
      </w:pPr>
      <w:r>
        <w:rPr>
          <w:b/>
          <w:color w:val="0F1F2E"/>
          <w:rFonts w:ascii="Crimson Text" w:hAnsi="Crimson Text" w:eastAsia="Microsoft YaHei" w:cs="Crimson Text"/>
          <w:sz w:val="21"/>
          <w:szCs w:val="21"/>
        </w:rPr>
        <w:t xml:space="preserve">Data challenge protocol. </w:t>
      </w:r>
      <w:r>
        <w:rPr>
          <w:color w:val="555555"/>
          <w:rFonts w:ascii="Crimson Text" w:hAnsi="Crimson Text" w:eastAsia="Microsoft YaHei" w:cs="Crimson Text"/>
          <w:sz w:val="21"/>
          <w:szCs w:val="21"/>
        </w:rPr>
        <w:t>Either Party challenges the other Party's sonar log within 6 hours of submission. The MSB technical panel resolves the challenge within 12 hours using independent satellite imagery and a third-party sonar audit (Omani naval vessel). The MSB finding is final and binding. Either Party that submits a fraudulent or materially inaccurate sonar log faces Tier 3 classification under Annex T.</w:t>
      </w:r>
    </w:p>
    <w:p>
      <w:pPr>
        <w:pStyle w:val="Normal"/>
        <w:pBdr>
          <w:left w:val="single" w:color="0f1f2e" w:sz="12" w:space="6"/>
        </w:pBdr>
        <w:shd w:val="clear" w:fill="f0f6f7"/>
        <w:spacing w:before="200" w:after="200"/>
        <w:ind w:left="360" w:right="360"/>
      </w:pPr>
      <w:r>
        <w:rPr>
          <w:b/>
          <w:color w:val="0F1F2E"/>
          <w:rFonts w:ascii="Crimson Text" w:hAnsi="Crimson Text" w:eastAsia="Microsoft YaHei" w:cs="Crimson Text"/>
          <w:sz w:val="21"/>
          <w:szCs w:val="21"/>
        </w:rPr>
        <w:t xml:space="preserve">Telemetry failure protocol. </w:t>
      </w:r>
      <w:r>
        <w:rPr>
          <w:color w:val="555555"/>
          <w:rFonts w:ascii="Crimson Text" w:hAnsi="Crimson Text" w:eastAsia="Microsoft YaHei" w:cs="Crimson Text"/>
          <w:sz w:val="21"/>
          <w:szCs w:val="21"/>
        </w:rPr>
        <w:t>If any telemetry feed interrupts for more than 15 minutes, the framework architecture classifies it as a Tier 1 Technical Variance. MSB dispatches a technical team to restore the feed within 6 hours. If the interruption exceeds 2 hours, the affected clearance operation pauses until telemetry restoration. Neither Party continues clearance operations without live telemetry coverage.</w:t>
      </w:r>
    </w:p>
    <w:p>
      <w:pPr>
        <w:pStyle w:val="Heading1"/>
      </w:pPr>
      <w:bookmarkStart w:name="_TocArt4" w:id="6"/>
      <w:r>
        <w:rPr>
          <w:rFonts w:ascii="Inter" w:hAnsi="Inter" w:eastAsia="Microsoft YaHei" w:cs="Inter"/>
          <w:b/>
          <w:color w:val="0F1F2E"/>
          <w:sz w:val="30"/>
          <w:szCs w:val="30"/>
        </w:rPr>
        <w:t>Article 4 — Role of Third Parties</w:t>
      </w:r>
      <w:bookmarkEnd w:id="6"/>
    </w:p>
    <w:p>
      <w:pPr>
        <w:pStyle w:val="Normal"/>
      </w:pPr>
      <w:r>
        <w:rPr>
          <w:b/>
          <w:rFonts w:ascii="Crimson Text" w:hAnsi="Crimson Text" w:eastAsia="Microsoft YaHei" w:cs="Crimson Text"/>
          <w:color w:val="2A2A2A"/>
          <w:sz w:val="21"/>
          <w:szCs w:val="21"/>
        </w:rPr>
        <w:t>Oman.</w:t>
      </w:r>
      <w:r>
        <w:rPr>
          <w:rFonts w:ascii="Crimson Text" w:hAnsi="Crimson Text" w:eastAsia="Microsoft YaHei" w:cs="Crimson Text"/>
          <w:color w:val="2A2A2A"/>
          <w:sz w:val="21"/>
          <w:szCs w:val="21"/>
        </w:rPr>
        <w:t xml:space="preserve"> The Sultanate of Oman provides one neutral minesweeping vessel to verify any disputed sector. Omani findings are presumptive — either Party accepts the Omani determination unless the PCC overturns it by majority vote within 24 hours. Oman hosts the MSB in Muscat and maintains the telemetry infrastructure for the clearance operation.</w:t>
      </w:r>
    </w:p>
    <w:p>
      <w:pPr>
        <w:pStyle w:val="Normal"/>
      </w:pPr>
      <w:r>
        <w:rPr>
          <w:b/>
          <w:rFonts w:ascii="Crimson Text" w:hAnsi="Crimson Text" w:eastAsia="Microsoft YaHei" w:cs="Crimson Text"/>
          <w:color w:val="2A2A2A"/>
          <w:sz w:val="21"/>
          <w:szCs w:val="21"/>
        </w:rPr>
        <w:t>United Arab Emirates.</w:t>
      </w:r>
      <w:r>
        <w:rPr>
          <w:rFonts w:ascii="Crimson Text" w:hAnsi="Crimson Text" w:eastAsia="Microsoft YaHei" w:cs="Crimson Text"/>
          <w:color w:val="2A2A2A"/>
          <w:sz w:val="21"/>
          <w:szCs w:val="21"/>
        </w:rPr>
        <w:t xml:space="preserve"> The UAE contributes clearance assets at its discretion, operating under coalition command. UAE assets follow the same verification and reporting standards as coalition assets. The framework architecture treats UAE participation as supplementary, not essential, to clearance completion.</w:t>
      </w:r>
    </w:p>
    <w:p>
      <w:pPr>
        <w:pStyle w:val="Normal"/>
      </w:pPr>
      <w:r>
        <w:rPr>
          <w:b/>
          <w:rFonts w:ascii="Crimson Text" w:hAnsi="Crimson Text" w:eastAsia="Microsoft YaHei" w:cs="Crimson Text"/>
          <w:color w:val="2A2A2A"/>
          <w:sz w:val="21"/>
          <w:szCs w:val="21"/>
        </w:rPr>
        <w:t>Pakistan.</w:t>
      </w:r>
      <w:r>
        <w:rPr>
          <w:rFonts w:ascii="Crimson Text" w:hAnsi="Crimson Text" w:eastAsia="Microsoft YaHei" w:cs="Crimson Text"/>
          <w:color w:val="2A2A2A"/>
          <w:sz w:val="21"/>
          <w:szCs w:val="21"/>
        </w:rPr>
        <w:t xml:space="preserve"> Pakistan serves as final arbiter if MSB cannot resolve a clearance dispute within 24 hours. The Pakistan Navy dispatches a verification vessel within 48 hours of an arbitration request. Pakistan's finding is final and binding on both Parties. Pakistan receives all telemetry data and sonar logs relevant to the dispute.</w:t>
      </w:r>
    </w:p>
    <w:p>
      <w:pPr>
        <w:pStyle w:val="Normal"/>
      </w:pPr>
      <w:r>
        <w:rPr>
          <w:b/>
          <w:rFonts w:ascii="Crimson Text" w:hAnsi="Crimson Text" w:eastAsia="Microsoft YaHei" w:cs="Crimson Text"/>
          <w:color w:val="2A2A2A"/>
          <w:sz w:val="21"/>
          <w:szCs w:val="21"/>
        </w:rPr>
        <w:t>Multilateral Maritime Maintenance Fund.</w:t>
      </w:r>
      <w:r>
        <w:rPr>
          <w:rFonts w:ascii="Crimson Text" w:hAnsi="Crimson Text" w:eastAsia="Microsoft YaHei" w:cs="Crimson Text"/>
          <w:color w:val="2A2A2A"/>
          <w:sz w:val="21"/>
          <w:szCs w:val="21"/>
        </w:rPr>
        <w:t xml:space="preserve"> The Fund covers all costs of third-party clearance participation, including Omani vessel operations, Pakistani arbitration vessel deployment, and UAE asset reimbursement. The Swiss facilitator disburses Fund payments automatically upon MSB certification of third-party service completion.</w:t>
      </w:r>
    </w:p>
    <w:p>
      <w:pPr>
        <w:pStyle w:val="Heading1"/>
      </w:pPr>
      <w:bookmarkStart w:name="_TocArt5" w:id="7"/>
      <w:r>
        <w:rPr>
          <w:rFonts w:ascii="Inter" w:hAnsi="Inter" w:eastAsia="Microsoft YaHei" w:cs="Inter"/>
          <w:b/>
          <w:color w:val="0F1F2E"/>
          <w:sz w:val="30"/>
          <w:szCs w:val="30"/>
        </w:rPr>
        <w:t>Article 5 — Force Majeure and Technical Delays</w:t>
      </w:r>
      <w:bookmarkEnd w:id="7"/>
    </w:p>
    <w:p>
      <w:pPr>
        <w:pStyle w:val="Normal"/>
      </w:pPr>
      <w:r>
        <w:rPr>
          <w:rFonts w:ascii="Crimson Text" w:hAnsi="Crimson Text" w:eastAsia="Microsoft YaHei" w:cs="Crimson Text"/>
          <w:color w:val="2A2A2A"/>
          <w:sz w:val="21"/>
          <w:szCs w:val="21"/>
        </w:rPr>
        <w:t>If Iran or the United States certifies that one of the following verified conditions delays mine clearance, the timeline pauses for the duration of the verified delay:</w:t>
      </w:r>
    </w:p>
    <w:p>
      <w:pPr>
        <w:pStyle w:val="Normal"/>
        <w:spacing w:before="60" w:after="60"/>
        <w:ind w:left="720" w:hanging="360"/>
      </w:pPr>
      <w:r>
        <w:rPr>
          <w:rFonts w:ascii="Crimson Text" w:hAnsi="Crimson Text" w:eastAsia="Microsoft YaHei" w:cs="Crimson Text"/>
          <w:color w:val="2A2A2A"/>
          <w:sz w:val="21"/>
          <w:szCs w:val="21"/>
        </w:rPr>
        <w:t xml:space="preserve">(a)  Unexploded ordnance not previously mapped, requiring specialized disposal.</w:t>
      </w:r>
    </w:p>
    <w:p>
      <w:pPr>
        <w:pStyle w:val="Normal"/>
        <w:spacing w:before="60" w:after="60"/>
        <w:ind w:left="720" w:hanging="360"/>
      </w:pPr>
      <w:r>
        <w:rPr>
          <w:rFonts w:ascii="Crimson Text" w:hAnsi="Crimson Text" w:eastAsia="Microsoft YaHei" w:cs="Crimson Text"/>
          <w:color w:val="2A2A2A"/>
          <w:sz w:val="21"/>
          <w:szCs w:val="21"/>
        </w:rPr>
        <w:t xml:space="preserve">(b)  Adverse weather: Douglas sea state scale value of 5 or higher (waves 2.5–4 meters), or visibility below 500 meters due to fog, dust, or precipitation, as measured by the MSB's coastal weather station at the nearest reference point — for example, Ras al-Kouh or Quoin Island.</w:t>
      </w:r>
    </w:p>
    <w:p>
      <w:pPr>
        <w:pStyle w:val="Normal"/>
        <w:spacing w:before="60" w:after="60"/>
        <w:ind w:left="720" w:hanging="360"/>
      </w:pPr>
      <w:r>
        <w:rPr>
          <w:rFonts w:ascii="Crimson Text" w:hAnsi="Crimson Text" w:eastAsia="Microsoft YaHei" w:cs="Crimson Text"/>
          <w:color w:val="2A2A2A"/>
          <w:sz w:val="21"/>
          <w:szCs w:val="21"/>
        </w:rPr>
        <w:t xml:space="preserve">(c)  Equipment failure of a critical minesweeping asset.</w:t>
      </w:r>
    </w:p>
    <w:p>
      <w:pPr>
        <w:pStyle w:val="Normal"/>
      </w:pPr>
      <w:r>
        <w:rPr>
          <w:rFonts w:ascii="Crimson Text" w:hAnsi="Crimson Text" w:eastAsia="Microsoft YaHei" w:cs="Crimson Text"/>
          <w:color w:val="2A2A2A"/>
          <w:sz w:val="21"/>
          <w:szCs w:val="21"/>
        </w:rPr>
        <w:t>The framework architecture requires the affected Party to notify the PCC within 6 hours of the delay event, with supporting telemetry or meteorological data. The MSB verifies the force majeure claim within 12 hours. A verified force majeure claim pauses the Day counter for the duration of the delay.</w:t>
      </w:r>
    </w:p>
    <w:p>
      <w:pPr>
        <w:pStyle w:val="Normal"/>
      </w:pPr>
      <w:r>
        <w:rPr>
          <w:rFonts w:ascii="Crimson Text" w:hAnsi="Crimson Text" w:eastAsia="Microsoft YaHei" w:cs="Crimson Text"/>
          <w:color w:val="2A2A2A"/>
          <w:sz w:val="21"/>
          <w:szCs w:val="21"/>
        </w:rPr>
        <w:t>The framework architecture imposes a maximum cumulative force majeure extension of 72 hours across the entire clearance operation. If the cumulative delay exceeds 72 hours, the PCC convenes an emergency session within 24 hours to determine whether:</w:t>
      </w:r>
    </w:p>
    <w:p>
      <w:pPr>
        <w:pStyle w:val="Normal"/>
        <w:spacing w:before="60" w:after="60"/>
        <w:ind w:left="720" w:hanging="360"/>
      </w:pPr>
      <w:r>
        <w:rPr>
          <w:rFonts w:ascii="Crimson Text" w:hAnsi="Crimson Text" w:eastAsia="Microsoft YaHei" w:cs="Crimson Text"/>
          <w:color w:val="2A2A2A"/>
          <w:sz w:val="21"/>
          <w:szCs w:val="21"/>
        </w:rPr>
        <w:t xml:space="preserve">(a)  The clearance operation continues with extended timeline and supplemental assets.</w:t>
      </w:r>
    </w:p>
    <w:p>
      <w:pPr>
        <w:pStyle w:val="Normal"/>
        <w:spacing w:before="60" w:after="60"/>
        <w:ind w:left="720" w:hanging="360"/>
      </w:pPr>
      <w:r>
        <w:rPr>
          <w:rFonts w:ascii="Crimson Text" w:hAnsi="Crimson Text" w:eastAsia="Microsoft YaHei" w:cs="Crimson Text"/>
          <w:color w:val="2A2A2A"/>
          <w:sz w:val="21"/>
          <w:szCs w:val="21"/>
        </w:rPr>
        <w:t xml:space="preserve">(b)  The Parties suspend the operation pending resolution of the delaying condition.</w:t>
      </w:r>
    </w:p>
    <w:p>
      <w:pPr>
        <w:pStyle w:val="Normal"/>
      </w:pPr>
      <w:r>
        <w:rPr>
          <w:rFonts w:ascii="Crimson Text" w:hAnsi="Crimson Text" w:eastAsia="Microsoft YaHei" w:cs="Crimson Text"/>
          <w:color w:val="2A2A2A"/>
          <w:sz w:val="21"/>
          <w:szCs w:val="21"/>
        </w:rPr>
        <w:t>Neither Party invokes force majeure for conditions within its reasonable control. Equipment failure attributable to inadequate maintenance, crew error, or refusal to deploy replacement assets does not constitute force majeure.</w:t>
      </w:r>
    </w:p>
    <w:p>
      <w:pPr>
        <w:pStyle w:val="Heading1"/>
      </w:pPr>
      <w:bookmarkStart w:name="_TocArt6" w:id="8"/>
      <w:r>
        <w:rPr>
          <w:rFonts w:ascii="Inter" w:hAnsi="Inter" w:eastAsia="Microsoft YaHei" w:cs="Inter"/>
          <w:b/>
          <w:color w:val="0F1F2E"/>
          <w:sz w:val="30"/>
          <w:szCs w:val="30"/>
        </w:rPr>
        <w:t>Article 6 — Consequences of Delay Without Justification</w:t>
      </w:r>
      <w:bookmarkEnd w:id="8"/>
    </w:p>
    <w:p>
      <w:pPr>
        <w:pStyle w:val="Normal"/>
      </w:pPr>
      <w:r>
        <w:rPr>
          <w:rFonts w:ascii="Crimson Text" w:hAnsi="Crimson Text" w:eastAsia="Microsoft YaHei" w:cs="Crimson Text"/>
          <w:color w:val="2A2A2A"/>
          <w:sz w:val="21"/>
          <w:szCs w:val="21"/>
        </w:rPr>
        <w:t>The framework architecture imposes automatic consequences for delays exceeding the thresholds below. These consequences activate without further PCC vote or political authorization.</w:t>
      </w:r>
    </w:p>
    <w:tbl>
      <w:tblPr>
        <w:tblW w:w="5000" w:type="pct"/>
        <w:tblBorders>
          <w:top w:val="single" w:color="333333" w:sz="12"/>
          <w:bottom w:val="single" w:color="333333" w:sz="12"/>
          <w:insideH w:val="single" w:color="cccccc" w:sz="4"/>
        </w:tblBorders>
      </w:tblPr>
      <w:tblGrid>
        <w:gridCol w:w="1400"/>
        <w:gridCol w:w="8600"/>
      </w:tblGrid>
      <w:tr>
        <w:trPr>
          <w:tblHeader w:val="1"/>
        </w:trPr>
        <w:tc>
          <w:tcPr>
            <w:tcW w:w="1400" w:type="dxa"/>
            <w:shd w:val="clear" w:fill="F0F6F7" w:color="auto"/>
          </w:tcPr>
          <w:p>
            <w:pPr>
              <w:pStyle w:val="Normal"/>
              <w:spacing w:before="40" w:after="40"/>
            </w:pPr>
            <w:r>
              <w:rPr>
                <w:b/>
                <w:color w:val="2A2A2A"/>
                <w:sz w:val="18"/>
                <w:rFonts w:ascii="Crimson Text" w:hAnsi="Crimson Text" w:eastAsia="Microsoft YaHei" w:cs="Crimson Text"/>
                <w:szCs w:val="18"/>
              </w:rPr>
              <w:t>Delay</w:t>
            </w:r>
          </w:p>
        </w:tc>
        <w:tc>
          <w:tcPr>
            <w:tcW w:w="8600" w:type="dxa"/>
            <w:shd w:val="clear" w:fill="F0F6F7" w:color="auto"/>
          </w:tcPr>
          <w:p>
            <w:pPr>
              <w:pStyle w:val="Normal"/>
              <w:spacing w:before="40" w:after="40"/>
            </w:pPr>
            <w:r>
              <w:rPr>
                <w:b/>
                <w:color w:val="2A2A2A"/>
                <w:sz w:val="18"/>
                <w:rFonts w:ascii="Crimson Text" w:hAnsi="Crimson Text" w:eastAsia="Microsoft YaHei" w:cs="Crimson Text"/>
                <w:szCs w:val="18"/>
              </w:rPr>
              <w:t>Automatic Consequence</w:t>
            </w:r>
          </w:p>
        </w:tc>
      </w:tr>
      <w:tr>
        <w:tc>
          <w:tcPr>
            <w:tcW w:w="1400" w:type="dxa"/>
          </w:tcPr>
          <w:p>
            <w:pPr>
              <w:pStyle w:val="Normal"/>
              <w:spacing w:before="40" w:after="40"/>
            </w:pPr>
            <w:r>
              <w:rPr>
                <w:color w:val="555555"/>
                <w:sz w:val="18"/>
                <w:rFonts w:ascii="Crimson Text" w:hAnsi="Crimson Text" w:eastAsia="Microsoft YaHei" w:cs="Crimson Text"/>
                <w:szCs w:val="18"/>
              </w:rPr>
              <w:t>12–24 hours</w:t>
            </w:r>
          </w:p>
        </w:tc>
        <w:tc>
          <w:tcPr>
            <w:tcW w:w="8600" w:type="dxa"/>
          </w:tcPr>
          <w:p>
            <w:pPr>
              <w:pStyle w:val="Normal"/>
              <w:spacing w:before="40" w:after="40"/>
            </w:pPr>
            <w:r>
              <w:rPr>
                <w:color w:val="555555"/>
                <w:sz w:val="18"/>
                <w:rFonts w:ascii="Crimson Text" w:hAnsi="Crimson Text" w:eastAsia="Microsoft YaHei" w:cs="Crimson Text"/>
                <w:szCs w:val="18"/>
              </w:rPr>
              <w:t>Tier 1 Technical Variance — no financial penalty, but PCC convenes a technical review within 48 hours to determine the cause and assign corrective action.</w:t>
            </w:r>
          </w:p>
        </w:tc>
      </w:tr>
      <w:tr>
        <w:tc>
          <w:tcPr>
            <w:tcW w:w="1400" w:type="dxa"/>
          </w:tcPr>
          <w:p>
            <w:pPr>
              <w:pStyle w:val="Normal"/>
              <w:spacing w:before="40" w:after="40"/>
            </w:pPr>
            <w:r>
              <w:rPr>
                <w:color w:val="555555"/>
                <w:sz w:val="18"/>
                <w:rFonts w:ascii="Crimson Text" w:hAnsi="Crimson Text" w:eastAsia="Microsoft YaHei" w:cs="Crimson Text"/>
                <w:szCs w:val="18"/>
              </w:rPr>
              <w:t>24–48 hours</w:t>
            </w:r>
          </w:p>
        </w:tc>
        <w:tc>
          <w:tcPr>
            <w:tcW w:w="8600" w:type="dxa"/>
          </w:tcPr>
          <w:p>
            <w:pPr>
              <w:pStyle w:val="Normal"/>
              <w:spacing w:before="40" w:after="40"/>
            </w:pPr>
            <w:r>
              <w:rPr>
                <w:color w:val="555555"/>
                <w:sz w:val="18"/>
                <w:rFonts w:ascii="Crimson Text" w:hAnsi="Crimson Text" w:eastAsia="Microsoft YaHei" w:cs="Crimson Text"/>
                <w:szCs w:val="18"/>
              </w:rPr>
              <w:t>Tier 2 Material Disruption — 10% reduction of the Maritime Module Escrow Tranche as defined in Annex W, Article 4(2), or if that Tranche is not yet defined, a daily penalty of $500,000 payable by the delaying Party to the other Party as certified by the MSB. The Swiss facilitator executes the reduction or penalty automatically upon MSB certification of the delay.</w:t>
            </w:r>
          </w:p>
        </w:tc>
      </w:tr>
      <w:tr>
        <w:tc>
          <w:tcPr>
            <w:tcW w:w="1400" w:type="dxa"/>
          </w:tcPr>
          <w:p>
            <w:pPr>
              <w:pStyle w:val="Normal"/>
              <w:spacing w:before="40" w:after="40"/>
            </w:pPr>
            <w:r>
              <w:rPr>
                <w:color w:val="555555"/>
                <w:sz w:val="18"/>
                <w:rFonts w:ascii="Crimson Text" w:hAnsi="Crimson Text" w:eastAsia="Microsoft YaHei" w:cs="Crimson Text"/>
                <w:szCs w:val="18"/>
              </w:rPr>
              <w:t>48–72 hours</w:t>
            </w:r>
          </w:p>
        </w:tc>
        <w:tc>
          <w:tcPr>
            <w:tcW w:w="8600" w:type="dxa"/>
          </w:tcPr>
          <w:p>
            <w:pPr>
              <w:pStyle w:val="Normal"/>
              <w:spacing w:before="40" w:after="40"/>
            </w:pPr>
            <w:r>
              <w:rPr>
                <w:color w:val="555555"/>
                <w:sz w:val="18"/>
                <w:rFonts w:ascii="Crimson Text" w:hAnsi="Crimson Text" w:eastAsia="Microsoft YaHei" w:cs="Crimson Text"/>
                <w:szCs w:val="18"/>
              </w:rPr>
              <w:t>Tier 2 Material Disruption — 25% reduction of the Maritime Module Escrow Tranche as defined in Annex W, Article 4(2), or if that Tranche is not yet defined, a daily penalty of $500,000 payable by the delaying Party to the other Party as certified by the MSB. The PCC authorizes any expansion into the delayed sector under the consensus-minus-one standard in the Phase 1 fallback provision.</w:t>
            </w:r>
          </w:p>
        </w:tc>
      </w:tr>
      <w:tr>
        <w:tc>
          <w:tcPr>
            <w:tcW w:w="1400" w:type="dxa"/>
          </w:tcPr>
          <w:p>
            <w:pPr>
              <w:pStyle w:val="Normal"/>
              <w:spacing w:before="40" w:after="40"/>
            </w:pPr>
            <w:r>
              <w:rPr>
                <w:color w:val="555555"/>
                <w:sz w:val="18"/>
                <w:rFonts w:ascii="Crimson Text" w:hAnsi="Crimson Text" w:eastAsia="Microsoft YaHei" w:cs="Crimson Text"/>
                <w:szCs w:val="18"/>
              </w:rPr>
              <w:t>72+ hours</w:t>
            </w:r>
          </w:p>
        </w:tc>
        <w:tc>
          <w:tcPr>
            <w:tcW w:w="8600" w:type="dxa"/>
          </w:tcPr>
          <w:p>
            <w:pPr>
              <w:pStyle w:val="Normal"/>
              <w:spacing w:before="40" w:after="40"/>
            </w:pPr>
            <w:r>
              <w:rPr>
                <w:color w:val="555555"/>
                <w:sz w:val="18"/>
                <w:rFonts w:ascii="Crimson Text" w:hAnsi="Crimson Text" w:eastAsia="Microsoft YaHei" w:cs="Crimson Text"/>
                <w:szCs w:val="18"/>
              </w:rPr>
              <w:t>Tier 3 Deliberate Hostile Violation — full escrow freeze for the maritime module. MSB refers the matter to the Guarantor Matrix for mediation. Iran's right to contest the Tier 3 classification through PCA arbitration under Annex O, Article 6, remains preserved.</w:t>
            </w:r>
          </w:p>
        </w:tc>
      </w:tr>
    </w:tbl>
    <w:p>
      <w:pPr>
        <w:pStyle w:val="Normal"/>
      </w:pPr>
      <w:r>
        <w:rPr>
          <w:b/>
          <w:rFonts w:ascii="Crimson Text" w:hAnsi="Crimson Text" w:eastAsia="Microsoft YaHei" w:cs="Crimson Text"/>
          <w:color w:val="2A2A2A"/>
          <w:sz w:val="21"/>
          <w:szCs w:val="21"/>
        </w:rPr>
        <w:t>Delay measurement.</w:t>
      </w:r>
      <w:r>
        <w:rPr>
          <w:rFonts w:ascii="Crimson Text" w:hAnsi="Crimson Text" w:eastAsia="Microsoft YaHei" w:cs="Crimson Text"/>
          <w:color w:val="2A2A2A"/>
          <w:sz w:val="21"/>
          <w:szCs w:val="21"/>
        </w:rPr>
        <w:t xml:space="preserve"> The framework architecture measures each delay from the hour a milestone is due to the hour MSB certifies completion. Partial-day delays count as full days for tier classification purposes.</w:t>
      </w:r>
    </w:p>
    <w:p>
      <w:pPr>
        <w:pStyle w:val="Normal"/>
      </w:pPr>
      <w:r>
        <w:rPr>
          <w:b/>
          <w:rFonts w:ascii="Crimson Text" w:hAnsi="Crimson Text" w:eastAsia="Microsoft YaHei" w:cs="Crimson Text"/>
          <w:color w:val="2A2A2A"/>
          <w:sz w:val="21"/>
          <w:szCs w:val="21"/>
        </w:rPr>
        <w:t>Simultaneous delays.</w:t>
      </w:r>
      <w:r>
        <w:rPr>
          <w:rFonts w:ascii="Crimson Text" w:hAnsi="Crimson Text" w:eastAsia="Microsoft YaHei" w:cs="Crimson Text"/>
          <w:color w:val="2A2A2A"/>
          <w:sz w:val="21"/>
          <w:szCs w:val="21"/>
        </w:rPr>
        <w:t xml:space="preserve"> If both Parties delay simultaneously, the framework architecture assesses each Party's delay independently. The Party that delays less receives proportionally lesser consequences. The framework architecture does not offset one Party's delay against the other's.</w:t>
      </w:r>
    </w:p>
    <w:p>
      <w:pPr>
        <w:pStyle w:val="Normal"/>
      </w:pPr>
      <w:r>
        <w:rPr>
          <w:rFonts w:ascii="Crimson Text" w:hAnsi="Crimson Text" w:eastAsia="Microsoft YaHei" w:cs="Crimson Text"/>
          <w:color w:val="2A2A2A"/>
          <w:sz w:val="21"/>
          <w:szCs w:val="21"/>
          <w:b/>
        </w:rPr>
        <w:t>Simultaneous deployment failure.</w:t>
      </w:r>
      <w:r>
        <w:rPr>
          <w:rFonts w:ascii="Crimson Text" w:hAnsi="Crimson Text" w:eastAsia="Microsoft YaHei" w:cs="Crimson Text"/>
          <w:color w:val="2A2A2A"/>
          <w:sz w:val="21"/>
          <w:szCs w:val="21"/>
        </w:rPr>
        <w:t xml:space="preserve"> If both Parties fail to deploy clearance assets by Day 3, the MSB immediately requests third-party clearance from Oman or Pakistan under Article 4. The third party conducts the clearance of both sectors at the cost of both Parties, split equally. The 72-hour force majeure cap applies cumulatively to both Parties. Neither Party vetoes third-party clearance under this paragraph.</w:t>
      </w:r>
    </w:p>
    <w:p>
      <w:pPr>
        <w:pStyle w:val="Heading1"/>
      </w:pPr>
      <w:bookmarkStart w:name="_TocArt7" w:id="9"/>
      <w:r>
        <w:rPr>
          <w:rFonts w:ascii="Inter" w:hAnsi="Inter" w:eastAsia="Microsoft YaHei" w:cs="Inter"/>
          <w:b/>
          <w:color w:val="0F1F2E"/>
          <w:sz w:val="30"/>
          <w:szCs w:val="30"/>
        </w:rPr>
        <w:t>Article 7 — Post-Clearance Monitoring</w:t>
      </w:r>
      <w:bookmarkEnd w:id="9"/>
    </w:p>
    <w:p>
      <w:pPr>
        <w:pStyle w:val="Normal"/>
      </w:pPr>
      <w:r>
        <w:rPr>
          <w:rFonts w:ascii="Crimson Text" w:hAnsi="Crimson Text" w:eastAsia="Microsoft YaHei" w:cs="Crimson Text"/>
          <w:color w:val="2A2A2A"/>
          <w:sz w:val="21"/>
          <w:szCs w:val="21"/>
        </w:rPr>
        <w:t>After Day 7, the MSB conducts daily radar and sonar sweeps of the CTC for 30 consecutive days. The framework architecture requires the following monitoring protocol:</w:t>
      </w:r>
    </w:p>
    <w:p>
      <w:pPr>
        <w:pStyle w:val="Normal"/>
      </w:pPr>
      <w:r>
        <w:rPr>
          <w:b/>
          <w:rFonts w:ascii="Crimson Text" w:hAnsi="Crimson Text" w:eastAsia="Microsoft YaHei" w:cs="Crimson Text"/>
          <w:color w:val="2A2A2A"/>
          <w:sz w:val="21"/>
          <w:szCs w:val="21"/>
        </w:rPr>
        <w:t>Daily sweep.</w:t>
      </w:r>
      <w:r>
        <w:rPr>
          <w:rFonts w:ascii="Crimson Text" w:hAnsi="Crimson Text" w:eastAsia="Microsoft YaHei" w:cs="Crimson Text"/>
          <w:color w:val="2A2A2A"/>
          <w:sz w:val="21"/>
          <w:szCs w:val="21"/>
        </w:rPr>
        <w:t xml:space="preserve"> MSB dispatches a monitoring vessel or drone to conduct a full sonar sweep of the CTC every 24 hours. The sweep covers the entire 10-nautical-mile corridor. MSB logs the results in the Shared Digital Registry.</w:t>
      </w:r>
    </w:p>
    <w:p>
      <w:pPr>
        <w:pStyle w:val="Normal"/>
      </w:pPr>
      <w:r>
        <w:rPr>
          <w:b/>
          <w:rFonts w:ascii="Crimson Text" w:hAnsi="Crimson Text" w:eastAsia="Microsoft YaHei" w:cs="Crimson Text"/>
          <w:color w:val="2A2A2A"/>
          <w:sz w:val="21"/>
          <w:szCs w:val="21"/>
        </w:rPr>
        <w:t>Weekly audit.</w:t>
      </w:r>
      <w:r>
        <w:rPr>
          <w:rFonts w:ascii="Crimson Text" w:hAnsi="Crimson Text" w:eastAsia="Microsoft YaHei" w:cs="Crimson Text"/>
          <w:color w:val="2A2A2A"/>
          <w:sz w:val="21"/>
          <w:szCs w:val="21"/>
        </w:rPr>
        <w:t xml:space="preserve"> Every 7 days, an Omani naval vessel conducts an independent verification sweep. The Omani finding is presumptive. If the Omani sweep detects a mine where the MSB daily sweep did not, the framework architecture triggers an immediate investigation.</w:t>
      </w:r>
    </w:p>
    <w:p>
      <w:pPr>
        <w:pStyle w:val="Normal"/>
      </w:pPr>
      <w:r>
        <w:rPr>
          <w:rFonts w:ascii="Crimson Text" w:hAnsi="Crimson Text" w:eastAsia="Microsoft YaHei" w:cs="Crimson Text"/>
          <w:color w:val="2A2A2A"/>
          <w:sz w:val="21"/>
          <w:szCs w:val="21"/>
        </w:rPr>
        <w:t>Any new mine detected during the 30-day monitoring period is assumed to have been laid after clearance. The framework architecture triggers the following automatic response:</w:t>
      </w:r>
    </w:p>
    <w:p>
      <w:pPr>
        <w:pStyle w:val="Normal"/>
        <w:spacing w:before="60" w:after="60"/>
        <w:ind w:left="720" w:hanging="360"/>
      </w:pPr>
      <w:r>
        <w:rPr>
          <w:rFonts w:ascii="Crimson Text" w:hAnsi="Crimson Text" w:eastAsia="Microsoft YaHei" w:cs="Crimson Text"/>
          <w:color w:val="2A2A2A"/>
          <w:sz w:val="21"/>
          <w:szCs w:val="21"/>
        </w:rPr>
        <w:t xml:space="preserve">(a)  MSB issues an immediate suspension of all commercial transit through the affected sector.</w:t>
      </w:r>
    </w:p>
    <w:p>
      <w:pPr>
        <w:pStyle w:val="Normal"/>
        <w:spacing w:before="60" w:after="60"/>
        <w:ind w:left="720" w:hanging="360"/>
      </w:pPr>
      <w:r>
        <w:rPr>
          <w:rFonts w:ascii="Crimson Text" w:hAnsi="Crimson Text" w:eastAsia="Microsoft YaHei" w:cs="Crimson Text"/>
          <w:color w:val="2A2A2A"/>
          <w:sz w:val="21"/>
          <w:szCs w:val="21"/>
        </w:rPr>
        <w:t xml:space="preserve">(b)  The responsible Party (as determined by mine type, telemetry analysis, and PCC investigation) faces an automatic $10M penalty, deducted from escrow by the Swiss facilitator.</w:t>
      </w:r>
    </w:p>
    <w:p>
      <w:pPr>
        <w:pStyle w:val="Normal"/>
        <w:spacing w:before="60" w:after="60"/>
        <w:ind w:left="720" w:hanging="360"/>
      </w:pPr>
      <w:r>
        <w:rPr>
          <w:rFonts w:ascii="Crimson Text" w:hAnsi="Crimson Text" w:eastAsia="Microsoft YaHei" w:cs="Crimson Text"/>
          <w:color w:val="2A2A2A"/>
          <w:sz w:val="21"/>
          <w:szCs w:val="21"/>
        </w:rPr>
        <w:t xml:space="preserve">(c)  The framework architecture classifies post-clearance minelaying as a Tier 3 Deliberate Hostile Violation under Annex T, Article III.</w:t>
      </w:r>
    </w:p>
    <w:p>
      <w:pPr>
        <w:pStyle w:val="Normal"/>
        <w:spacing w:before="60" w:after="60"/>
        <w:ind w:left="720" w:hanging="360"/>
      </w:pPr>
      <w:r>
        <w:rPr>
          <w:rFonts w:ascii="Crimson Text" w:hAnsi="Crimson Text" w:eastAsia="Microsoft YaHei" w:cs="Crimson Text"/>
          <w:color w:val="2A2A2A"/>
          <w:sz w:val="21"/>
          <w:szCs w:val="21"/>
        </w:rPr>
        <w:t xml:space="preserve">(d)  The affected sector returns to Phase 1 clearance status. Both Parties redeploy clearance assets within 24 hours.</w:t>
      </w:r>
    </w:p>
    <w:p>
      <w:pPr>
        <w:pStyle w:val="Normal"/>
      </w:pPr>
      <w:r>
        <w:rPr>
          <w:b/>
          <w:rFonts w:ascii="Crimson Text" w:hAnsi="Crimson Text" w:eastAsia="Microsoft YaHei" w:cs="Crimson Text"/>
          <w:color w:val="2A2A2A"/>
          <w:sz w:val="21"/>
          <w:szCs w:val="21"/>
        </w:rPr>
        <w:t>30-day completion.</w:t>
      </w:r>
      <w:r>
        <w:rPr>
          <w:rFonts w:ascii="Crimson Text" w:hAnsi="Crimson Text" w:eastAsia="Microsoft YaHei" w:cs="Crimson Text"/>
          <w:color w:val="2A2A2A"/>
          <w:sz w:val="21"/>
          <w:szCs w:val="21"/>
        </w:rPr>
        <w:t xml:space="preserve"> At the conclusion of the 30-day monitoring period, if MSB detects no new mines and all daily sweeps confirm clear status, MSB issues a Permanent Clearance Certificate. The maritime module transitions from clearance operations to routine monitoring under Annex W, Article 7 (Real-Time Compliance Dashboard).</w:t>
      </w:r>
    </w:p>
    <w:p>
      <w:pPr>
        <w:pStyle w:val="Heading1"/>
      </w:pPr>
      <w:bookmarkStart w:name="_TocArt8" w:id="10"/>
      <w:r>
        <w:rPr>
          <w:rFonts w:ascii="Inter" w:hAnsi="Inter" w:eastAsia="Microsoft YaHei" w:cs="Inter"/>
          <w:b/>
          <w:color w:val="0F1F2E"/>
          <w:sz w:val="30"/>
          <w:szCs w:val="30"/>
        </w:rPr>
        <w:t>Article 8 — Incorporation by Reference</w:t>
      </w:r>
      <w:bookmarkEnd w:id="10"/>
    </w:p>
    <w:p>
      <w:pPr>
        <w:pStyle w:val="Normal"/>
      </w:pPr>
      <w:r>
        <w:rPr>
          <w:rFonts w:ascii="Crimson Text" w:hAnsi="Crimson Text" w:eastAsia="Microsoft YaHei" w:cs="Crimson Text"/>
          <w:color w:val="2A2A2A"/>
          <w:sz w:val="21"/>
          <w:szCs w:val="21"/>
        </w:rPr>
        <w:t>This Annex Mi is incorporable into the MOU by the following sentence:</w:t>
      </w:r>
    </w:p>
    <w:p>
      <w:pPr>
        <w:pStyle w:val="Normal"/>
        <w:pBdr>
          <w:left w:val="single" w:color="0f1f2e" w:sz="10" w:space="6"/>
        </w:pBdr>
        <w:spacing w:before="160" w:after="160"/>
        <w:ind w:left="720" w:right="720"/>
      </w:pPr>
      <w:r>
        <w:rPr>
          <w:i/>
          <w:color w:val="555555"/>
          <w:rFonts w:ascii="Crimson Text" w:hAnsi="Crimson Text" w:eastAsia="Microsoft YaHei" w:cs="Crimson Text"/>
          <w:sz w:val="21"/>
          <w:szCs w:val="21"/>
        </w:rPr>
        <w:t>“The Parties adopt Annex Mi (Maritime Implementation Schedule — Mine Removal and Reopening Timetable) as an operative provision of this Agreement. In the event of any inconsistency, Annex Mi governs with respect to the step-by-step schedule and verification of mine clearance in the Strait of Hormuz.”</w:t>
      </w:r>
    </w:p>
    <w:p>
      <w:pPr>
        <w:pStyle w:val="Heading1"/>
      </w:pPr>
      <w:bookmarkStart w:name="_TocSignature" w:id="11"/>
      <w:r>
        <w:rPr>
          <w:rFonts w:ascii="Inter" w:hAnsi="Inter" w:eastAsia="Microsoft YaHei" w:cs="Inter"/>
          <w:b/>
          <w:color w:val="0F1F2E"/>
          <w:sz w:val="30"/>
          <w:szCs w:val="30"/>
        </w:rPr>
        <w:t>Signature Block</w:t>
      </w:r>
      <w:bookmarkEnd w:id="11"/>
    </w:p>
    <w:p>
      <w:r>
        <w:t>In witness whereof, the undersigned, being duly authorized by their respective governments, have signed this Annex Mi: Maritime Implementation Schedule — Mine Removal and Reopening Timetable.</w:t>
      </w:r>
    </w:p>
    <w:p>
      <w:r>
        <w:t>Done at _________________________, this ______ day of _________________________, 2026, in duplicate in the English language.</w:t>
      </w:r>
    </w:p>
    <w:tbl>
      <w:tblPr>
        <w:tblW w:w="5000" w:type="pct"/>
        <w:tblBorders>
          <w:top w:val="nil"/>
          <w:left w:val="nil"/>
          <w:bottom w:val="nil"/>
          <w:right w:val="nil"/>
          <w:insideH w:val="nil"/>
          <w:insideV w:val="nil"/>
        </w:tblBorders>
      </w:tblPr>
      <w:tblGrid>
        <w:gridCol w:w="5000"/>
        <w:gridCol w:w="5000"/>
      </w:tblGrid>
      <w:tr>
        <w:tc>
          <w:tcPr>
            <w:tcW w:w="5000" w:type="auto"/>
          </w:tcPr>
          <w:p>
            <w:pPr>
              <w:spacing w:before="160" w:after="80"/>
            </w:pPr>
            <w:r>
              <w:rPr>
                <w:b/>
                <w:color w:val="2a2a2a"/>
                <w:sz w:val="20"/>
              </w:rPr>
              <w:t>For the Islamic Republic of Iran:</w:t>
            </w:r>
          </w:p>
        </w:tc>
        <w:tc>
          <w:tcPr>
            <w:tcW w:w="5000" w:type="auto"/>
          </w:tcPr>
          <w:p>
            <w:pPr>
              <w:spacing w:before="160" w:after="80"/>
            </w:pPr>
            <w:r>
              <w:rPr>
                <w:b/>
                <w:color w:val="2a2a2a"/>
                <w:sz w:val="20"/>
              </w:rPr>
              <w:t>For the United States of America:</w:t>
            </w:r>
          </w:p>
        </w:tc>
      </w:tr>
      <w:tr>
        <w:tc>
          <w:tcPr>
            <w:tcW w:w="5000" w:type="auto"/>
          </w:tcPr>
          <w:p>
            <w:pPr>
              <w:spacing w:before="360"/>
            </w:pPr>
            <w:r>
              <w:t>_________________________</w:t>
            </w:r>
          </w:p>
        </w:tc>
        <w:tc>
          <w:tcPr>
            <w:tcW w:w="5000" w:type="auto"/>
          </w:tcPr>
          <w:p>
            <w:pPr>
              <w:spacing w:before="360"/>
            </w:pPr>
            <w:r>
              <w:t>_________________________</w:t>
            </w:r>
          </w:p>
        </w:tc>
      </w:tr>
      <w:tr>
        <w:tc>
          <w:tcPr>
            <w:tcW w:w="5000" w:type="auto"/>
          </w:tcPr>
          <w:p>
            <w:pPr>
              <w:spacing w:after="120"/>
            </w:pPr>
            <w:r>
              <w:rPr>
                <w:color w:val="555555"/>
                <w:sz w:val="18"/>
              </w:rPr>
              <w:t>Signature</w:t>
            </w:r>
          </w:p>
        </w:tc>
        <w:tc>
          <w:tcPr>
            <w:tcW w:w="5000" w:type="auto"/>
          </w:tcPr>
          <w:p>
            <w:pPr>
              <w:spacing w:after="120"/>
            </w:pPr>
            <w:r>
              <w:rPr>
                <w:color w:val="555555"/>
                <w:sz w:val="18"/>
              </w:rPr>
              <w:t>Signature</w:t>
            </w:r>
          </w:p>
        </w:tc>
      </w:tr>
      <w:tr>
        <w:tc>
          <w:tcPr>
            <w:tcW w:w="5000" w:type="auto"/>
          </w:tcPr>
          <w:p>
            <w:pPr>
              <w:spacing w:before="360"/>
            </w:pPr>
            <w:r>
              <w:t>_________________________</w:t>
            </w:r>
          </w:p>
        </w:tc>
        <w:tc>
          <w:tcPr>
            <w:tcW w:w="5000" w:type="auto"/>
          </w:tcPr>
          <w:p>
            <w:pPr>
              <w:spacing w:before="360"/>
            </w:pPr>
            <w:r>
              <w:t>_________________________</w:t>
            </w:r>
          </w:p>
        </w:tc>
      </w:tr>
      <w:tr>
        <w:tc>
          <w:tcPr>
            <w:tcW w:w="5000" w:type="auto"/>
          </w:tcPr>
          <w:p>
            <w:pPr>
              <w:spacing w:after="120"/>
            </w:pPr>
            <w:r>
              <w:rPr>
                <w:color w:val="555555"/>
                <w:sz w:val="18"/>
              </w:rPr>
              <w:t>Name / Title</w:t>
            </w:r>
          </w:p>
        </w:tc>
        <w:tc>
          <w:tcPr>
            <w:tcW w:w="5000" w:type="auto"/>
          </w:tcPr>
          <w:p>
            <w:pPr>
              <w:spacing w:after="120"/>
            </w:pPr>
            <w:r>
              <w:rPr>
                <w:color w:val="555555"/>
                <w:sz w:val="18"/>
              </w:rPr>
              <w:t>Name / Title</w:t>
            </w:r>
          </w:p>
        </w:tc>
      </w:tr>
      <w:tr>
        <w:tc>
          <w:tcPr>
            <w:tcW w:w="5000" w:type="auto"/>
          </w:tcPr>
          <w:p>
            <w:pPr>
              <w:spacing w:before="360"/>
            </w:pPr>
            <w:r>
              <w:t>_________________________</w:t>
            </w:r>
          </w:p>
        </w:tc>
        <w:tc>
          <w:tcPr>
            <w:tcW w:w="5000" w:type="auto"/>
          </w:tcPr>
          <w:p>
            <w:pPr>
              <w:spacing w:before="360"/>
            </w:pPr>
            <w:r>
              <w:t>_________________________</w:t>
            </w:r>
          </w:p>
        </w:tc>
      </w:tr>
      <w:tr>
        <w:tc>
          <w:tcPr>
            <w:tcW w:w="5000" w:type="auto"/>
          </w:tcPr>
          <w:p>
            <w:pPr>
              <w:spacing w:after="120"/>
            </w:pPr>
            <w:r>
              <w:rPr>
                <w:color w:val="555555"/>
                <w:sz w:val="18"/>
              </w:rPr>
              <w:t>Date</w:t>
            </w:r>
          </w:p>
        </w:tc>
        <w:tc>
          <w:tcPr>
            <w:tcW w:w="5000" w:type="auto"/>
          </w:tcPr>
          <w:p>
            <w:pPr>
              <w:spacing w:after="120"/>
            </w:pPr>
            <w:r>
              <w:rPr>
                <w:color w:val="555555"/>
                <w:sz w:val="18"/>
              </w:rPr>
              <w:t>Date</w:t>
            </w:r>
          </w:p>
        </w:tc>
      </w:tr>
    </w:tbl>
    <w:p>
      <w:r>
        <w:t>Witnessed by the Maritime Stability Board (Muscat):</w:t>
      </w:r>
    </w:p>
    <w:p>
      <w:pPr>
        <w:spacing w:before="400"/>
      </w:pPr>
      <w:r>
        <w:t>_________________________</w:t>
      </w:r>
    </w:p>
    <w:p>
      <w:pPr>
        <w:spacing w:after="120"/>
      </w:pPr>
      <w:r>
        <w:rPr>
          <w:color w:val="555555"/>
          <w:sz w:val="18"/>
        </w:rPr>
        <w:t>Signature</w:t>
      </w:r>
    </w:p>
    <w:p>
      <w:r>
        <w:t>_________________________</w:t>
      </w:r>
    </w:p>
    <w:p>
      <w:r>
        <w:rPr>
          <w:color w:val="555555"/>
          <w:sz w:val="18"/>
        </w:rPr>
        <w:t>Date</w:t>
      </w:r>
    </w:p>
    <w:p>
      <w:pPr>
        <w:pStyle w:val="Heading1"/>
      </w:pPr>
      <w:r>
        <w:t>Drafting Note (Informative, Not Operative)</w:t>
      </w:r>
      <w:bookmarkStart w:name="_TocDrafting" w:id="12"/>
      <w:bookmarkEnd w:id="12"/>
    </w:p>
    <w:p>
      <w:r>
        <w:t>This Annex Mi is technically complete and operable immediately upon signature. It does not require political concessions beyond what Annexes N, N.a, and W already provide. The only open financial question — who pays for third-party minesweeping (Oman/UAE) — resolves automatically: the Multilateral Maritime Maintenance Fund already covers all third-party clearance costs.</w:t>
      </w:r>
    </w:p>
    <w:p>
      <w:r>
        <w:t>The framework architecture treats this Annex as the bridge between political commitment and operational reality. Where Annex N.a records that "the Strait reopens," Annex Mi records precisely how, by whom, under what verification, and with what consequences for failure. This specificity protects both Parties from ambiguity-driven disputes after signature.</w:t>
      </w:r>
    </w:p>
    <w:p>
      <w:r>
        <w:t>If either Party rejects this Annex as too prescriptive, the fallback is Annex N.a's general reopening language with no timeline, no verification protocol, and no automatic consequences for delay.</w:t>
      </w:r>
    </w:p>
    <w:p>
      <w:pPr>
        <w:sectPr>
          <w:headerReference w:type="default" r:id="R0d7a4184f0664e74"/>
          <w:footerReference w:type="default" r:id="Ra5f271b92a7e4530"/>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04c3c55ac55a450a"/>
                    <a:stretch>
                      <a:fillRect/>
                    </a:stretch>
                  </pic:blipFill>
                  <pic:spPr>
                    <a:xfrm>
                      <a:off x="0" y="0"/>
                      <a:ext cx="7560000" cy="10692000"/>
                    </a:xfrm>
                    <a:prstGeom prst="rect"/>
                  </pic:spPr>
                </pic:pic>
              </a:graphicData>
            </a:graphic>
          </wp:anchor>
        </w:drawing>
      </w:r>
    </w:p>
    <w:p>
      <w:pPr>
        <w:spacing w:before="8000"/>
      </w:pPr>
      <w:r/>
    </w:p>
    <w:p>
      <w:pPr>
        <w:spacing w:after="300"/>
        <w:jc w:val="center"/>
      </w:pPr>
      <w:r>
        <w:rPr>
          <w:rFonts w:ascii="Inter" w:hAnsi="Inter"/>
          <w:b/>
          <w:color w:val="4a9aaa"/>
          <w:spacing w:val="50"/>
          <w:sz w:val="26"/>
        </w:rPr>
        <w:t>MINES CLEAR. TRANSIT OPENS. VERIFICATION HOLDS.</w:t>
      </w:r>
    </w:p>
    <w:p>
      <w:pPr>
        <w:spacing w:before="600"/>
        <w:jc w:val="center"/>
      </w:pPr>
      <w:r>
        <w:rPr>
          <w:rFonts w:ascii="Inter" w:hAnsi="Inter"/>
          <w:color w:val="6a8a80"/>
          <w:spacing w:val="30"/>
          <w:sz w:val="16"/>
        </w:rPr>
        <w:t>Annex Mi — Maritime Implementation Schedule: Mine Removal &amp; Reopening Timetable</w:t>
      </w:r>
    </w:p>
    <w:p>
      <w:pPr>
        <w:jc w:val="center"/>
      </w:pPr>
      <w:r>
        <w:rPr>
          <w:rFonts w:ascii="Inter" w:hAnsi="Inter"/>
          <w:color w:val="6a8a80"/>
          <w:spacing w:val="30"/>
          <w:sz w:val="14"/>
        </w:rPr>
        <w:t>Modular · Self-Contained · Incorporable by Reference</w:t>
      </w:r>
    </w:p>
    <w:sectPr>
      <w:pgSz w:w="11906" w:h="16838"/>
      <w:pgMar w:top="0" w:right="0" w:bottom="0" w:left="0" w:header="0" w:footer="0"/>
    </w:sectPr>
  </w:body>
</w:document>
</file>

<file path=word/footer1.xml><?xml version="1.0" encoding="utf-8"?>
<w:ftr xmlns:w="http://schemas.openxmlformats.org/wordprocessingml/2006/main">
  <w:p>
    <w:pPr>
      <w:jc w:val="center"/>
    </w:pPr>
    <w:r>
      <w:rPr>
        <w:rFonts w:ascii="Inter" w:hAnsi="Inter"/>
        <w:color w:val="888888"/>
        <w:sz w:val="16"/>
      </w:rPr>
      <w:fldChar w:fldCharType="begin"/>
    </w:r>
    <w:r>
      <w:rPr>
        <w:rFonts w:ascii="Inter" w:hAnsi="Inter"/>
        <w:color w:val="888888"/>
        <w:sz w:val="16"/>
      </w:rPr>
      <w:instrText xml:space="preserve"> PAGE </w:instrText>
    </w:r>
    <w:r>
      <w:rPr>
        <w:rFonts w:ascii="Inter" w:hAnsi="Inter"/>
        <w:color w:val="888888"/>
        <w:sz w:val="16"/>
      </w:rPr>
      <w:fldChar w:fldCharType="separate"/>
    </w:r>
    <w:r>
      <w:rPr>
        <w:rFonts w:ascii="Inter" w:hAnsi="Inter"/>
        <w:color w:val="888888"/>
        <w:sz w:val="16"/>
      </w:rPr>
      <w:t>1</w:t>
    </w:r>
    <w:r>
      <w:rPr>
        <w:rFonts w:ascii="Inter" w:hAnsi="Inter"/>
        <w:color w:val="888888"/>
        <w:sz w:val="16"/>
      </w:rPr>
      <w:fldChar w:fldCharType="end"/>
    </w:r>
  </w:p>
</w:ftr>
</file>

<file path=word/header1.xml><?xml version="1.0" encoding="utf-8"?>
<w:hdr xmlns:w="http://schemas.openxmlformats.org/wordprocessingml/2006/main">
  <w:p>
    <w:pPr>
      <w:jc w:val="center"/>
    </w:pPr>
    <w:r>
      <w:rPr>
        <w:rFonts w:ascii="Inter" w:hAnsi="Inter"/>
        <w:color w:val="888888"/>
        <w:spacing w:val="20"/>
        <w:sz w:val="16"/>
      </w:rPr>
      <w:t>Annex Mi — Maritime Implementation Schedule</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88" w:lineRule="auto"/>
      <w:jc w:val="both"/>
    </w:pPr>
    <w:rPr>
      <w:rFonts w:ascii="Crimson Text" w:hAnsi="Crimson Text" w:eastAsia="Microsoft YaHei"/>
      <w:color w:val="2a2a2a"/>
      <w:sz w:val="21"/>
    </w:rPr>
  </w:style>
  <w:style w:type="paragraph" w:styleId="Heading1">
    <w:name w:val="heading 1"/>
    <w:basedOn w:val="Normal"/>
    <w:pPr>
      <w:keepNext/>
      <w:keepLines/>
      <w:pageBreakBefore/>
      <w:spacing w:before="400" w:after="240"/>
      <w:outlineLvl w:val="0"/>
    </w:pPr>
    <w:rPr>
      <w:rFonts w:ascii="Inter" w:hAnsi="Inter" w:eastAsia="Microsoft YaHei"/>
      <w:b/>
      <w:color w:val="0f1f2e"/>
      <w:sz w:val="30"/>
    </w:rPr>
  </w:style>
  <w:style w:type="paragraph" w:styleId="Heading2">
    <w:name w:val="heading 2"/>
    <w:basedOn w:val="Normal"/>
    <w:pPr>
      <w:keepNext/>
      <w:keepLines/>
      <w:spacing w:before="320" w:after="160"/>
      <w:outlineLvl w:val="1"/>
    </w:pPr>
    <w:rPr>
      <w:rFonts w:ascii="Inter" w:hAnsi="Inter" w:eastAsia="Microsoft YaHei"/>
      <w:b/>
      <w:color w:val="0f1f2e"/>
      <w:sz w:val="24"/>
    </w:rPr>
  </w:style>
  <w:style w:type="paragraph" w:styleId="Heading3">
    <w:name w:val="heading 3"/>
    <w:basedOn w:val="Normal"/>
    <w:pPr>
      <w:keepNext/>
      <w:keepLines/>
      <w:spacing w:before="240" w:after="100"/>
      <w:outlineLvl w:val="2"/>
    </w:pPr>
    <w:rPr>
      <w:rFonts w:ascii="Inter" w:hAnsi="Inter" w:eastAsia="Microsoft YaHei"/>
      <w:b/>
      <w:color w:val="2a2a2a"/>
      <w:sz w:val="22"/>
    </w:rPr>
  </w:style>
  <w:style w:type="paragraph" w:styleId="TOC1">
    <w:name w:val="toc 1"/>
    <w:basedOn w:val="Normal"/>
    <w:pPr>
      <w:tabs>
        <w:tab w:val="right" w:leader="dot" w:pos="9350"/>
      </w:tabs>
      <w:spacing w:before="160" w:after="60"/>
    </w:pPr>
    <w:rPr>
      <w:b/>
      <w:color w:val="0f1f2e"/>
    </w:rPr>
  </w:style>
  <w:style w:type="paragraph" w:styleId="TOC2">
    <w:name w:val="toc 2"/>
    <w:basedOn w:val="Normal"/>
    <w:pPr>
      <w:tabs>
        <w:tab w:val="right" w:leader="dot" w:pos="9350"/>
      </w:tabs>
      <w:spacing w:before="40" w:after="40"/>
      <w:ind w:left="360"/>
    </w:pPr>
    <w:rPr>
      <w:color w:val="555555"/>
    </w:rPr>
  </w:style>
</w:styles>
</file>

<file path=word/_rels/document.xml.rels><?xml version='1.0' encoding='UTF-8'?>
<Relationships xmlns="http://schemas.openxmlformats.org/package/2006/relationships"><Relationship Id="R04c3c55ac55a450a" Type="http://schemas.openxmlformats.org/officeDocument/2006/relationships/image" Target="media/image2.png" /><Relationship Id="R0d7a4184f0664e74" Type="http://schemas.openxmlformats.org/officeDocument/2006/relationships/header" Target="header1.xml" /><Relationship Id="R110d31d496c749f0" Type="http://schemas.openxmlformats.org/officeDocument/2006/relationships/settings" Target="settings.xml" /><Relationship Id="R9ccab0c49cc04002" Type="http://schemas.openxmlformats.org/officeDocument/2006/relationships/styles" Target="styles.xml" /><Relationship Id="Ra4c4a481ab104e8b" Type="http://schemas.openxmlformats.org/officeDocument/2006/relationships/image" Target="media/image.png" /><Relationship Id="Ra5f271b92a7e4530" Type="http://schemas.openxmlformats.org/officeDocument/2006/relationships/footer" Target="footer1.xml" /><Relationship Id="Rd7eddfc8b72a4f3a" Type="http://schemas.openxmlformats.org/officeDocument/2006/relationships/numbering" Target="numbering.xml" /></Relationships>
</file>