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a9acd06162eb43fa" /></Relationships>
</file>

<file path=word/document.xml><?xml version="1.0" encoding="utf-8"?>
<w:document xmlns:r="http://schemas.openxmlformats.org/officeDocument/2006/relationships" xmlns:w="http://schemas.openxmlformats.org/wordprocessingml/2006/main">
  <w:body>
    <w:p>
      <w:pPr>
        <w:spacing w:before="2400"/>
      </w:pPr>
      <w:r/>
    </w:p>
    <w:p>
      <w:pPr>
        <w:spacing w:after="600"/>
        <w:jc w:val="center"/>
      </w:pPr>
      <w:r>
        <w:rPr>
          <w:rFonts w:ascii="Georgia" w:hAnsi="Georgia"/>
          <w:color w:val="555555"/>
          <w:spacing w:val="60"/>
          <w:sz w:val="22"/>
        </w:rPr>
        <w:t>DIPLOMATIC WORKING DOCUMENT — MODULAR ANNEX</w:t>
      </w:r>
    </w:p>
    <w:p>
      <w:pPr>
        <w:spacing w:after="400"/>
        <w:jc w:val="center"/>
      </w:pPr>
      <w:r>
        <w:rPr>
          <w:rFonts w:ascii="Georgia" w:hAnsi="Georgia"/>
          <w:b/>
          <w:color w:val="1a1a1a"/>
          <w:spacing w:val="40"/>
          <w:sz w:val="32"/>
        </w:rPr>
        <w:t>ANNEX Mo</w:t>
      </w:r>
    </w:p>
    <w:p>
      <w:pPr>
        <w:spacing w:after="200"/>
        <w:jc w:val="center"/>
      </w:pPr>
      <w:r>
        <w:rPr>
          <w:rFonts w:ascii="Georgia" w:hAnsi="Georgia"/>
          <w:b/>
          <w:color w:val="1a1a1a"/>
          <w:sz w:val="52"/>
        </w:rPr>
        <w:t>Joint Monitoring</w:t>
      </w:r>
    </w:p>
    <w:p>
      <w:pPr>
        <w:spacing w:after="600"/>
        <w:jc w:val="center"/>
      </w:pPr>
      <w:r>
        <w:rPr>
          <w:rFonts w:ascii="Georgia" w:hAnsi="Georgia"/>
          <w:b/>
          <w:color w:val="1a1a1a"/>
          <w:sz w:val="52"/>
        </w:rPr>
        <w:t>Cell Charter</w:t>
      </w:r>
    </w:p>
    <w:p>
      <w:pPr>
        <w:spacing w:after="400"/>
        <w:jc w:val="center"/>
      </w:pPr>
      <w:r>
        <w:rPr>
          <w:rFonts w:ascii="Georgia" w:hAnsi="Georgia"/>
          <w:i/>
          <w:color w:val="555555"/>
          <w:sz w:val="24"/>
        </w:rPr>
        <w:t>24/7 Technical Monitoring Body with Enhanced Pakistan Deputy Convenor Role</w:t>
      </w:r>
    </w:p>
    <w:p>
      <w:pPr>
        <w:spacing w:after="1200"/>
        <w:jc w:val="center"/>
      </w:pPr>
      <w:r>
        <w:rPr>
          <w:rFonts w:ascii="Georgia" w:hAnsi="Georgia"/>
          <w:color w:val="888888"/>
          <w:sz w:val="20"/>
        </w:rPr>
        <w:t>Modular  ·  Self-Contained  ·  Incorporable by Reference</w:t>
      </w:r>
    </w:p>
    <w:p>
      <w:pPr>
        <w:spacing w:after="400"/>
        <w:jc w:val="center"/>
      </w:pPr>
      <w:r>
        <w:rPr>
          <w:rFonts w:ascii="Georgia" w:hAnsi="Georgia"/>
          <w:color w:val="888888"/>
          <w:sz w:val="20"/>
        </w:rPr>
        <w:t>MOU Pertaining to PEACE (v7.0)  ·  June 2026</w:t>
      </w:r>
    </w:p>
    <w:p>
      <w:pPr>
        <w:pBdr>
          <w:top w:val="single" w:color="999999" w:sz="4"/>
          <w:bottom w:val="single" w:color="999999" w:sz="4"/>
        </w:pBdr>
        <w:spacing w:before="1200" w:after="0"/>
        <w:jc w:val="center"/>
      </w:pPr>
      <w:r>
        <w:rPr>
          <w:rFonts w:ascii="Georgia" w:hAnsi="Georgia"/>
          <w:color w:val="888888"/>
          <w:spacing w:val="30"/>
          <w:sz w:val="18"/>
        </w:rPr>
        <w:t>AUTHORIZED NEGOTIATORS ONLY  —  CONFIDENTIAL  —  NOT FOR PUBLIC DISTRIBUTION</w:t>
      </w:r>
    </w:p>
    <w:p>
      <w:pPr>
        <w:sectPr>
          <w:type w:val="nextPage"/>
          <w:pgSz w:w="11906" w:h="16838"/>
          <w:pgMar w:top="0" w:right="720" w:bottom="0" w:left="720" w:header="0" w:footer="0"/>
          <w:titlePg/>
        </w:sectPr>
      </w:pPr>
    </w:p>
    <w:p>
      <w:pPr>
        <w:spacing w:after="400"/>
        <w:jc w:val="center"/>
      </w:pPr>
      <w:r>
        <w:rPr>
          <w:rFonts w:ascii="Georgia" w:hAnsi="Georgia"/>
          <w:b/>
          <w:color w:val="1a1a1a"/>
          <w:sz w:val="40"/>
        </w:rPr>
        <w:t>Contents</w:t>
      </w:r>
    </w:p>
    <w:p>
      <w:r>
        <w:fldChar w:fldCharType="begin"/>
      </w:r>
      <w:r>
        <w:instrText xml:space="preserve"> TOC \o "1-2" \h \z \u </w:instrText>
      </w:r>
      <w:r>
        <w:fldChar w:fldCharType="separate"/>
      </w:r>
    </w:p>
    <w:p>
      <w:pPr>
        <w:pStyle w:val="TOC1"/>
      </w:pPr>
      <w:r>
        <w:t>Preamble</w:t>
      </w:r>
      <w:r>
        <w:tab/>
      </w:r>
      <w:r>
        <w:t>1</w:t>
      </w:r>
    </w:p>
    <w:p>
      <w:pPr>
        <w:pStyle w:val="TOC1"/>
      </w:pPr>
      <w:r>
        <w:t>Article 1 — Composition and Membership</w:t>
      </w:r>
      <w:r>
        <w:tab/>
      </w:r>
      <w:r>
        <w:t>1</w:t>
      </w:r>
    </w:p>
    <w:p>
      <w:pPr>
        <w:pStyle w:val="TOC2"/>
      </w:pPr>
      <w:r>
        <w:t>1.1 Permanent Members</w:t>
      </w:r>
      <w:r>
        <w:tab/>
      </w:r>
      <w:r>
        <w:t>1</w:t>
      </w:r>
    </w:p>
    <w:p>
      <w:pPr>
        <w:pStyle w:val="TOC2"/>
      </w:pPr>
      <w:r>
        <w:t>1.2 The Convenor</w:t>
      </w:r>
      <w:r>
        <w:tab/>
      </w:r>
      <w:r>
        <w:t>1</w:t>
      </w:r>
    </w:p>
    <w:p>
      <w:pPr>
        <w:pStyle w:val="TOC2"/>
      </w:pPr>
      <w:r>
        <w:t>1.3 The Deputy Convenor (Pakistan)</w:t>
      </w:r>
      <w:r>
        <w:tab/>
      </w:r>
      <w:r>
        <w:t>1</w:t>
      </w:r>
    </w:p>
    <w:p>
      <w:pPr>
        <w:pStyle w:val="TOC2"/>
      </w:pPr>
      <w:r>
        <w:t>1.4 Observers and Guarantor Representatives</w:t>
      </w:r>
      <w:r>
        <w:tab/>
      </w:r>
      <w:r>
        <w:t>1</w:t>
      </w:r>
    </w:p>
    <w:p>
      <w:pPr>
        <w:pStyle w:val="TOC1"/>
      </w:pPr>
      <w:r>
        <w:t>Article 2 — Operational Authority</w:t>
      </w:r>
      <w:r>
        <w:tab/>
      </w:r>
      <w:r>
        <w:t>1</w:t>
      </w:r>
    </w:p>
    <w:p>
      <w:pPr>
        <w:pStyle w:val="TOC2"/>
      </w:pPr>
      <w:r>
        <w:t>2.1 JMC Functions</w:t>
      </w:r>
      <w:r>
        <w:tab/>
      </w:r>
      <w:r>
        <w:t>1</w:t>
      </w:r>
    </w:p>
    <w:p>
      <w:pPr>
        <w:pStyle w:val="TOC2"/>
      </w:pPr>
      <w:r>
        <w:t>2.2 JMC Exclusions</w:t>
      </w:r>
      <w:r>
        <w:tab/>
      </w:r>
      <w:r>
        <w:t>1</w:t>
      </w:r>
    </w:p>
    <w:p>
      <w:pPr>
        <w:pStyle w:val="TOC1"/>
      </w:pPr>
      <w:r>
        <w:t>Article 3 — Pakistan’s Enhanced Role</w:t>
      </w:r>
      <w:r>
        <w:tab/>
      </w:r>
      <w:r>
        <w:t>1</w:t>
      </w:r>
    </w:p>
    <w:p>
      <w:pPr>
        <w:pStyle w:val="TOC2"/>
      </w:pPr>
      <w:r>
        <w:t>3.1 Tie-Breaking Authority</w:t>
      </w:r>
      <w:r>
        <w:tab/>
      </w:r>
      <w:r>
        <w:t>1</w:t>
      </w:r>
    </w:p>
    <w:p>
      <w:pPr>
        <w:pStyle w:val="TOC2"/>
      </w:pPr>
      <w:r>
        <w:t>3.2 Fact-Finding Mandate</w:t>
      </w:r>
      <w:r>
        <w:tab/>
      </w:r>
      <w:r>
        <w:t>1</w:t>
      </w:r>
    </w:p>
    <w:p>
      <w:pPr>
        <w:pStyle w:val="TOC2"/>
      </w:pPr>
      <w:r>
        <w:t>3.3 Back-Channel Mediation</w:t>
      </w:r>
      <w:r>
        <w:tab/>
      </w:r>
      <w:r>
        <w:t>1</w:t>
      </w:r>
    </w:p>
    <w:p>
      <w:pPr>
        <w:pStyle w:val="TOC2"/>
      </w:pPr>
      <w:r>
        <w:t>3.4 Alternative Convenor Authority</w:t>
      </w:r>
      <w:r>
        <w:tab/>
      </w:r>
      <w:r>
        <w:t>1</w:t>
      </w:r>
    </w:p>
    <w:p>
      <w:pPr>
        <w:pStyle w:val="TOC2"/>
      </w:pPr>
      <w:r>
        <w:t>3.5 Architectural Rationale</w:t>
      </w:r>
      <w:r>
        <w:tab/>
      </w:r>
      <w:r>
        <w:t>1</w:t>
      </w:r>
    </w:p>
    <w:p>
      <w:pPr>
        <w:pStyle w:val="TOC1"/>
      </w:pPr>
      <w:r>
        <w:t>Article 4 — Response Timelines</w:t>
      </w:r>
      <w:r>
        <w:tab/>
      </w:r>
      <w:r>
        <w:t>1</w:t>
      </w:r>
    </w:p>
    <w:p>
      <w:pPr>
        <w:pStyle w:val="TOC1"/>
      </w:pPr>
      <w:r>
        <w:t>Article 5 — Reporting Chain</w:t>
      </w:r>
      <w:r>
        <w:tab/>
      </w:r>
      <w:r>
        <w:t>1</w:t>
      </w:r>
    </w:p>
    <w:p>
      <w:pPr>
        <w:pStyle w:val="TOC1"/>
      </w:pPr>
      <w:r>
        <w:t>Article 6 — Location and Logistics</w:t>
      </w:r>
      <w:r>
        <w:tab/>
      </w:r>
      <w:r>
        <w:t>1</w:t>
      </w:r>
    </w:p>
    <w:p>
      <w:pPr>
        <w:pStyle w:val="TOC1"/>
      </w:pPr>
      <w:r>
        <w:t>Article 7 — Relationship to Other Bodies</w:t>
      </w:r>
      <w:r>
        <w:tab/>
      </w:r>
      <w:r>
        <w:t>1</w:t>
      </w:r>
    </w:p>
    <w:p>
      <w:pPr>
        <w:pStyle w:val="TOC1"/>
      </w:pPr>
      <w:r>
        <w:t>Article 8 — Dispute Resolution Within the JMC</w:t>
      </w:r>
      <w:r>
        <w:tab/>
      </w:r>
      <w:r>
        <w:t>1</w:t>
      </w:r>
    </w:p>
    <w:p>
      <w:pPr>
        <w:pStyle w:val="TOC2"/>
      </w:pPr>
      <w:r>
        <w:t>8.1 Good-Faith Participation</w:t>
      </w:r>
      <w:r>
        <w:tab/>
      </w:r>
      <w:r>
        <w:t>1</w:t>
      </w:r>
    </w:p>
    <w:p>
      <w:pPr>
        <w:pStyle w:val="TOC2"/>
      </w:pPr>
      <w:r>
        <w:t>8.2 Recusal</w:t>
      </w:r>
      <w:r>
        <w:tab/>
      </w:r>
      <w:r>
        <w:t>1</w:t>
      </w:r>
    </w:p>
    <w:p>
      <w:pPr>
        <w:pStyle w:val="TOC1"/>
      </w:pPr>
      <w:r>
        <w:t>Article 9 — Incorporation by Reference</w:t>
      </w:r>
      <w:r>
        <w:tab/>
      </w:r>
      <w:r>
        <w:t>1</w:t>
      </w:r>
    </w:p>
    <w:p>
      <w:pPr>
        <w:pStyle w:val="TOC1"/>
      </w:pPr>
      <w:r>
        <w:t>Signature Block</w:t>
      </w:r>
      <w:r>
        <w:tab/>
      </w:r>
      <w:r>
        <w:t>1</w:t>
      </w:r>
    </w:p>
    <w:p>
      <w:r>
        <w:fldChar w:fldCharType="end"/>
      </w:r>
    </w:p>
    <w:p>
      <w:pPr>
        <w:sectPr>
          <w:type w:val="nextPage"/>
          <w:pgSz w:w="11906" w:h="16838"/>
          <w:pgMar w:top="1440" w:right="1440" w:bottom="1440" w:left="1440" w:header="720" w:footer="720"/>
        </w:sectPr>
      </w:pPr>
    </w:p>
    <w:p>
      <w:pPr>
        <w:pStyle w:val="Heading1"/>
      </w:pPr>
      <w:r>
        <w:t>Preamble</w:t>
      </w:r>
      <w:bookmarkStart w:name="_TocPre" w:id="1"/>
      <w:bookmarkEnd w:id="1"/>
    </w:p>
    <w:p>
      <w:pPr>
        <w:spacing w:before="120" w:after="120"/>
      </w:pPr>
      <w:r>
        <w:rPr>
          <w:sz w:val="22"/>
        </w:rPr>
        <w:t xml:space="preserve">The Parties establish the Joint Monitoring Cell (JMC) as the 24/7 technical monitoring body of the MOU. The JMC collects, analyzes, and reports on all telemetry data from the Shared Digital Registry (Annex U), IAEA verification feeds, maritime sensors (Annex W), and territorial freeze monitoring (Annexes M/U). The JMC issues non-binding technical findings and early warnings. The PCC retains sole authority to make binding compliance determinations (Tier 1–3), but the PCC issues no determination without first receiving a JMC technical report.</w:t>
      </w:r>
    </w:p>
    <w:p>
      <w:pPr>
        <w:spacing w:before="120" w:after="120"/>
      </w:pPr>
      <w:r>
        <w:rPr>
          <w:sz w:val="22"/>
        </w:rPr>
        <w:t xml:space="preserve">The Islamic Republic of Pakistan serves as the Deputy Convenor of the JMC, with specific authorities detailed below, reflecting Iran’s request for a larger Pakistani role.</w:t>
      </w:r>
    </w:p>
    <w:p>
      <w:pPr>
        <w:spacing w:before="120" w:after="120"/>
      </w:pPr>
      <w:r>
        <w:rPr>
          <w:sz w:val="22"/>
        </w:rPr>
        <w:t xml:space="preserve">The following principles govern the interpretation of this Annex:</w:t>
      </w:r>
    </w:p>
    <w:p>
      <w:pPr>
        <w:numPr>
          <w:ilvl w:val="1"/>
          <w:numId w:val="2"/>
        </w:numPr>
        <w:spacing w:before="60" w:after="60"/>
      </w:pPr>
      <w:r>
        <w:rPr>
          <w:sz w:val="22"/>
        </w:rPr>
        <w:t xml:space="preserve">Procedural neutrality: The JMC treats both Parties symmetrically in all data collection, analysis, and reporting. Neither Party receives preferential access to raw telemetry or advanced notice of findings.</w:t>
      </w:r>
    </w:p>
    <w:p>
      <w:pPr>
        <w:numPr>
          <w:ilvl w:val="1"/>
          <w:numId w:val="2"/>
        </w:numPr>
        <w:spacing w:before="60" w:after="60"/>
      </w:pPr>
      <w:r>
        <w:rPr>
          <w:sz w:val="22"/>
        </w:rPr>
        <w:t xml:space="preserve">Technical independence: The JMC bases all findings exclusively on sensor data, IAEA reports, and verified observations. Political considerations play no role in technical assessments.</w:t>
      </w:r>
    </w:p>
    <w:p>
      <w:pPr>
        <w:numPr>
          <w:ilvl w:val="1"/>
          <w:numId w:val="2"/>
        </w:numPr>
        <w:spacing w:before="60" w:after="60"/>
      </w:pPr>
      <w:r>
        <w:rPr>
          <w:sz w:val="22"/>
        </w:rPr>
        <w:t xml:space="preserve">Transparency: Both Parties receive identical reports simultaneously. The JMC withholds no material finding from either Party.</w:t>
      </w:r>
    </w:p>
    <w:p>
      <w:pPr>
        <w:numPr>
          <w:ilvl w:val="1"/>
          <w:numId w:val="2"/>
        </w:numPr>
        <w:spacing w:before="60" w:after="60"/>
      </w:pPr>
      <w:r>
        <w:rPr>
          <w:sz w:val="22"/>
        </w:rPr>
        <w:t xml:space="preserve">Continuity: The JMC operates continuously, regardless of PCC session schedules, political events, or bilateral tensions. The architecture excludes any suspension mechanism for JMC operations.</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JMC is the eyes and ears of the MOU. It sees everything, reports everything, and decides nothing. That distinction — technical monitoring versus political determination — preserves the sovereignty of both Parties while ensuring that neither Party operates in an information vacuum. Pakistan’s enhanced role as Deputy Convenor gives Iran a procedural partner it trusts without diminishing the United States’ permanent seat or the PCC’s ultimate authority.</w:t>
      </w:r>
    </w:p>
    <w:p>
      <w:pPr>
        <w:pStyle w:val="Heading1"/>
      </w:pPr>
      <w:r>
        <w:t>Article 1 — Composition and Membership</w:t>
      </w:r>
      <w:bookmarkStart w:name="_TocArt1" w:id="2"/>
      <w:bookmarkEnd w:id="2"/>
    </w:p>
    <w:p>
      <w:pPr>
        <w:pStyle w:val="Heading2"/>
      </w:pPr>
      <w:r>
        <w:t>1.1 Permanent Members</w:t>
      </w:r>
    </w:p>
    <w:p>
      <w:pPr>
        <w:spacing w:before="120" w:after="120"/>
      </w:pPr>
      <w:r>
        <w:rPr>
          <w:sz w:val="22"/>
        </w:rPr>
        <w:t xml:space="preserve">The JMC comprises the following permanent members, each with the roles and voting weights specified below. All JMC votes carry advisory weight only; the PCC makes all binding determinations.</w:t>
      </w:r>
    </w:p>
    <w:tbl>
      <w:tblPr>
        <w:tblW w:w="5000" w:type="pct"/>
        <w:tblBorders>
          <w:top w:val="single" w:color="333333" w:sz="8"/>
          <w:left w:val="nil"/>
          <w:bottom w:val="single" w:color="333333" w:sz="8"/>
          <w:right w:val="nil"/>
          <w:insideH w:val="single" w:color="999999" w:sz="4"/>
          <w:insideV w:val="nil"/>
        </w:tblBorders>
      </w:tblPr>
      <w:tblGrid>
        <w:gridCol w:w="2200"/>
        <w:gridCol w:w="4000"/>
        <w:gridCol w:w="3800"/>
      </w:tblGrid>
      <w:tr>
        <w:trPr>
          <w:tblHeader/>
        </w:trPr>
        <w:tc>
          <w:tcPr>
            <w:tcW w:w="2200" w:type="dxa"/>
            <w:shd w:val="clear" w:fill="f5f5f2"/>
            <w:vAlign w:val="center"/>
          </w:tcPr>
          <w:p>
            <w:pPr>
              <w:keepNext/>
              <w:spacing w:before="80" w:after="80"/>
            </w:pPr>
            <w:r>
              <w:rPr>
                <w:b/>
                <w:color w:val="333333"/>
                <w:sz w:val="20"/>
              </w:rPr>
              <w:t xml:space="preserve">Member</w:t>
            </w:r>
          </w:p>
        </w:tc>
        <w:tc>
          <w:tcPr>
            <w:tcW w:w="4000" w:type="dxa"/>
            <w:shd w:val="clear" w:fill="f5f5f2"/>
            <w:vAlign w:val="center"/>
          </w:tcPr>
          <w:p>
            <w:pPr>
              <w:keepNext/>
              <w:spacing w:before="80" w:after="80"/>
            </w:pPr>
            <w:r>
              <w:rPr>
                <w:b/>
                <w:color w:val="333333"/>
                <w:sz w:val="20"/>
              </w:rPr>
              <w:t xml:space="preserve">Role</w:t>
            </w:r>
          </w:p>
        </w:tc>
        <w:tc>
          <w:tcPr>
            <w:tcW w:w="3800" w:type="dxa"/>
            <w:shd w:val="clear" w:fill="f5f5f2"/>
            <w:vAlign w:val="center"/>
          </w:tcPr>
          <w:p>
            <w:pPr>
              <w:keepNext/>
              <w:spacing w:before="80" w:after="80"/>
            </w:pPr>
            <w:r>
              <w:rPr>
                <w:b/>
                <w:color w:val="333333"/>
                <w:sz w:val="20"/>
              </w:rPr>
              <w:t xml:space="preserve">Voting Weight</w:t>
            </w:r>
          </w:p>
        </w:tc>
      </w:tr>
      <w:tr>
        <w:tc>
          <w:tcPr>
            <w:tcW w:w="2200" w:type="dxa"/>
          </w:tcPr>
          <w:p>
            <w:pPr>
              <w:keepNext/>
              <w:spacing w:before="60" w:after="60"/>
            </w:pPr>
            <w:r>
              <w:rPr>
                <w:color w:val="333333"/>
                <w:sz w:val="20"/>
              </w:rPr>
              <w:t xml:space="preserve">United States</w:t>
            </w:r>
          </w:p>
        </w:tc>
        <w:tc>
          <w:tcPr>
            <w:tcW w:w="4000" w:type="dxa"/>
          </w:tcPr>
          <w:p>
            <w:pPr>
              <w:keepNext/>
              <w:spacing w:before="60" w:after="60"/>
            </w:pPr>
            <w:r>
              <w:rPr>
                <w:color w:val="333333"/>
                <w:sz w:val="20"/>
              </w:rPr>
              <w:t xml:space="preserve">Permanent member (senior military/technical official)</w:t>
            </w:r>
          </w:p>
        </w:tc>
        <w:tc>
          <w:tcPr>
            <w:tcW w:w="3800" w:type="dxa"/>
          </w:tcPr>
          <w:p>
            <w:pPr>
              <w:keepNext/>
              <w:spacing w:before="60" w:after="60"/>
            </w:pPr>
            <w:r>
              <w:rPr>
                <w:color w:val="333333"/>
                <w:sz w:val="20"/>
              </w:rPr>
              <w:t xml:space="preserve">1</w:t>
            </w:r>
          </w:p>
        </w:tc>
      </w:tr>
      <w:tr>
        <w:tc>
          <w:tcPr>
            <w:tcW w:w="2200" w:type="dxa"/>
          </w:tcPr>
          <w:p>
            <w:pPr>
              <w:keepNext/>
              <w:spacing w:before="60" w:after="60"/>
            </w:pPr>
            <w:r>
              <w:rPr>
                <w:color w:val="333333"/>
                <w:sz w:val="20"/>
              </w:rPr>
              <w:t xml:space="preserve">Iran (AEOI or Foreign Ministry)</w:t>
            </w:r>
          </w:p>
        </w:tc>
        <w:tc>
          <w:tcPr>
            <w:tcW w:w="4000" w:type="dxa"/>
          </w:tcPr>
          <w:p>
            <w:pPr>
              <w:keepNext/>
              <w:spacing w:before="60" w:after="60"/>
            </w:pPr>
            <w:r>
              <w:rPr>
                <w:color w:val="333333"/>
                <w:sz w:val="20"/>
              </w:rPr>
              <w:t xml:space="preserve">Permanent member</w:t>
            </w:r>
          </w:p>
        </w:tc>
        <w:tc>
          <w:tcPr>
            <w:tcW w:w="3800" w:type="dxa"/>
          </w:tcPr>
          <w:p>
            <w:pPr>
              <w:keepNext/>
              <w:spacing w:before="60" w:after="60"/>
            </w:pPr>
            <w:r>
              <w:rPr>
                <w:color w:val="333333"/>
                <w:sz w:val="20"/>
              </w:rPr>
              <w:t xml:space="preserve">1</w:t>
            </w:r>
          </w:p>
        </w:tc>
      </w:tr>
      <w:tr>
        <w:tc>
          <w:tcPr>
            <w:tcW w:w="2200" w:type="dxa"/>
          </w:tcPr>
          <w:p>
            <w:pPr>
              <w:keepNext/>
              <w:spacing w:before="60" w:after="60"/>
            </w:pPr>
            <w:r>
              <w:rPr>
                <w:color w:val="333333"/>
                <w:sz w:val="20"/>
              </w:rPr>
              <w:t xml:space="preserve">IAEA (Vienna liaison)</w:t>
            </w:r>
          </w:p>
        </w:tc>
        <w:tc>
          <w:tcPr>
            <w:tcW w:w="4000" w:type="dxa"/>
          </w:tcPr>
          <w:p>
            <w:pPr>
              <w:keepNext/>
              <w:spacing w:before="60" w:after="60"/>
            </w:pPr>
            <w:r>
              <w:rPr>
                <w:color w:val="333333"/>
                <w:sz w:val="20"/>
              </w:rPr>
              <w:t xml:space="preserve">Permanent technical member</w:t>
            </w:r>
          </w:p>
        </w:tc>
        <w:tc>
          <w:tcPr>
            <w:tcW w:w="3800" w:type="dxa"/>
          </w:tcPr>
          <w:p>
            <w:pPr>
              <w:keepNext/>
              <w:spacing w:before="60" w:after="60"/>
            </w:pPr>
            <w:r>
              <w:rPr>
                <w:color w:val="333333"/>
                <w:sz w:val="20"/>
              </w:rPr>
              <w:t xml:space="preserve">0 (advisory only)</w:t>
            </w:r>
          </w:p>
        </w:tc>
      </w:tr>
      <w:tr>
        <w:tc>
          <w:tcPr>
            <w:tcW w:w="2200" w:type="dxa"/>
          </w:tcPr>
          <w:p>
            <w:pPr>
              <w:keepNext/>
              <w:spacing w:before="60" w:after="60"/>
            </w:pPr>
            <w:r>
              <w:rPr>
                <w:color w:val="333333"/>
                <w:sz w:val="20"/>
              </w:rPr>
              <w:t xml:space="preserve">Pakistan</w:t>
            </w:r>
          </w:p>
        </w:tc>
        <w:tc>
          <w:tcPr>
            <w:tcW w:w="4000" w:type="dxa"/>
          </w:tcPr>
          <w:p>
            <w:pPr>
              <w:keepNext/>
              <w:spacing w:before="60" w:after="60"/>
            </w:pPr>
            <w:r>
              <w:rPr>
                <w:color w:val="333333"/>
                <w:sz w:val="20"/>
              </w:rPr>
              <w:t xml:space="preserve">Deputy Convenor — chairs in absence; manages dispute resolution; tie-breaker</w:t>
            </w:r>
          </w:p>
        </w:tc>
        <w:tc>
          <w:tcPr>
            <w:tcW w:w="3800" w:type="dxa"/>
          </w:tcPr>
          <w:p>
            <w:pPr>
              <w:keepNext/>
              <w:spacing w:before="60" w:after="60"/>
            </w:pPr>
            <w:r>
              <w:rPr>
                <w:color w:val="333333"/>
                <w:sz w:val="20"/>
              </w:rPr>
              <w:t xml:space="preserve">1 vote + tie-breaker</w:t>
            </w:r>
          </w:p>
        </w:tc>
      </w:tr>
      <w:tr>
        <w:tc>
          <w:tcPr>
            <w:tcW w:w="2200" w:type="dxa"/>
          </w:tcPr>
          <w:p>
            <w:pPr>
              <w:keepNext/>
              <w:spacing w:before="60" w:after="60"/>
            </w:pPr>
            <w:r>
              <w:rPr>
                <w:color w:val="333333"/>
                <w:sz w:val="20"/>
              </w:rPr>
              <w:t xml:space="preserve">Oman</w:t>
            </w:r>
          </w:p>
        </w:tc>
        <w:tc>
          <w:tcPr>
            <w:tcW w:w="4000" w:type="dxa"/>
          </w:tcPr>
          <w:p>
            <w:pPr>
              <w:keepNext/>
              <w:spacing w:before="60" w:after="60"/>
            </w:pPr>
            <w:r>
              <w:rPr>
                <w:color w:val="333333"/>
                <w:sz w:val="20"/>
              </w:rPr>
              <w:t xml:space="preserve">Permanent member — hosts JMC operations in Muscat</w:t>
            </w:r>
          </w:p>
        </w:tc>
        <w:tc>
          <w:tcPr>
            <w:tcW w:w="3800" w:type="dxa"/>
          </w:tcPr>
          <w:p>
            <w:pPr>
              <w:keepNext/>
              <w:spacing w:before="60" w:after="60"/>
            </w:pPr>
            <w:r>
              <w:rPr>
                <w:color w:val="333333"/>
                <w:sz w:val="20"/>
              </w:rPr>
              <w:t xml:space="preserve">1</w:t>
            </w:r>
          </w:p>
        </w:tc>
      </w:tr>
      <w:tr>
        <w:tc>
          <w:tcPr>
            <w:tcW w:w="2200" w:type="dxa"/>
          </w:tcPr>
          <w:p>
            <w:pPr>
              <w:keepNext/>
              <w:spacing w:before="60" w:after="60"/>
            </w:pPr>
            <w:r>
              <w:rPr>
                <w:color w:val="333333"/>
                <w:sz w:val="20"/>
              </w:rPr>
              <w:t xml:space="preserve">Qatar</w:t>
            </w:r>
          </w:p>
        </w:tc>
        <w:tc>
          <w:tcPr>
            <w:tcW w:w="4000" w:type="dxa"/>
          </w:tcPr>
          <w:p>
            <w:pPr>
              <w:keepNext/>
              <w:spacing w:before="60" w:after="60"/>
            </w:pPr>
            <w:r>
              <w:rPr>
                <w:color w:val="333333"/>
                <w:sz w:val="20"/>
              </w:rPr>
              <w:t xml:space="preserve">Observer (upon invitation) — maritime and ceasefire sessions</w:t>
            </w:r>
          </w:p>
        </w:tc>
        <w:tc>
          <w:tcPr>
            <w:tcW w:w="3800" w:type="dxa"/>
          </w:tcPr>
          <w:p>
            <w:pPr>
              <w:keepNext/>
              <w:spacing w:before="60" w:after="60"/>
            </w:pPr>
            <w:r>
              <w:rPr>
                <w:color w:val="333333"/>
                <w:sz w:val="20"/>
              </w:rPr>
              <w:t xml:space="preserve">0</w:t>
            </w:r>
          </w:p>
        </w:tc>
      </w:tr>
      <w:tr>
        <w:tc>
          <w:tcPr>
            <w:tcW w:w="2200" w:type="dxa"/>
          </w:tcPr>
          <w:p>
            <w:pPr>
              <w:keepNext/>
              <w:spacing w:before="60" w:after="60"/>
            </w:pPr>
            <w:r>
              <w:rPr>
                <w:color w:val="333333"/>
                <w:sz w:val="20"/>
              </w:rPr>
              <w:t xml:space="preserve">China / Russia</w:t>
            </w:r>
          </w:p>
        </w:tc>
        <w:tc>
          <w:tcPr>
            <w:tcW w:w="4000" w:type="dxa"/>
          </w:tcPr>
          <w:p>
            <w:pPr>
              <w:keepNext/>
              <w:spacing w:before="60" w:after="60"/>
            </w:pPr>
            <w:r>
              <w:rPr>
                <w:color w:val="333333"/>
                <w:sz w:val="20"/>
              </w:rPr>
              <w:t xml:space="preserve">Guarantor observers — receive all reports; attend by request</w:t>
            </w:r>
          </w:p>
        </w:tc>
        <w:tc>
          <w:tcPr>
            <w:tcW w:w="3800" w:type="dxa"/>
          </w:tcPr>
          <w:p>
            <w:pPr>
              <w:keepNext/>
              <w:spacing w:before="60" w:after="60"/>
            </w:pPr>
            <w:r>
              <w:rPr>
                <w:color w:val="333333"/>
                <w:sz w:val="20"/>
              </w:rPr>
              <w:t xml:space="preserve">0</w:t>
            </w:r>
          </w:p>
        </w:tc>
      </w:tr>
    </w:tbl>
    <w:p>
      <w:pPr>
        <w:pStyle w:val="Heading2"/>
      </w:pPr>
      <w:r>
        <w:t>1.2 The Convenor</w:t>
      </w:r>
    </w:p>
    <w:p>
      <w:pPr>
        <w:spacing w:before="120" w:after="120"/>
      </w:pPr>
      <w:r>
        <w:rPr>
          <w:sz w:val="22"/>
        </w:rPr>
        <w:t xml:space="preserve">The Convenorship rotates between the United States and Iran every 90 days. The rotation occurs automatically on Day 1, Day 91, Day 181, and Day 271 of each calendar year. The Joint Secretariat tracks the rotation schedule and notifies both Parties 14 days before each transition.</w:t>
      </w:r>
    </w:p>
    <w:p>
      <w:pPr>
        <w:spacing w:before="120" w:after="120"/>
      </w:pPr>
      <w:r>
        <w:rPr>
          <w:sz w:val="22"/>
        </w:rPr>
        <w:t xml:space="preserve">The Convenor exercises the following authorities:</w:t>
      </w:r>
    </w:p>
    <w:p>
      <w:pPr>
        <w:numPr>
          <w:ilvl w:val="0"/>
          <w:numId w:val="1"/>
        </w:numPr>
        <w:spacing w:before="80" w:after="80"/>
      </w:pPr>
      <w:r>
        <w:rPr>
          <w:sz w:val="22"/>
        </w:rPr>
        <w:t xml:space="preserve">Sets the agenda for all regular JMC sessions.</w:t>
      </w:r>
    </w:p>
    <w:p>
      <w:pPr>
        <w:numPr>
          <w:ilvl w:val="0"/>
          <w:numId w:val="1"/>
        </w:numPr>
        <w:spacing w:before="80" w:after="80"/>
      </w:pPr>
      <w:r>
        <w:rPr>
          <w:sz w:val="22"/>
        </w:rPr>
        <w:t xml:space="preserve">Calls emergency sessions upon request from any permanent member.</w:t>
      </w:r>
    </w:p>
    <w:p>
      <w:pPr>
        <w:numPr>
          <w:ilvl w:val="0"/>
          <w:numId w:val="1"/>
        </w:numPr>
        <w:spacing w:before="80" w:after="80"/>
      </w:pPr>
      <w:r>
        <w:rPr>
          <w:sz w:val="22"/>
        </w:rPr>
        <w:t xml:space="preserve">Submits the JMC’s final technical reports to the PCC.</w:t>
      </w:r>
    </w:p>
    <w:p>
      <w:pPr>
        <w:numPr>
          <w:ilvl w:val="0"/>
          <w:numId w:val="1"/>
        </w:numPr>
        <w:spacing w:before="80" w:after="80"/>
      </w:pPr>
      <w:r>
        <w:rPr>
          <w:sz w:val="22"/>
        </w:rPr>
        <w:t xml:space="preserve">Represents the JMC in communications with external bodies (MSB, Joint Secretariat, Guarantor Matrix).</w:t>
      </w:r>
    </w:p>
    <w:p>
      <w:pPr>
        <w:numPr>
          <w:ilvl w:val="0"/>
          <w:numId w:val="1"/>
        </w:numPr>
        <w:spacing w:before="80" w:after="80"/>
      </w:pPr>
      <w:r>
        <w:rPr>
          <w:sz w:val="22"/>
        </w:rPr>
        <w:t xml:space="preserve">Casts the tie-breaking vote if Pakistan is recused or unavailable — in which case the Convenor’s vote carries double weight for that single decision.</w:t>
      </w:r>
    </w:p>
    <w:p>
      <w:pPr>
        <w:pStyle w:val="Heading2"/>
      </w:pPr>
      <w:r>
        <w:t>1.3 The Deputy Convenor (Pakistan)</w:t>
      </w:r>
    </w:p>
    <w:p>
      <w:pPr>
        <w:spacing w:before="120" w:after="120"/>
      </w:pPr>
      <w:r>
        <w:rPr>
          <w:sz w:val="22"/>
        </w:rPr>
        <w:t xml:space="preserve">Pakistan serves as the permanent Deputy Convenor of the JMC. This role carries the following specific authorities:</w:t>
      </w:r>
    </w:p>
    <w:p>
      <w:pPr>
        <w:numPr>
          <w:ilvl w:val="0"/>
          <w:numId w:val="1"/>
        </w:numPr>
        <w:spacing w:before="80" w:after="80"/>
      </w:pPr>
      <w:r>
        <w:rPr>
          <w:sz w:val="22"/>
        </w:rPr>
        <w:t xml:space="preserve">Chairing in absence: If the Convenor is unavailable, recused, or incapacitated, Pakistan chairs the JMC session automatically. No vote or procedural step is required for this transition.</w:t>
      </w:r>
    </w:p>
    <w:p>
      <w:pPr>
        <w:numPr>
          <w:ilvl w:val="0"/>
          <w:numId w:val="1"/>
        </w:numPr>
        <w:spacing w:before="80" w:after="80"/>
      </w:pPr>
      <w:r>
        <w:rPr>
          <w:sz w:val="22"/>
        </w:rPr>
        <w:t xml:space="preserve">Emergency dispute sessions: Pakistan convenes an emergency dispute session whenever the two Parties disagree on a factual finding. The session convenes within 4 hours of Pakistan’s determination that a factual disagreement exists.</w:t>
      </w:r>
    </w:p>
    <w:p>
      <w:pPr>
        <w:numPr>
          <w:ilvl w:val="0"/>
          <w:numId w:val="1"/>
        </w:numPr>
        <w:spacing w:before="80" w:after="80"/>
      </w:pPr>
      <w:r>
        <w:rPr>
          <w:sz w:val="22"/>
        </w:rPr>
        <w:t xml:space="preserve">Neutral technical assessment: Pakistan possesses the authority to propose a “neutral technical assessment” based on raw telemetry data. This assessment transmits directly to the PCC with a presumption of correctness. The PCC rebuts this presumption only by clear and convincing evidence presented by either Party.</w:t>
      </w:r>
    </w:p>
    <w:p>
      <w:pPr>
        <w:numPr>
          <w:ilvl w:val="0"/>
          <w:numId w:val="1"/>
        </w:numPr>
        <w:spacing w:before="80" w:after="80"/>
      </w:pPr>
      <w:r>
        <w:rPr>
          <w:sz w:val="22"/>
        </w:rPr>
        <w:t xml:space="preserve">Tie-breaking vote: Pakistan casts the deciding vote in all 2-2 deadlocks among the voting members (U.S., Iran, Oman, Pakistan).</w:t>
      </w:r>
    </w:p>
    <w:p>
      <w:pPr>
        <w:numPr>
          <w:ilvl w:val="0"/>
          <w:numId w:val="1"/>
        </w:numPr>
        <w:spacing w:before="80" w:after="80"/>
      </w:pPr>
      <w:r>
        <w:rPr>
          <w:sz w:val="22"/>
        </w:rPr>
        <w:t xml:space="preserve">Fact-finding deployment: Pakistan dispatches a technical team to inspect disputed sites under the authority described in Article 3.2.</w:t>
      </w:r>
    </w:p>
    <w:p>
      <w:pPr>
        <w:pStyle w:val="Heading2"/>
      </w:pPr>
      <w:r>
        <w:t>1.4 Observers and Guarantor Representatives</w:t>
      </w:r>
    </w:p>
    <w:p>
      <w:pPr>
        <w:spacing w:before="120" w:after="120"/>
      </w:pPr>
      <w:r>
        <w:rPr>
          <w:sz w:val="22"/>
        </w:rPr>
        <w:t xml:space="preserve">Qatar attends JMC meetings as an observer upon invitation from the Convenor. Qatar’s attendance typically covers maritime security sessions and regional ceasefire discussions. Qatar receives the Daily Compliance Bulletin but does not receive Confidential Incident Reports unless the reporting Party specifically authorizes release.</w:t>
      </w:r>
    </w:p>
    <w:p>
      <w:pPr>
        <w:spacing w:before="120" w:after="120"/>
      </w:pPr>
      <w:r>
        <w:rPr>
          <w:sz w:val="22"/>
        </w:rPr>
        <w:t xml:space="preserve">China and Russia attend as guarantor observers upon written request to the Convenor. They receive the monthly JMC summary report automatically. They do not participate in voting or factual determinations.</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composition of the JMC reflects a carefully calibrated balance. The United States and Iran each hold one vote — equal weight, equal status. Pakistan holds a vote plus the tie-breaker, giving it procedural prominence without overriding either Party’s sovereign equality. Oman anchors the Cell in neutral territory. The IAEA provides technical credibility without political voice. This architecture ensures that no single Party dominates, and no single Party blocks.</w:t>
      </w:r>
    </w:p>
    <w:p>
      <w:pPr>
        <w:pStyle w:val="Heading1"/>
      </w:pPr>
      <w:r>
        <w:t>Article 2 — Operational Authority</w:t>
      </w:r>
      <w:bookmarkStart w:name="_TocArt2" w:id="3"/>
      <w:bookmarkEnd w:id="3"/>
    </w:p>
    <w:p>
      <w:pPr>
        <w:pStyle w:val="Heading2"/>
      </w:pPr>
      <w:r>
        <w:t>2.1 JMC Functions</w:t>
      </w:r>
    </w:p>
    <w:p>
      <w:pPr>
        <w:spacing w:before="120" w:after="120"/>
      </w:pPr>
      <w:r>
        <w:rPr>
          <w:sz w:val="22"/>
        </w:rPr>
        <w:t xml:space="preserve">The JMC exercises the following operational functions on a continuous, 24/7 basis:</w:t>
      </w:r>
    </w:p>
    <w:p>
      <w:pPr>
        <w:spacing w:before="120" w:after="120"/>
      </w:pPr>
      <w:r>
        <w:rPr>
          <w:sz w:val="22"/>
        </w:rPr>
        <w:t xml:space="preserve">Continuous monitoring: The JMC monitors all data feeds listed in Annex U, Article 5: satellite imagery, radar returns, AIS maritime transponder data, IAEA telemetry streams, and territorial change-detection algorithms. The monitoring operates through an automated sensor fusion platform that correlates inputs from multiple sources and flags anomalies against pre-defined thresholds.</w:t>
      </w:r>
    </w:p>
    <w:p>
      <w:pPr>
        <w:spacing w:before="120" w:after="120"/>
      </w:pPr>
      <w:r>
        <w:rPr>
          <w:sz w:val="22"/>
        </w:rPr>
        <w:t xml:space="preserve">Daily Compliance Bulletins: The JMC publishes an unclassified Daily Compliance Bulletin every day at 06:00 UTC. The Bulletin summarizes: (a) all sensor readings from the previous 24 hours; (b) any threshold crossings or anomalous events; (c) the status of ongoing fact-finding missions; (d) any complaints filed by either Party and their disposition status. Both Parties receive the Bulletin simultaneously through the secure JMC portal.</w:t>
      </w:r>
    </w:p>
    <w:p>
      <w:pPr>
        <w:spacing w:before="120" w:after="120"/>
      </w:pPr>
      <w:r>
        <w:rPr>
          <w:sz w:val="22"/>
        </w:rPr>
        <w:t xml:space="preserve">Confidential Incident Reports: The JMC issues classified Confidential Incident Reports for transmission exclusively to the PCC. These reports cover: (a) potential Tier 2 or Tier 3 triggers; (b) disputes between Parties over factual interpretations; (c) sensor failures or data gaps that compromise monitoring integrity; (d) any event that the JMC assesses as threatening to MOU compliance. The JMC transmits these reports within 6 hours of incident confirmation.</w:t>
      </w:r>
    </w:p>
    <w:p>
      <w:pPr>
        <w:spacing w:before="120" w:after="120"/>
      </w:pPr>
      <w:r>
        <w:rPr>
          <w:sz w:val="22"/>
        </w:rPr>
        <w:t xml:space="preserve">Early warning alerts: The JMC issues immediate early warning alerts when any sensor crosses a pre-defined threshold. The current threshold matrix includes: enrichment level exceeding 3.6% U-235 at any monitored facility; any vessel closing to within 3 nautical miles of a Critical Transit Corridor (CTC) boundary without pre-registered transit clearance; terrestrial position shifts exceeding 100 meters within any frozen zone (Annex M); unscheduled centrifuge cascade reconfiguration detected by IAEA tamper-indicating seals; any break in IAEA continuous monitoring data transmission lasting longer than 4 hours.</w:t>
      </w:r>
    </w:p>
    <w:p>
      <w:pPr>
        <w:spacing w:before="120" w:after="120"/>
      </w:pPr>
      <w:r>
        <w:rPr>
          <w:sz w:val="22"/>
        </w:rPr>
        <w:t xml:space="preserve">Complaint response: The JMC acknowledges any written complaint from either Party within 2 hours of receipt. The JMC issues a preliminary technical assessment within 24 hours and a final factual finding within 72 hours unless the complaint requires a Pakistan fact-finding mission (Article 3.2), in which case the timeline extends to accommodate deployment and inspection.</w:t>
      </w:r>
    </w:p>
    <w:p>
      <w:pPr>
        <w:spacing w:before="120" w:after="120"/>
      </w:pPr>
      <w:r>
        <w:rPr>
          <w:sz w:val="22"/>
        </w:rPr>
        <w:t xml:space="preserve">Step-back technical preparation: Before the PCC votes on any Tier 2 or Tier 3 step-back, the JMC prepares a written technical basis document. This document specifies: (a) the factual events triggering the step-back consideration; (b) the sensor data and IAEA reports supporting the trigger; (c) a neutral assessment of whether the trigger represents technical non-compliance, good-faith delay, or force majeure; (d) a recommended step-back tier based on the severity and pattern of the event. The PCC considers this document mandatory reading before any step-back vote.</w:t>
      </w:r>
    </w:p>
    <w:p>
      <w:pPr>
        <w:pStyle w:val="Heading2"/>
      </w:pPr>
      <w:r>
        <w:t>2.2 JMC Exclusions</w:t>
      </w:r>
    </w:p>
    <w:p>
      <w:pPr>
        <w:spacing w:before="120" w:after="120"/>
      </w:pPr>
      <w:r>
        <w:rPr>
          <w:sz w:val="22"/>
        </w:rPr>
        <w:t xml:space="preserve">The framework architecture explicitly excludes the following authorities from the JMC:</w:t>
      </w:r>
    </w:p>
    <w:tbl>
      <w:tblPr>
        <w:tblW w:w="5000" w:type="pct"/>
        <w:tblBorders>
          <w:top w:val="single" w:color="333333" w:sz="8"/>
          <w:left w:val="nil"/>
          <w:bottom w:val="single" w:color="333333" w:sz="8"/>
          <w:right w:val="nil"/>
          <w:insideH w:val="single" w:color="999999" w:sz="4"/>
          <w:insideV w:val="nil"/>
        </w:tblBorders>
      </w:tblPr>
      <w:tblGrid>
        <w:gridCol w:w="3000"/>
        <w:gridCol w:w="7000"/>
      </w:tblGrid>
      <w:tr>
        <w:trPr>
          <w:tblHeader/>
        </w:trPr>
        <w:tc>
          <w:tcPr>
            <w:tcW w:w="3000" w:type="dxa"/>
            <w:shd w:val="clear" w:fill="f5f5f2"/>
            <w:vAlign w:val="center"/>
          </w:tcPr>
          <w:p>
            <w:pPr>
              <w:keepNext/>
              <w:spacing w:before="80" w:after="80"/>
            </w:pPr>
            <w:r>
              <w:rPr>
                <w:b/>
                <w:color w:val="333333"/>
                <w:sz w:val="20"/>
              </w:rPr>
              <w:t xml:space="preserve">Excluded Authority</w:t>
            </w:r>
          </w:p>
        </w:tc>
        <w:tc>
          <w:tcPr>
            <w:tcW w:w="7000" w:type="dxa"/>
            <w:shd w:val="clear" w:fill="f5f5f2"/>
            <w:vAlign w:val="center"/>
          </w:tcPr>
          <w:p>
            <w:pPr>
              <w:keepNext/>
              <w:spacing w:before="80" w:after="80"/>
            </w:pPr>
            <w:r>
              <w:rPr>
                <w:b/>
                <w:color w:val="333333"/>
                <w:sz w:val="20"/>
              </w:rPr>
              <w:t xml:space="preserve">Rationale</w:t>
            </w:r>
          </w:p>
        </w:tc>
      </w:tr>
      <w:tr>
        <w:tc>
          <w:tcPr>
            <w:tcW w:w="3000" w:type="dxa"/>
          </w:tcPr>
          <w:p>
            <w:pPr>
              <w:keepNext/>
              <w:spacing w:before="60" w:after="60"/>
            </w:pPr>
            <w:r>
              <w:rPr>
                <w:color w:val="333333"/>
                <w:sz w:val="20"/>
              </w:rPr>
              <w:t xml:space="preserve">Binding compliance determinations</w:t>
            </w:r>
          </w:p>
        </w:tc>
        <w:tc>
          <w:tcPr>
            <w:tcW w:w="7000" w:type="dxa"/>
          </w:tcPr>
          <w:p>
            <w:pPr>
              <w:keepNext/>
              <w:spacing w:before="60" w:after="60"/>
            </w:pPr>
            <w:r>
              <w:rPr>
                <w:color w:val="333333"/>
                <w:sz w:val="20"/>
              </w:rPr>
              <w:t xml:space="preserve">Only the PCC issues Tier 1–3 determinations. The JMC’s findings remain advisory at all times.</w:t>
            </w:r>
          </w:p>
        </w:tc>
      </w:tr>
      <w:tr>
        <w:tc>
          <w:tcPr>
            <w:tcW w:w="3000" w:type="dxa"/>
          </w:tcPr>
          <w:p>
            <w:pPr>
              <w:keepNext/>
              <w:spacing w:before="60" w:after="60"/>
            </w:pPr>
            <w:r>
              <w:rPr>
                <w:color w:val="333333"/>
                <w:sz w:val="20"/>
              </w:rPr>
              <w:t xml:space="preserve">Military action ordering</w:t>
            </w:r>
          </w:p>
        </w:tc>
        <w:tc>
          <w:tcPr>
            <w:tcW w:w="7000" w:type="dxa"/>
          </w:tcPr>
          <w:p>
            <w:pPr>
              <w:keepNext/>
              <w:spacing w:before="60" w:after="60"/>
            </w:pPr>
            <w:r>
              <w:rPr>
                <w:color w:val="333333"/>
                <w:sz w:val="20"/>
              </w:rPr>
              <w:t xml:space="preserve">The framework architecture excludes kinetic enforcement. Military decisions remain with each Party’s national command authority.</w:t>
            </w:r>
          </w:p>
        </w:tc>
      </w:tr>
      <w:tr>
        <w:tc>
          <w:tcPr>
            <w:tcW w:w="3000" w:type="dxa"/>
          </w:tcPr>
          <w:p>
            <w:pPr>
              <w:keepNext/>
              <w:spacing w:before="60" w:after="60"/>
            </w:pPr>
            <w:r>
              <w:rPr>
                <w:color w:val="333333"/>
                <w:sz w:val="20"/>
              </w:rPr>
              <w:t xml:space="preserve">Sanctions or escrow freeze</w:t>
            </w:r>
          </w:p>
        </w:tc>
        <w:tc>
          <w:tcPr>
            <w:tcW w:w="7000" w:type="dxa"/>
          </w:tcPr>
          <w:p>
            <w:pPr>
              <w:keepNext/>
              <w:spacing w:before="60" w:after="60"/>
            </w:pPr>
            <w:r>
              <w:rPr>
                <w:color w:val="333333"/>
                <w:sz w:val="20"/>
              </w:rPr>
              <w:t xml:space="preserve">Economic measures require PCC consensus-minus-one under Annex T. The JMC provides the factual basis but does not trigger economic consequences.</w:t>
            </w:r>
          </w:p>
        </w:tc>
      </w:tr>
      <w:tr>
        <w:tc>
          <w:tcPr>
            <w:tcW w:w="3000" w:type="dxa"/>
          </w:tcPr>
          <w:p>
            <w:pPr>
              <w:keepNext/>
              <w:spacing w:before="60" w:after="60"/>
            </w:pPr>
            <w:r>
              <w:rPr>
                <w:color w:val="333333"/>
                <w:sz w:val="20"/>
              </w:rPr>
              <w:t xml:space="preserve">Force majeure overrule</w:t>
            </w:r>
          </w:p>
        </w:tc>
        <w:tc>
          <w:tcPr>
            <w:tcW w:w="7000" w:type="dxa"/>
          </w:tcPr>
          <w:p>
            <w:pPr>
              <w:keepNext/>
              <w:spacing w:before="60" w:after="60"/>
            </w:pPr>
            <w:r>
              <w:rPr>
                <w:color w:val="333333"/>
                <w:sz w:val="20"/>
              </w:rPr>
              <w:t xml:space="preserve">A Party’s assertion of force majeure (MOU Article 8.6) goes to the PCC for determination. The JMC reports on the factual circumstances but does not judge the force majeure claim.</w:t>
            </w:r>
          </w:p>
        </w:tc>
      </w:tr>
      <w:tr>
        <w:tc>
          <w:tcPr>
            <w:tcW w:w="3000" w:type="dxa"/>
          </w:tcPr>
          <w:p>
            <w:pPr>
              <w:keepNext/>
              <w:spacing w:before="60" w:after="60"/>
            </w:pPr>
            <w:r>
              <w:rPr>
                <w:color w:val="333333"/>
                <w:sz w:val="20"/>
              </w:rPr>
              <w:t xml:space="preserve">Unilateral report blocking</w:t>
            </w:r>
          </w:p>
        </w:tc>
        <w:tc>
          <w:tcPr>
            <w:tcW w:w="7000" w:type="dxa"/>
          </w:tcPr>
          <w:p>
            <w:pPr>
              <w:keepNext/>
              <w:spacing w:before="60" w:after="60"/>
            </w:pPr>
            <w:r>
              <w:rPr>
                <w:color w:val="333333"/>
                <w:sz w:val="20"/>
              </w:rPr>
              <w:t xml:space="preserve">Neither Party blocks the JMC from transmitting any report to the PCC. Report transmission operates as an automatic procedural function.</w:t>
            </w:r>
          </w:p>
        </w:tc>
      </w:tr>
    </w:tbl>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JMC’s authority is deliberately circumscribed. It sees, measures, and reports — but it does not punish, enforce, or judge. This limitation protects both Parties: the United States knows that no technical body bypasses the PCC’s political judgment, and Iran knows that monitoring operates through transparent data rather than through unilateral accusation. The exclusion list is the architecture’s guarantee against monitoring overreach.</w:t>
      </w:r>
    </w:p>
    <w:p>
      <w:pPr>
        <w:pStyle w:val="Heading1"/>
      </w:pPr>
      <w:r>
        <w:t>Article 3 — Pakistan’s Enhanced Role</w:t>
      </w:r>
      <w:bookmarkStart w:name="_TocArt3" w:id="4"/>
      <w:bookmarkEnd w:id="4"/>
    </w:p>
    <w:p>
      <w:pPr>
        <w:spacing w:before="120" w:after="120"/>
      </w:pPr>
      <w:r>
        <w:rPr>
          <w:sz w:val="22"/>
        </w:rPr>
        <w:t xml:space="preserve">This Article specifies the enhanced authorities of Pakistan as Deputy Convenor, reflecting Iran’s request for a larger Pakistani role in the monitoring architecture. These authorities operate within the framework’s overall constraint that the PCC retains sole binding determination power.</w:t>
      </w:r>
    </w:p>
    <w:p>
      <w:pPr>
        <w:pStyle w:val="Heading2"/>
      </w:pPr>
      <w:r>
        <w:t>3.1 Tie-Breaking Authority</w:t>
      </w:r>
    </w:p>
    <w:p>
      <w:pPr>
        <w:spacing w:before="120" w:after="120"/>
      </w:pPr>
      <w:r>
        <w:rPr>
          <w:sz w:val="22"/>
        </w:rPr>
        <w:t xml:space="preserve">If the JMC’s non-binding factual assessment produces a 2-2 vote among the four voting members (United States, Iran, Oman, Pakistan), Pakistan’s vote decides the outcome. The tie-breaking procedure operates as follows:</w:t>
      </w:r>
    </w:p>
    <w:p>
      <w:pPr>
        <w:numPr>
          <w:ilvl w:val="0"/>
          <w:numId w:val="1"/>
        </w:numPr>
        <w:spacing w:before="80" w:after="80"/>
      </w:pPr>
      <w:r>
        <w:rPr>
          <w:sz w:val="22"/>
        </w:rPr>
        <w:t xml:space="preserve">The JMC conducts a first vote on the factual finding. Each voting member casts one vote: Affirm (the event constitutes non-compliance), Negative (the event does not constitute non-compliance), or Abstain.</w:t>
      </w:r>
    </w:p>
    <w:p>
      <w:pPr>
        <w:numPr>
          <w:ilvl w:val="0"/>
          <w:numId w:val="1"/>
        </w:numPr>
        <w:spacing w:before="80" w:after="80"/>
      </w:pPr>
      <w:r>
        <w:rPr>
          <w:sz w:val="22"/>
        </w:rPr>
        <w:t xml:space="preserve">If the vote results in a tie (2-2, or 1-1-2 with two abstentions), Pakistan announces the tie and casts the tie-breaking vote.</w:t>
      </w:r>
    </w:p>
    <w:p>
      <w:pPr>
        <w:numPr>
          <w:ilvl w:val="0"/>
          <w:numId w:val="1"/>
        </w:numPr>
        <w:spacing w:before="80" w:after="80"/>
      </w:pPr>
      <w:r>
        <w:rPr>
          <w:sz w:val="22"/>
        </w:rPr>
        <w:t xml:space="preserve">Pakistan’s tie-breaking vote is not automatic. Pakistan first attempts to broker a consensus position through a 24-hour shuttle consultation. If consensus fails, Pakistan casts the deciding vote.</w:t>
      </w:r>
    </w:p>
    <w:p>
      <w:pPr>
        <w:numPr>
          <w:ilvl w:val="0"/>
          <w:numId w:val="1"/>
        </w:numPr>
        <w:spacing w:before="80" w:after="80"/>
      </w:pPr>
      <w:r>
        <w:rPr>
          <w:sz w:val="22"/>
        </w:rPr>
        <w:t xml:space="preserve">Pakistan documents the rationale for its tie-breaking vote in a written addendum to the JMC report. This addendum transmits to both Parties and the PCC simultaneously.</w:t>
      </w:r>
    </w:p>
    <w:p>
      <w:pPr>
        <w:numPr>
          <w:ilvl w:val="0"/>
          <w:numId w:val="1"/>
        </w:numPr>
        <w:spacing w:before="80" w:after="80"/>
      </w:pPr>
      <w:r>
        <w:rPr>
          <w:sz w:val="22"/>
        </w:rPr>
        <w:t xml:space="preserve">Either Party appeals the tie-breaking outcome to the PCC within 14 days. The PCC reviews the raw telemetry, the JMC’s majority and minority positions, and Pakistan’s rationale. The PCC upholds Pakistan’s tie-breaker unless clear and convincing evidence demonstrates a material error in Pakistan’s factual assessment.</w:t>
      </w:r>
    </w:p>
    <w:p>
      <w:pPr>
        <w:pStyle w:val="Heading2"/>
      </w:pPr>
      <w:r>
        <w:t>3.2 Fact-Finding Mandate</w:t>
      </w:r>
    </w:p>
    <w:p>
      <w:pPr>
        <w:spacing w:before="120" w:after="120"/>
      </w:pPr>
      <w:r>
        <w:rPr>
          <w:sz w:val="22"/>
        </w:rPr>
        <w:t xml:space="preserve">Upon written request from either Party, Pakistan dispatches a small technical team to inspect a disputed site within 48 hours. The fact-finding procedure operates as follows:</w:t>
      </w:r>
    </w:p>
    <w:p>
      <w:pPr>
        <w:numPr>
          <w:ilvl w:val="0"/>
          <w:numId w:val="1"/>
        </w:numPr>
        <w:spacing w:before="80" w:after="80"/>
      </w:pPr>
      <w:r>
        <w:rPr>
          <w:sz w:val="22"/>
        </w:rPr>
        <w:t xml:space="preserve">Request submission: Either Party submits a written fact-finding request to Pakistan through the JMC portal. The request specifies: (a) the disputed site; (b) the factual question in dispute; (c) the requesting Party’s interpretation of existing sensor data; (d) any safety or access considerations.</w:t>
      </w:r>
    </w:p>
    <w:p>
      <w:pPr>
        <w:numPr>
          <w:ilvl w:val="0"/>
          <w:numId w:val="1"/>
        </w:numPr>
        <w:spacing w:before="80" w:after="80"/>
      </w:pPr>
      <w:r>
        <w:rPr>
          <w:sz w:val="22"/>
        </w:rPr>
        <w:t xml:space="preserve">Team composition: The team comprises no more than 4 persons: 2 Pakistani nuclear or maritime specialists, 1 IAEA observer (if the dispute concerns nuclear facilities), and 1 representative of the host Party. The requesting Party may nominate 1 observer to accompany the team.</w:t>
      </w:r>
    </w:p>
    <w:p>
      <w:pPr>
        <w:numPr>
          <w:ilvl w:val="0"/>
          <w:numId w:val="1"/>
        </w:numPr>
        <w:spacing w:before="80" w:after="80"/>
      </w:pPr>
      <w:r>
        <w:rPr>
          <w:sz w:val="22"/>
        </w:rPr>
        <w:t xml:space="preserve">Host consent: The team deploys only with the consent of the Party on whose territory the disputed site lies. Refusal of consent is not a finding of non-compliance, but the refusing Party bears the burden of explaining the refusal to the PCC. A pattern of consent refusals triggers a reputational cost in PCC proceedings.</w:t>
      </w:r>
    </w:p>
    <w:p>
      <w:pPr>
        <w:numPr>
          <w:ilvl w:val="0"/>
          <w:numId w:val="1"/>
        </w:numPr>
        <w:spacing w:before="80" w:after="80"/>
      </w:pPr>
      <w:r>
        <w:rPr>
          <w:sz w:val="22"/>
        </w:rPr>
        <w:t xml:space="preserve">Inspection protocol: The team conducts its inspection using IAEA-standard equipment and protocols. The team photographs, measures, and samples as appropriate. The host Party provides safe passage and facility access consistent with its sovereignty.</w:t>
      </w:r>
    </w:p>
    <w:p>
      <w:pPr>
        <w:numPr>
          <w:ilvl w:val="0"/>
          <w:numId w:val="1"/>
        </w:numPr>
        <w:spacing w:before="80" w:after="80"/>
      </w:pPr>
      <w:r>
        <w:rPr>
          <w:sz w:val="22"/>
        </w:rPr>
        <w:t xml:space="preserve">Report issuance: The team issues a written report within 72 hours of completing the inspection. The report transmits simultaneously to both Parties, the PCC, and the IAEA (for nuclear disputes). The report carries a presumption of correctness in any subsequent PCC or PCA proceeding. Rebuttal of the report requires clear and convincing evidence contradicting its factual findings.</w:t>
      </w:r>
    </w:p>
    <w:p>
      <w:pPr>
        <w:pStyle w:val="Heading2"/>
      </w:pPr>
      <w:r>
        <w:t>3.3 Back-Channel Mediation</w:t>
      </w:r>
    </w:p>
    <w:p>
      <w:pPr>
        <w:spacing w:before="120" w:after="120"/>
      </w:pPr>
      <w:r>
        <w:rPr>
          <w:sz w:val="22"/>
        </w:rPr>
        <w:t xml:space="preserve">Pakistan operates a dedicated secure communication line between the JMC and the PCC for real-time dispute de-escalation. This line operates independently of the Iran-U.S. bilateral channel and serves the following functions:</w:t>
      </w:r>
    </w:p>
    <w:p>
      <w:pPr>
        <w:numPr>
          <w:ilvl w:val="0"/>
          <w:numId w:val="1"/>
        </w:numPr>
        <w:spacing w:before="80" w:after="80"/>
      </w:pPr>
      <w:r>
        <w:rPr>
          <w:sz w:val="22"/>
        </w:rPr>
        <w:t xml:space="preserve">Real-time escalation: If the JMC detects an event that both Parties interpret differently, Pakistan activates the back-channel within 1 hour.</w:t>
      </w:r>
    </w:p>
    <w:p>
      <w:pPr>
        <w:numPr>
          <w:ilvl w:val="0"/>
          <w:numId w:val="1"/>
        </w:numPr>
        <w:spacing w:before="80" w:after="80"/>
      </w:pPr>
      <w:r>
        <w:rPr>
          <w:sz w:val="22"/>
        </w:rPr>
        <w:t xml:space="preserve">Shuttle communication: Pakistan relays each Party’s technical interpretation to the other without requiring a face-to-face session that might harden positions. This shuttle function operates continuously during cooling-off periods (Annex D, Article 3).</w:t>
      </w:r>
    </w:p>
    <w:p>
      <w:pPr>
        <w:numPr>
          <w:ilvl w:val="0"/>
          <w:numId w:val="1"/>
        </w:numPr>
        <w:spacing w:before="80" w:after="80"/>
      </w:pPr>
      <w:r>
        <w:rPr>
          <w:sz w:val="22"/>
        </w:rPr>
        <w:t xml:space="preserve">De-escalation proposals: Pakistan drafts and transmits de-escalation proposals based on the JMC’s raw data. These proposals are not binding; either Party rejects them without prejudice. However, a Party that rejects three consecutive de-escalation proposals without offering an alternative faces reputational cost in PCC proceedings.</w:t>
      </w:r>
    </w:p>
    <w:p>
      <w:pPr>
        <w:numPr>
          <w:ilvl w:val="0"/>
          <w:numId w:val="1"/>
        </w:numPr>
        <w:spacing w:before="80" w:after="80"/>
      </w:pPr>
      <w:r>
        <w:rPr>
          <w:sz w:val="22"/>
        </w:rPr>
        <w:t xml:space="preserve">Confidentiality: All back-channel communications remain confidential. Pakistan does not disclose the content of shuttle messages to any third party, including the Guarantor Matrix, without the consent of the originating Party.</w:t>
      </w:r>
    </w:p>
    <w:p>
      <w:pPr>
        <w:pStyle w:val="Heading2"/>
      </w:pPr>
      <w:r>
        <w:t>3.4 Alternative Convenor Authority</w:t>
      </w:r>
    </w:p>
    <w:p>
      <w:pPr>
        <w:spacing w:before="120" w:after="120"/>
      </w:pPr>
      <w:r>
        <w:rPr>
          <w:sz w:val="22"/>
        </w:rPr>
        <w:t xml:space="preserve">If both the U.S. and Iranian convenors are recused or cannot agree on an agenda within 72 hours of a session request, Pakistan convenes the JMC and sets the agenda unilaterally for the next 72 hours. This authority activates under the following conditions:</w:t>
      </w:r>
    </w:p>
    <w:p>
      <w:pPr>
        <w:numPr>
          <w:ilvl w:val="1"/>
          <w:numId w:val="2"/>
        </w:numPr>
        <w:spacing w:before="60" w:after="60"/>
      </w:pPr>
      <w:r>
        <w:rPr>
          <w:sz w:val="22"/>
        </w:rPr>
        <w:t xml:space="preserve">Both convenors submit recusal declarations (for example, due to national elections, leadership transitions, or conflicts of interest); or</w:t>
      </w:r>
    </w:p>
    <w:p>
      <w:pPr>
        <w:numPr>
          <w:ilvl w:val="1"/>
          <w:numId w:val="2"/>
        </w:numPr>
        <w:spacing w:before="60" w:after="60"/>
      </w:pPr>
      <w:r>
        <w:rPr>
          <w:sz w:val="22"/>
        </w:rPr>
        <w:t xml:space="preserve">The U.S. and Iranian convenors deadlock on the agenda for three consecutive proposals; or</w:t>
      </w:r>
    </w:p>
    <w:p>
      <w:pPr>
        <w:numPr>
          <w:ilvl w:val="1"/>
          <w:numId w:val="2"/>
        </w:numPr>
        <w:spacing w:before="60" w:after="60"/>
      </w:pPr>
      <w:r>
        <w:rPr>
          <w:sz w:val="22"/>
        </w:rPr>
        <w:t xml:space="preserve">An emergency session is required under Article 4 and neither convenor responds within 4 hours.</w:t>
      </w:r>
    </w:p>
    <w:p>
      <w:pPr>
        <w:spacing w:before="120" w:after="120"/>
      </w:pPr>
      <w:r>
        <w:rPr>
          <w:sz w:val="22"/>
        </w:rPr>
        <w:t xml:space="preserve">During alternative convenorship, Pakistan exercises all convenor authorities listed in Article 1.2, with the exception that Pakistan cannot submit the JMC’s final report to the PCC — that function passes to Oman as the senior remaining permanent member until a regular convenor resumes duties.</w:t>
      </w:r>
    </w:p>
    <w:p>
      <w:pPr>
        <w:pStyle w:val="Heading2"/>
      </w:pPr>
      <w:r>
        <w:t>3.5 Architectural Rationale</w:t>
      </w:r>
    </w:p>
    <w:p>
      <w:pPr>
        <w:spacing w:before="120" w:after="120"/>
      </w:pPr>
      <w:r>
        <w:rPr>
          <w:sz w:val="22"/>
        </w:rPr>
        <w:t xml:space="preserve">The enhanced Pakistan role operates within the following architectural constraints that protect both Parties’ core interests:</w:t>
      </w:r>
    </w:p>
    <w:p>
      <w:pPr>
        <w:numPr>
          <w:ilvl w:val="1"/>
          <w:numId w:val="2"/>
        </w:numPr>
        <w:spacing w:before="60" w:after="60"/>
      </w:pPr>
      <w:r>
        <w:rPr>
          <w:sz w:val="22"/>
        </w:rPr>
        <w:t xml:space="preserve">The United States retains its permanent seat and full voting rights. No PCC determination bypasses U.S. input.</w:t>
      </w:r>
    </w:p>
    <w:p>
      <w:pPr>
        <w:numPr>
          <w:ilvl w:val="1"/>
          <w:numId w:val="2"/>
        </w:numPr>
        <w:spacing w:before="60" w:after="60"/>
      </w:pPr>
      <w:r>
        <w:rPr>
          <w:sz w:val="22"/>
        </w:rPr>
        <w:t xml:space="preserve">All JMC findings remain advisory. Pakistan’s tie-breaker, fact-finding reports, and neutral assessments feed into the PCC’s decision-making but do not replace it.</w:t>
      </w:r>
    </w:p>
    <w:p>
      <w:pPr>
        <w:numPr>
          <w:ilvl w:val="1"/>
          <w:numId w:val="2"/>
        </w:numPr>
        <w:spacing w:before="60" w:after="60"/>
      </w:pPr>
      <w:r>
        <w:rPr>
          <w:sz w:val="22"/>
        </w:rPr>
        <w:t xml:space="preserve">The PCC’s consensus-minus-one rule (MOU Article 9.5) applies to all binding determinations. Neither Party faces a determination against its interest without the procedural protection of the PCC voting architecture.</w:t>
      </w:r>
    </w:p>
    <w:p>
      <w:pPr>
        <w:numPr>
          <w:ilvl w:val="1"/>
          <w:numId w:val="2"/>
        </w:numPr>
        <w:spacing w:before="60" w:after="60"/>
      </w:pPr>
      <w:r>
        <w:rPr>
          <w:sz w:val="22"/>
        </w:rPr>
        <w:t xml:space="preserve">The “neutral assessment” mechanism prevents either Party from blocking the JMC’s reporting function. If the JMC deadlocks, Pakistan’s assessment goes to the PCC automatically. Neither Party holds a veto over report transmission.</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Pakistan’s enhanced role addresses Iran’s request for a trusted procedural partner without creating a U.S. veto override. Pakistan is a nuclear state, a U.S. ally, and a Muslim-majority nation with a history of mediating U.S.-Iran disputes. These credentials give both Parties confidence: the United States trusts Pakistan’s technical competence and strategic alignment; Iran trusts Pakistan’s neutrality and cultural affinity. The architecture transforms a bilateral monitoring relationship into a trilateral partnership, with Pakistan as the hinge.</w:t>
      </w:r>
    </w:p>
    <w:p>
      <w:pPr>
        <w:pStyle w:val="Heading1"/>
      </w:pPr>
      <w:r>
        <w:t>Article 4 — Response Timelines</w:t>
      </w:r>
      <w:bookmarkStart w:name="_TocArt4" w:id="5"/>
      <w:bookmarkEnd w:id="5"/>
    </w:p>
    <w:p>
      <w:pPr>
        <w:spacing w:before="120" w:after="120"/>
      </w:pPr>
      <w:r>
        <w:rPr>
          <w:sz w:val="22"/>
        </w:rPr>
        <w:t xml:space="preserve">The JMC operates under the following strict response timelines. These timelines are automatic and require no convenor approval or Party consensus to activate.</w:t>
      </w:r>
    </w:p>
    <w:tbl>
      <w:tblPr>
        <w:tblW w:w="5000" w:type="pct"/>
        <w:tblBorders>
          <w:top w:val="single" w:color="333333" w:sz="8"/>
          <w:left w:val="nil"/>
          <w:bottom w:val="single" w:color="333333" w:sz="8"/>
          <w:right w:val="nil"/>
          <w:insideH w:val="single" w:color="999999" w:sz="4"/>
          <w:insideV w:val="nil"/>
        </w:tblBorders>
      </w:tblPr>
      <w:tblGrid>
        <w:gridCol w:w="3500"/>
        <w:gridCol w:w="6500"/>
      </w:tblGrid>
      <w:tr>
        <w:trPr>
          <w:tblHeader/>
        </w:trPr>
        <w:tc>
          <w:tcPr>
            <w:tcW w:w="3500" w:type="dxa"/>
            <w:shd w:val="clear" w:fill="f5f5f2"/>
            <w:vAlign w:val="center"/>
          </w:tcPr>
          <w:p>
            <w:pPr>
              <w:keepNext/>
              <w:spacing w:before="80" w:after="80"/>
            </w:pPr>
            <w:r>
              <w:rPr>
                <w:b/>
                <w:color w:val="333333"/>
                <w:sz w:val="20"/>
              </w:rPr>
              <w:t xml:space="preserve">Event</w:t>
            </w:r>
          </w:p>
        </w:tc>
        <w:tc>
          <w:tcPr>
            <w:tcW w:w="6500" w:type="dxa"/>
            <w:shd w:val="clear" w:fill="f5f5f2"/>
            <w:vAlign w:val="center"/>
          </w:tcPr>
          <w:p>
            <w:pPr>
              <w:keepNext/>
              <w:spacing w:before="80" w:after="80"/>
            </w:pPr>
            <w:r>
              <w:rPr>
                <w:b/>
                <w:color w:val="333333"/>
                <w:sz w:val="20"/>
              </w:rPr>
              <w:t xml:space="preserve">JMC Response Deadline</w:t>
            </w:r>
          </w:p>
        </w:tc>
      </w:tr>
      <w:tr>
        <w:tc>
          <w:tcPr>
            <w:tcW w:w="3500" w:type="dxa"/>
          </w:tcPr>
          <w:p>
            <w:pPr>
              <w:keepNext/>
              <w:spacing w:before="60" w:after="60"/>
            </w:pPr>
            <w:r>
              <w:rPr>
                <w:color w:val="333333"/>
                <w:sz w:val="20"/>
              </w:rPr>
              <w:t xml:space="preserve">Written complaint filed</w:t>
            </w:r>
          </w:p>
        </w:tc>
        <w:tc>
          <w:tcPr>
            <w:tcW w:w="6500" w:type="dxa"/>
          </w:tcPr>
          <w:p>
            <w:pPr>
              <w:keepNext/>
              <w:spacing w:before="60" w:after="60"/>
            </w:pPr>
            <w:r>
              <w:rPr>
                <w:color w:val="333333"/>
                <w:sz w:val="20"/>
              </w:rPr>
              <w:t xml:space="preserve">2 hours acknowledgment; preliminary assessment within 24 hours; final finding within 72 hours</w:t>
            </w:r>
          </w:p>
        </w:tc>
      </w:tr>
      <w:tr>
        <w:tc>
          <w:tcPr>
            <w:tcW w:w="3500" w:type="dxa"/>
          </w:tcPr>
          <w:p>
            <w:pPr>
              <w:keepNext/>
              <w:spacing w:before="60" w:after="60"/>
            </w:pPr>
            <w:r>
              <w:rPr>
                <w:color w:val="333333"/>
                <w:sz w:val="20"/>
              </w:rPr>
              <w:t xml:space="preserve">Sensor anomaly (auto-flagged)</w:t>
            </w:r>
          </w:p>
        </w:tc>
        <w:tc>
          <w:tcPr>
            <w:tcW w:w="6500" w:type="dxa"/>
          </w:tcPr>
          <w:p>
            <w:pPr>
              <w:keepNext/>
              <w:spacing w:before="60" w:after="60"/>
            </w:pPr>
            <w:r>
              <w:rPr>
                <w:color w:val="333333"/>
                <w:sz w:val="20"/>
              </w:rPr>
              <w:t xml:space="preserve">1 hour human review; if confirmed, PCC notification within 6 hours</w:t>
            </w:r>
          </w:p>
        </w:tc>
      </w:tr>
      <w:tr>
        <w:tc>
          <w:tcPr>
            <w:tcW w:w="3500" w:type="dxa"/>
          </w:tcPr>
          <w:p>
            <w:pPr>
              <w:keepNext/>
              <w:spacing w:before="60" w:after="60"/>
            </w:pPr>
            <w:r>
              <w:rPr>
                <w:color w:val="333333"/>
                <w:sz w:val="20"/>
              </w:rPr>
              <w:t xml:space="preserve">Pakistan fact-finding request</w:t>
            </w:r>
          </w:p>
        </w:tc>
        <w:tc>
          <w:tcPr>
            <w:tcW w:w="6500" w:type="dxa"/>
          </w:tcPr>
          <w:p>
            <w:pPr>
              <w:keepNext/>
              <w:spacing w:before="60" w:after="60"/>
            </w:pPr>
            <w:r>
              <w:rPr>
                <w:color w:val="333333"/>
                <w:sz w:val="20"/>
              </w:rPr>
              <w:t xml:space="preserve">48 hours to deploy from request (subject to host Party consent)</w:t>
            </w:r>
          </w:p>
        </w:tc>
      </w:tr>
      <w:tr>
        <w:tc>
          <w:tcPr>
            <w:tcW w:w="3500" w:type="dxa"/>
          </w:tcPr>
          <w:p>
            <w:pPr>
              <w:keepNext/>
              <w:spacing w:before="60" w:after="60"/>
            </w:pPr>
            <w:r>
              <w:rPr>
                <w:color w:val="333333"/>
                <w:sz w:val="20"/>
              </w:rPr>
              <w:t xml:space="preserve">Daily Compliance Bulletin</w:t>
            </w:r>
          </w:p>
        </w:tc>
        <w:tc>
          <w:tcPr>
            <w:tcW w:w="6500" w:type="dxa"/>
          </w:tcPr>
          <w:p>
            <w:pPr>
              <w:keepNext/>
              <w:spacing w:before="60" w:after="60"/>
            </w:pPr>
            <w:r>
              <w:rPr>
                <w:color w:val="333333"/>
                <w:sz w:val="20"/>
              </w:rPr>
              <w:t xml:space="preserve">Published daily at 06:00 UTC; 4-hour grace period only during system maintenance</w:t>
            </w:r>
          </w:p>
        </w:tc>
      </w:tr>
      <w:tr>
        <w:tc>
          <w:tcPr>
            <w:tcW w:w="3500" w:type="dxa"/>
          </w:tcPr>
          <w:p>
            <w:pPr>
              <w:keepNext/>
              <w:spacing w:before="60" w:after="60"/>
            </w:pPr>
            <w:r>
              <w:rPr>
                <w:color w:val="333333"/>
                <w:sz w:val="20"/>
              </w:rPr>
              <w:t xml:space="preserve">Emergency session request</w:t>
            </w:r>
          </w:p>
        </w:tc>
        <w:tc>
          <w:tcPr>
            <w:tcW w:w="6500" w:type="dxa"/>
          </w:tcPr>
          <w:p>
            <w:pPr>
              <w:keepNext/>
              <w:spacing w:before="60" w:after="60"/>
            </w:pPr>
            <w:r>
              <w:rPr>
                <w:color w:val="333333"/>
                <w:sz w:val="20"/>
              </w:rPr>
              <w:t xml:space="preserve">Convenes within 4 hours (24/7 duty roster); Pakistan chairs if convenor unavailable</w:t>
            </w:r>
          </w:p>
        </w:tc>
      </w:tr>
      <w:tr>
        <w:tc>
          <w:tcPr>
            <w:tcW w:w="3500" w:type="dxa"/>
          </w:tcPr>
          <w:p>
            <w:pPr>
              <w:keepNext/>
              <w:spacing w:before="60" w:after="60"/>
            </w:pPr>
            <w:r>
              <w:rPr>
                <w:color w:val="333333"/>
                <w:sz w:val="20"/>
              </w:rPr>
              <w:t xml:space="preserve">Confidential Incident Report</w:t>
            </w:r>
          </w:p>
        </w:tc>
        <w:tc>
          <w:tcPr>
            <w:tcW w:w="6500" w:type="dxa"/>
          </w:tcPr>
          <w:p>
            <w:pPr>
              <w:keepNext/>
              <w:spacing w:before="60" w:after="60"/>
            </w:pPr>
            <w:r>
              <w:rPr>
                <w:color w:val="333333"/>
                <w:sz w:val="20"/>
              </w:rPr>
              <w:t xml:space="preserve">Transmits within 6 hours of incident confirmation</w:t>
            </w:r>
          </w:p>
        </w:tc>
      </w:tr>
      <w:tr>
        <w:tc>
          <w:tcPr>
            <w:tcW w:w="3500" w:type="dxa"/>
          </w:tcPr>
          <w:p>
            <w:pPr>
              <w:keepNext/>
              <w:spacing w:before="60" w:after="60"/>
            </w:pPr>
            <w:r>
              <w:rPr>
                <w:color w:val="333333"/>
                <w:sz w:val="20"/>
              </w:rPr>
              <w:t xml:space="preserve">Monthly summary to Guarantor Matrix</w:t>
            </w:r>
          </w:p>
        </w:tc>
        <w:tc>
          <w:tcPr>
            <w:tcW w:w="6500" w:type="dxa"/>
          </w:tcPr>
          <w:p>
            <w:pPr>
              <w:keepNext/>
              <w:spacing w:before="60" w:after="60"/>
            </w:pPr>
            <w:r>
              <w:rPr>
                <w:color w:val="333333"/>
                <w:sz w:val="20"/>
              </w:rPr>
              <w:t xml:space="preserve">Transmits by the 5th day of the following month</w:t>
            </w:r>
          </w:p>
        </w:tc>
      </w:tr>
      <w:tr>
        <w:tc>
          <w:tcPr>
            <w:tcW w:w="3500" w:type="dxa"/>
          </w:tcPr>
          <w:p>
            <w:pPr>
              <w:keepNext/>
              <w:spacing w:before="60" w:after="60"/>
            </w:pPr>
            <w:r>
              <w:rPr>
                <w:color w:val="333333"/>
                <w:sz w:val="20"/>
              </w:rPr>
              <w:t xml:space="preserve">Technical basis for step-back</w:t>
            </w:r>
          </w:p>
        </w:tc>
        <w:tc>
          <w:tcPr>
            <w:tcW w:w="6500" w:type="dxa"/>
          </w:tcPr>
          <w:p>
            <w:pPr>
              <w:keepNext/>
              <w:spacing w:before="60" w:after="60"/>
            </w:pPr>
            <w:r>
              <w:rPr>
                <w:color w:val="333333"/>
                <w:sz w:val="20"/>
              </w:rPr>
              <w:t xml:space="preserve">Delivers to PCC at least 48 hours before any Tier 2 or Tier 3 vote</w:t>
            </w:r>
          </w:p>
        </w:tc>
      </w:tr>
    </w:tbl>
    <w:p>
      <w:pPr>
        <w:spacing w:before="120" w:after="120"/>
      </w:pPr>
      <w:r>
        <w:rPr>
          <w:sz w:val="22"/>
        </w:rPr>
        <w:t xml:space="preserve">Timeline extensions occur only under the following conditions: (a) force majeure affecting JMC operations; (b) host Party consent delay for fact-finding missions; (c) IAEA data transmission failures outside JMC control. In all extension cases, the JMC notifies both Parties and the PCC within 2 hours of determining that an extension is necessary, with a revised completion estimate.</w:t>
      </w:r>
    </w:p>
    <w:p>
      <w:pPr>
        <w:pStyle w:val="Heading1"/>
      </w:pPr>
      <w:r>
        <w:t>Article 5 — Reporting Chain</w:t>
      </w:r>
      <w:bookmarkStart w:name="_TocArt5" w:id="6"/>
      <w:bookmarkEnd w:id="6"/>
    </w:p>
    <w:p>
      <w:pPr>
        <w:spacing w:before="120" w:after="120"/>
      </w:pPr>
      <w:r>
        <w:rPr>
          <w:sz w:val="22"/>
        </w:rPr>
        <w:t xml:space="preserve">The JMC reporting chain operates as a continuous data flow from sensors through the JMC to the PCC. The architecture ensures that no PCC determination occurs without a JMC technical foundation, with one explicit exception for imminent kinetic threats.</w:t>
      </w:r>
    </w:p>
    <w:p>
      <w:pPr>
        <w:spacing w:before="120" w:after="120"/>
      </w:pPr>
      <w:r>
        <w:rPr>
          <w:sz w:val="22"/>
        </w:rPr>
        <w:t xml:space="preserve">Sensors (Annex U, W, O) feed data continuously into the JMC fusion platform. The JMC monitors these feeds 24/7. If no anomaly or complaint is detected, the JMC publishes the Daily Compliance Bulletin at 06:00 UTC and the cycle continues.</w:t>
      </w:r>
    </w:p>
    <w:p>
      <w:pPr>
        <w:spacing w:before="120" w:after="120"/>
      </w:pPr>
      <w:r>
        <w:rPr>
          <w:sz w:val="22"/>
        </w:rPr>
        <w:t xml:space="preserve">If an anomaly or complaint is detected, the JMC issues a technical finding (advisory, non-binding) and transmits it to the PCC. Either Party then requests a binding determination, or no request is made within 14 days and the finding archives without Tier classification. If a Party requests determination, the PCC issues a Tier classification (Tier 1-3) per Annex T.</w:t>
      </w:r>
    </w:p>
    <w:p>
      <w:pPr>
        <w:spacing w:before="120" w:after="120"/>
      </w:pPr>
      <w:r>
        <w:rPr>
          <w:sz w:val="22"/>
        </w:rPr>
        <w:t xml:space="preserve">Kinetic threat override: In the event of an imminent kinetic threat — defined as armed engagement or clear preparation for armed engagement against MOU-protected assets or personnel — the Escalation Buffer (Annex R.a) overrides the standard reporting chain. The Escalation Buffer allows immediate protective response without awaiting JMC technical review. In all such cases, the JMC files a retroactive technical report within 12 hours of the override event, documenting: (a) the sensor data that triggered the kinetic response; (b) the timeline of JMC awareness; (c) an assessment of whether the override met the Annex R.a threshold standard.</w:t>
      </w:r>
    </w:p>
    <w:p>
      <w:pPr>
        <w:spacing w:before="120" w:after="120"/>
      </w:pPr>
      <w:r>
        <w:rPr>
          <w:sz w:val="22"/>
        </w:rPr>
        <w:t xml:space="preserve">Automatic transmission guarantee: Neither Party blocks, delays, or redacts any JMC report. Report transmission operates as an automatic technical function of the JMC’s communication system. Any attempt by either Party to interfere with report transmission constitutes a Tier 2 trigger under Annex T.</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reporting chain is the nervous system of the MOU. Sensors are the senses; the JMC is the spinal cord; the PCC is the brain. Information flows upward automatically. The only override is the reflex arc of the Escalation Buffer — an automatic protective response that bypasses deliberation when speed matters more than process. Even then, the JMC reconstructs the record within 12 hours, ensuring accountability.</w:t>
      </w:r>
    </w:p>
    <w:p>
      <w:pPr>
        <w:pStyle w:val="Heading1"/>
      </w:pPr>
      <w:r>
        <w:t>Article 6 — Location and Logistics</w:t>
      </w:r>
      <w:bookmarkStart w:name="_TocArt6" w:id="7"/>
      <w:bookmarkEnd w:id="7"/>
    </w:p>
    <w:p>
      <w:pPr>
        <w:pStyle w:val="Heading3"/>
      </w:pPr>
      <w:r>
        <w:t>6.1 Seat</w:t>
      </w:r>
    </w:p>
    <w:p>
      <w:pPr>
        <w:spacing w:before="120" w:after="120"/>
      </w:pPr>
      <w:r>
        <w:rPr>
          <w:sz w:val="22"/>
        </w:rPr>
        <w:t xml:space="preserve">The JMC maintains its permanent seat in Muscat, Sultanate of Oman, co-located with the Maritime Stability Board (MSB) and the Joint Secretariat. This co-location ensures operational synergy: the MSB provides maritime traffic data; the Joint Secretariat maintains the contact registry and document archive; the JMC fuses all feeds into a unified monitoring picture.</w:t>
      </w:r>
    </w:p>
    <w:p>
      <w:pPr>
        <w:pStyle w:val="Heading3"/>
      </w:pPr>
      <w:r>
        <w:t>6.2 Staffing</w:t>
      </w:r>
    </w:p>
    <w:p>
      <w:pPr>
        <w:spacing w:before="120" w:after="120"/>
      </w:pPr>
      <w:r>
        <w:rPr>
          <w:sz w:val="22"/>
        </w:rPr>
        <w:t xml:space="preserve">Each Party provides up to 3 liaison officers for continuous duty at the JMC facility. Pakistan provides 2 officers. Oman provides administrative support staff (reception, IT, translation, logistics). The IAEA maintains 1 permanent liaison officer. The total JMC staff does not exceed 20 persons at any time.</w:t>
      </w:r>
    </w:p>
    <w:p>
      <w:pPr>
        <w:spacing w:before="120" w:after="120"/>
      </w:pPr>
      <w:r>
        <w:rPr>
          <w:sz w:val="22"/>
        </w:rPr>
        <w:t xml:space="preserve">Liaison officers possess the following qualifications: (a) security clearance at the Top Secret level or equivalent; (b) technical expertise in nuclear safeguards, maritime surveillance, or territorial monitoring; (c) fluency in English; (d) authorization to receive and transmit classified communications to their respective capitals.</w:t>
      </w:r>
    </w:p>
    <w:p>
      <w:pPr>
        <w:pStyle w:val="Heading3"/>
      </w:pPr>
      <w:r>
        <w:t>6.3 Language</w:t>
      </w:r>
    </w:p>
    <w:p>
      <w:pPr>
        <w:spacing w:before="120" w:after="120"/>
      </w:pPr>
      <w:r>
        <w:rPr>
          <w:sz w:val="22"/>
        </w:rPr>
        <w:t xml:space="preserve">English serves as the sole official language for all JMC reports, bulletins, and communications. Farsi and Arabic interpreters are available upon 12 hours’ notice for live sessions. All official records are maintained in English; translations are provided for convenience but carry no independent legal weight.</w:t>
      </w:r>
    </w:p>
    <w:p>
      <w:pPr>
        <w:pStyle w:val="Heading3"/>
      </w:pPr>
      <w:r>
        <w:t>6.4 Funding</w:t>
      </w:r>
    </w:p>
    <w:p>
      <w:pPr>
        <w:spacing w:before="120" w:after="120"/>
      </w:pPr>
      <w:r>
        <w:rPr>
          <w:sz w:val="22"/>
        </w:rPr>
        <w:t xml:space="preserve">The JMC’s operating budget draws from the MOU’s administrative fund (MOU Article 8.11). The administrative fund operates as a joint contribution mechanism: each Party deposits its share quarterly into a jointly administered account held by the Joint Secretariat. The JMC budget is not subject to unilateral appropriation hold, suspension, or delay by either Party. The Joint Secretariat manages disbursements against an annual budget approved by the PCC.</w:t>
      </w:r>
    </w:p>
    <w:p>
      <w:pPr>
        <w:pStyle w:val="Heading3"/>
      </w:pPr>
      <w:r>
        <w:t>6.5 Facilities and Security</w:t>
      </w:r>
    </w:p>
    <w:p>
      <w:pPr>
        <w:spacing w:before="120" w:after="120"/>
      </w:pPr>
      <w:r>
        <w:rPr>
          <w:sz w:val="22"/>
        </w:rPr>
        <w:t xml:space="preserve">Oman provides the JMC facility, which includes: (a) a 24/7 operations center with redundant data feeds and backup power; (b) secure meeting rooms for classified discussions; (c) secure housing for liaison officers; (d) encrypted communication links to all Parties, the IAEA, and the PCC; (e) a dedicated server room hosting the Shared Digital Registry’s real-time replication node.</w:t>
      </w:r>
    </w:p>
    <w:p>
      <w:pPr>
        <w:spacing w:before="120" w:after="120"/>
      </w:pPr>
      <w:r>
        <w:rPr>
          <w:sz w:val="22"/>
        </w:rPr>
        <w:t xml:space="preserve">The facility operates under Omani sovereignty with diplomatic immunity for all JMC personnel. Omani security forces provide perimeter protection. Internal security is managed by a jointly vetted security detail reporting to the Convenor.</w:t>
      </w:r>
    </w:p>
    <w:p>
      <w:pPr>
        <w:pStyle w:val="Heading1"/>
      </w:pPr>
      <w:r>
        <w:t>Article 7 — Relationship to Other Bodies</w:t>
      </w:r>
      <w:bookmarkStart w:name="_TocArt7" w:id="8"/>
      <w:bookmarkEnd w:id="8"/>
    </w:p>
    <w:p>
      <w:pPr>
        <w:spacing w:before="120" w:after="120"/>
      </w:pPr>
      <w:r>
        <w:rPr>
          <w:sz w:val="22"/>
        </w:rPr>
        <w:t xml:space="preserve">The table below specifies the operative relationship between the JMC and each relevant body in the MOU architecture.</w:t>
      </w:r>
    </w:p>
    <w:tbl>
      <w:tblPr>
        <w:tblW w:w="5000" w:type="pct"/>
        <w:tblBorders>
          <w:top w:val="single" w:color="333333" w:sz="8"/>
          <w:left w:val="nil"/>
          <w:bottom w:val="single" w:color="333333" w:sz="8"/>
          <w:right w:val="nil"/>
          <w:insideH w:val="single" w:color="999999" w:sz="4"/>
          <w:insideV w:val="nil"/>
        </w:tblBorders>
      </w:tblPr>
      <w:tblGrid>
        <w:gridCol w:w="2200"/>
        <w:gridCol w:w="7800"/>
      </w:tblGrid>
      <w:tr>
        <w:trPr>
          <w:tblHeader/>
        </w:trPr>
        <w:tc>
          <w:tcPr>
            <w:tcW w:w="2200" w:type="dxa"/>
            <w:shd w:val="clear" w:fill="f5f5f2"/>
            <w:vAlign w:val="center"/>
          </w:tcPr>
          <w:p>
            <w:pPr>
              <w:keepNext/>
              <w:spacing w:before="80" w:after="80"/>
            </w:pPr>
            <w:r>
              <w:rPr>
                <w:b/>
                <w:color w:val="333333"/>
                <w:sz w:val="20"/>
              </w:rPr>
              <w:t xml:space="preserve">Body</w:t>
            </w:r>
          </w:p>
        </w:tc>
        <w:tc>
          <w:tcPr>
            <w:tcW w:w="7800" w:type="dxa"/>
            <w:shd w:val="clear" w:fill="f5f5f2"/>
            <w:vAlign w:val="center"/>
          </w:tcPr>
          <w:p>
            <w:pPr>
              <w:keepNext/>
              <w:spacing w:before="80" w:after="80"/>
            </w:pPr>
            <w:r>
              <w:rPr>
                <w:b/>
                <w:color w:val="333333"/>
                <w:sz w:val="20"/>
              </w:rPr>
              <w:t xml:space="preserve">Relationship</w:t>
            </w:r>
          </w:p>
        </w:tc>
      </w:tr>
      <w:tr>
        <w:tc>
          <w:tcPr>
            <w:tcW w:w="2200" w:type="dxa"/>
          </w:tcPr>
          <w:p>
            <w:pPr>
              <w:keepNext/>
              <w:spacing w:before="60" w:after="60"/>
            </w:pPr>
            <w:r>
              <w:rPr>
                <w:color w:val="333333"/>
                <w:sz w:val="20"/>
              </w:rPr>
              <w:t xml:space="preserve">PCC (Geneva)</w:t>
            </w:r>
          </w:p>
        </w:tc>
        <w:tc>
          <w:tcPr>
            <w:tcW w:w="7800" w:type="dxa"/>
          </w:tcPr>
          <w:p>
            <w:pPr>
              <w:keepNext/>
              <w:spacing w:before="60" w:after="60"/>
            </w:pPr>
            <w:r>
              <w:rPr>
                <w:color w:val="333333"/>
                <w:sz w:val="20"/>
              </w:rPr>
              <w:t xml:space="preserve">The JMC functions as the PCC’s technical arm. The PCC overrules a JMC factual finding only if two-thirds of PCC members (excluding the Parties) find the finding clearly erroneous. The PCC issues no binding determination without a JMC technical report, except under the Annex R.a kinetic threat override.</w:t>
            </w:r>
          </w:p>
        </w:tc>
      </w:tr>
      <w:tr>
        <w:tc>
          <w:tcPr>
            <w:tcW w:w="2200" w:type="dxa"/>
          </w:tcPr>
          <w:p>
            <w:pPr>
              <w:keepNext/>
              <w:spacing w:before="60" w:after="60"/>
            </w:pPr>
            <w:r>
              <w:rPr>
                <w:color w:val="333333"/>
                <w:sz w:val="20"/>
              </w:rPr>
              <w:t xml:space="preserve">MSB (Muscat)</w:t>
            </w:r>
          </w:p>
        </w:tc>
        <w:tc>
          <w:tcPr>
            <w:tcW w:w="7800" w:type="dxa"/>
          </w:tcPr>
          <w:p>
            <w:pPr>
              <w:keepNext/>
              <w:spacing w:before="60" w:after="60"/>
            </w:pPr>
            <w:r>
              <w:rPr>
                <w:color w:val="333333"/>
                <w:sz w:val="20"/>
              </w:rPr>
              <w:t xml:space="preserve">The MSB focuses on maritime traffic coordination. The JMC monitors MSB data feeds and integrates maritime sensor data with nuclear and territorial feeds. The MSB chair attends JMC maritime sessions as an observer.</w:t>
            </w:r>
          </w:p>
        </w:tc>
      </w:tr>
      <w:tr>
        <w:tc>
          <w:tcPr>
            <w:tcW w:w="2200" w:type="dxa"/>
          </w:tcPr>
          <w:p>
            <w:pPr>
              <w:keepNext/>
              <w:spacing w:before="60" w:after="60"/>
            </w:pPr>
            <w:r>
              <w:rPr>
                <w:color w:val="333333"/>
                <w:sz w:val="20"/>
              </w:rPr>
              <w:t xml:space="preserve">Shared Digital Registry (Annex U)</w:t>
            </w:r>
          </w:p>
        </w:tc>
        <w:tc>
          <w:tcPr>
            <w:tcW w:w="7800" w:type="dxa"/>
          </w:tcPr>
          <w:p>
            <w:pPr>
              <w:keepNext/>
              <w:spacing w:before="60" w:after="60"/>
            </w:pPr>
            <w:r>
              <w:rPr>
                <w:color w:val="333333"/>
                <w:sz w:val="20"/>
              </w:rPr>
              <w:t xml:space="preserve">The JMC maintains the Registry and holds sole write access (except for automated sensor writes). Both Parties possess read access. The IAEA possesses read-write access for its verification data.</w:t>
            </w:r>
          </w:p>
        </w:tc>
      </w:tr>
      <w:tr>
        <w:tc>
          <w:tcPr>
            <w:tcW w:w="2200" w:type="dxa"/>
          </w:tcPr>
          <w:p>
            <w:pPr>
              <w:keepNext/>
              <w:spacing w:before="60" w:after="60"/>
            </w:pPr>
            <w:r>
              <w:rPr>
                <w:color w:val="333333"/>
                <w:sz w:val="20"/>
              </w:rPr>
              <w:t xml:space="preserve">Guarantor Matrix</w:t>
            </w:r>
          </w:p>
        </w:tc>
        <w:tc>
          <w:tcPr>
            <w:tcW w:w="7800" w:type="dxa"/>
          </w:tcPr>
          <w:p>
            <w:pPr>
              <w:keepNext/>
              <w:spacing w:before="60" w:after="60"/>
            </w:pPr>
            <w:r>
              <w:rPr>
                <w:color w:val="333333"/>
                <w:sz w:val="20"/>
              </w:rPr>
              <w:t xml:space="preserve">The JMC transmits its monthly summary report to the Guarantor Matrix for informational purposes. The Matrix does not direct JMC operations or override JMC findings.</w:t>
            </w:r>
          </w:p>
        </w:tc>
      </w:tr>
      <w:tr>
        <w:tc>
          <w:tcPr>
            <w:tcW w:w="2200" w:type="dxa"/>
          </w:tcPr>
          <w:p>
            <w:pPr>
              <w:keepNext/>
              <w:spacing w:before="60" w:after="60"/>
            </w:pPr>
            <w:r>
              <w:rPr>
                <w:color w:val="333333"/>
                <w:sz w:val="20"/>
              </w:rPr>
              <w:t xml:space="preserve">IAEA (Vienna)</w:t>
            </w:r>
          </w:p>
        </w:tc>
        <w:tc>
          <w:tcPr>
            <w:tcW w:w="7800" w:type="dxa"/>
          </w:tcPr>
          <w:p>
            <w:pPr>
              <w:keepNext/>
              <w:spacing w:before="60" w:after="60"/>
            </w:pPr>
            <w:r>
              <w:rPr>
                <w:color w:val="333333"/>
                <w:sz w:val="20"/>
              </w:rPr>
              <w:t xml:space="preserve">The IAEA maintains a permanent liaison at the JMC and provides the primary nuclear verification data feed. The IAEA does not vote in JMC proceedings but its technical interpretation carries significant persuasive weight.</w:t>
            </w:r>
          </w:p>
        </w:tc>
      </w:tr>
      <w:tr>
        <w:tc>
          <w:tcPr>
            <w:tcW w:w="2200" w:type="dxa"/>
          </w:tcPr>
          <w:p>
            <w:pPr>
              <w:keepNext/>
              <w:spacing w:before="60" w:after="60"/>
            </w:pPr>
            <w:r>
              <w:rPr>
                <w:color w:val="333333"/>
                <w:sz w:val="20"/>
              </w:rPr>
              <w:t xml:space="preserve">PCA (The Hague)</w:t>
            </w:r>
          </w:p>
        </w:tc>
        <w:tc>
          <w:tcPr>
            <w:tcW w:w="7800" w:type="dxa"/>
          </w:tcPr>
          <w:p>
            <w:pPr>
              <w:keepNext/>
              <w:spacing w:before="60" w:after="60"/>
            </w:pPr>
            <w:r>
              <w:rPr>
                <w:color w:val="333333"/>
                <w:sz w:val="20"/>
              </w:rPr>
              <w:t xml:space="preserve">If a dispute proceeds to binding arbitration under Annex O or Annex D, the JMC provides the complete technical record to the tribunal. The tribunal treats JMC findings as presumptive evidence.</w:t>
            </w:r>
          </w:p>
        </w:tc>
      </w:tr>
    </w:tbl>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JMC sits at the center of a web of institutional relationships. It is not a standalone body; it is a node in a network. The PCC gives it political direction; the MSB feeds it maritime data; the Registry stores its outputs; the Guarantor Matrix receives its summaries; the IAEA provides its nuclear expertise; the PCA relies on its records. Every relationship is bidirectional and reciprocal. No body dominates the JMC, and the JMC dominates no body.</w:t>
      </w:r>
    </w:p>
    <w:p>
      <w:pPr>
        <w:pStyle w:val="Heading1"/>
      </w:pPr>
      <w:r>
        <w:t>Article 8 — Dispute Resolution Within the JMC</w:t>
      </w:r>
      <w:bookmarkStart w:name="_TocArt8" w:id="9"/>
      <w:bookmarkEnd w:id="9"/>
    </w:p>
    <w:p>
      <w:pPr>
        <w:spacing w:before="120" w:after="120"/>
      </w:pPr>
      <w:r>
        <w:rPr>
          <w:sz w:val="22"/>
        </w:rPr>
        <w:t xml:space="preserve">If the JMC members cannot agree on a technical finding, the following escalation procedure activates automatically:</w:t>
      </w:r>
    </w:p>
    <w:p>
      <w:pPr>
        <w:spacing w:before="120" w:after="120"/>
      </w:pPr>
      <w:r>
        <w:rPr>
          <w:sz w:val="22"/>
        </w:rPr>
        <w:t xml:space="preserve">Step 1 — Pakistan neutral assessment: Pakistan, as Deputy Convenor, drafts a “neutral technical assessment” based exclusively on the raw telemetry data. Pakistan excludes political considerations, Party submissions, and interpretive arguments from this assessment. The assessment addresses only: (a) what the sensors measured; (b) whether the measurements cross pre-defined thresholds; (c) whether the measurements exhibit patterns consistent with compliance or non-compliance based on historical baselines.</w:t>
      </w:r>
    </w:p>
    <w:p>
      <w:pPr>
        <w:spacing w:before="120" w:after="120"/>
      </w:pPr>
      <w:r>
        <w:rPr>
          <w:sz w:val="22"/>
        </w:rPr>
        <w:t xml:space="preserve">Step 2 — Transmission to PCC: Pakistan transmits the neutral assessment to the PCC within 24 hours of the JMC deadlock. The transmission includes: (a) the neutral assessment itself; (b) the raw data underlying the assessment; (c) a summary of each Party’s position; (d) Pakistan’s rationale for the assessment’s factual conclusions. Both Parties receive the transmission simultaneously.</w:t>
      </w:r>
    </w:p>
    <w:p>
      <w:pPr>
        <w:spacing w:before="120" w:after="120"/>
      </w:pPr>
      <w:r>
        <w:rPr>
          <w:sz w:val="22"/>
        </w:rPr>
        <w:t xml:space="preserve">Step 3 — PCC adoption or return: The PCC adopts the neutral assessment by simple majority (consensus-minus-one) within 14 days of receipt. Alternatively, the PCC returns the matter to the JMC for a 72-hour re-examination with specific questions or additional data requests. The PCC specifies the scope of re-examination and identifies any factual questions that require clarification.</w:t>
      </w:r>
    </w:p>
    <w:p>
      <w:pPr>
        <w:spacing w:before="120" w:after="120"/>
      </w:pPr>
      <w:r>
        <w:rPr>
          <w:sz w:val="22"/>
        </w:rPr>
        <w:t xml:space="preserve">Step 4 — Final determination: If the JMC remains deadlocked after re-examination, the PCC issues its own determination based solely on: (a) the raw telemetry data; (b) the Pakistan neutral assessment; (c) the IAEA’s technical interpretation (for nuclear matters); (d) the written positions of both Parties. The PCC’s determination is binding and not subject to further JMC review.</w:t>
      </w:r>
    </w:p>
    <w:p>
      <w:pPr>
        <w:spacing w:before="120" w:after="120"/>
      </w:pPr>
      <w:r>
        <w:rPr>
          <w:sz w:val="22"/>
        </w:rPr>
        <w:t xml:space="preserve">Automatic transmission protection: Neither Party blocks the JMC from transmitting any report, assessment, or finding to the PCC. This principle operates as an absolute architectural feature of the framework. Any Party that attempts to block transmission faces the following consequences: (a) the block attempt itself constitutes a Tier 2 trigger; (b) Pakistan transmits the report directly to the PCC through the back-channel mediation line, bypassing the blocking Party; (c) the PCC receives a contemporaneous note from Pakistan documenting the block attempt and the bypass procedure.</w:t>
      </w:r>
    </w:p>
    <w:p>
      <w:pPr>
        <w:pStyle w:val="Heading2"/>
      </w:pPr>
      <w:r>
        <w:t>8.1 Good-Faith Participation</w:t>
      </w:r>
    </w:p>
    <w:p>
      <w:pPr>
        <w:spacing w:before="120" w:after="120"/>
      </w:pPr>
      <w:r>
        <w:rPr>
          <w:sz w:val="22"/>
        </w:rPr>
        <w:t xml:space="preserve">All JMC members participate in proceedings in good faith. Good faith in the JMC context means: (a) engaging substantively with technical data rather than rejecting findings for political reasons; (b) responding to information requests within specified timelines; (c) not raising factual objections that contradict the Party’s own technical experts’ prior assessments; (d) not systematically abstaining from votes to prevent quorum.</w:t>
      </w:r>
    </w:p>
    <w:p>
      <w:pPr>
        <w:spacing w:before="120" w:after="120"/>
      </w:pPr>
      <w:r>
        <w:rPr>
          <w:sz w:val="22"/>
        </w:rPr>
        <w:t xml:space="preserve">A pattern of bad-faith participation — defined as three or more documented instances within a 180-day period — triggers the following procedural consequences: (a) Pakistan notes the pattern in the JMC’s monthly report; (b) the PCC reviews the pattern at its next session and issues a formal caution; (c) if the pattern continues after the caution, the PCC refers the matter to binding arbitration under Annex O for a bad-faith determination with potential Tier 2 step-back implications.</w:t>
      </w:r>
    </w:p>
    <w:p>
      <w:pPr>
        <w:pStyle w:val="Heading2"/>
      </w:pPr>
      <w:r>
        <w:t>8.2 Recusal</w:t>
      </w:r>
    </w:p>
    <w:p>
      <w:pPr>
        <w:spacing w:before="120" w:after="120"/>
      </w:pPr>
      <w:r>
        <w:rPr>
          <w:sz w:val="22"/>
        </w:rPr>
        <w:t xml:space="preserve">Any JMC member recuses itself from a specific proceeding if: (a) the member’s national government is a direct party to the dispute under consideration; (b) the member has a personal or financial conflict of interest in the outcome; (c) the other voting members unanimously request recusal based on demonstrated bias. Recusal is not an admission of wrongdoing; it is a standard procedural practice that preserves the integrity of the JMC’s findings.</w:t>
      </w:r>
    </w:p>
    <w:p>
      <w:pPr>
        <w:spacing w:before="120" w:after="120"/>
      </w:pPr>
      <w:r>
        <w:rPr>
          <w:sz w:val="22"/>
        </w:rPr>
        <w:t xml:space="preserve">If the U.S. or Iranian convenor recuses itself, Pakistan chairs automatically. If both convenors recuse themselves simultaneously, the alternative convenor authority of Article 3.4 activates. If Pakistan recuses itself, Oman serves as acting Deputy Convenor for that proceeding only.</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dispute resolution mechanism inside the JMC is designed to prevent the Cell itself from becoming a battleground. When JMC members disagree — as they inevitably will — Pakistan steps in not as a judge but as a data-driven referee. The neutral assessment forces the dispute back onto the hard ground of sensor readings and threshold crossings, away from the soft terrain of political argument. The PCC retains the final word, but that final word is informed by a structured, transparent, and time-bound process.</w:t>
      </w:r>
    </w:p>
    <w:p>
      <w:pPr>
        <w:pStyle w:val="Heading1"/>
      </w:pPr>
      <w:r>
        <w:t>Article 9 — Incorporation by Reference</w:t>
      </w:r>
      <w:bookmarkStart w:name="_TocArt9" w:id="10"/>
      <w:bookmarkEnd w:id="10"/>
    </w:p>
    <w:p>
      <w:pPr>
        <w:spacing w:before="120" w:after="120"/>
      </w:pPr>
      <w:r>
        <w:rPr>
          <w:sz w:val="22"/>
        </w:rPr>
        <w:t xml:space="preserve">This Annex is incorporable into any existing or future agreement through the following adoption sentence:</w:t>
      </w:r>
    </w:p>
    <w:p>
      <w:pPr>
        <w:pBdr>
          <w:top w:val="single" w:color="999999" w:sz="4"/>
          <w:left w:val="single" w:color="999999" w:sz="4"/>
          <w:bottom w:val="single" w:color="999999" w:sz="4"/>
          <w:right w:val="single" w:color="999999" w:sz="4"/>
        </w:pBdr>
        <w:shd w:val="clear" w:fill="fafaf8"/>
        <w:spacing w:before="200" w:after="200"/>
        <w:ind w:left="200" w:right="200"/>
      </w:pPr>
      <w:r>
        <w:rPr>
          <w:i/>
          <w:color w:val="555555"/>
          <w:sz w:val="20"/>
        </w:rPr>
        <w:t>“The Parties adopt Annex Mo (Joint Monitoring Cell Charter) as an operative provision of this Agreement. The JMC functions as the sole technical monitoring body of the MOU. Pakistan serves as Deputy Convenor with tie-breaking and fact-finding authorities as set forth herein. In the event of any inconsistency between this Annex and other MOU provisions, Annex Mo governs the JMC’s composition, procedures, and relationship to the PCC.”</w:t>
      </w:r>
    </w:p>
    <w:p>
      <w:pPr>
        <w:spacing w:before="120" w:after="120"/>
      </w:pPr>
      <w:r>
        <w:rPr>
          <w:sz w:val="22"/>
        </w:rPr>
        <w:t xml:space="preserve">No amendment of the parent MOU is required for this Annex to enter into force. This Annex enters into force upon signature by both Parties or provisional application by exchange of diplomatic notes.</w:t>
      </w:r>
    </w:p>
    <w:p>
      <w:pPr>
        <w:spacing w:before="120" w:after="120"/>
      </w:pPr>
      <w:r>
        <w:rPr>
          <w:sz w:val="22"/>
        </w:rPr>
        <w:t xml:space="preserve">The entry-into-force mechanisms are:</w:t>
      </w:r>
    </w:p>
    <w:p>
      <w:pPr>
        <w:numPr>
          <w:ilvl w:val="0"/>
          <w:numId w:val="1"/>
        </w:numPr>
        <w:spacing w:before="80" w:after="80"/>
      </w:pPr>
      <w:r>
        <w:rPr>
          <w:sz w:val="22"/>
        </w:rPr>
        <w:t xml:space="preserve">Signature: Physical or electronic signature by the authorized representative of each Party, consistent with MOU Article 12.</w:t>
      </w:r>
    </w:p>
    <w:p>
      <w:pPr>
        <w:numPr>
          <w:ilvl w:val="0"/>
          <w:numId w:val="1"/>
        </w:numPr>
        <w:spacing w:before="80" w:after="80"/>
      </w:pPr>
      <w:r>
        <w:rPr>
          <w:sz w:val="22"/>
        </w:rPr>
        <w:t xml:space="preserve">Provisional application: Exchange of diplomatic notes confirming that each Party applies this Annex provisionally pending signature. Provisional application carries the same binding effect as signature for the duration of the provisional period.</w:t>
      </w:r>
    </w:p>
    <w:p>
      <w:pPr>
        <w:numPr>
          <w:ilvl w:val="0"/>
          <w:numId w:val="1"/>
        </w:numPr>
        <w:spacing w:before="80" w:after="80"/>
      </w:pPr>
      <w:r>
        <w:rPr>
          <w:sz w:val="22"/>
        </w:rPr>
        <w:t xml:space="preserve">Automatic integration: If this Annex is adopted by the incorporation sentence above, it enters into force simultaneously with the agreement that adopts it.</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The incorporation sentence is self-executing. It requires no further act beyond the act that makes the adopting instrument binding. This design ensures that the JMC can be added to the MOU architecture without reopening the entire agreement for renegotiation. A single sentence in a side letter or addendum is sufficient.</w:t>
      </w:r>
    </w:p>
    <w:p>
      <w:pPr>
        <w:pStyle w:val="Heading1"/>
      </w:pPr>
      <w:r>
        <w:t>Signature Block</w:t>
      </w:r>
      <w:bookmarkStart w:name="_TocSig" w:id="11"/>
      <w:bookmarkEnd w:id="11"/>
    </w:p>
    <w:p>
      <w:pPr>
        <w:spacing w:before="120" w:after="120"/>
      </w:pPr>
      <w:r>
        <w:rPr>
          <w:sz w:val="22"/>
        </w:rPr>
        <w:t xml:space="preserve">In witness whereof, the undersigned, being duly authorized by their respective governments, have signed this Annex Mo: Joint Monitoring Cell Charter.</w:t>
      </w:r>
    </w:p>
    <w:p>
      <w:pPr>
        <w:pBdr>
          <w:top w:val="single" w:color="7C9885" w:sz="4"/>
          <w:left w:val="single" w:color="7C9885" w:sz="12"/>
          <w:bottom w:val="single" w:color="7C9885" w:sz="4"/>
          <w:right w:val="single" w:color="7C9885" w:sz="4"/>
        </w:pBdr>
        <w:shd w:val="clear" w:fill="fafaf8"/>
        <w:spacing w:before="200" w:after="200"/>
        <w:ind w:left="200" w:right="200"/>
      </w:pPr>
      <w:r>
        <w:rPr>
          <w:i/>
          <w:color w:val="555555"/>
          <w:sz w:val="20"/>
        </w:rPr>
        <w:t xml:space="preserve">Done at _________________, this ____ day of ____________, 2026, in duplicate in the English language.</w:t>
      </w:r>
    </w:p>
    <w:p>
      <w:pPr>
        <w:spacing w:before="400"/>
      </w:pPr>
      <w:r/>
    </w:p>
    <w:tbl>
      <w:tblPr>
        <w:tblW w:w="5000" w:type="pct"/>
        <w:tblBorders>
          <w:top w:val="single" w:color="999999" w:sz="4"/>
          <w:left w:val="single" w:color="999999" w:sz="4"/>
          <w:bottom w:val="single" w:color="999999" w:sz="4"/>
          <w:right w:val="single" w:color="999999" w:sz="4"/>
          <w:insideH w:val="single" w:color="999999" w:sz="4"/>
          <w:insideV w:val="single" w:color="999999" w:sz="4"/>
        </w:tblBorders>
      </w:tblPr>
      <w:tblGrid>
        <w:gridCol w:w="5000"/>
        <w:gridCol w:w="5000"/>
      </w:tblGrid>
      <w:tr>
        <w:tc>
          <w:tcPr>
            <w:tcW w:w="5000" w:type="dxa"/>
          </w:tcPr>
          <w:p>
            <w:pPr>
              <w:spacing w:before="120" w:after="120"/>
              <w:jc w:val="center"/>
            </w:pPr>
            <w:r>
              <w:rPr>
                <w:b/>
                <w:color w:val="333333"/>
                <w:sz w:val="20"/>
              </w:rPr>
              <w:t xml:space="preserve">For the United States of America:</w:t>
            </w:r>
          </w:p>
        </w:tc>
        <w:tc>
          <w:tcPr>
            <w:tcW w:w="5000" w:type="dxa"/>
          </w:tcPr>
          <w:p>
            <w:pPr>
              <w:spacing w:before="120" w:after="120"/>
              <w:jc w:val="center"/>
            </w:pPr>
            <w:r>
              <w:rPr>
                <w:b/>
                <w:color w:val="333333"/>
                <w:sz w:val="20"/>
              </w:rPr>
              <w:t xml:space="preserve">For the Islamic Republic of Iran:</w:t>
            </w:r>
          </w:p>
        </w:tc>
      </w:tr>
      <w:tr>
        <w:tc>
          <w:tcPr>
            <w:tcW w:w="5000" w:type="dxa"/>
          </w:tcPr>
          <w:p>
            <w:pPr>
              <w:spacing w:before="120" w:after="120"/>
              <w:jc w:val="left"/>
            </w:pPr>
            <w:r>
              <w:rPr>
                <w:color w:val="333333"/>
                <w:sz w:val="20"/>
              </w:rPr>
              <w:t xml:space="preserve">Name: ________________________</w:t>
            </w:r>
          </w:p>
        </w:tc>
        <w:tc>
          <w:tcPr>
            <w:tcW w:w="5000" w:type="dxa"/>
          </w:tcPr>
          <w:p>
            <w:pPr>
              <w:spacing w:before="120" w:after="120"/>
              <w:jc w:val="left"/>
            </w:pPr>
            <w:r>
              <w:rPr>
                <w:color w:val="333333"/>
                <w:sz w:val="20"/>
              </w:rPr>
              <w:t xml:space="preserve">Name: ________________________</w:t>
            </w:r>
          </w:p>
        </w:tc>
      </w:tr>
      <w:tr>
        <w:tc>
          <w:tcPr>
            <w:tcW w:w="5000" w:type="dxa"/>
          </w:tcPr>
          <w:p>
            <w:pPr>
              <w:spacing w:before="120" w:after="120"/>
              <w:jc w:val="left"/>
            </w:pPr>
            <w:r>
              <w:rPr>
                <w:color w:val="333333"/>
                <w:sz w:val="20"/>
              </w:rPr>
              <w:t xml:space="preserve">Title: ________________________</w:t>
            </w:r>
          </w:p>
        </w:tc>
        <w:tc>
          <w:tcPr>
            <w:tcW w:w="5000" w:type="dxa"/>
          </w:tcPr>
          <w:p>
            <w:pPr>
              <w:spacing w:before="120" w:after="120"/>
              <w:jc w:val="left"/>
            </w:pPr>
            <w:r>
              <w:rPr>
                <w:color w:val="333333"/>
                <w:sz w:val="20"/>
              </w:rPr>
              <w:t xml:space="preserve">Title: ________________________</w:t>
            </w:r>
          </w:p>
        </w:tc>
      </w:tr>
      <w:tr>
        <w:tc>
          <w:tcPr>
            <w:tcW w:w="5000" w:type="dxa"/>
          </w:tcPr>
          <w:p>
            <w:pPr>
              <w:spacing w:before="120" w:after="120"/>
              <w:jc w:val="left"/>
            </w:pPr>
            <w:r>
              <w:rPr>
                <w:color w:val="333333"/>
                <w:sz w:val="20"/>
              </w:rPr>
              <w:t xml:space="preserve">Signature: ________________________</w:t>
            </w:r>
          </w:p>
        </w:tc>
        <w:tc>
          <w:tcPr>
            <w:tcW w:w="5000" w:type="dxa"/>
          </w:tcPr>
          <w:p>
            <w:pPr>
              <w:spacing w:before="120" w:after="120"/>
              <w:jc w:val="left"/>
            </w:pPr>
            <w:r>
              <w:rPr>
                <w:color w:val="333333"/>
                <w:sz w:val="20"/>
              </w:rPr>
              <w:t xml:space="preserve">Signature: ________________________</w:t>
            </w:r>
          </w:p>
        </w:tc>
      </w:tr>
      <w:tr>
        <w:tc>
          <w:tcPr>
            <w:tcW w:w="5000" w:type="dxa"/>
          </w:tcPr>
          <w:p>
            <w:pPr>
              <w:spacing w:before="120" w:after="120"/>
              <w:jc w:val="left"/>
            </w:pPr>
            <w:r>
              <w:rPr>
                <w:color w:val="333333"/>
                <w:sz w:val="20"/>
              </w:rPr>
              <w:t xml:space="preserve">Date: ________________________</w:t>
            </w:r>
          </w:p>
        </w:tc>
        <w:tc>
          <w:tcPr>
            <w:tcW w:w="5000" w:type="dxa"/>
          </w:tcPr>
          <w:p>
            <w:pPr>
              <w:spacing w:before="120" w:after="120"/>
              <w:jc w:val="left"/>
            </w:pPr>
            <w:r>
              <w:rPr>
                <w:color w:val="333333"/>
                <w:sz w:val="20"/>
              </w:rPr>
              <w:t xml:space="preserve">Date: ________________________</w:t>
            </w:r>
          </w:p>
        </w:tc>
      </w:tr>
    </w:tbl>
    <w:p>
      <w:pPr>
        <w:spacing w:before="300"/>
      </w:pPr>
      <w:r>
        <w:rPr>
          <w:b/>
          <w:sz w:val="22"/>
        </w:rPr>
        <w:t>Noted by Pakistan (Deputy Convenor):</w:t>
      </w:r>
    </w:p>
    <w:p>
      <w:r>
        <w:t>Name: ________________________    Signature: ________________________    Date: ________________________</w:t>
      </w:r>
    </w:p>
    <w:p>
      <w:pPr>
        <w:spacing w:before="200"/>
      </w:pPr>
      <w:r>
        <w:rPr>
          <w:b/>
          <w:sz w:val="22"/>
        </w:rPr>
        <w:t>Noted by Oman (Host Nation):</w:t>
      </w:r>
    </w:p>
    <w:p>
      <w:r>
        <w:t>Name: ________________________    Signature: ________________________    Date: ________________________</w:t>
      </w:r>
    </w:p>
    <w:sectPr>
      <w:headerReference w:type="default" r:id="Rc318aaabfa0c41ea"/>
      <w:footerReference w:type="default" r:id="R58e0ead4c85e4eb2"/>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88888"/>
        <w:sz w:val="18"/>
      </w:rPr>
      <w:fldChar w:fldCharType="begin"/>
    </w:r>
    <w:r>
      <w:rPr>
        <w:color w:val="888888"/>
        <w:sz w:val="18"/>
      </w:rPr>
      <w:instrText xml:space="preserve"> PAGE </w:instrText>
    </w:r>
    <w:r>
      <w:rPr>
        <w:color w:val="888888"/>
        <w:sz w:val="18"/>
      </w:rPr>
      <w:fldChar w:fldCharType="separate"/>
    </w:r>
    <w:r>
      <w:rPr>
        <w:color w:val="888888"/>
        <w:sz w:val="18"/>
      </w:rPr>
      <w:t>1</w:t>
    </w:r>
    <w:r>
      <w:rPr>
        <w:color w:val="888888"/>
        <w:sz w:val="18"/>
      </w:rPr>
      <w:fldChar w:fldCharType="end"/>
    </w:r>
  </w:p>
</w:ftr>
</file>

<file path=word/header1.xml><?xml version="1.0" encoding="utf-8"?>
<w:hdr xmlns:w="http://schemas.openxmlformats.org/wordprocessingml/2006/main">
  <w:p>
    <w:pPr>
      <w:jc w:val="center"/>
    </w:pPr>
    <w:r>
      <w:rPr>
        <w:rFonts w:ascii="Georgia" w:hAnsi="Georgia"/>
        <w:i/>
        <w:color w:val="888888"/>
        <w:sz w:val="18"/>
      </w:rPr>
      <w:t>Annex Mo — Joint Monitoring Cell Charter</w:t>
    </w:r>
  </w:p>
</w:hdr>
</file>

<file path=word/numbering.xml><?xml version="1.0" encoding="utf-8"?>
<w:numbering xmlns:w="http://schemas.openxmlformats.org/wordprocessingml/2006/main">
  <w:abstractNum w:abstractNumId="1">
    <w:lvl w:ilvl="0">
      <w:numFmt w:val="decimal"/>
      <w:lvlText w:val="%1."/>
      <w:lvlJc w:val="left"/>
      <w:pPr>
        <w:ind w:left="720" w:hanging="360"/>
      </w:pPr>
    </w:lvl>
    <w:lvl w:ilvl="1">
      <w:numFmt w:val="bullet"/>
      <w:lvlText w:val="•"/>
      <w:lvlJc w:val="left"/>
      <w:pPr>
        <w:ind w:left="1080" w:hanging="360"/>
      </w:pPr>
    </w:lvl>
  </w:abstractNum>
  <w:num w:numId="1">
    <w:abstractNumId w:val="1"/>
  </w:num>
  <w:num w:numId="2">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Georgia" w:hAnsi="Georgia" w:eastAsia="SimSun"/>
      <w:color w:val="333333"/>
      <w:sz w:val="22"/>
    </w:rPr>
  </w:style>
  <w:style w:type="paragraph" w:styleId="Heading1">
    <w:name w:val="heading 1"/>
    <w:basedOn w:val="Normal"/>
    <w:pPr>
      <w:keepNext/>
      <w:keepLines/>
      <w:pageBreakBefore/>
      <w:spacing w:before="0" w:after="320"/>
      <w:outlineLvl w:val="0"/>
    </w:pPr>
    <w:rPr>
      <w:rFonts w:ascii="Georgia" w:hAnsi="Georgia"/>
      <w:b/>
      <w:color w:val="1a1a1a"/>
      <w:sz w:val="40"/>
    </w:rPr>
  </w:style>
  <w:style w:type="paragraph" w:styleId="Heading2">
    <w:name w:val="heading 2"/>
    <w:basedOn w:val="Normal"/>
    <w:pPr>
      <w:keepNext/>
      <w:keepLines/>
      <w:spacing w:before="360" w:after="200"/>
      <w:outlineLvl w:val="1"/>
    </w:pPr>
    <w:rPr>
      <w:b/>
      <w:color w:val="333333"/>
      <w:sz w:val="28"/>
    </w:rPr>
  </w:style>
  <w:style w:type="paragraph" w:styleId="Heading3">
    <w:name w:val="heading 3"/>
    <w:basedOn w:val="Normal"/>
    <w:pPr>
      <w:keepNext/>
      <w:keepLines/>
      <w:spacing w:before="280" w:after="120"/>
      <w:outlineLvl w:val="2"/>
    </w:pPr>
    <w:rPr>
      <w:b/>
      <w:i/>
      <w:color w:val="555555"/>
      <w:sz w:val="24"/>
    </w:rPr>
  </w:style>
  <w:style w:type="paragraph" w:styleId="TOC1">
    <w:name w:val="toc 1"/>
    <w:basedOn w:val="Normal"/>
    <w:pPr>
      <w:tabs>
        <w:tab w:val="right" w:leader="dot" w:pos="9355"/>
      </w:tabs>
      <w:spacing w:before="200" w:after="60"/>
    </w:pPr>
    <w:rPr>
      <w:b/>
      <w:color w:val="333333"/>
    </w:rPr>
  </w:style>
  <w:style w:type="paragraph" w:styleId="TOC2">
    <w:name w:val="toc 2"/>
    <w:basedOn w:val="Normal"/>
    <w:pPr>
      <w:tabs>
        <w:tab w:val="right" w:leader="dot" w:pos="9355"/>
      </w:tabs>
      <w:spacing w:before="60" w:after="40"/>
      <w:ind w:left="360"/>
    </w:pPr>
    <w:rPr>
      <w:color w:val="555555"/>
    </w:rPr>
  </w:style>
</w:styles>
</file>

<file path=word/_rels/document.xml.rels><?xml version='1.0' encoding='UTF-8'?>
<Relationships xmlns="http://schemas.openxmlformats.org/package/2006/relationships"><Relationship Type="http://schemas.openxmlformats.org/officeDocument/2006/relationships/styles" Target="styles.xml" Id="R4b86770226d24483" /><Relationship Type="http://schemas.openxmlformats.org/officeDocument/2006/relationships/numbering" Target="numbering.xml" Id="Rcea9944c2a3d4b00" /><Relationship Type="http://schemas.openxmlformats.org/officeDocument/2006/relationships/header" Target="header1.xml" Id="Rc318aaabfa0c41ea" /><Relationship Type="http://schemas.openxmlformats.org/officeDocument/2006/relationships/footer" Target="footer1.xml" Id="R58e0ead4c85e4eb2" /><Relationship Type="http://schemas.openxmlformats.org/officeDocument/2006/relationships/settings" Target="settings.xml" Id="R5aed2f4fb8c64d87" /></Relationships>
</file>