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AMANAT</w:t>
      </w:r>
      <w:r>
        <w:t xml:space="preserve"> </w:t>
      </w:r>
      <w:r>
        <w:t xml:space="preserve">FRAMEWORK</w:t>
      </w:r>
    </w:p>
    <w:p>
      <w:pPr>
        <w:pStyle w:val="Subtitle"/>
      </w:pPr>
      <w:r>
        <w:t xml:space="preserve">A</w:t>
      </w:r>
      <w:r>
        <w:t xml:space="preserve"> </w:t>
      </w:r>
      <w:r>
        <w:t xml:space="preserve">Multi-Layered,</w:t>
      </w:r>
      <w:r>
        <w:t xml:space="preserve"> </w:t>
      </w:r>
      <w:r>
        <w:t xml:space="preserve">Multi-Phased</w:t>
      </w:r>
      <w:r>
        <w:t xml:space="preserve"> </w:t>
      </w:r>
      <w:r>
        <w:t xml:space="preserve">Governance</w:t>
      </w:r>
      <w:r>
        <w:t xml:space="preserve"> </w:t>
      </w:r>
      <w:r>
        <w:t xml:space="preserve">Architecture</w:t>
      </w:r>
      <w:r>
        <w:t xml:space="preserve"> </w:t>
      </w:r>
      <w:r>
        <w:t xml:space="preserve">for</w:t>
      </w:r>
      <w:r>
        <w:t xml:space="preserve"> </w:t>
      </w:r>
      <w:r>
        <w:t xml:space="preserve">the</w:t>
      </w:r>
      <w:r>
        <w:t xml:space="preserve"> </w:t>
      </w:r>
      <w:r>
        <w:t xml:space="preserve">Strait</w:t>
      </w:r>
      <w:r>
        <w:t xml:space="preserve"> </w:t>
      </w:r>
      <w:r>
        <w:t xml:space="preserve">of</w:t>
      </w:r>
      <w:r>
        <w:t xml:space="preserve"> </w:t>
      </w:r>
      <w:r>
        <w:t xml:space="preserve">Hormuz</w:t>
      </w:r>
    </w:p>
    <w:p>
      <w:pPr>
        <w:pStyle w:val="Author"/>
      </w:pPr>
      <w:r>
        <w:t xml:space="preserve">Version</w:t>
      </w:r>
      <w:r>
        <w:t xml:space="preserve"> </w:t>
      </w:r>
      <w:r>
        <w:t xml:space="preserve">1.0</w:t>
      </w:r>
      <w:r>
        <w:t xml:space="preserve"> </w:t>
      </w:r>
      <w:r>
        <w:t xml:space="preserve">|</w:t>
      </w:r>
      <w:r>
        <w:t xml:space="preserve"> </w:t>
      </w:r>
      <w:r>
        <w:t xml:space="preserve">August</w:t>
      </w:r>
      <w:r>
        <w:t xml:space="preserve"> </w:t>
      </w:r>
      <w:r>
        <w:t xml:space="preserve">2026</w:t>
      </w:r>
    </w:p>
    <w:p>
      <w:pPr>
        <w:pStyle w:val="Author"/>
      </w:pPr>
      <w:r>
        <w:t xml:space="preserve">Negotiating</w:t>
      </w:r>
      <w:r>
        <w:t xml:space="preserve"> </w:t>
      </w:r>
      <w:r>
        <w:t xml:space="preserve">Draft</w:t>
      </w:r>
      <w:r>
        <w:t xml:space="preserve"> </w:t>
      </w:r>
      <w:r>
        <w:t xml:space="preserve">for</w:t>
      </w:r>
      <w:r>
        <w:t xml:space="preserve"> </w:t>
      </w:r>
      <w:r>
        <w:t xml:space="preserve">Authorized</w:t>
      </w:r>
      <w:r>
        <w:t xml:space="preserve"> </w:t>
      </w:r>
      <w:r>
        <w:t xml:space="preserve">Participants</w:t>
      </w:r>
      <w:r>
        <w:t xml:space="preserve"> </w:t>
      </w:r>
      <w:r>
        <w:t xml:space="preserve">|</w:t>
      </w:r>
      <w:r>
        <w:t xml:space="preserve"> </w:t>
      </w:r>
      <w:r>
        <w:t xml:space="preserve">Not</w:t>
      </w:r>
      <w:r>
        <w:t xml:space="preserve"> </w:t>
      </w:r>
      <w:r>
        <w:t xml:space="preserve">an</w:t>
      </w:r>
      <w:r>
        <w:t xml:space="preserve"> </w:t>
      </w:r>
      <w:r>
        <w:t xml:space="preserve">Executed</w:t>
      </w:r>
      <w:r>
        <w:t xml:space="preserve"> </w:t>
      </w:r>
      <w:r>
        <w:t xml:space="preserve">Instrument</w:t>
      </w:r>
    </w:p>
    <w:p>
      <w:pPr>
        <w:pStyle w:val="Author"/>
      </w:pPr>
      <w:r>
        <w:t xml:space="preserve">The</w:t>
      </w:r>
      <w:r>
        <w:t xml:space="preserve"> </w:t>
      </w:r>
      <w:r>
        <w:t xml:space="preserve">Islamic</w:t>
      </w:r>
      <w:r>
        <w:t xml:space="preserve"> </w:t>
      </w:r>
      <w:r>
        <w:t xml:space="preserve">Republic</w:t>
      </w:r>
      <w:r>
        <w:t xml:space="preserve"> </w:t>
      </w:r>
      <w:r>
        <w:t xml:space="preserve">of</w:t>
      </w:r>
      <w:r>
        <w:t xml:space="preserve"> </w:t>
      </w:r>
      <w:r>
        <w:t xml:space="preserve">Iran</w:t>
      </w:r>
      <w:r>
        <w:t xml:space="preserve"> </w:t>
      </w:r>
      <w:r>
        <w:t xml:space="preserve">and</w:t>
      </w:r>
      <w:r>
        <w:t xml:space="preserve"> </w:t>
      </w:r>
      <w:r>
        <w:t xml:space="preserve">the</w:t>
      </w:r>
      <w:r>
        <w:t xml:space="preserve"> </w:t>
      </w:r>
      <w:r>
        <w:t xml:space="preserve">Sultanate</w:t>
      </w:r>
      <w:r>
        <w:t xml:space="preserve"> </w:t>
      </w:r>
      <w:r>
        <w:t xml:space="preserve">of</w:t>
      </w:r>
      <w:r>
        <w:t xml:space="preserve"> </w:t>
      </w:r>
      <w:r>
        <w:t xml:space="preserve">Oman,</w:t>
      </w:r>
      <w:r>
        <w:t xml:space="preserve"> </w:t>
      </w:r>
      <w:r>
        <w:t xml:space="preserve">as</w:t>
      </w:r>
      <w:r>
        <w:t xml:space="preserve"> </w:t>
      </w:r>
      <w:r>
        <w:t xml:space="preserve">Founding</w:t>
      </w:r>
      <w:r>
        <w:t xml:space="preserve"> </w:t>
      </w:r>
      <w:r>
        <w:t xml:space="preserve">Parties</w:t>
      </w:r>
    </w:p>
    <w:p>
      <w:pPr>
        <w:pStyle w:val="Author"/>
      </w:pPr>
      <w:r>
        <w:t xml:space="preserve">with</w:t>
      </w:r>
      <w:r>
        <w:t xml:space="preserve"> </w:t>
      </w:r>
      <w:r>
        <w:t xml:space="preserve">a</w:t>
      </w:r>
      <w:r>
        <w:t xml:space="preserve"> </w:t>
      </w:r>
      <w:r>
        <w:t xml:space="preserve">defined</w:t>
      </w:r>
      <w:r>
        <w:t xml:space="preserve"> </w:t>
      </w:r>
      <w:r>
        <w:t xml:space="preserve">accession</w:t>
      </w:r>
      <w:r>
        <w:t xml:space="preserve"> </w:t>
      </w:r>
      <w:r>
        <w:t xml:space="preserve">path</w:t>
      </w:r>
      <w:r>
        <w:t xml:space="preserve"> </w:t>
      </w:r>
      <w:r>
        <w:t xml:space="preserve">for</w:t>
      </w:r>
      <w:r>
        <w:t xml:space="preserve"> </w:t>
      </w:r>
      <w:r>
        <w:t xml:space="preserve">the</w:t>
      </w:r>
      <w:r>
        <w:t xml:space="preserve"> </w:t>
      </w:r>
      <w:r>
        <w:t xml:space="preserve">United</w:t>
      </w:r>
      <w:r>
        <w:t xml:space="preserve"> </w:t>
      </w:r>
      <w:r>
        <w:t xml:space="preserve">Arab</w:t>
      </w:r>
      <w:r>
        <w:t xml:space="preserve"> </w:t>
      </w:r>
      <w:r>
        <w:t xml:space="preserve">Emirates,</w:t>
      </w:r>
      <w:r>
        <w:t xml:space="preserve"> </w:t>
      </w:r>
      <w:r>
        <w:t xml:space="preserve">the</w:t>
      </w:r>
      <w:r>
        <w:t xml:space="preserve"> </w:t>
      </w:r>
      <w:r>
        <w:t xml:space="preserve">Kingdom</w:t>
      </w:r>
      <w:r>
        <w:t xml:space="preserve"> </w:t>
      </w:r>
      <w:r>
        <w:t xml:space="preserve">of</w:t>
      </w:r>
      <w:r>
        <w:t xml:space="preserve"> </w:t>
      </w:r>
      <w:r>
        <w:t xml:space="preserve">Saudi</w:t>
      </w:r>
      <w:r>
        <w:t xml:space="preserve"> </w:t>
      </w:r>
      <w:r>
        <w:t xml:space="preserve">Arabia,</w:t>
      </w:r>
      <w:r>
        <w:t xml:space="preserve"> </w:t>
      </w:r>
      <w:r>
        <w:t xml:space="preserve">the</w:t>
      </w:r>
      <w:r>
        <w:t xml:space="preserve"> </w:t>
      </w:r>
      <w:r>
        <w:t xml:space="preserve">State</w:t>
      </w:r>
      <w:r>
        <w:t xml:space="preserve"> </w:t>
      </w:r>
      <w:r>
        <w:t xml:space="preserve">of</w:t>
      </w:r>
      <w:r>
        <w:t xml:space="preserve"> </w:t>
      </w:r>
      <w:r>
        <w:t xml:space="preserve">Qatar,</w:t>
      </w:r>
      <w:r>
        <w:t xml:space="preserve"> </w:t>
      </w:r>
      <w:r>
        <w:t xml:space="preserve">the</w:t>
      </w:r>
      <w:r>
        <w:t xml:space="preserve"> </w:t>
      </w:r>
      <w:r>
        <w:t xml:space="preserve">Kingdom</w:t>
      </w:r>
      <w:r>
        <w:t xml:space="preserve"> </w:t>
      </w:r>
      <w:r>
        <w:t xml:space="preserve">of</w:t>
      </w:r>
      <w:r>
        <w:t xml:space="preserve"> </w:t>
      </w:r>
      <w:r>
        <w:t xml:space="preserve">Bahrain,</w:t>
      </w:r>
      <w:r>
        <w:t xml:space="preserve"> </w:t>
      </w:r>
      <w:r>
        <w:t xml:space="preserve">the</w:t>
      </w:r>
      <w:r>
        <w:t xml:space="preserve"> </w:t>
      </w:r>
      <w:r>
        <w:t xml:space="preserve">State</w:t>
      </w:r>
      <w:r>
        <w:t xml:space="preserve"> </w:t>
      </w:r>
      <w:r>
        <w:t xml:space="preserve">of</w:t>
      </w:r>
      <w:r>
        <w:t xml:space="preserve"> </w:t>
      </w:r>
      <w:r>
        <w:t xml:space="preserve">Kuwait,</w:t>
      </w:r>
      <w:r>
        <w:t xml:space="preserve"> </w:t>
      </w:r>
      <w:r>
        <w:t xml:space="preserve">and</w:t>
      </w:r>
      <w:r>
        <w:t xml:space="preserve"> </w:t>
      </w:r>
      <w:r>
        <w:t xml:space="preserve">the</w:t>
      </w:r>
      <w:r>
        <w:t xml:space="preserve"> </w:t>
      </w:r>
      <w:r>
        <w:t xml:space="preserve">Republic</w:t>
      </w:r>
      <w:r>
        <w:t xml:space="preserve"> </w:t>
      </w:r>
      <w:r>
        <w:t xml:space="preserve">of</w:t>
      </w:r>
      <w:r>
        <w:t xml:space="preserve"> </w:t>
      </w:r>
      <w:r>
        <w:t xml:space="preserve">Iraq</w:t>
      </w:r>
    </w:p>
    <w:p>
      <w:pPr>
        <w:pStyle w:val="Author"/>
      </w:pPr>
      <w:r>
        <w:t xml:space="preserve">Endorsing</w:t>
      </w:r>
      <w:r>
        <w:t xml:space="preserve"> </w:t>
      </w:r>
      <w:r>
        <w:t xml:space="preserve">Stakeholder:</w:t>
      </w:r>
      <w:r>
        <w:t xml:space="preserve"> </w:t>
      </w:r>
      <w:r>
        <w:t xml:space="preserve">The</w:t>
      </w:r>
      <w:r>
        <w:t xml:space="preserve"> </w:t>
      </w:r>
      <w:r>
        <w:t xml:space="preserve">United</w:t>
      </w:r>
      <w:r>
        <w:t xml:space="preserve"> </w:t>
      </w:r>
      <w:r>
        <w:t xml:space="preserve">States</w:t>
      </w:r>
      <w:r>
        <w:t xml:space="preserve"> </w:t>
      </w:r>
      <w:r>
        <w:t xml:space="preserve">of</w:t>
      </w:r>
      <w:r>
        <w:t xml:space="preserve"> </w:t>
      </w:r>
      <w:r>
        <w:t xml:space="preserve">America</w:t>
      </w:r>
    </w:p>
    <w:p>
      <w:pPr>
        <w:pStyle w:val="Author"/>
      </w:pPr>
      <w:r>
        <w:t xml:space="preserve">Mediator</w:t>
      </w:r>
      <w:r>
        <w:t xml:space="preserve"> </w:t>
      </w:r>
      <w:r>
        <w:t xml:space="preserve">of</w:t>
      </w:r>
      <w:r>
        <w:t xml:space="preserve"> </w:t>
      </w:r>
      <w:r>
        <w:t xml:space="preserve">Record:</w:t>
      </w:r>
      <w:r>
        <w:t xml:space="preserve"> </w:t>
      </w:r>
      <w:r>
        <w:t xml:space="preserve">The</w:t>
      </w:r>
      <w:r>
        <w:t xml:space="preserve"> </w:t>
      </w:r>
      <w:r>
        <w:t xml:space="preserve">Sultanate</w:t>
      </w:r>
      <w:r>
        <w:t xml:space="preserve"> </w:t>
      </w:r>
      <w:r>
        <w:t xml:space="preserve">of</w:t>
      </w:r>
      <w:r>
        <w:t xml:space="preserve"> </w:t>
      </w:r>
      <w:r>
        <w:t xml:space="preserve">Oman</w:t>
      </w:r>
      <w:r>
        <w:t xml:space="preserve"> </w:t>
      </w:r>
      <w:r>
        <w:t xml:space="preserve">|</w:t>
      </w:r>
      <w:r>
        <w:t xml:space="preserve"> </w:t>
      </w:r>
      <w:r>
        <w:t xml:space="preserve">Neutral</w:t>
      </w:r>
      <w:r>
        <w:t xml:space="preserve"> </w:t>
      </w:r>
      <w:r>
        <w:t xml:space="preserve">Administrator:</w:t>
      </w:r>
      <w:r>
        <w:t xml:space="preserve"> </w:t>
      </w:r>
      <w:r>
        <w:t xml:space="preserve">The</w:t>
      </w:r>
      <w:r>
        <w:t xml:space="preserve"> </w:t>
      </w:r>
      <w:r>
        <w:t xml:space="preserve">Swiss</w:t>
      </w:r>
      <w:r>
        <w:t xml:space="preserve"> </w:t>
      </w:r>
      <w:r>
        <w:t xml:space="preserve">Confederation</w:t>
      </w:r>
    </w:p>
    <w:p>
      <w:pPr>
        <w:pStyle w:val="Author"/>
      </w:pPr>
      <w:r>
        <w:t xml:space="preserve">Facilitators:</w:t>
      </w:r>
      <w:r>
        <w:t xml:space="preserve"> </w:t>
      </w:r>
      <w:r>
        <w:t xml:space="preserve">The</w:t>
      </w:r>
      <w:r>
        <w:t xml:space="preserve"> </w:t>
      </w:r>
      <w:r>
        <w:t xml:space="preserve">State</w:t>
      </w:r>
      <w:r>
        <w:t xml:space="preserve"> </w:t>
      </w:r>
      <w:r>
        <w:t xml:space="preserve">of</w:t>
      </w:r>
      <w:r>
        <w:t xml:space="preserve"> </w:t>
      </w:r>
      <w:r>
        <w:t xml:space="preserve">Qatar</w:t>
      </w:r>
      <w:r>
        <w:t xml:space="preserve"> </w:t>
      </w:r>
      <w:r>
        <w:t xml:space="preserve">and</w:t>
      </w:r>
      <w:r>
        <w:t xml:space="preserve"> </w:t>
      </w:r>
      <w:r>
        <w:t xml:space="preserve">the</w:t>
      </w:r>
      <w:r>
        <w:t xml:space="preserve"> </w:t>
      </w:r>
      <w:r>
        <w:t xml:space="preserve">Islamic</w:t>
      </w:r>
      <w:r>
        <w:t xml:space="preserve"> </w:t>
      </w:r>
      <w:r>
        <w:t xml:space="preserve">Republic</w:t>
      </w:r>
      <w:r>
        <w:t xml:space="preserve"> </w:t>
      </w:r>
      <w:r>
        <w:t xml:space="preserve">of</w:t>
      </w:r>
      <w:r>
        <w:t xml:space="preserve"> </w:t>
      </w:r>
      <w:r>
        <w:t xml:space="preserve">Pakistan</w:t>
      </w:r>
    </w:p>
    <w:p>
      <w:pPr>
        <w:pStyle w:val="Date"/>
      </w:pPr>
      <w:r>
        <w:t xml:space="preserve">Seated</w:t>
      </w:r>
      <w:r>
        <w:t xml:space="preserve"> </w:t>
      </w:r>
      <w:r>
        <w:t xml:space="preserve">at</w:t>
      </w:r>
      <w:r>
        <w:t xml:space="preserve"> </w:t>
      </w:r>
      <w:r>
        <w:t xml:space="preserve">the</w:t>
      </w:r>
      <w:r>
        <w:t xml:space="preserve"> </w:t>
      </w:r>
      <w:r>
        <w:t xml:space="preserve">Hormuz</w:t>
      </w:r>
      <w:r>
        <w:t xml:space="preserve"> </w:t>
      </w:r>
      <w:r>
        <w:t xml:space="preserve">Operations</w:t>
      </w:r>
      <w:r>
        <w:t xml:space="preserve"> </w:t>
      </w:r>
      <w:r>
        <w:t xml:space="preserve">Center,</w:t>
      </w:r>
      <w:r>
        <w:t xml:space="preserve"> </w:t>
      </w:r>
      <w:r>
        <w:t xml:space="preserve">Muscat,</w:t>
      </w:r>
      <w:r>
        <w:t xml:space="preserve"> </w:t>
      </w:r>
      <w:r>
        <w:t xml:space="preserve">with</w:t>
      </w:r>
      <w:r>
        <w:t xml:space="preserve"> </w:t>
      </w:r>
      <w:r>
        <w:t xml:space="preserve">a</w:t>
      </w:r>
      <w:r>
        <w:t xml:space="preserve"> </w:t>
      </w:r>
      <w:r>
        <w:t xml:space="preserve">Mirror</w:t>
      </w:r>
      <w:r>
        <w:t xml:space="preserve"> </w:t>
      </w:r>
      <w:r>
        <w:t xml:space="preserve">Facility</w:t>
      </w:r>
      <w:r>
        <w:t xml:space="preserve"> </w:t>
      </w:r>
      <w:r>
        <w:t xml:space="preserve">of</w:t>
      </w:r>
      <w:r>
        <w:t xml:space="preserve"> </w:t>
      </w:r>
      <w:r>
        <w:t xml:space="preserve">Equal</w:t>
      </w:r>
      <w:r>
        <w:t xml:space="preserve"> </w:t>
      </w:r>
      <w:r>
        <w:t xml:space="preserve">Rank</w:t>
      </w:r>
      <w:r>
        <w:t xml:space="preserve"> </w:t>
      </w:r>
      <w:r>
        <w:t xml:space="preserve">at</w:t>
      </w:r>
      <w:r>
        <w:t xml:space="preserve"> </w:t>
      </w:r>
      <w:r>
        <w:t xml:space="preserve">Bandar</w:t>
      </w:r>
      <w:r>
        <w:t xml:space="preserve"> </w:t>
      </w:r>
      <w:r>
        <w:t xml:space="preserve">Abbas</w:t>
      </w:r>
    </w:p>
    <w:bookmarkStart w:id="23" w:name="X99a30c69e15cf8aed38d0c55c47dbbcdffac66e"/>
    <w:p>
      <w:pPr>
        <w:pStyle w:val="Heading1"/>
      </w:pPr>
      <w:r>
        <w:t xml:space="preserve">Document Control and Declaration of Principles</w:t>
      </w:r>
    </w:p>
    <w:bookmarkStart w:id="20" w:name="document-control"/>
    <w:p>
      <w:pPr>
        <w:pStyle w:val="Heading2"/>
      </w:pPr>
      <w:r>
        <w:t xml:space="preserve">Document Control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Instrument</w:t>
            </w:r>
          </w:p>
        </w:tc>
        <w:tc>
          <w:tcPr/>
          <w:p>
            <w:pPr>
              <w:pStyle w:val="Compact"/>
              <w:jc w:val="left"/>
            </w:pPr>
            <w:r>
              <w:t xml:space="preserve">The Amanat Framework: A Multi-Layered, Multi-Phased Governance Architecture for the Strait of Hormuz, Version 1.0.</w:t>
            </w:r>
            <w:r>
              <w:t xml:space="preserve"> </w:t>
            </w:r>
            <w:r>
              <w:rPr>
                <w:iCs/>
                <w:i/>
              </w:rPr>
              <w:t xml:space="preserve">Amanat</w:t>
            </w:r>
            <w:r>
              <w:t xml:space="preserve">, a term held in common across Persian and Arabic, names a trust placed in safekeeping: an asset one party holds for the benefit of all.</w:t>
            </w:r>
          </w:p>
        </w:tc>
      </w:tr>
      <w:tr>
        <w:tc>
          <w:tcPr/>
          <w:p>
            <w:pPr>
              <w:pStyle w:val="Compact"/>
              <w:jc w:val="left"/>
            </w:pPr>
            <w:r>
              <w:t xml:space="preserve">Short title</w:t>
            </w:r>
          </w:p>
        </w:tc>
        <w:tc>
          <w:tcPr/>
          <w:p>
            <w:pPr>
              <w:pStyle w:val="Compact"/>
              <w:jc w:val="left"/>
            </w:pPr>
            <w:r>
              <w:t xml:space="preserve">The Amanat Framework (the Framework)</w:t>
            </w:r>
          </w:p>
        </w:tc>
      </w:tr>
      <w:tr>
        <w:tc>
          <w:tcPr/>
          <w:p>
            <w:pPr>
              <w:pStyle w:val="Compact"/>
              <w:jc w:val="left"/>
            </w:pPr>
            <w:r>
              <w:t xml:space="preserve">Status</w:t>
            </w:r>
          </w:p>
        </w:tc>
        <w:tc>
          <w:tcPr/>
          <w:p>
            <w:pPr>
              <w:pStyle w:val="Compact"/>
              <w:jc w:val="left"/>
            </w:pPr>
            <w:r>
              <w:t xml:space="preserve">Negotiating draft for authorized participants. Every provision follows the Sovereign Present-Tense Standard defined in Article 1.7.</w:t>
            </w:r>
          </w:p>
        </w:tc>
      </w:tr>
      <w:tr>
        <w:tc>
          <w:tcPr/>
          <w:p>
            <w:pPr>
              <w:pStyle w:val="Compact"/>
              <w:jc w:val="left"/>
            </w:pPr>
            <w:r>
              <w:t xml:space="preserve">Date</w:t>
            </w:r>
          </w:p>
        </w:tc>
        <w:tc>
          <w:tcPr/>
          <w:p>
            <w:pPr>
              <w:pStyle w:val="Compact"/>
              <w:jc w:val="left"/>
            </w:pPr>
            <w:r>
              <w:t xml:space="preserve">August 2026</w:t>
            </w:r>
          </w:p>
        </w:tc>
      </w:tr>
      <w:tr>
        <w:tc>
          <w:tcPr/>
          <w:p>
            <w:pPr>
              <w:pStyle w:val="Compact"/>
              <w:jc w:val="left"/>
            </w:pPr>
            <w:r>
              <w:t xml:space="preserve">Anchor context</w:t>
            </w:r>
          </w:p>
        </w:tc>
        <w:tc>
          <w:tcPr/>
          <w:p>
            <w:pPr>
              <w:pStyle w:val="Compact"/>
              <w:jc w:val="left"/>
            </w:pPr>
            <w:r>
              <w:t xml:space="preserve">The Islamabad channel of April to June 2026 between the United States of America and the Islamic Republic of Iran, and the bilateral Iran-Oman working group on Hormuz navigation governance convened in Muscat from 24 June 2026</w:t>
            </w:r>
          </w:p>
        </w:tc>
      </w:tr>
      <w:tr>
        <w:tc>
          <w:tcPr/>
          <w:p>
            <w:pPr>
              <w:pStyle w:val="Compact"/>
              <w:jc w:val="left"/>
            </w:pPr>
            <w:r>
              <w:t xml:space="preserve">Founding Parties</w:t>
            </w:r>
          </w:p>
        </w:tc>
        <w:tc>
          <w:tcPr/>
          <w:p>
            <w:pPr>
              <w:pStyle w:val="Compact"/>
              <w:jc w:val="left"/>
            </w:pPr>
            <w:r>
              <w:t xml:space="preserve">The Islamic Republic of Iran and the Sultanate of Oman; entry into force on signature by both</w:t>
            </w:r>
          </w:p>
        </w:tc>
      </w:tr>
      <w:tr>
        <w:tc>
          <w:tcPr/>
          <w:p>
            <w:pPr>
              <w:pStyle w:val="Compact"/>
              <w:jc w:val="left"/>
            </w:pPr>
            <w:r>
              <w:t xml:space="preserve">Defined accession path</w:t>
            </w:r>
          </w:p>
        </w:tc>
        <w:tc>
          <w:tcPr/>
          <w:p>
            <w:pPr>
              <w:pStyle w:val="Compact"/>
              <w:jc w:val="left"/>
            </w:pPr>
            <w:r>
              <w:t xml:space="preserve">The United Arab Emirates, the Kingdom of Saudi Arabia, the State of Qatar, the Kingdom of Bahrain, the State of Kuwait, and the Republic of Iraq, under Article 41</w:t>
            </w:r>
          </w:p>
        </w:tc>
      </w:tr>
      <w:tr>
        <w:tc>
          <w:tcPr/>
          <w:p>
            <w:pPr>
              <w:pStyle w:val="Compact"/>
              <w:jc w:val="left"/>
            </w:pPr>
            <w:r>
              <w:t xml:space="preserve">Endorsing Stakeholder</w:t>
            </w:r>
          </w:p>
        </w:tc>
        <w:tc>
          <w:tcPr/>
          <w:p>
            <w:pPr>
              <w:pStyle w:val="Compact"/>
              <w:jc w:val="left"/>
            </w:pPr>
            <w:r>
              <w:t xml:space="preserve">The United States of America, in the capacity defined at Article 15</w:t>
            </w:r>
          </w:p>
        </w:tc>
      </w:tr>
      <w:tr>
        <w:tc>
          <w:tcPr/>
          <w:p>
            <w:pPr>
              <w:pStyle w:val="Compact"/>
              <w:jc w:val="left"/>
            </w:pPr>
            <w:r>
              <w:t xml:space="preserve">Mediator of Record</w:t>
            </w:r>
          </w:p>
        </w:tc>
        <w:tc>
          <w:tcPr/>
          <w:p>
            <w:pPr>
              <w:pStyle w:val="Compact"/>
              <w:jc w:val="left"/>
            </w:pPr>
            <w:r>
              <w:t xml:space="preserve">The Sultanate of Oman</w:t>
            </w:r>
          </w:p>
        </w:tc>
      </w:tr>
      <w:tr>
        <w:tc>
          <w:tcPr/>
          <w:p>
            <w:pPr>
              <w:pStyle w:val="Compact"/>
              <w:jc w:val="left"/>
            </w:pPr>
            <w:r>
              <w:t xml:space="preserve">Neutral Administrator</w:t>
            </w:r>
          </w:p>
        </w:tc>
        <w:tc>
          <w:tcPr/>
          <w:p>
            <w:pPr>
              <w:pStyle w:val="Compact"/>
              <w:jc w:val="left"/>
            </w:pPr>
            <w:r>
              <w:t xml:space="preserve">The Swiss Confederation, acting through a dedicated Hormuz Account structure</w:t>
            </w:r>
          </w:p>
        </w:tc>
      </w:tr>
      <w:tr>
        <w:tc>
          <w:tcPr/>
          <w:p>
            <w:pPr>
              <w:pStyle w:val="Compact"/>
              <w:jc w:val="left"/>
            </w:pPr>
            <w:r>
              <w:t xml:space="preserve">Facilitators</w:t>
            </w:r>
          </w:p>
        </w:tc>
        <w:tc>
          <w:tcPr/>
          <w:p>
            <w:pPr>
              <w:pStyle w:val="Compact"/>
              <w:jc w:val="left"/>
            </w:pPr>
            <w:r>
              <w:t xml:space="preserve">The State of Qatar and the Islamic Republic of Pakistan</w:t>
            </w:r>
          </w:p>
        </w:tc>
      </w:tr>
      <w:tr>
        <w:tc>
          <w:tcPr/>
          <w:p>
            <w:pPr>
              <w:pStyle w:val="Compact"/>
              <w:jc w:val="left"/>
            </w:pPr>
            <w:r>
              <w:t xml:space="preserve">Technical interface</w:t>
            </w:r>
          </w:p>
        </w:tc>
        <w:tc>
          <w:tcPr/>
          <w:p>
            <w:pPr>
              <w:pStyle w:val="Compact"/>
              <w:jc w:val="left"/>
            </w:pPr>
            <w:r>
              <w:t xml:space="preserve">The International Maritime Organization (IMO); the International Hydrographic Organization (IHO); the United Nations Mine Action Service, for the survey sequence of Article 22</w:t>
            </w:r>
          </w:p>
        </w:tc>
      </w:tr>
      <w:tr>
        <w:tc>
          <w:tcPr/>
          <w:p>
            <w:pPr>
              <w:pStyle w:val="Compact"/>
              <w:jc w:val="left"/>
            </w:pPr>
            <w:r>
              <w:t xml:space="preserve">Seat</w:t>
            </w:r>
          </w:p>
        </w:tc>
        <w:tc>
          <w:tcPr/>
          <w:p>
            <w:pPr>
              <w:pStyle w:val="Compact"/>
              <w:jc w:val="left"/>
            </w:pPr>
            <w:r>
              <w:t xml:space="preserve">The Hormuz Operations Center, Muscat, with a mirror facility of equal rank at Bandar Abbas</w:t>
            </w:r>
          </w:p>
        </w:tc>
      </w:tr>
      <w:tr>
        <w:tc>
          <w:tcPr/>
          <w:p>
            <w:pPr>
              <w:pStyle w:val="Compact"/>
              <w:jc w:val="left"/>
            </w:pPr>
            <w:r>
              <w:t xml:space="preserve">Depositary</w:t>
            </w:r>
          </w:p>
        </w:tc>
        <w:tc>
          <w:tcPr/>
          <w:p>
            <w:pPr>
              <w:pStyle w:val="Compact"/>
              <w:jc w:val="left"/>
            </w:pPr>
            <w:r>
              <w:t xml:space="preserve">The Sultanate of Oman, Ministry of Foreign Affairs, Muscat</w:t>
            </w:r>
          </w:p>
        </w:tc>
      </w:tr>
      <w:tr>
        <w:tc>
          <w:tcPr/>
          <w:p>
            <w:pPr>
              <w:pStyle w:val="Compact"/>
              <w:jc w:val="left"/>
            </w:pPr>
            <w:r>
              <w:t xml:space="preserve">Languages</w:t>
            </w:r>
          </w:p>
        </w:tc>
        <w:tc>
          <w:tcPr/>
          <w:p>
            <w:pPr>
              <w:pStyle w:val="Compact"/>
              <w:jc w:val="left"/>
            </w:pPr>
            <w:r>
              <w:t xml:space="preserve">Persian, Arabic, and English carry equal authority</w:t>
            </w:r>
          </w:p>
        </w:tc>
      </w:tr>
      <w:tr>
        <w:tc>
          <w:tcPr/>
          <w:p>
            <w:pPr>
              <w:pStyle w:val="Compact"/>
              <w:jc w:val="left"/>
            </w:pPr>
            <w:r>
              <w:t xml:space="preserve">Continuity rule</w:t>
            </w:r>
          </w:p>
        </w:tc>
        <w:tc>
          <w:tcPr/>
          <w:p>
            <w:pPr>
              <w:pStyle w:val="Compact"/>
              <w:jc w:val="left"/>
            </w:pPr>
            <w:r>
              <w:t xml:space="preserve">The Continuity Principle (Article 6): no provision expires, lapses, or dissolves by the passage of time alone</w:t>
            </w:r>
          </w:p>
        </w:tc>
      </w:tr>
    </w:tbl>
    <w:p>
      <w:pPr>
        <w:pStyle w:val="BodyText"/>
      </w:pPr>
      <w:r>
        <w:rPr>
          <w:iCs/>
          <w:i/>
        </w:rPr>
        <w:t xml:space="preserve">Drafting discipline note.</w:t>
      </w:r>
      <w:r>
        <w:t xml:space="preserve"> </w:t>
      </w:r>
      <w:r>
        <w:t xml:space="preserve">Every provision of this Framework follows the Sovereign Present-Tense Standard defined at Article 1.7: active present-tense verbs; mutual-architecture framing in which each constraint attaches to the shared design rather than to one Party’s restraint for another’s benefit; automatic triggers stated as immediate operational realities; no command vocabulary and no discretionary softeners. The Continuity Principle of Article 6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p>
      <w:pPr>
        <w:pStyle w:val="BodyText"/>
      </w:pPr>
      <w:r>
        <w:t xml:space="preserve">This instrument contains a main body of thirty-four Articles organized in eleven Parts, followed by nine operative Annexes (Annex A through Annex I). The Annexes form an integral part of this instrument and bind the Parties to the same extent as the Articles.</w:t>
      </w:r>
    </w:p>
    <w:bookmarkEnd w:id="20"/>
    <w:bookmarkStart w:id="21" w:name="the-amanat-declaration-of-principles"/>
    <w:p>
      <w:pPr>
        <w:pStyle w:val="Heading2"/>
      </w:pPr>
      <w:r>
        <w:t xml:space="preserve">The Amanat Declaration of Principles</w:t>
      </w:r>
    </w:p>
    <w:p>
      <w:pPr>
        <w:pStyle w:val="FirstParagraph"/>
      </w:pPr>
      <w:r>
        <w:t xml:space="preserve">Before the Articles, the Parties state what this Framework protects, in one place and in plain terms. The fifteen lines below constitute the Red Lines Register of Annex F in summary form. Every organ, every officer, and every reader of this Framework treats this page as the measure of the system: a measure that touches one of these lines proceeds only in the exact form the corresponding safeguard permits, and a measure that crosses one of these lines fails automatically, without further process.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Ref</w:t>
            </w:r>
          </w:p>
        </w:tc>
        <w:tc>
          <w:tcPr/>
          <w:p>
            <w:pPr>
              <w:pStyle w:val="Compact"/>
              <w:jc w:val="left"/>
            </w:pPr>
            <w:r>
              <w:t xml:space="preserve">Principle</w:t>
            </w:r>
          </w:p>
        </w:tc>
      </w:tr>
      <w:tr>
        <w:tc>
          <w:tcPr/>
          <w:p>
            <w:pPr>
              <w:pStyle w:val="Compact"/>
              <w:jc w:val="left"/>
            </w:pPr>
            <w:r>
              <w:t xml:space="preserve">RL-1</w:t>
            </w:r>
          </w:p>
        </w:tc>
        <w:tc>
          <w:tcPr/>
          <w:p>
            <w:pPr>
              <w:pStyle w:val="Compact"/>
              <w:jc w:val="left"/>
            </w:pPr>
            <w:r>
              <w:t xml:space="preserve">Passage through the Governance Area carries no charge, in any corridor, for any vessel, under any label, ever.</w:t>
            </w:r>
          </w:p>
        </w:tc>
      </w:tr>
      <w:tr>
        <w:tc>
          <w:tcPr/>
          <w:p>
            <w:pPr>
              <w:pStyle w:val="Compact"/>
              <w:jc w:val="left"/>
            </w:pPr>
            <w:r>
              <w:t xml:space="preserve">RL-2</w:t>
            </w:r>
          </w:p>
        </w:tc>
        <w:tc>
          <w:tcPr/>
          <w:p>
            <w:pPr>
              <w:pStyle w:val="Compact"/>
              <w:jc w:val="left"/>
            </w:pPr>
            <w:r>
              <w:t xml:space="preserve">The northern littoral, Iran, holds a recognized, formal, and continuous management role in the corridor system, growing over time under the Earned Stewardship Ladder of Part V.</w:t>
            </w:r>
          </w:p>
        </w:tc>
      </w:tr>
      <w:tr>
        <w:tc>
          <w:tcPr/>
          <w:p>
            <w:pPr>
              <w:pStyle w:val="Compact"/>
              <w:jc w:val="left"/>
            </w:pPr>
            <w:r>
              <w:t xml:space="preserve">RL-3</w:t>
            </w:r>
          </w:p>
        </w:tc>
        <w:tc>
          <w:tcPr/>
          <w:p>
            <w:pPr>
              <w:pStyle w:val="Compact"/>
              <w:jc w:val="left"/>
            </w:pPr>
            <w:r>
              <w:t xml:space="preserve">No permission regime, notification-as-gatekeeping arrangement, or prior-clearance requirement attaches to ordinary commercial transit.</w:t>
            </w:r>
          </w:p>
        </w:tc>
      </w:tr>
      <w:tr>
        <w:tc>
          <w:tcPr/>
          <w:p>
            <w:pPr>
              <w:pStyle w:val="Compact"/>
              <w:jc w:val="left"/>
            </w:pPr>
            <w:r>
              <w:t xml:space="preserve">RL-4</w:t>
            </w:r>
          </w:p>
        </w:tc>
        <w:tc>
          <w:tcPr/>
          <w:p>
            <w:pPr>
              <w:pStyle w:val="Compact"/>
              <w:jc w:val="left"/>
            </w:pPr>
            <w:r>
              <w:t xml:space="preserve">No boarding, diversion, seizure, or non-consensual inspection of a transiting commercial vessel occurs inside a designated corridor.</w:t>
            </w:r>
          </w:p>
        </w:tc>
      </w:tr>
      <w:tr>
        <w:tc>
          <w:tcPr/>
          <w:p>
            <w:pPr>
              <w:pStyle w:val="Compact"/>
              <w:jc w:val="left"/>
            </w:pPr>
            <w:r>
              <w:t xml:space="preserve">RL-5</w:t>
            </w:r>
          </w:p>
        </w:tc>
        <w:tc>
          <w:tcPr/>
          <w:p>
            <w:pPr>
              <w:pStyle w:val="Compact"/>
              <w:jc w:val="left"/>
            </w:pPr>
            <w:r>
              <w:t xml:space="preserve">The Framework’s operational bodies remain civilian in composition and function, always.</w:t>
            </w:r>
          </w:p>
        </w:tc>
      </w:tr>
      <w:tr>
        <w:tc>
          <w:tcPr/>
          <w:p>
            <w:pPr>
              <w:pStyle w:val="Compact"/>
              <w:jc w:val="left"/>
            </w:pPr>
            <w:r>
              <w:t xml:space="preserve">RL-6</w:t>
            </w:r>
          </w:p>
        </w:tc>
        <w:tc>
          <w:tcPr/>
          <w:p>
            <w:pPr>
              <w:pStyle w:val="Compact"/>
              <w:jc w:val="left"/>
            </w:pPr>
            <w:r>
              <w:t xml:space="preserve">No shipper, operator, insurer, or flag state pays any single Party directly for anything connected with the Governance Area; every flow of funds passes through the neutral escrow structure of Part VI.</w:t>
            </w:r>
          </w:p>
        </w:tc>
      </w:tr>
      <w:tr>
        <w:tc>
          <w:tcPr/>
          <w:p>
            <w:pPr>
              <w:pStyle w:val="Compact"/>
              <w:jc w:val="left"/>
            </w:pPr>
            <w:r>
              <w:t xml:space="preserve">RL-7</w:t>
            </w:r>
          </w:p>
        </w:tc>
        <w:tc>
          <w:tcPr/>
          <w:p>
            <w:pPr>
              <w:pStyle w:val="Compact"/>
              <w:jc w:val="left"/>
            </w:pPr>
            <w:r>
              <w:t xml:space="preserve">Each Party’s sovereignty over its own territorial waters, and its legal position on any question this Framework does not expressly address, stands fully intact.</w:t>
            </w:r>
          </w:p>
        </w:tc>
      </w:tr>
      <w:tr>
        <w:tc>
          <w:tcPr/>
          <w:p>
            <w:pPr>
              <w:pStyle w:val="Compact"/>
              <w:jc w:val="left"/>
            </w:pPr>
            <w:r>
              <w:t xml:space="preserve">RL-8</w:t>
            </w:r>
          </w:p>
        </w:tc>
        <w:tc>
          <w:tcPr/>
          <w:p>
            <w:pPr>
              <w:pStyle w:val="Compact"/>
              <w:jc w:val="left"/>
            </w:pPr>
            <w:r>
              <w:t xml:space="preserve">No commitment recorded in this Framework expires, lapses, or dilutes through time, silence, or routine; Article 6 governs.</w:t>
            </w:r>
          </w:p>
        </w:tc>
      </w:tr>
      <w:tr>
        <w:tc>
          <w:tcPr/>
          <w:p>
            <w:pPr>
              <w:pStyle w:val="Compact"/>
              <w:jc w:val="left"/>
            </w:pPr>
            <w:r>
              <w:t xml:space="preserve">RL-9</w:t>
            </w:r>
          </w:p>
        </w:tc>
        <w:tc>
          <w:tcPr/>
          <w:p>
            <w:pPr>
              <w:pStyle w:val="Compact"/>
              <w:jc w:val="left"/>
            </w:pPr>
            <w:r>
              <w:t xml:space="preserve">Humanitarian, medical, and distress traffic moves without interruption in every flow state, dispute, pause, and transition the Framework contemplates.</w:t>
            </w:r>
          </w:p>
        </w:tc>
      </w:tr>
      <w:tr>
        <w:tc>
          <w:tcPr/>
          <w:p>
            <w:pPr>
              <w:pStyle w:val="Compact"/>
              <w:jc w:val="left"/>
            </w:pPr>
            <w:r>
              <w:t xml:space="preserve">RL-10</w:t>
            </w:r>
          </w:p>
        </w:tc>
        <w:tc>
          <w:tcPr/>
          <w:p>
            <w:pPr>
              <w:pStyle w:val="Compact"/>
              <w:jc w:val="left"/>
            </w:pPr>
            <w:r>
              <w:t xml:space="preserve">No finding of a compliance breach rests on a single, unverified input; Article 34 sets the corroboration floor.</w:t>
            </w:r>
          </w:p>
        </w:tc>
      </w:tr>
      <w:tr>
        <w:tc>
          <w:tcPr/>
          <w:p>
            <w:pPr>
              <w:pStyle w:val="Compact"/>
              <w:jc w:val="left"/>
            </w:pPr>
            <w:r>
              <w:t xml:space="preserve">RL-11</w:t>
            </w:r>
          </w:p>
        </w:tc>
        <w:tc>
          <w:tcPr/>
          <w:p>
            <w:pPr>
              <w:pStyle w:val="Compact"/>
              <w:jc w:val="left"/>
            </w:pPr>
            <w:r>
              <w:t xml:space="preserve">Framework assets, data channels, and communications infrastructure never support kinetic or offensive action by any actor, state or non-state.</w:t>
            </w:r>
          </w:p>
        </w:tc>
      </w:tr>
      <w:tr>
        <w:tc>
          <w:tcPr/>
          <w:p>
            <w:pPr>
              <w:pStyle w:val="Compact"/>
              <w:jc w:val="left"/>
            </w:pPr>
            <w:r>
              <w:t xml:space="preserve">RL-12</w:t>
            </w:r>
          </w:p>
        </w:tc>
        <w:tc>
          <w:tcPr/>
          <w:p>
            <w:pPr>
              <w:pStyle w:val="Compact"/>
              <w:jc w:val="left"/>
            </w:pPr>
            <w:r>
              <w:t xml:space="preserve">No single littoral state governs the Strait alone, and no external state or body commands any element of this Framework’s civilian institutions.</w:t>
            </w:r>
          </w:p>
        </w:tc>
      </w:tr>
      <w:tr>
        <w:tc>
          <w:tcPr/>
          <w:p>
            <w:pPr>
              <w:pStyle w:val="Compact"/>
              <w:jc w:val="left"/>
            </w:pPr>
            <w:r>
              <w:t xml:space="preserve">RL-13</w:t>
            </w:r>
          </w:p>
        </w:tc>
        <w:tc>
          <w:tcPr/>
          <w:p>
            <w:pPr>
              <w:pStyle w:val="Compact"/>
              <w:jc w:val="left"/>
            </w:pPr>
            <w:r>
              <w:t xml:space="preserve">Commercial transit carries no discrimination by flag, ownership, cargo origin, or destination; military transit follows the separate standoff and notification regime of Part VII, applied symmetrically to every external naval power.</w:t>
            </w:r>
          </w:p>
        </w:tc>
      </w:tr>
      <w:tr>
        <w:tc>
          <w:tcPr/>
          <w:p>
            <w:pPr>
              <w:pStyle w:val="Compact"/>
              <w:jc w:val="left"/>
            </w:pPr>
            <w:r>
              <w:t xml:space="preserve">RL-14</w:t>
            </w:r>
          </w:p>
        </w:tc>
        <w:tc>
          <w:tcPr/>
          <w:p>
            <w:pPr>
              <w:pStyle w:val="Compact"/>
              <w:jc w:val="left"/>
            </w:pPr>
            <w:r>
              <w:t xml:space="preserve">The demining and hazard-clearance sequence of Article 22 proceeds under continuous joint verification, and no Party certifies a segment it has not jointly surveyed.</w:t>
            </w:r>
          </w:p>
        </w:tc>
      </w:tr>
      <w:tr>
        <w:tc>
          <w:tcPr/>
          <w:p>
            <w:pPr>
              <w:pStyle w:val="Compact"/>
              <w:jc w:val="left"/>
            </w:pPr>
            <w:r>
              <w:t xml:space="preserve">RL-15</w:t>
            </w:r>
          </w:p>
        </w:tc>
        <w:tc>
          <w:tcPr/>
          <w:p>
            <w:pPr>
              <w:pStyle w:val="Compact"/>
              <w:jc w:val="left"/>
            </w:pPr>
            <w:r>
              <w:t xml:space="preserve">Nothing in this Framework constitutes precedent for any strait, waterway, or maritime boundary dispute outside the Governance Area, and nothing in this Framework prejudices any Party’s position on any matter this instrument does not expressly settle.</w:t>
            </w:r>
          </w:p>
        </w:tc>
      </w:tr>
    </w:tbl>
    <w:p>
      <w:pPr>
        <w:pStyle w:val="BodyText"/>
      </w:pPr>
      <w:r>
        <w:rPr>
          <w:iCs/>
          <w:i/>
        </w:rPr>
        <w:t xml:space="preserve">The Amanat Declaration of Principles; Annex F carries the full operative text.</w:t>
      </w:r>
    </w:p>
    <w:p>
      <w:pPr>
        <w:pStyle w:val="BodyText"/>
      </w:pPr>
      <w:r>
        <w:t xml:space="preserve">The architecture holds every line simultaneously, at all times, without exception, and the Continuity Principle holds this Declaration as permanently as it holds every other word of this Framework.</w:t>
      </w:r>
    </w:p>
    <w:bookmarkEnd w:id="21"/>
    <w:bookmarkStart w:id="22" w:name="preamble-the-moment-of-august-2026"/>
    <w:p>
      <w:pPr>
        <w:pStyle w:val="Heading2"/>
      </w:pPr>
      <w:r>
        <w:t xml:space="preserve">Preamble: The Moment of August 2026</w:t>
      </w:r>
    </w:p>
    <w:p>
      <w:pPr>
        <w:pStyle w:val="FirstParagraph"/>
      </w:pPr>
      <w:r>
        <w:t xml:space="preserve">The Islamic Republic of Iran and the Sultanate of Oman, together the Founding Parties, joined in this instrument by every Gulf littoral state that accedes under Article 41, endorsed by the United States of America in the capacity Article 15 defines, and supported by the Mediator of Record, the Neutral Administrator, and the facilitating states,</w:t>
      </w:r>
    </w:p>
    <w:p>
      <w:pPr>
        <w:pStyle w:val="BodyText"/>
      </w:pPr>
      <w:r>
        <w:t xml:space="preserve">Recalling the crisis that opened in late February 2026, in which the Strait of Hormuz became a theater of military confrontation: commercial transits fell from a pre-crisis norm of roughly ninety vessels a day to a fraction of that figure, war-risk insurance premiums rose several-fold, mines and interdiction events closed effective navigation for months, and the global economy absorbed a sustained energy-price shock;</w:t>
      </w:r>
    </w:p>
    <w:p>
      <w:pPr>
        <w:pStyle w:val="BodyText"/>
      </w:pPr>
      <w:r>
        <w:t xml:space="preserve">Recalling the sequence of ceasefires, blockades, and renewed hostilities that followed between April and July 2026, and the Islamabad channel that opened a diplomatic track between the United States and Iran alongside it;</w:t>
      </w:r>
    </w:p>
    <w:p>
      <w:pPr>
        <w:pStyle w:val="BodyText"/>
      </w:pPr>
      <w:r>
        <w:t xml:space="preserve">Recalling further the bilateral Iran-Oman working group that convened in Muscat beginning 24 June 2026 and reached, by early August 2026, a working understanding on new shipping lanes through the Strait: an inbound corridor running closer to the Iranian coast and an outbound corridor running closer to the Omani coast, with routing coordinates under continuing technical refinement;</w:t>
      </w:r>
    </w:p>
    <w:p>
      <w:pPr>
        <w:pStyle w:val="BodyText"/>
      </w:pPr>
      <w:r>
        <w:t xml:space="preserve">Noting that this bilateral channel performs real, substantive work, and noting equally that it remains, as of this Framework’s drafting, unembedded in any durable multilateral structure, unconnected to the wider Gulf littoral, and silent on the permanent governance question that persists once any interim arrangement’s term expires;</w:t>
      </w:r>
    </w:p>
    <w:p>
      <w:pPr>
        <w:pStyle w:val="BodyText"/>
      </w:pPr>
      <w:r>
        <w:t xml:space="preserve">Noting that the fee question, the control question, and the sequencing question (which Party moves first) form the three interlocking obstacles that repeated bilateral and trilateral talks have not yet resolved, and that this Framework answers each obstacle with a structural mechanism rather than a one-time political bargain;</w:t>
      </w:r>
    </w:p>
    <w:p>
      <w:pPr>
        <w:pStyle w:val="BodyText"/>
      </w:pPr>
      <w:r>
        <w:t xml:space="preserve">Affirming that each Party’s participation in this Framework is an exercise of sovereignty, not a delegation of sovereignty, and that the Framework operates as a technical and operational governance system without prejudice to any Party’s sovereignty, territorial integrity, or legal position on any question this instrument does not expressly address;</w:t>
      </w:r>
    </w:p>
    <w:p>
      <w:pPr>
        <w:pStyle w:val="BodyText"/>
      </w:pPr>
      <w:r>
        <w:t xml:space="preserve">Affirming the customary and conventional law of transit passage through straits used for international navigation, the coastal state’s right to regulate safety and environmental protection consistent with that law, and the settled distinction between an unlawful charge on passage and a lawful charge for a documented, delivered service;</w:t>
      </w:r>
    </w:p>
    <w:p>
      <w:pPr>
        <w:pStyle w:val="BodyText"/>
      </w:pPr>
      <w:r>
        <w:t xml:space="preserve">Recognizing that Iran’s northern coastline and Oman’s southern coastline together frame the Strait, that both states carry the operational burden of its safety, and that a durable architecture gives both a defined, growing, and dignified functional role rather than a static, one-time allocation;</w:t>
      </w:r>
    </w:p>
    <w:p>
      <w:pPr>
        <w:pStyle w:val="BodyText"/>
      </w:pPr>
      <w:r>
        <w:t xml:space="preserve">Recognizing equally that the world’s shippers, insurers, energy consumers, and the wider Gulf littoral hold a direct stake in predictable, non-discriminatory, toll-free passage, and that no durable architecture survives without their confidence;</w:t>
      </w:r>
    </w:p>
    <w:p>
      <w:pPr>
        <w:pStyle w:val="BodyText"/>
      </w:pPr>
      <w:r>
        <w:t xml:space="preserve">The Parties establish the Amanat Framework, structured as eleven Parts spanning foundations, phased activation, layered institutions, the corridor and navigation system, the Earned Stewardship Ladder, the economic architecture, security de-confliction, verification, dispute resolution, legal status, and final provisions, together with nine operative Annexes.</w:t>
      </w:r>
    </w:p>
    <w:bookmarkEnd w:id="22"/>
    <w:bookmarkEnd w:id="23"/>
    <w:bookmarkStart w:id="24" w:name="table-of-contents"/>
    <w:p>
      <w:pPr>
        <w:pStyle w:val="Heading1"/>
      </w:pPr>
      <w:r>
        <w:t xml:space="preserve">Table of Contents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Page</w:t>
            </w:r>
          </w:p>
        </w:tc>
      </w:tr>
      <w:tr>
        <w:tc>
          <w:tcPr/>
          <w:p>
            <w:pPr>
              <w:pStyle w:val="Compact"/>
              <w:jc w:val="left"/>
            </w:pPr>
            <w:r>
              <w:rPr>
                <w:bCs/>
                <w:b/>
              </w:rPr>
              <w:t xml:space="preserve">Document Control</w:t>
            </w:r>
          </w:p>
        </w:tc>
        <w:tc>
          <w:tcPr/>
          <w:p>
            <w:pPr>
              <w:pStyle w:val="Compact"/>
              <w:jc w:val="left"/>
            </w:pPr>
            <w:r>
              <w:t xml:space="preserve">2</w:t>
            </w:r>
          </w:p>
        </w:tc>
      </w:tr>
      <w:tr>
        <w:tc>
          <w:tcPr/>
          <w:p>
            <w:pPr>
              <w:pStyle w:val="Compact"/>
              <w:jc w:val="left"/>
            </w:pPr>
            <w:r>
              <w:rPr>
                <w:bCs/>
                <w:b/>
              </w:rPr>
              <w:t xml:space="preserve">The Amanat Declaration of Principles</w:t>
            </w:r>
          </w:p>
        </w:tc>
        <w:tc>
          <w:tcPr/>
          <w:p>
            <w:pPr>
              <w:pStyle w:val="Compact"/>
              <w:jc w:val="left"/>
            </w:pPr>
            <w:r>
              <w:t xml:space="preserve">3</w:t>
            </w:r>
          </w:p>
        </w:tc>
      </w:tr>
      <w:tr>
        <w:tc>
          <w:tcPr/>
          <w:p>
            <w:pPr>
              <w:pStyle w:val="Compact"/>
              <w:jc w:val="left"/>
            </w:pPr>
            <w:r>
              <w:rPr>
                <w:bCs/>
                <w:b/>
              </w:rPr>
              <w:t xml:space="preserve">Preamble: The Moment of August 2026</w:t>
            </w:r>
          </w:p>
        </w:tc>
        <w:tc>
          <w:tcPr/>
          <w:p>
            <w:pPr>
              <w:pStyle w:val="Compact"/>
              <w:jc w:val="left"/>
            </w:pPr>
            <w:r>
              <w:t xml:space="preserve">5</w:t>
            </w:r>
          </w:p>
        </w:tc>
      </w:tr>
      <w:tr>
        <w:tc>
          <w:tcPr/>
          <w:p>
            <w:pPr>
              <w:pStyle w:val="Compact"/>
              <w:jc w:val="left"/>
            </w:pPr>
            <w:r>
              <w:rPr>
                <w:bCs/>
                <w:b/>
              </w:rPr>
              <w:t xml:space="preserve">Part I: Foundations</w:t>
            </w:r>
          </w:p>
        </w:tc>
        <w:tc>
          <w:tcPr/>
          <w:p>
            <w:pPr>
              <w:pStyle w:val="Compact"/>
              <w:jc w:val="left"/>
            </w:pPr>
            <w:r>
              <w:t xml:space="preserve">12</w:t>
            </w:r>
          </w:p>
        </w:tc>
      </w:tr>
      <w:tr>
        <w:tc>
          <w:tcPr/>
          <w:p>
            <w:pPr>
              <w:pStyle w:val="Compact"/>
              <w:jc w:val="left"/>
            </w:pPr>
            <w:r>
              <w:t xml:space="preserve">    Article 1: Establishment, Purpose, and Scope</w:t>
            </w:r>
          </w:p>
        </w:tc>
        <w:tc>
          <w:tcPr/>
          <w:p>
            <w:pPr>
              <w:pStyle w:val="Compact"/>
              <w:jc w:val="left"/>
            </w:pPr>
            <w:r>
              <w:t xml:space="preserve">12</w:t>
            </w:r>
          </w:p>
        </w:tc>
      </w:tr>
      <w:tr>
        <w:tc>
          <w:tcPr/>
          <w:p>
            <w:pPr>
              <w:pStyle w:val="Compact"/>
              <w:jc w:val="left"/>
            </w:pPr>
            <w:r>
              <w:t xml:space="preserve">    Article 2: Legal Foundations</w:t>
            </w:r>
          </w:p>
        </w:tc>
        <w:tc>
          <w:tcPr/>
          <w:p>
            <w:pPr>
              <w:pStyle w:val="Compact"/>
              <w:jc w:val="left"/>
            </w:pPr>
            <w:r>
              <w:t xml:space="preserve">14</w:t>
            </w:r>
          </w:p>
        </w:tc>
      </w:tr>
      <w:tr>
        <w:tc>
          <w:tcPr/>
          <w:p>
            <w:pPr>
              <w:pStyle w:val="Compact"/>
              <w:jc w:val="left"/>
            </w:pPr>
            <w:r>
              <w:t xml:space="preserve">    Article 3: Core Operating Principles and the Simplicity Mandate</w:t>
            </w:r>
          </w:p>
        </w:tc>
        <w:tc>
          <w:tcPr/>
          <w:p>
            <w:pPr>
              <w:pStyle w:val="Compact"/>
              <w:jc w:val="left"/>
            </w:pPr>
            <w:r>
              <w:t xml:space="preserve">16</w:t>
            </w:r>
          </w:p>
        </w:tc>
      </w:tr>
      <w:tr>
        <w:tc>
          <w:tcPr/>
          <w:p>
            <w:pPr>
              <w:pStyle w:val="Compact"/>
              <w:jc w:val="left"/>
            </w:pPr>
            <w:r>
              <w:t xml:space="preserve">    Article 4: The Red Lines Register and the Perimeter Test</w:t>
            </w:r>
          </w:p>
        </w:tc>
        <w:tc>
          <w:tcPr/>
          <w:p>
            <w:pPr>
              <w:pStyle w:val="Compact"/>
              <w:jc w:val="left"/>
            </w:pPr>
            <w:r>
              <w:t xml:space="preserve">16</w:t>
            </w:r>
          </w:p>
        </w:tc>
      </w:tr>
      <w:tr>
        <w:tc>
          <w:tcPr/>
          <w:p>
            <w:pPr>
              <w:pStyle w:val="Compact"/>
              <w:jc w:val="left"/>
            </w:pPr>
            <w:r>
              <w:t xml:space="preserve">    Article 5: Critical Infrastructure Protection</w:t>
            </w:r>
          </w:p>
        </w:tc>
        <w:tc>
          <w:tcPr/>
          <w:p>
            <w:pPr>
              <w:pStyle w:val="Compact"/>
              <w:jc w:val="left"/>
            </w:pPr>
            <w:r>
              <w:t xml:space="preserve">17</w:t>
            </w:r>
          </w:p>
        </w:tc>
      </w:tr>
      <w:tr>
        <w:tc>
          <w:tcPr/>
          <w:p>
            <w:pPr>
              <w:pStyle w:val="Compact"/>
              <w:jc w:val="left"/>
            </w:pPr>
            <w:r>
              <w:t xml:space="preserve">    Article 6: The Continuity Principle</w:t>
            </w:r>
          </w:p>
        </w:tc>
        <w:tc>
          <w:tcPr/>
          <w:p>
            <w:pPr>
              <w:pStyle w:val="Compact"/>
              <w:jc w:val="left"/>
            </w:pPr>
            <w:r>
              <w:t xml:space="preserve">18</w:t>
            </w:r>
          </w:p>
        </w:tc>
      </w:tr>
      <w:tr>
        <w:tc>
          <w:tcPr/>
          <w:p>
            <w:pPr>
              <w:pStyle w:val="Compact"/>
              <w:jc w:val="left"/>
            </w:pPr>
            <w:r>
              <w:rPr>
                <w:bCs/>
                <w:b/>
              </w:rPr>
              <w:t xml:space="preserve">Part II: The Multi-Phase Activation Architecture</w:t>
            </w:r>
          </w:p>
        </w:tc>
        <w:tc>
          <w:tcPr/>
          <w:p>
            <w:pPr>
              <w:pStyle w:val="Compact"/>
              <w:jc w:val="left"/>
            </w:pPr>
            <w:r>
              <w:t xml:space="preserve">20</w:t>
            </w:r>
          </w:p>
        </w:tc>
      </w:tr>
      <w:tr>
        <w:tc>
          <w:tcPr/>
          <w:p>
            <w:pPr>
              <w:pStyle w:val="Compact"/>
              <w:jc w:val="left"/>
            </w:pPr>
            <w:r>
              <w:t xml:space="preserve">    Article 7: The Phase Architecture</w:t>
            </w:r>
          </w:p>
        </w:tc>
        <w:tc>
          <w:tcPr/>
          <w:p>
            <w:pPr>
              <w:pStyle w:val="Compact"/>
              <w:jc w:val="left"/>
            </w:pPr>
            <w:r>
              <w:t xml:space="preserve">20</w:t>
            </w:r>
          </w:p>
        </w:tc>
      </w:tr>
      <w:tr>
        <w:tc>
          <w:tcPr/>
          <w:p>
            <w:pPr>
              <w:pStyle w:val="Compact"/>
              <w:jc w:val="left"/>
            </w:pPr>
            <w:r>
              <w:t xml:space="preserve">    Article 8: Phase 0, Signature and Entry into Force</w:t>
            </w:r>
          </w:p>
        </w:tc>
        <w:tc>
          <w:tcPr/>
          <w:p>
            <w:pPr>
              <w:pStyle w:val="Compact"/>
              <w:jc w:val="left"/>
            </w:pPr>
            <w:r>
              <w:t xml:space="preserve">21</w:t>
            </w:r>
          </w:p>
        </w:tc>
      </w:tr>
      <w:tr>
        <w:tc>
          <w:tcPr/>
          <w:p>
            <w:pPr>
              <w:pStyle w:val="Compact"/>
              <w:jc w:val="left"/>
            </w:pPr>
            <w:r>
              <w:t xml:space="preserve">    Article 9: Phase 1, Immediate Stabilization (Day 0 to Day 30)</w:t>
            </w:r>
          </w:p>
        </w:tc>
        <w:tc>
          <w:tcPr/>
          <w:p>
            <w:pPr>
              <w:pStyle w:val="Compact"/>
              <w:jc w:val="left"/>
            </w:pPr>
            <w:r>
              <w:t xml:space="preserve">22</w:t>
            </w:r>
          </w:p>
        </w:tc>
      </w:tr>
      <w:tr>
        <w:tc>
          <w:tcPr/>
          <w:p>
            <w:pPr>
              <w:pStyle w:val="Compact"/>
              <w:jc w:val="left"/>
            </w:pPr>
            <w:r>
              <w:t xml:space="preserve">    Article 10: Phase 2, Operational Normalization (Day 30 to Day 90)</w:t>
            </w:r>
          </w:p>
        </w:tc>
        <w:tc>
          <w:tcPr/>
          <w:p>
            <w:pPr>
              <w:pStyle w:val="Compact"/>
              <w:jc w:val="left"/>
            </w:pPr>
            <w:r>
              <w:t xml:space="preserve">23</w:t>
            </w:r>
          </w:p>
        </w:tc>
      </w:tr>
      <w:tr>
        <w:tc>
          <w:tcPr/>
          <w:p>
            <w:pPr>
              <w:pStyle w:val="Compact"/>
              <w:jc w:val="left"/>
            </w:pPr>
            <w:r>
              <w:t xml:space="preserve">    Article 11: Phase 3, Institutional Consolidation (Month 3 to Month 12)</w:t>
            </w:r>
          </w:p>
        </w:tc>
        <w:tc>
          <w:tcPr/>
          <w:p>
            <w:pPr>
              <w:pStyle w:val="Compact"/>
              <w:jc w:val="left"/>
            </w:pPr>
            <w:r>
              <w:t xml:space="preserve">23</w:t>
            </w:r>
          </w:p>
        </w:tc>
      </w:tr>
      <w:tr>
        <w:tc>
          <w:tcPr/>
          <w:p>
            <w:pPr>
              <w:pStyle w:val="Compact"/>
              <w:jc w:val="left"/>
            </w:pPr>
            <w:r>
              <w:t xml:space="preserve">    Article 12: Phase 4, Permanent Governance</w:t>
            </w:r>
          </w:p>
        </w:tc>
        <w:tc>
          <w:tcPr/>
          <w:p>
            <w:pPr>
              <w:pStyle w:val="Compact"/>
              <w:jc w:val="left"/>
            </w:pPr>
            <w:r>
              <w:t xml:space="preserve">24</w:t>
            </w:r>
          </w:p>
        </w:tc>
      </w:tr>
      <w:tr>
        <w:tc>
          <w:tcPr/>
          <w:p>
            <w:pPr>
              <w:pStyle w:val="Compact"/>
              <w:jc w:val="left"/>
            </w:pPr>
            <w:r>
              <w:rPr>
                <w:bCs/>
                <w:b/>
              </w:rPr>
              <w:t xml:space="preserve">Part III: The Multi-Layered Institutional Architecture</w:t>
            </w:r>
          </w:p>
        </w:tc>
        <w:tc>
          <w:tcPr/>
          <w:p>
            <w:pPr>
              <w:pStyle w:val="Compact"/>
              <w:jc w:val="left"/>
            </w:pPr>
            <w:r>
              <w:t xml:space="preserve">26</w:t>
            </w:r>
          </w:p>
        </w:tc>
      </w:tr>
      <w:tr>
        <w:tc>
          <w:tcPr/>
          <w:p>
            <w:pPr>
              <w:pStyle w:val="Compact"/>
              <w:jc w:val="left"/>
            </w:pPr>
            <w:r>
              <w:t xml:space="preserve">    Article 13: The Seven Layers</w:t>
            </w:r>
          </w:p>
        </w:tc>
        <w:tc>
          <w:tcPr/>
          <w:p>
            <w:pPr>
              <w:pStyle w:val="Compact"/>
              <w:jc w:val="left"/>
            </w:pPr>
            <w:r>
              <w:t xml:space="preserve">26</w:t>
            </w:r>
          </w:p>
        </w:tc>
      </w:tr>
      <w:tr>
        <w:tc>
          <w:tcPr/>
          <w:p>
            <w:pPr>
              <w:pStyle w:val="Compact"/>
              <w:jc w:val="left"/>
            </w:pPr>
            <w:r>
              <w:t xml:space="preserve">    Article 14: The Amanat Council</w:t>
            </w:r>
          </w:p>
        </w:tc>
        <w:tc>
          <w:tcPr/>
          <w:p>
            <w:pPr>
              <w:pStyle w:val="Compact"/>
              <w:jc w:val="left"/>
            </w:pPr>
            <w:r>
              <w:t xml:space="preserve">27</w:t>
            </w:r>
          </w:p>
        </w:tc>
      </w:tr>
      <w:tr>
        <w:tc>
          <w:tcPr/>
          <w:p>
            <w:pPr>
              <w:pStyle w:val="Compact"/>
              <w:jc w:val="left"/>
            </w:pPr>
            <w:r>
              <w:t xml:space="preserve">    Article 15: Participation Architecture and the Role of the United States and External Stakeholders</w:t>
            </w:r>
          </w:p>
        </w:tc>
        <w:tc>
          <w:tcPr/>
          <w:p>
            <w:pPr>
              <w:pStyle w:val="Compact"/>
              <w:jc w:val="left"/>
            </w:pPr>
            <w:r>
              <w:t xml:space="preserve">28</w:t>
            </w:r>
          </w:p>
        </w:tc>
      </w:tr>
      <w:tr>
        <w:tc>
          <w:tcPr/>
          <w:p>
            <w:pPr>
              <w:pStyle w:val="Compact"/>
              <w:jc w:val="left"/>
            </w:pPr>
            <w:r>
              <w:t xml:space="preserve">    Article 16: The Hormuz Operations Center and the Technical Committee</w:t>
            </w:r>
          </w:p>
        </w:tc>
        <w:tc>
          <w:tcPr/>
          <w:p>
            <w:pPr>
              <w:pStyle w:val="Compact"/>
              <w:jc w:val="left"/>
            </w:pPr>
            <w:r>
              <w:t xml:space="preserve">29</w:t>
            </w:r>
          </w:p>
        </w:tc>
      </w:tr>
      <w:tr>
        <w:tc>
          <w:tcPr/>
          <w:p>
            <w:pPr>
              <w:pStyle w:val="Compact"/>
              <w:jc w:val="left"/>
            </w:pPr>
            <w:r>
              <w:t xml:space="preserve">    Article 17: The Amanat Secretariat and the Neutral Administrator</w:t>
            </w:r>
          </w:p>
        </w:tc>
        <w:tc>
          <w:tcPr/>
          <w:p>
            <w:pPr>
              <w:pStyle w:val="Compact"/>
              <w:jc w:val="left"/>
            </w:pPr>
            <w:r>
              <w:t xml:space="preserve">29</w:t>
            </w:r>
          </w:p>
        </w:tc>
      </w:tr>
      <w:tr>
        <w:tc>
          <w:tcPr/>
          <w:p>
            <w:pPr>
              <w:pStyle w:val="Compact"/>
              <w:jc w:val="left"/>
            </w:pPr>
            <w:r>
              <w:t xml:space="preserve">    Article 18: Decision Rules</w:t>
            </w:r>
          </w:p>
        </w:tc>
        <w:tc>
          <w:tcPr/>
          <w:p>
            <w:pPr>
              <w:pStyle w:val="Compact"/>
              <w:jc w:val="left"/>
            </w:pPr>
            <w:r>
              <w:t xml:space="preserve">30</w:t>
            </w:r>
          </w:p>
        </w:tc>
      </w:tr>
      <w:tr>
        <w:tc>
          <w:tcPr/>
          <w:p>
            <w:pPr>
              <w:pStyle w:val="Compact"/>
              <w:jc w:val="left"/>
            </w:pPr>
            <w:r>
              <w:rPr>
                <w:bCs/>
                <w:b/>
              </w:rPr>
              <w:t xml:space="preserve">Part IV: The Corridor and Navigation System</w:t>
            </w:r>
          </w:p>
        </w:tc>
        <w:tc>
          <w:tcPr/>
          <w:p>
            <w:pPr>
              <w:pStyle w:val="Compact"/>
              <w:jc w:val="left"/>
            </w:pPr>
            <w:r>
              <w:t xml:space="preserve">32</w:t>
            </w:r>
          </w:p>
        </w:tc>
      </w:tr>
      <w:tr>
        <w:tc>
          <w:tcPr/>
          <w:p>
            <w:pPr>
              <w:pStyle w:val="Compact"/>
              <w:jc w:val="left"/>
            </w:pPr>
            <w:r>
              <w:t xml:space="preserve">    Article 19: The Governance Area and Boundary Coordinates</w:t>
            </w:r>
          </w:p>
        </w:tc>
        <w:tc>
          <w:tcPr/>
          <w:p>
            <w:pPr>
              <w:pStyle w:val="Compact"/>
              <w:jc w:val="left"/>
            </w:pPr>
            <w:r>
              <w:t xml:space="preserve">32</w:t>
            </w:r>
          </w:p>
        </w:tc>
      </w:tr>
      <w:tr>
        <w:tc>
          <w:tcPr/>
          <w:p>
            <w:pPr>
              <w:pStyle w:val="Compact"/>
              <w:jc w:val="left"/>
            </w:pPr>
            <w:r>
              <w:t xml:space="preserve">    Article 20: Safe Passage and the Non-Interdiction Protocol</w:t>
            </w:r>
          </w:p>
        </w:tc>
        <w:tc>
          <w:tcPr/>
          <w:p>
            <w:pPr>
              <w:pStyle w:val="Compact"/>
              <w:jc w:val="left"/>
            </w:pPr>
            <w:r>
              <w:t xml:space="preserve">32</w:t>
            </w:r>
          </w:p>
        </w:tc>
      </w:tr>
      <w:tr>
        <w:tc>
          <w:tcPr/>
          <w:p>
            <w:pPr>
              <w:pStyle w:val="Compact"/>
              <w:jc w:val="left"/>
            </w:pPr>
            <w:r>
              <w:t xml:space="preserve">    Article 21: The Three-Corridor System</w:t>
            </w:r>
          </w:p>
        </w:tc>
        <w:tc>
          <w:tcPr/>
          <w:p>
            <w:pPr>
              <w:pStyle w:val="Compact"/>
              <w:jc w:val="left"/>
            </w:pPr>
            <w:r>
              <w:t xml:space="preserve">34</w:t>
            </w:r>
          </w:p>
        </w:tc>
      </w:tr>
      <w:tr>
        <w:tc>
          <w:tcPr/>
          <w:p>
            <w:pPr>
              <w:pStyle w:val="Compact"/>
              <w:jc w:val="left"/>
            </w:pPr>
            <w:r>
              <w:t xml:space="preserve">    Article 22: Hazard Survey, Demining, and the Reopening Sequence</w:t>
            </w:r>
          </w:p>
        </w:tc>
        <w:tc>
          <w:tcPr/>
          <w:p>
            <w:pPr>
              <w:pStyle w:val="Compact"/>
              <w:jc w:val="left"/>
            </w:pPr>
            <w:r>
              <w:t xml:space="preserve">35</w:t>
            </w:r>
          </w:p>
        </w:tc>
      </w:tr>
      <w:tr>
        <w:tc>
          <w:tcPr/>
          <w:p>
            <w:pPr>
              <w:pStyle w:val="Compact"/>
              <w:jc w:val="left"/>
            </w:pPr>
            <w:r>
              <w:t xml:space="preserve">    Article 23: Vessel Classification and Differentiated Treatment</w:t>
            </w:r>
          </w:p>
        </w:tc>
        <w:tc>
          <w:tcPr/>
          <w:p>
            <w:pPr>
              <w:pStyle w:val="Compact"/>
              <w:jc w:val="left"/>
            </w:pPr>
            <w:r>
              <w:t xml:space="preserve">36</w:t>
            </w:r>
          </w:p>
        </w:tc>
      </w:tr>
      <w:tr>
        <w:tc>
          <w:tcPr/>
          <w:p>
            <w:pPr>
              <w:pStyle w:val="Compact"/>
              <w:jc w:val="left"/>
            </w:pPr>
            <w:r>
              <w:rPr>
                <w:bCs/>
                <w:b/>
              </w:rPr>
              <w:t xml:space="preserve">Part V: The Earned Stewardship Ladder</w:t>
            </w:r>
          </w:p>
        </w:tc>
        <w:tc>
          <w:tcPr/>
          <w:p>
            <w:pPr>
              <w:pStyle w:val="Compact"/>
              <w:jc w:val="left"/>
            </w:pPr>
            <w:r>
              <w:t xml:space="preserve">38</w:t>
            </w:r>
          </w:p>
        </w:tc>
      </w:tr>
      <w:tr>
        <w:tc>
          <w:tcPr/>
          <w:p>
            <w:pPr>
              <w:pStyle w:val="Compact"/>
              <w:jc w:val="left"/>
            </w:pPr>
            <w:r>
              <w:t xml:space="preserve">    Article 24: The Earned Stewardship Ladder</w:t>
            </w:r>
          </w:p>
        </w:tc>
        <w:tc>
          <w:tcPr/>
          <w:p>
            <w:pPr>
              <w:pStyle w:val="Compact"/>
              <w:jc w:val="left"/>
            </w:pPr>
            <w:r>
              <w:t xml:space="preserve">38</w:t>
            </w:r>
          </w:p>
        </w:tc>
      </w:tr>
      <w:tr>
        <w:tc>
          <w:tcPr/>
          <w:p>
            <w:pPr>
              <w:pStyle w:val="Compact"/>
              <w:jc w:val="left"/>
            </w:pPr>
            <w:r>
              <w:t xml:space="preserve">    Article 25: Good-Week Verification and the Escalator Schedule</w:t>
            </w:r>
          </w:p>
        </w:tc>
        <w:tc>
          <w:tcPr/>
          <w:p>
            <w:pPr>
              <w:pStyle w:val="Compact"/>
              <w:jc w:val="left"/>
            </w:pPr>
            <w:r>
              <w:t xml:space="preserve">40</w:t>
            </w:r>
          </w:p>
        </w:tc>
      </w:tr>
      <w:tr>
        <w:tc>
          <w:tcPr/>
          <w:p>
            <w:pPr>
              <w:pStyle w:val="Compact"/>
              <w:jc w:val="left"/>
            </w:pPr>
            <w:r>
              <w:t xml:space="preserve">    Article 26: Reset Triggers, Pauses, and the Permanent Floor</w:t>
            </w:r>
          </w:p>
        </w:tc>
        <w:tc>
          <w:tcPr/>
          <w:p>
            <w:pPr>
              <w:pStyle w:val="Compact"/>
              <w:jc w:val="left"/>
            </w:pPr>
            <w:r>
              <w:t xml:space="preserve">41</w:t>
            </w:r>
          </w:p>
        </w:tc>
      </w:tr>
      <w:tr>
        <w:tc>
          <w:tcPr/>
          <w:p>
            <w:pPr>
              <w:pStyle w:val="Compact"/>
              <w:jc w:val="left"/>
            </w:pPr>
            <w:r>
              <w:rPr>
                <w:bCs/>
                <w:b/>
              </w:rPr>
              <w:t xml:space="preserve">Part VI: The Economic Architecture and Fee Resolution</w:t>
            </w:r>
          </w:p>
        </w:tc>
        <w:tc>
          <w:tcPr/>
          <w:p>
            <w:pPr>
              <w:pStyle w:val="Compact"/>
              <w:jc w:val="left"/>
            </w:pPr>
            <w:r>
              <w:t xml:space="preserve">43</w:t>
            </w:r>
          </w:p>
        </w:tc>
      </w:tr>
      <w:tr>
        <w:tc>
          <w:tcPr/>
          <w:p>
            <w:pPr>
              <w:pStyle w:val="Compact"/>
              <w:jc w:val="left"/>
            </w:pPr>
            <w:r>
              <w:t xml:space="preserve">    Article 27: The Zero-Toll Rule</w:t>
            </w:r>
          </w:p>
        </w:tc>
        <w:tc>
          <w:tcPr/>
          <w:p>
            <w:pPr>
              <w:pStyle w:val="Compact"/>
              <w:jc w:val="left"/>
            </w:pPr>
            <w:r>
              <w:t xml:space="preserve">43</w:t>
            </w:r>
          </w:p>
        </w:tc>
      </w:tr>
      <w:tr>
        <w:tc>
          <w:tcPr/>
          <w:p>
            <w:pPr>
              <w:pStyle w:val="Compact"/>
              <w:jc w:val="left"/>
            </w:pPr>
            <w:r>
              <w:t xml:space="preserve">    Article 28: The Hormuz Transit Services Fund</w:t>
            </w:r>
          </w:p>
        </w:tc>
        <w:tc>
          <w:tcPr/>
          <w:p>
            <w:pPr>
              <w:pStyle w:val="Compact"/>
              <w:jc w:val="left"/>
            </w:pPr>
            <w:r>
              <w:t xml:space="preserve">43</w:t>
            </w:r>
          </w:p>
        </w:tc>
      </w:tr>
      <w:tr>
        <w:tc>
          <w:tcPr/>
          <w:p>
            <w:pPr>
              <w:pStyle w:val="Compact"/>
              <w:jc w:val="left"/>
            </w:pPr>
            <w:r>
              <w:t xml:space="preserve">    Article 29: The Sanctions-Compliance Firewall and Neutral Escrow</w:t>
            </w:r>
          </w:p>
        </w:tc>
        <w:tc>
          <w:tcPr/>
          <w:p>
            <w:pPr>
              <w:pStyle w:val="Compact"/>
              <w:jc w:val="left"/>
            </w:pPr>
            <w:r>
              <w:t xml:space="preserve">45</w:t>
            </w:r>
          </w:p>
        </w:tc>
      </w:tr>
      <w:tr>
        <w:tc>
          <w:tcPr/>
          <w:p>
            <w:pPr>
              <w:pStyle w:val="Compact"/>
              <w:jc w:val="left"/>
            </w:pPr>
            <w:r>
              <w:t xml:space="preserve">    Article 30: The Hormuz Coastal Development Window</w:t>
            </w:r>
          </w:p>
        </w:tc>
        <w:tc>
          <w:tcPr/>
          <w:p>
            <w:pPr>
              <w:pStyle w:val="Compact"/>
              <w:jc w:val="left"/>
            </w:pPr>
            <w:r>
              <w:t xml:space="preserve">46</w:t>
            </w:r>
          </w:p>
        </w:tc>
      </w:tr>
      <w:tr>
        <w:tc>
          <w:tcPr/>
          <w:p>
            <w:pPr>
              <w:pStyle w:val="Compact"/>
              <w:jc w:val="left"/>
            </w:pPr>
            <w:r>
              <w:rPr>
                <w:bCs/>
                <w:b/>
              </w:rPr>
              <w:t xml:space="preserve">Part VII: Security De-confliction and Non-Escalation</w:t>
            </w:r>
          </w:p>
        </w:tc>
        <w:tc>
          <w:tcPr/>
          <w:p>
            <w:pPr>
              <w:pStyle w:val="Compact"/>
              <w:jc w:val="left"/>
            </w:pPr>
            <w:r>
              <w:t xml:space="preserve">48</w:t>
            </w:r>
          </w:p>
        </w:tc>
      </w:tr>
      <w:tr>
        <w:tc>
          <w:tcPr/>
          <w:p>
            <w:pPr>
              <w:pStyle w:val="Compact"/>
              <w:jc w:val="left"/>
            </w:pPr>
            <w:r>
              <w:t xml:space="preserve">    Article 31: Demarcation of Governance and Hard Security</w:t>
            </w:r>
          </w:p>
        </w:tc>
        <w:tc>
          <w:tcPr/>
          <w:p>
            <w:pPr>
              <w:pStyle w:val="Compact"/>
              <w:jc w:val="left"/>
            </w:pPr>
            <w:r>
              <w:t xml:space="preserve">48</w:t>
            </w:r>
          </w:p>
        </w:tc>
      </w:tr>
      <w:tr>
        <w:tc>
          <w:tcPr/>
          <w:p>
            <w:pPr>
              <w:pStyle w:val="Compact"/>
              <w:jc w:val="left"/>
            </w:pPr>
            <w:r>
              <w:t xml:space="preserve">    Article 32: Naval De-confliction and the Standoff Geometry</w:t>
            </w:r>
          </w:p>
        </w:tc>
        <w:tc>
          <w:tcPr/>
          <w:p>
            <w:pPr>
              <w:pStyle w:val="Compact"/>
              <w:jc w:val="left"/>
            </w:pPr>
            <w:r>
              <w:t xml:space="preserve">48</w:t>
            </w:r>
          </w:p>
        </w:tc>
      </w:tr>
      <w:tr>
        <w:tc>
          <w:tcPr/>
          <w:p>
            <w:pPr>
              <w:pStyle w:val="Compact"/>
              <w:jc w:val="left"/>
            </w:pPr>
            <w:r>
              <w:t xml:space="preserve">    Article 33: The Security Escalation Protocol</w:t>
            </w:r>
          </w:p>
        </w:tc>
        <w:tc>
          <w:tcPr/>
          <w:p>
            <w:pPr>
              <w:pStyle w:val="Compact"/>
              <w:jc w:val="left"/>
            </w:pPr>
            <w:r>
              <w:t xml:space="preserve">50</w:t>
            </w:r>
          </w:p>
        </w:tc>
      </w:tr>
      <w:tr>
        <w:tc>
          <w:tcPr/>
          <w:p>
            <w:pPr>
              <w:pStyle w:val="Compact"/>
              <w:jc w:val="left"/>
            </w:pPr>
            <w:r>
              <w:rPr>
                <w:bCs/>
                <w:b/>
              </w:rPr>
              <w:t xml:space="preserve">Part VIII: Verification and the Compliance Engine</w:t>
            </w:r>
          </w:p>
        </w:tc>
        <w:tc>
          <w:tcPr/>
          <w:p>
            <w:pPr>
              <w:pStyle w:val="Compact"/>
              <w:jc w:val="left"/>
            </w:pPr>
            <w:r>
              <w:t xml:space="preserve">52</w:t>
            </w:r>
          </w:p>
        </w:tc>
      </w:tr>
      <w:tr>
        <w:tc>
          <w:tcPr/>
          <w:p>
            <w:pPr>
              <w:pStyle w:val="Compact"/>
              <w:jc w:val="left"/>
            </w:pPr>
            <w:r>
              <w:t xml:space="preserve">    Article 34: The Amanat Watch and the Human Anchor Method</w:t>
            </w:r>
          </w:p>
        </w:tc>
        <w:tc>
          <w:tcPr/>
          <w:p>
            <w:pPr>
              <w:pStyle w:val="Compact"/>
              <w:jc w:val="left"/>
            </w:pPr>
            <w:r>
              <w:t xml:space="preserve">52</w:t>
            </w:r>
          </w:p>
        </w:tc>
      </w:tr>
      <w:tr>
        <w:tc>
          <w:tcPr/>
          <w:p>
            <w:pPr>
              <w:pStyle w:val="Compact"/>
              <w:jc w:val="left"/>
            </w:pPr>
            <w:r>
              <w:t xml:space="preserve">    Article 35: The Compliance Engine</w:t>
            </w:r>
          </w:p>
        </w:tc>
        <w:tc>
          <w:tcPr/>
          <w:p>
            <w:pPr>
              <w:pStyle w:val="Compact"/>
              <w:jc w:val="left"/>
            </w:pPr>
            <w:r>
              <w:t xml:space="preserve">53</w:t>
            </w:r>
          </w:p>
        </w:tc>
      </w:tr>
      <w:tr>
        <w:tc>
          <w:tcPr/>
          <w:p>
            <w:pPr>
              <w:pStyle w:val="Compact"/>
              <w:jc w:val="left"/>
            </w:pPr>
            <w:r>
              <w:t xml:space="preserve">    Article 36: Evidentiary Rules and the Contest Procedure</w:t>
            </w:r>
          </w:p>
        </w:tc>
        <w:tc>
          <w:tcPr/>
          <w:p>
            <w:pPr>
              <w:pStyle w:val="Compact"/>
              <w:jc w:val="left"/>
            </w:pPr>
            <w:r>
              <w:t xml:space="preserve">54</w:t>
            </w:r>
          </w:p>
        </w:tc>
      </w:tr>
      <w:tr>
        <w:tc>
          <w:tcPr/>
          <w:p>
            <w:pPr>
              <w:pStyle w:val="Compact"/>
              <w:jc w:val="left"/>
            </w:pPr>
            <w:r>
              <w:rPr>
                <w:bCs/>
                <w:b/>
              </w:rPr>
              <w:t xml:space="preserve">Part IX: Dispute Resolution and Enforcement</w:t>
            </w:r>
          </w:p>
        </w:tc>
        <w:tc>
          <w:tcPr/>
          <w:p>
            <w:pPr>
              <w:pStyle w:val="Compact"/>
              <w:jc w:val="left"/>
            </w:pPr>
            <w:r>
              <w:t xml:space="preserve">56</w:t>
            </w:r>
          </w:p>
        </w:tc>
      </w:tr>
      <w:tr>
        <w:tc>
          <w:tcPr/>
          <w:p>
            <w:pPr>
              <w:pStyle w:val="Compact"/>
              <w:jc w:val="left"/>
            </w:pPr>
            <w:r>
              <w:t xml:space="preserve">    Article 37: Tiered Dispute Resolution</w:t>
            </w:r>
          </w:p>
        </w:tc>
        <w:tc>
          <w:tcPr/>
          <w:p>
            <w:pPr>
              <w:pStyle w:val="Compact"/>
              <w:jc w:val="left"/>
            </w:pPr>
            <w:r>
              <w:t xml:space="preserve">56</w:t>
            </w:r>
          </w:p>
        </w:tc>
      </w:tr>
      <w:tr>
        <w:tc>
          <w:tcPr/>
          <w:p>
            <w:pPr>
              <w:pStyle w:val="Compact"/>
              <w:jc w:val="left"/>
            </w:pPr>
            <w:r>
              <w:t xml:space="preserve">    Article 38: The Hormuz Panel</w:t>
            </w:r>
          </w:p>
        </w:tc>
        <w:tc>
          <w:tcPr/>
          <w:p>
            <w:pPr>
              <w:pStyle w:val="Compact"/>
              <w:jc w:val="left"/>
            </w:pPr>
            <w:r>
              <w:t xml:space="preserve">57</w:t>
            </w:r>
          </w:p>
        </w:tc>
      </w:tr>
      <w:tr>
        <w:tc>
          <w:tcPr/>
          <w:p>
            <w:pPr>
              <w:pStyle w:val="Compact"/>
              <w:jc w:val="left"/>
            </w:pPr>
            <w:r>
              <w:rPr>
                <w:bCs/>
                <w:b/>
              </w:rPr>
              <w:t xml:space="preserve">Part X: Legal Status, Sovereignty, and Relationship to Other Instruments</w:t>
            </w:r>
          </w:p>
        </w:tc>
        <w:tc>
          <w:tcPr/>
          <w:p>
            <w:pPr>
              <w:pStyle w:val="Compact"/>
              <w:jc w:val="left"/>
            </w:pPr>
            <w:r>
              <w:t xml:space="preserve">59</w:t>
            </w:r>
          </w:p>
        </w:tc>
      </w:tr>
      <w:tr>
        <w:tc>
          <w:tcPr/>
          <w:p>
            <w:pPr>
              <w:pStyle w:val="Compact"/>
              <w:jc w:val="left"/>
            </w:pPr>
            <w:r>
              <w:t xml:space="preserve">    Article 39: Sovereignty, Immunities, and the Humanitarian Firewall</w:t>
            </w:r>
          </w:p>
        </w:tc>
        <w:tc>
          <w:tcPr/>
          <w:p>
            <w:pPr>
              <w:pStyle w:val="Compact"/>
              <w:jc w:val="left"/>
            </w:pPr>
            <w:r>
              <w:t xml:space="preserve">59</w:t>
            </w:r>
          </w:p>
        </w:tc>
      </w:tr>
      <w:tr>
        <w:tc>
          <w:tcPr/>
          <w:p>
            <w:pPr>
              <w:pStyle w:val="Compact"/>
              <w:jc w:val="left"/>
            </w:pPr>
            <w:r>
              <w:t xml:space="preserve">    Article 40: Relationship to Other Instruments and International Law</w:t>
            </w:r>
          </w:p>
        </w:tc>
        <w:tc>
          <w:tcPr/>
          <w:p>
            <w:pPr>
              <w:pStyle w:val="Compact"/>
              <w:jc w:val="left"/>
            </w:pPr>
            <w:r>
              <w:t xml:space="preserve">60</w:t>
            </w:r>
          </w:p>
        </w:tc>
      </w:tr>
      <w:tr>
        <w:tc>
          <w:tcPr/>
          <w:p>
            <w:pPr>
              <w:pStyle w:val="Compact"/>
              <w:jc w:val="left"/>
            </w:pPr>
            <w:r>
              <w:rPr>
                <w:bCs/>
                <w:b/>
              </w:rPr>
              <w:t xml:space="preserve">Part XI: Accession, Amendment, Withdrawal, and Final Provisions</w:t>
            </w:r>
          </w:p>
        </w:tc>
        <w:tc>
          <w:tcPr/>
          <w:p>
            <w:pPr>
              <w:pStyle w:val="Compact"/>
              <w:jc w:val="left"/>
            </w:pPr>
            <w:r>
              <w:t xml:space="preserve">62</w:t>
            </w:r>
          </w:p>
        </w:tc>
      </w:tr>
      <w:tr>
        <w:tc>
          <w:tcPr/>
          <w:p>
            <w:pPr>
              <w:pStyle w:val="Compact"/>
              <w:jc w:val="left"/>
            </w:pPr>
            <w:r>
              <w:t xml:space="preserve">    Article 41: Accession and the Multilateral Expansion Path</w:t>
            </w:r>
          </w:p>
        </w:tc>
        <w:tc>
          <w:tcPr/>
          <w:p>
            <w:pPr>
              <w:pStyle w:val="Compact"/>
              <w:jc w:val="left"/>
            </w:pPr>
            <w:r>
              <w:t xml:space="preserve">62</w:t>
            </w:r>
          </w:p>
        </w:tc>
      </w:tr>
      <w:tr>
        <w:tc>
          <w:tcPr/>
          <w:p>
            <w:pPr>
              <w:pStyle w:val="Compact"/>
              <w:jc w:val="left"/>
            </w:pPr>
            <w:r>
              <w:t xml:space="preserve">    Article 42: Amendment</w:t>
            </w:r>
          </w:p>
        </w:tc>
        <w:tc>
          <w:tcPr/>
          <w:p>
            <w:pPr>
              <w:pStyle w:val="Compact"/>
              <w:jc w:val="left"/>
            </w:pPr>
            <w:r>
              <w:t xml:space="preserve">63</w:t>
            </w:r>
          </w:p>
        </w:tc>
      </w:tr>
      <w:tr>
        <w:tc>
          <w:tcPr/>
          <w:p>
            <w:pPr>
              <w:pStyle w:val="Compact"/>
              <w:jc w:val="left"/>
            </w:pPr>
            <w:r>
              <w:t xml:space="preserve">    Article 43: Periodic Review</w:t>
            </w:r>
          </w:p>
        </w:tc>
        <w:tc>
          <w:tcPr/>
          <w:p>
            <w:pPr>
              <w:pStyle w:val="Compact"/>
              <w:jc w:val="left"/>
            </w:pPr>
            <w:r>
              <w:t xml:space="preserve">64</w:t>
            </w:r>
          </w:p>
        </w:tc>
      </w:tr>
      <w:tr>
        <w:tc>
          <w:tcPr/>
          <w:p>
            <w:pPr>
              <w:pStyle w:val="Compact"/>
              <w:jc w:val="left"/>
            </w:pPr>
            <w:r>
              <w:t xml:space="preserve">    Article 44: Transition, Succession, and Withdrawal</w:t>
            </w:r>
          </w:p>
        </w:tc>
        <w:tc>
          <w:tcPr/>
          <w:p>
            <w:pPr>
              <w:pStyle w:val="Compact"/>
              <w:jc w:val="left"/>
            </w:pPr>
            <w:r>
              <w:t xml:space="preserve">64</w:t>
            </w:r>
          </w:p>
        </w:tc>
      </w:tr>
      <w:tr>
        <w:tc>
          <w:tcPr/>
          <w:p>
            <w:pPr>
              <w:pStyle w:val="Compact"/>
              <w:jc w:val="left"/>
            </w:pPr>
            <w:r>
              <w:t xml:space="preserve">    Article 45: Final Provisions</w:t>
            </w:r>
          </w:p>
        </w:tc>
        <w:tc>
          <w:tcPr/>
          <w:p>
            <w:pPr>
              <w:pStyle w:val="Compact"/>
              <w:jc w:val="left"/>
            </w:pPr>
            <w:r>
              <w:t xml:space="preserve">65</w:t>
            </w:r>
          </w:p>
        </w:tc>
      </w:tr>
      <w:tr>
        <w:tc>
          <w:tcPr/>
          <w:p>
            <w:pPr>
              <w:pStyle w:val="Compact"/>
              <w:jc w:val="left"/>
            </w:pPr>
            <w:r>
              <w:rPr>
                <w:bCs/>
                <w:b/>
              </w:rPr>
              <w:t xml:space="preserve">Annexes</w:t>
            </w:r>
          </w:p>
        </w:tc>
        <w:tc>
          <w:tcPr/>
          <w:p>
            <w:pPr>
              <w:pStyle w:val="Compact"/>
              <w:jc w:val="left"/>
            </w:pPr>
            <w:r>
              <w:t xml:space="preserve">67</w:t>
            </w:r>
          </w:p>
        </w:tc>
      </w:tr>
      <w:tr>
        <w:tc>
          <w:tcPr/>
          <w:p>
            <w:pPr>
              <w:pStyle w:val="Compact"/>
              <w:jc w:val="left"/>
            </w:pPr>
            <w:r>
              <w:t xml:space="preserve">    Annex A: Boundary Coordinates, Standoff Distances, and the Hazard-Clearance Protocol</w:t>
            </w:r>
          </w:p>
        </w:tc>
        <w:tc>
          <w:tcPr/>
          <w:p>
            <w:pPr>
              <w:pStyle w:val="Compact"/>
              <w:jc w:val="left"/>
            </w:pPr>
            <w:r>
              <w:t xml:space="preserve">67</w:t>
            </w:r>
          </w:p>
        </w:tc>
      </w:tr>
      <w:tr>
        <w:tc>
          <w:tcPr/>
          <w:p>
            <w:pPr>
              <w:pStyle w:val="Compact"/>
              <w:jc w:val="left"/>
            </w:pPr>
            <w:r>
              <w:t xml:space="preserve">    Annex B: The Non-Interdiction Exception Procedure</w:t>
            </w:r>
          </w:p>
        </w:tc>
        <w:tc>
          <w:tcPr/>
          <w:p>
            <w:pPr>
              <w:pStyle w:val="Compact"/>
              <w:jc w:val="left"/>
            </w:pPr>
            <w:r>
              <w:t xml:space="preserve">68</w:t>
            </w:r>
          </w:p>
        </w:tc>
      </w:tr>
      <w:tr>
        <w:tc>
          <w:tcPr/>
          <w:p>
            <w:pPr>
              <w:pStyle w:val="Compact"/>
              <w:jc w:val="left"/>
            </w:pPr>
            <w:r>
              <w:t xml:space="preserve">    Annex C: The Compliance Event Schedule</w:t>
            </w:r>
          </w:p>
        </w:tc>
        <w:tc>
          <w:tcPr/>
          <w:p>
            <w:pPr>
              <w:pStyle w:val="Compact"/>
              <w:jc w:val="left"/>
            </w:pPr>
            <w:r>
              <w:t xml:space="preserve">69</w:t>
            </w:r>
          </w:p>
        </w:tc>
      </w:tr>
      <w:tr>
        <w:tc>
          <w:tcPr/>
          <w:p>
            <w:pPr>
              <w:pStyle w:val="Compact"/>
              <w:jc w:val="left"/>
            </w:pPr>
            <w:r>
              <w:t xml:space="preserve">    Annex D: The Verified Services Catalog and Fund Schedule</w:t>
            </w:r>
          </w:p>
        </w:tc>
        <w:tc>
          <w:tcPr/>
          <w:p>
            <w:pPr>
              <w:pStyle w:val="Compact"/>
              <w:jc w:val="left"/>
            </w:pPr>
            <w:r>
              <w:t xml:space="preserve">70</w:t>
            </w:r>
          </w:p>
        </w:tc>
      </w:tr>
      <w:tr>
        <w:tc>
          <w:tcPr/>
          <w:p>
            <w:pPr>
              <w:pStyle w:val="Compact"/>
              <w:jc w:val="left"/>
            </w:pPr>
            <w:r>
              <w:t xml:space="preserve">    Annex E: Dispute Resolution Procedural Rules</w:t>
            </w:r>
          </w:p>
        </w:tc>
        <w:tc>
          <w:tcPr/>
          <w:p>
            <w:pPr>
              <w:pStyle w:val="Compact"/>
              <w:jc w:val="left"/>
            </w:pPr>
            <w:r>
              <w:t xml:space="preserve">72</w:t>
            </w:r>
          </w:p>
        </w:tc>
      </w:tr>
      <w:tr>
        <w:tc>
          <w:tcPr/>
          <w:p>
            <w:pPr>
              <w:pStyle w:val="Compact"/>
              <w:jc w:val="left"/>
            </w:pPr>
            <w:r>
              <w:t xml:space="preserve">    Annex F: The Red Lines Register, Full Operative Text</w:t>
            </w:r>
          </w:p>
        </w:tc>
        <w:tc>
          <w:tcPr/>
          <w:p>
            <w:pPr>
              <w:pStyle w:val="Compact"/>
              <w:jc w:val="left"/>
            </w:pPr>
            <w:r>
              <w:t xml:space="preserve">72</w:t>
            </w:r>
          </w:p>
        </w:tc>
      </w:tr>
      <w:tr>
        <w:tc>
          <w:tcPr/>
          <w:p>
            <w:pPr>
              <w:pStyle w:val="Compact"/>
              <w:jc w:val="left"/>
            </w:pPr>
            <w:r>
              <w:t xml:space="preserve">    Annex G: The Membership and Participation Matrix</w:t>
            </w:r>
          </w:p>
        </w:tc>
        <w:tc>
          <w:tcPr/>
          <w:p>
            <w:pPr>
              <w:pStyle w:val="Compact"/>
              <w:jc w:val="left"/>
            </w:pPr>
            <w:r>
              <w:t xml:space="preserve">75</w:t>
            </w:r>
          </w:p>
        </w:tc>
      </w:tr>
      <w:tr>
        <w:tc>
          <w:tcPr/>
          <w:p>
            <w:pPr>
              <w:pStyle w:val="Compact"/>
              <w:jc w:val="left"/>
            </w:pPr>
            <w:r>
              <w:t xml:space="preserve">    Annex H: The Consolidated Phase and Accession Timeline</w:t>
            </w:r>
          </w:p>
        </w:tc>
        <w:tc>
          <w:tcPr/>
          <w:p>
            <w:pPr>
              <w:pStyle w:val="Compact"/>
              <w:jc w:val="left"/>
            </w:pPr>
            <w:r>
              <w:t xml:space="preserve">77</w:t>
            </w:r>
          </w:p>
        </w:tc>
      </w:tr>
      <w:tr>
        <w:tc>
          <w:tcPr/>
          <w:p>
            <w:pPr>
              <w:pStyle w:val="Compact"/>
              <w:jc w:val="left"/>
            </w:pPr>
            <w:r>
              <w:t xml:space="preserve">    Annex I: The Hormuz Coastal Development Window, Illustrative Project Portfolio</w:t>
            </w:r>
          </w:p>
        </w:tc>
        <w:tc>
          <w:tcPr/>
          <w:p>
            <w:pPr>
              <w:pStyle w:val="Compact"/>
              <w:jc w:val="left"/>
            </w:pPr>
            <w:r>
              <w:t xml:space="preserve">77</w:t>
            </w:r>
          </w:p>
        </w:tc>
      </w:tr>
    </w:tbl>
    <w:bookmarkEnd w:id="24"/>
    <w:bookmarkStart w:id="58" w:name="part-i-foundations"/>
    <w:p>
      <w:pPr>
        <w:pStyle w:val="Heading1"/>
      </w:pPr>
      <w:r>
        <w:t xml:space="preserve">Part I: Foundations</w:t>
      </w:r>
    </w:p>
    <w:bookmarkStart w:id="32" w:name="X78d9e4c0b852b1f7127b9522c0f6af8953a8f8b"/>
    <w:p>
      <w:pPr>
        <w:pStyle w:val="Heading2"/>
      </w:pPr>
      <w:r>
        <w:t xml:space="preserve">Article 1: Establishment, Purpose, and Scope</w:t>
      </w:r>
    </w:p>
    <w:bookmarkStart w:id="25" w:name="establishment"/>
    <w:p>
      <w:pPr>
        <w:pStyle w:val="Heading3"/>
      </w:pPr>
      <w:r>
        <w:t xml:space="preserve">1.1 Establishment</w:t>
      </w:r>
    </w:p>
    <w:p>
      <w:pPr>
        <w:pStyle w:val="FirstParagraph"/>
      </w:pPr>
      <w:r>
        <w:t xml:space="preserve">The Islamic Republic of Iran and the Sultanate of Oman establish the Amanat Framework as a standing, multi-layered governance architecture for the Strait of Hormuz. The Framework enters into force between the Founding Parties on the date of signature by both. Each accession under Article 41 extends the Framework’s institutions to the acceding Party from the date the Amanat Council registers that accession.</w:t>
      </w:r>
    </w:p>
    <w:bookmarkEnd w:id="25"/>
    <w:bookmarkStart w:id="26" w:name="purpose"/>
    <w:p>
      <w:pPr>
        <w:pStyle w:val="Heading3"/>
      </w:pPr>
      <w:r>
        <w:t xml:space="preserve">1.2 Purpose</w:t>
      </w:r>
    </w:p>
    <w:p>
      <w:pPr>
        <w:pStyle w:val="FirstParagraph"/>
      </w:pPr>
      <w:r>
        <w:t xml:space="preserve">The Framework secures three simultaneous outcomes that eighteen months of fragmented, bilateral, and crisis-driven negotiation did not secure together: safe and predictable navigation for every commercial vessel transiting the Strait, a recognized and growing operational role for the littoral states that bear the Strait’s practical burden, and a financing mechanism that funds real maritime services without reintroducing an unlawful charge on passage. The Framework achieves each outcome through structural design rather than through a single negotiated bargain that later erodes.</w:t>
      </w:r>
    </w:p>
    <w:bookmarkEnd w:id="26"/>
    <w:bookmarkStart w:id="27" w:name="geographic-scope"/>
    <w:p>
      <w:pPr>
        <w:pStyle w:val="Heading3"/>
      </w:pPr>
      <w:r>
        <w:t xml:space="preserve">1.3 Geographic scope</w:t>
      </w:r>
    </w:p>
    <w:p>
      <w:pPr>
        <w:pStyle w:val="FirstParagraph"/>
      </w:pPr>
      <w:r>
        <w:t xml:space="preserve">The Governance Area comprises the Strait of Hormuz and its immediate approaches, bounded by coordinates the Joint Survey Group fixes and publishes under Annex A within thirty days of entry into force. The Governance Area’s boundaries track the technical, navigational reality of the Strait’s traffic separation function; they carry no implication for any Party’s territorial-sea, continental-shelf, or maritime-boundary claim, and Article 2.6 states this non-prejudice rule in full.</w:t>
      </w:r>
    </w:p>
    <w:bookmarkEnd w:id="27"/>
    <w:bookmarkStart w:id="28" w:name="functional-scope"/>
    <w:p>
      <w:pPr>
        <w:pStyle w:val="Heading3"/>
      </w:pPr>
      <w:r>
        <w:t xml:space="preserve">1.4 Functional scope</w:t>
      </w:r>
    </w:p>
    <w:p>
      <w:pPr>
        <w:pStyle w:val="FirstParagraph"/>
      </w:pPr>
      <w:r>
        <w:t xml:space="preserve">The Framework governs navigation, traffic separation, safety, environmental protection, maritime services, incident response, and the financing of those services within the Governance Area. The Framework excludes from its functional scope: sanctions policy, nuclear-file questions, cargo-content regulation, and the internal defense or alliance arrangements of any Party. Each excluded subject remains the province of the diplomatic tracks already assigned to it, and no organ of this Framework issues any finding, recommendation, or measure touching an excluded subject.</w:t>
      </w:r>
    </w:p>
    <w:bookmarkEnd w:id="28"/>
    <w:bookmarkStart w:id="29" w:name="what-this-framework-does-and-does-not-do"/>
    <w:p>
      <w:pPr>
        <w:pStyle w:val="Heading3"/>
      </w:pPr>
      <w:r>
        <w:t xml:space="preserve">1.5 What this Framework does and does not do</w:t>
      </w:r>
    </w:p>
    <w:p>
      <w:pPr>
        <w:pStyle w:val="FirstParagraph"/>
      </w:pPr>
      <w:r>
        <w:t xml:space="preserve">The Framework builds a technical and operational governance system. The Framework does not build a political settlement of the wider United States-Iran relationship, a nuclear agreement, a sanctions instrument, or a security alliance. A Party’s signature records that Party’s judgment that safe, non-discriminatory, and toll-free navigation serves its own interest, together with every other Party’s interest, and records nothing further.</w:t>
      </w:r>
    </w:p>
    <w:bookmarkEnd w:id="29"/>
    <w:bookmarkStart w:id="30" w:name="jurisdictional-layers"/>
    <w:p>
      <w:pPr>
        <w:pStyle w:val="Heading3"/>
      </w:pPr>
      <w:r>
        <w:t xml:space="preserve">1.6 Jurisdictional layers</w:t>
      </w:r>
    </w:p>
    <w:p>
      <w:pPr>
        <w:pStyle w:val="FirstParagraph"/>
      </w:pPr>
      <w:r>
        <w:t xml:space="preserve">Three jurisdictional layers operate concurrently inside the Governance Area, and each layer’s authority is exclusive to its own domain:</w:t>
      </w:r>
    </w:p>
    <w:p>
      <w:pPr>
        <w:numPr>
          <w:ilvl w:val="0"/>
          <w:numId w:val="1001"/>
        </w:numPr>
        <w:pStyle w:val="Compact"/>
      </w:pPr>
      <w:r>
        <w:rPr>
          <w:bCs/>
          <w:b/>
        </w:rPr>
        <w:t xml:space="preserve">Sovereign layer.</w:t>
      </w:r>
      <w:r>
        <w:t xml:space="preserve"> </w:t>
      </w:r>
      <w:r>
        <w:t xml:space="preserve">Each littoral Party’s territorial sovereignty over its own waters continues without interruption or diminishment. This Framework regulates conduct, not title.</w:t>
      </w:r>
    </w:p>
    <w:p>
      <w:pPr>
        <w:numPr>
          <w:ilvl w:val="0"/>
          <w:numId w:val="1001"/>
        </w:numPr>
        <w:pStyle w:val="Compact"/>
      </w:pPr>
      <w:r>
        <w:rPr>
          <w:bCs/>
          <w:b/>
        </w:rPr>
        <w:t xml:space="preserve">Functional layer.</w:t>
      </w:r>
      <w:r>
        <w:t xml:space="preserve"> </w:t>
      </w:r>
      <w:r>
        <w:t xml:space="preserve">The corridor administration Part IV establishes operates the traffic-separation and safety functions the Parties assign to it, within the boundaries this Framework fixes, and exercises no authority this Framework does not expressly assign.</w:t>
      </w:r>
    </w:p>
    <w:p>
      <w:pPr>
        <w:numPr>
          <w:ilvl w:val="0"/>
          <w:numId w:val="1001"/>
        </w:numPr>
        <w:pStyle w:val="Compact"/>
      </w:pPr>
      <w:r>
        <w:rPr>
          <w:bCs/>
          <w:b/>
        </w:rPr>
        <w:t xml:space="preserve">Institutional layer.</w:t>
      </w:r>
      <w:r>
        <w:t xml:space="preserve"> </w:t>
      </w:r>
      <w:r>
        <w:t xml:space="preserve">The Amanat Council, the Hormuz Operations Center, the Amanat Secretariat, the Amanat Watch, and the Hormuz Panel exercise the specific coordinating, verifying, and dispute-resolving functions Parts III, VIII, and IX assign to each, and exercise no broader mandate.</w:t>
      </w:r>
    </w:p>
    <w:bookmarkEnd w:id="30"/>
    <w:bookmarkStart w:id="31" w:name="the-sovereign-present-tense-standard"/>
    <w:p>
      <w:pPr>
        <w:pStyle w:val="Heading3"/>
      </w:pPr>
      <w:r>
        <w:t xml:space="preserve">1.7 The Sovereign Present-Tense Standard</w:t>
      </w:r>
    </w:p>
    <w:p>
      <w:pPr>
        <w:pStyle w:val="FirstParagraph"/>
      </w:pPr>
      <w:r>
        <w:t xml:space="preserve">Every clause of this Framework states an active, present-tense operational reality rather than a future command. The drafting discipline follows four rules. First, no clause uses</w:t>
      </w:r>
      <w:r>
        <w:t xml:space="preserve"> </w:t>
      </w:r>
      <w:r>
        <w:t xml:space="preserve">“</w:t>
      </w:r>
      <w:r>
        <w:t xml:space="preserve">shall,</w:t>
      </w:r>
      <w:r>
        <w:t xml:space="preserve">”</w:t>
      </w:r>
      <w:r>
        <w:t xml:space="preserve"> </w:t>
      </w:r>
      <w:r>
        <w:t xml:space="preserve">“</w:t>
      </w:r>
      <w:r>
        <w:t xml:space="preserve">must,</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may,</w:t>
      </w:r>
      <w:r>
        <w:t xml:space="preserve">”</w:t>
      </w:r>
      <w:r>
        <w:t xml:space="preserve"> </w:t>
      </w:r>
      <w:r>
        <w:t xml:space="preserve">or</w:t>
      </w:r>
      <w:r>
        <w:t xml:space="preserve"> </w:t>
      </w:r>
      <w:r>
        <w:t xml:space="preserve">“</w:t>
      </w:r>
      <w:r>
        <w:t xml:space="preserve">can</w:t>
      </w:r>
      <w:r>
        <w:t xml:space="preserve">”</w:t>
      </w:r>
      <w:r>
        <w:t xml:space="preserve">: each operational trigger states the active present-tense verb of its subject. Second, no clause frames a prohibition as one Party’s unilateral restraint for another Party’s benefit: every constraint attaches to the shared architecture itself, so that the design binds both Parties equally rather than reading as a concession from one to the other. Third, automated consequences state as immediate, real-time realities rather than as threatened future actions: an event that triggers a consequence triggers it now, in the sentence that describes it, not in some later contingent moment. Fourth, no clause relies on passive voice or a passive placeholder construction to obscure which subject performs which action: every sentence names its actor and states what that actor does. This Standard governs the interpretation of every Article, Part, and Annex of this Framework, and an ambiguity in any clause resolves in favor of the reading that best satisfies these four rules.</w:t>
      </w:r>
    </w:p>
    <w:bookmarkEnd w:id="31"/>
    <w:bookmarkEnd w:id="32"/>
    <w:bookmarkStart w:id="40" w:name="article-2-legal-foundations"/>
    <w:p>
      <w:pPr>
        <w:pStyle w:val="Heading2"/>
      </w:pPr>
      <w:r>
        <w:t xml:space="preserve">Article 2: Legal Foundations</w:t>
      </w:r>
    </w:p>
    <w:bookmarkStart w:id="33" w:name="sovereign-basis"/>
    <w:p>
      <w:pPr>
        <w:pStyle w:val="Heading3"/>
      </w:pPr>
      <w:r>
        <w:t xml:space="preserve">2.1 Sovereign basis</w:t>
      </w:r>
    </w:p>
    <w:p>
      <w:pPr>
        <w:pStyle w:val="FirstParagraph"/>
      </w:pPr>
      <w:r>
        <w:t xml:space="preserve">This Framework rests on the sovereign consent of each signing and acceding Party. No provision of this Framework derives authority from any external mandate, and no organ of this Framework claims authority beyond what the Parties expressly assign in the Articles below.</w:t>
      </w:r>
    </w:p>
    <w:bookmarkEnd w:id="33"/>
    <w:bookmarkStart w:id="34" w:name="transit-passage-preserved"/>
    <w:p>
      <w:pPr>
        <w:pStyle w:val="Heading3"/>
      </w:pPr>
      <w:r>
        <w:t xml:space="preserve">2.2 Transit passage preserved</w:t>
      </w:r>
    </w:p>
    <w:p>
      <w:pPr>
        <w:pStyle w:val="FirstParagraph"/>
      </w:pPr>
      <w:r>
        <w:t xml:space="preserve">The regime of transit passage through straits used for international navigation, as reflected in customary international law and in the United Nations Convention on the Law of the Sea, continues in full inside the Governance Area. This Framework’s traffic-separation scheme, vessel-classification system, and service catalog operate as an implementation of transit passage, refined for safety and efficiency, and not as a substitute regime that narrows the right of transit passage itself.</w:t>
      </w:r>
    </w:p>
    <w:bookmarkEnd w:id="34"/>
    <w:bookmarkStart w:id="35" w:name="the-service-fee-distinction"/>
    <w:p>
      <w:pPr>
        <w:pStyle w:val="Heading3"/>
      </w:pPr>
      <w:r>
        <w:t xml:space="preserve">2.3 The service-fee distinction</w:t>
      </w:r>
    </w:p>
    <w:p>
      <w:pPr>
        <w:pStyle w:val="FirstParagraph"/>
      </w:pPr>
      <w:r>
        <w:t xml:space="preserve">International law distinguishes a charge on passage, which the transit-passage regime excludes, from a charge for a specific, requested, and delivered service, which the same regime permits when the charge is published, non-discriminatory, and proportionate to the service’s cost. Article 2.3’s distinction governs every charge inside the Governance Area under this Framework. A charge that attaches to a vessel’s movement through the Strait, by amount, timing, or conditionality, is a charge on passage, and the architecture excludes it absolutely under Red Line RL-1. A charge that attaches to a documented service delivery, at a pre-published rate, auditable against a service record, flows exclusively through the Hormuz Transit Services Fund that Part VI establishes. No Party, organ, or contractor collects any payment directly from any vessel, operator, or shipper for anything connected with the Governance Area; Part VI’s escrow architecture channels every such payment.</w:t>
      </w:r>
    </w:p>
    <w:bookmarkEnd w:id="35"/>
    <w:bookmarkStart w:id="36" w:name="relationship-to-the-islamabad-channel"/>
    <w:p>
      <w:pPr>
        <w:pStyle w:val="Heading3"/>
      </w:pPr>
      <w:r>
        <w:t xml:space="preserve">2.4 Relationship to the Islamabad channel</w:t>
      </w:r>
    </w:p>
    <w:p>
      <w:pPr>
        <w:pStyle w:val="FirstParagraph"/>
      </w:pPr>
      <w:r>
        <w:t xml:space="preserve">This Framework operationalizes, for the specific and permanent question of Hormuz governance, the diplomatic opening the Islamabad channel of 2026 created between the United States and Iran, and the working understanding the Iran-Oman bilateral channel reached on interim routing. This Framework supersedes no other element of that wider diplomatic architecture, and the sanctions, nuclear, reconstruction, and monitoring questions that wider architecture assigns to other tracks remain there, untouched by any organ this Framework creates.</w:t>
      </w:r>
    </w:p>
    <w:bookmarkEnd w:id="36"/>
    <w:bookmarkStart w:id="37" w:name="X362d2d1fc2aadbf6822d20bcc7792d5f317ebef"/>
    <w:p>
      <w:pPr>
        <w:pStyle w:val="Heading3"/>
      </w:pPr>
      <w:r>
        <w:t xml:space="preserve">2.5 Relationship to the International Maritime Organization and UNCLOS</w:t>
      </w:r>
    </w:p>
    <w:p>
      <w:pPr>
        <w:pStyle w:val="FirstParagraph"/>
      </w:pPr>
      <w:r>
        <w:t xml:space="preserve">The Framework operates consistently with the International Maritime Organization’s technical competence over traffic-separation schemes and with the Convention’s transit-passage regime. The Hormuz Operations Center registers its traffic-separation scheme with the IMO under Article 21.6, and the Framework’s environmental-protection provisions track IMO and MARPOL standards. Nothing in this Framework requires an interpretation of UNCLOS or IMO instruments contrary to their ordinary meaning, and a conflict between a provision of this Framework and a binding obligation of a Party under UNCLOS resolves in favor of the Convention, with the Amanat Council convening within thirty days to conform the Framework’s text.</w:t>
      </w:r>
    </w:p>
    <w:bookmarkEnd w:id="37"/>
    <w:bookmarkStart w:id="38" w:name="non-prejudice-and-no-precedent"/>
    <w:p>
      <w:pPr>
        <w:pStyle w:val="Heading3"/>
      </w:pPr>
      <w:r>
        <w:t xml:space="preserve">2.6 Non-prejudice and no-precedent</w:t>
      </w:r>
    </w:p>
    <w:p>
      <w:pPr>
        <w:pStyle w:val="FirstParagraph"/>
      </w:pPr>
      <w:r>
        <w:t xml:space="preserve">Nothing in this Framework constitutes precedent for the governance of any other strait, waterway, or maritime chokepoint. Nothing in this Framework prejudices any Party’s position on any maritime-boundary delimitation, territorial claim, or legal question this instrument does not expressly settle. A court, tribunal, or future negotiation citing this Framework as precedent for a matter outside the Governance Area misapplies it, and no Party’s participation in this Framework constitutes acquiescence to such a citation.</w:t>
      </w:r>
    </w:p>
    <w:bookmarkEnd w:id="38"/>
    <w:bookmarkStart w:id="39" w:name="Xfaf6705b7eb90820a5d6f3eb0c563b5ed79c17d"/>
    <w:p>
      <w:pPr>
        <w:pStyle w:val="Heading3"/>
      </w:pPr>
      <w:r>
        <w:t xml:space="preserve">2.7 Relationship to prior traffic-separation arrangements</w:t>
      </w:r>
    </w:p>
    <w:p>
      <w:pPr>
        <w:pStyle w:val="FirstParagraph"/>
      </w:pPr>
      <w:r>
        <w:t xml:space="preserve">The traffic-separation scheme Part IV establishes supersedes, for vessels transiting the Governance Area, the traffic-separation arrangements that predate this Framework’s entry into force, including the routing understanding the Iran-Oman bilateral channel reached in the first week of August 2026. That bilateral understanding’s routing logic, an inbound corridor running closer to the Iranian coast and an outbound corridor running closer to the Omani coast, carries forward into Article 21’s Three-Corridor System as its technical starting point, refined and embedded in the permanent, multilateral architecture this Framework builds.</w:t>
      </w:r>
    </w:p>
    <w:bookmarkEnd w:id="39"/>
    <w:bookmarkEnd w:id="40"/>
    <w:bookmarkStart w:id="44" w:name="X821e5ed392a98c0f868e7a8568cbd588448e5d7"/>
    <w:p>
      <w:pPr>
        <w:pStyle w:val="Heading2"/>
      </w:pPr>
      <w:r>
        <w:t xml:space="preserve">Article 3: Core Operating Principles and the Simplicity Mandate</w:t>
      </w:r>
    </w:p>
    <w:bookmarkStart w:id="41" w:name="the-political-acceptability-rule"/>
    <w:p>
      <w:pPr>
        <w:pStyle w:val="Heading3"/>
      </w:pPr>
      <w:r>
        <w:t xml:space="preserve">3.1 The political acceptability rule</w:t>
      </w:r>
    </w:p>
    <w:p>
      <w:pPr>
        <w:pStyle w:val="FirstParagraph"/>
      </w:pPr>
      <w:r>
        <w:t xml:space="preserve">Each mechanism in this Framework satisfies, simultaneously, four tests: it survives Iran’s internal political requirement for a recognized and dignified role; it survives the United States’ and the Gulf Cooperation Council’s requirement that no single littoral state controls the Strait unilaterally; it survives the international shipping and insurance markets’ requirement for predictability and freedom from discriminatory charges; and it operates without daily political management, on rules that execute automatically once the Parties verify the triggering facts.</w:t>
      </w:r>
    </w:p>
    <w:bookmarkEnd w:id="41"/>
    <w:bookmarkStart w:id="42" w:name="the-simplicity-mandate"/>
    <w:p>
      <w:pPr>
        <w:pStyle w:val="Heading3"/>
      </w:pPr>
      <w:r>
        <w:t xml:space="preserve">3.2 The simplicity mandate</w:t>
      </w:r>
    </w:p>
    <w:p>
      <w:pPr>
        <w:pStyle w:val="FirstParagraph"/>
      </w:pPr>
      <w:r>
        <w:t xml:space="preserve">A governance mechanism that only its drafters understand fails in operation. Each operative Article states its trigger, its actor, and its consequence in a form a watch officer, a port agent, or a ship’s master applies without legal counsel. Where a mechanism’s full technical detail requires more than a single Article’s clean statement, that detail moves to the relevant Annex, and the Article itself states the rule’s operative core in plain terms.</w:t>
      </w:r>
    </w:p>
    <w:bookmarkEnd w:id="42"/>
    <w:bookmarkStart w:id="43" w:name="the-mutual-architecture-rule"/>
    <w:p>
      <w:pPr>
        <w:pStyle w:val="Heading3"/>
      </w:pPr>
      <w:r>
        <w:t xml:space="preserve">3.3 The mutual architecture rule</w:t>
      </w:r>
    </w:p>
    <w:p>
      <w:pPr>
        <w:pStyle w:val="FirstParagraph"/>
      </w:pPr>
      <w:r>
        <w:t xml:space="preserve">Every constraint in this Framework binds the shared system, not one Party’s unilateral choice. A reader who finds language in any draft or communication describing this Framework as one Party’s concession to another applies Article 1.7’s interpretive rule: the architecture itself carries the constraint, and each Party’s adherence reflects its own sovereign judgment that the shared design serves its own interest.</w:t>
      </w:r>
    </w:p>
    <w:bookmarkEnd w:id="43"/>
    <w:bookmarkEnd w:id="44"/>
    <w:bookmarkStart w:id="49" w:name="X9e6c71677753af02ce22932ff38752dab352c8c"/>
    <w:p>
      <w:pPr>
        <w:pStyle w:val="Heading2"/>
      </w:pPr>
      <w:r>
        <w:t xml:space="preserve">Article 4: The Red Lines Register and the Perimeter Test</w:t>
      </w:r>
    </w:p>
    <w:bookmarkStart w:id="45" w:name="purpose-and-method"/>
    <w:p>
      <w:pPr>
        <w:pStyle w:val="Heading3"/>
      </w:pPr>
      <w:r>
        <w:t xml:space="preserve">4.1 Purpose and method</w:t>
      </w:r>
    </w:p>
    <w:p>
      <w:pPr>
        <w:pStyle w:val="FirstParagraph"/>
      </w:pPr>
      <w:r>
        <w:t xml:space="preserve">The Parties negotiate openly about every operational detail except the lines each treats as untouchable. The Red Lines Register of Annex F names those lines once, precisely, and the architecture guards them automatically thereafter. Each Register entry states the line in neutral terms, names the interest it protects, and identifies the architectural safeguard that holds the line without requiring daily political attention.</w:t>
      </w:r>
    </w:p>
    <w:bookmarkEnd w:id="45"/>
    <w:bookmarkStart w:id="46" w:name="the-perimeter-test"/>
    <w:p>
      <w:pPr>
        <w:pStyle w:val="Heading3"/>
      </w:pPr>
      <w:r>
        <w:t xml:space="preserve">4.2 The Perimeter Test</w:t>
      </w:r>
    </w:p>
    <w:p>
      <w:pPr>
        <w:pStyle w:val="FirstParagraph"/>
      </w:pPr>
      <w:r>
        <w:t xml:space="preserve">Before the Amanat Council adopts a measure, an amendment, or an operational protocol under this Framework, the proposing organ runs the Perimeter Test: it checks the proposal against each of the fifteen Red Lines in turn. A proposal that touches a Red Line proceeds only in the exact form the corresponding safeguard in Annex F permits. A proposal that crosses a Red Line fails at that stage, automatically, without requiring a vote, an objection, or further process. The Perimeter Test applies to every proposal regardless of its source, its urgency, or the consensus supporting it, because the Red Lines exist precisely to survive momentary consensus.</w:t>
      </w:r>
    </w:p>
    <w:bookmarkEnd w:id="46"/>
    <w:bookmarkStart w:id="47" w:name="no-trading-of-red-lines"/>
    <w:p>
      <w:pPr>
        <w:pStyle w:val="Heading3"/>
      </w:pPr>
      <w:r>
        <w:t xml:space="preserve">4.3 No trading of Red Lines</w:t>
      </w:r>
    </w:p>
    <w:p>
      <w:pPr>
        <w:pStyle w:val="FirstParagraph"/>
      </w:pPr>
      <w:r>
        <w:t xml:space="preserve">No Party offers, and no organ of this Framework accepts, a trade of one Red Line’s protection for a gain on another dimension. The Red Lines Register binds as a set, not as a menu, and Article 42’s amendment procedure applies its highest threshold, unanimous Littoral-Party consensus plus ratification, to any change touching the Register itself.</w:t>
      </w:r>
    </w:p>
    <w:bookmarkEnd w:id="47"/>
    <w:bookmarkStart w:id="48" w:name="red-line-consultation"/>
    <w:p>
      <w:pPr>
        <w:pStyle w:val="Heading3"/>
      </w:pPr>
      <w:r>
        <w:t xml:space="preserve">4.4 Red Line consultation</w:t>
      </w:r>
    </w:p>
    <w:p>
      <w:pPr>
        <w:pStyle w:val="FirstParagraph"/>
      </w:pPr>
      <w:r>
        <w:t xml:space="preserve">A Party that identifies a proposal, an external development, or another Party’s conduct as touching a Red Line raises the question directly with the Amanat Secretariat, which convenes the Council within five days. The consultation itself carries no cost to the raising Party’s standing in the Framework: the Continuity Principle protects a Party’s accumulated position under the Earned Stewardship Ladder regardless of how frequently that Party invokes this consultation right.</w:t>
      </w:r>
    </w:p>
    <w:bookmarkEnd w:id="48"/>
    <w:bookmarkEnd w:id="49"/>
    <w:bookmarkStart w:id="50" w:name="Xf599e0a3e99f1d8046643578a97f248b1f4b14b"/>
    <w:p>
      <w:pPr>
        <w:pStyle w:val="Heading2"/>
      </w:pPr>
      <w:r>
        <w:t xml:space="preserve">Article 5: Critical Infrastructure Protection</w:t>
      </w:r>
    </w:p>
    <w:p>
      <w:pPr>
        <w:pStyle w:val="FirstParagraph"/>
      </w:pPr>
      <w:r>
        <w:t xml:space="preserve">The Parties designate the following as Critical Infrastructure under this Framework: the Hormuz Operations Center and its mirror facility at Bandar Abbas; the communications, telemetry, and vessel-tracking infrastructure the corridor system uses; the escrow and Fund accounts the Neutral Administrator holds; the navigational aids inside the Governance Area; and the designated holding anchorages of Article 23. An attack on, interference with, or disruption of any Critical Infrastructure element classifies as a Tier 3 event under Article 35’s Compliance Engine, with its point value doubled. The Critical Infrastructure register publishes alongside the Red Lines Register of Annex F. The designation protects the system’s operating nervous system, distinct from and in addition to the protection Article 20’s Non-Interdiction Protocol gives to transiting vessels themselves.</w:t>
      </w:r>
    </w:p>
    <w:bookmarkEnd w:id="50"/>
    <w:bookmarkStart w:id="57" w:name="article-6-the-continuity-principle"/>
    <w:p>
      <w:pPr>
        <w:pStyle w:val="Heading2"/>
      </w:pPr>
      <w:r>
        <w:t xml:space="preserve">Article 6: The Continuity Principle</w:t>
      </w:r>
    </w:p>
    <w:bookmarkStart w:id="51" w:name="no-sunset"/>
    <w:p>
      <w:pPr>
        <w:pStyle w:val="Heading3"/>
      </w:pPr>
      <w:r>
        <w:t xml:space="preserve">6.1 No sunset</w:t>
      </w:r>
    </w:p>
    <w:p>
      <w:pPr>
        <w:pStyle w:val="FirstParagraph"/>
      </w:pPr>
      <w:r>
        <w:t xml:space="preserve">No provision of this Framework expires by the passage of time alone. A time-limited pilot phase under Part II converts automatically into its successor phase on satisfaction of that phase’s stated conditions; it does not lapse into a gap. Where a provision genuinely requires a fixed term, the provision states the term expressly and states expressly what replaces it, and the Framework never leaves a governance question to fall silently into an undefined state.</w:t>
      </w:r>
    </w:p>
    <w:bookmarkEnd w:id="51"/>
    <w:bookmarkStart w:id="52" w:name="no-fade-of-earned-position"/>
    <w:p>
      <w:pPr>
        <w:pStyle w:val="Heading3"/>
      </w:pPr>
      <w:r>
        <w:t xml:space="preserve">6.2 No fade of earned position</w:t>
      </w:r>
    </w:p>
    <w:p>
      <w:pPr>
        <w:pStyle w:val="FirstParagraph"/>
      </w:pPr>
      <w:r>
        <w:t xml:space="preserve">A Party’s accumulated standing under the Earned Stewardship Ladder of Part V banks permanently once verified. A subsequent incident pauses or, for a serious breach, rolls back the Ladder’s further climb under Article 26’s rules, but no incident erases previously banked, verified weeks absent the specific reset triggers Article 26 defines, and even those triggers preserve the permanent floor Article 26.6 establishes.</w:t>
      </w:r>
    </w:p>
    <w:bookmarkEnd w:id="52"/>
    <w:bookmarkStart w:id="53" w:name="no-fade-of-verification"/>
    <w:p>
      <w:pPr>
        <w:pStyle w:val="Heading3"/>
      </w:pPr>
      <w:r>
        <w:t xml:space="preserve">6.3 No fade of verification</w:t>
      </w:r>
    </w:p>
    <w:p>
      <w:pPr>
        <w:pStyle w:val="FirstParagraph"/>
      </w:pPr>
      <w:r>
        <w:t xml:space="preserve">A verification record the Amanat Watch produces under Part VIII retains evidentiary weight permanently in any subsequent proceeding under this Framework. The passage of time does not stale a properly corroborated finding; only a successful challenge under Article 36’s contest procedure displaces it.</w:t>
      </w:r>
    </w:p>
    <w:bookmarkEnd w:id="53"/>
    <w:bookmarkStart w:id="54" w:name="no-fade-of-the-zero-toll-rule"/>
    <w:p>
      <w:pPr>
        <w:pStyle w:val="Heading3"/>
      </w:pPr>
      <w:r>
        <w:t xml:space="preserve">6.4 No fade of the Zero-Toll Rule</w:t>
      </w:r>
    </w:p>
    <w:p>
      <w:pPr>
        <w:pStyle w:val="FirstParagraph"/>
      </w:pPr>
      <w:r>
        <w:t xml:space="preserve">Article 27’s Zero-Toll Rule binds permanently and admits no sunset, no pilot-phase exception, and no emergency suspension. A Party facing a genuine fiscal or operational emergency raises the question through the Fund-adjustment mechanism of Article 28, not through any purported suspension of Article 27 itself.</w:t>
      </w:r>
    </w:p>
    <w:bookmarkEnd w:id="54"/>
    <w:bookmarkStart w:id="55" w:name="no-fade-of-institutional-memory"/>
    <w:p>
      <w:pPr>
        <w:pStyle w:val="Heading3"/>
      </w:pPr>
      <w:r>
        <w:t xml:space="preserve">6.5 No fade of institutional memory</w:t>
      </w:r>
    </w:p>
    <w:p>
      <w:pPr>
        <w:pStyle w:val="FirstParagraph"/>
      </w:pPr>
      <w:r>
        <w:t xml:space="preserve">The Amanat Secretariat maintains a continuous institutional record spanning every phase of Part II, every Council decision, every verification finding, and every dispute resolution outcome. A change in any Party’s government, negotiating team, or internal political configuration does not reset this record, and a successor government or negotiating team inherits its predecessor’s Framework position exactly as recorded.</w:t>
      </w:r>
    </w:p>
    <w:bookmarkEnd w:id="55"/>
    <w:bookmarkStart w:id="56" w:name="Xd133e71447bfb9c19b0f0c5862174827505d060"/>
    <w:p>
      <w:pPr>
        <w:pStyle w:val="Heading3"/>
      </w:pPr>
      <w:r>
        <w:t xml:space="preserve">6.6 Renewal by silence and default continuation</w:t>
      </w:r>
    </w:p>
    <w:p>
      <w:pPr>
        <w:pStyle w:val="FirstParagraph"/>
      </w:pPr>
      <w:r>
        <w:t xml:space="preserve">Where this Framework establishes a periodic review under Article 43, the absence of an objection from any Full Party by the review’s stated deadline continues the reviewed provision in force without further action. Silence renews; only an affirmative, timely, written objection under Article 43’s procedure opens the provision to renegotiation.</w:t>
      </w:r>
    </w:p>
    <w:bookmarkEnd w:id="56"/>
    <w:bookmarkEnd w:id="57"/>
    <w:bookmarkEnd w:id="58"/>
    <w:bookmarkStart w:id="88" w:name="X0b9d485488f200a9fe9321335e554fb8c44ac31"/>
    <w:p>
      <w:pPr>
        <w:pStyle w:val="Heading1"/>
      </w:pPr>
      <w:r>
        <w:t xml:space="preserve">Part II: The Multi-Phase Activation Architecture</w:t>
      </w:r>
    </w:p>
    <w:bookmarkStart w:id="62" w:name="article-7-the-phase-architecture"/>
    <w:p>
      <w:pPr>
        <w:pStyle w:val="Heading2"/>
      </w:pPr>
      <w:r>
        <w:t xml:space="preserve">Article 7: The Phase Architecture</w:t>
      </w:r>
    </w:p>
    <w:bookmarkStart w:id="59" w:name="five-phases-one-continuous-instrument"/>
    <w:p>
      <w:pPr>
        <w:pStyle w:val="Heading3"/>
      </w:pPr>
      <w:r>
        <w:t xml:space="preserve">7.1 Five phases, one continuous instrument</w:t>
      </w:r>
    </w:p>
    <w:p>
      <w:pPr>
        <w:pStyle w:val="FirstParagraph"/>
      </w:pPr>
      <w:r>
        <w:t xml:space="preserve">This Framework activates in five phases: Phase 0 (Signature), Phase 1 (Immediate Stabilization), Phase 2 (Operational Normalization), Phase 3 (Institutional Consolidation), and Phase 4 (Permanent Governance). The phases run as a single continuous instrument, not as five separate agreements: a Party’s signature at Phase 0 binds it through every subsequent phase, and no Party re-negotiates its basic participation at each phase transition. Each phase transition triggers automatically on satisfaction of that phase’s stated conditions, verified by the Amanat Watch under Part VIII, and requires no new vote, ratification, or political summit to take effect.</w:t>
      </w:r>
    </w:p>
    <w:bookmarkEnd w:id="59"/>
    <w:bookmarkStart w:id="60" w:name="the-phase-table"/>
    <w:p>
      <w:pPr>
        <w:pStyle w:val="Heading3"/>
      </w:pPr>
      <w:r>
        <w:t xml:space="preserve">7.2 The phase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Indicative window</w:t>
            </w:r>
          </w:p>
        </w:tc>
        <w:tc>
          <w:tcPr/>
          <w:p>
            <w:pPr>
              <w:pStyle w:val="Compact"/>
              <w:jc w:val="left"/>
            </w:pPr>
            <w:r>
              <w:t xml:space="preserve">Trigger for entry</w:t>
            </w:r>
          </w:p>
        </w:tc>
        <w:tc>
          <w:tcPr/>
          <w:p>
            <w:pPr>
              <w:pStyle w:val="Compact"/>
              <w:jc w:val="left"/>
            </w:pPr>
            <w:r>
              <w:t xml:space="preserve">Core content</w:t>
            </w:r>
          </w:p>
        </w:tc>
      </w:tr>
      <w:tr>
        <w:tc>
          <w:tcPr/>
          <w:p>
            <w:pPr>
              <w:pStyle w:val="Compact"/>
              <w:jc w:val="left"/>
            </w:pPr>
            <w:r>
              <w:t xml:space="preserve">Phase 0</w:t>
            </w:r>
          </w:p>
        </w:tc>
        <w:tc>
          <w:tcPr/>
          <w:p>
            <w:pPr>
              <w:pStyle w:val="Compact"/>
              <w:jc w:val="left"/>
            </w:pPr>
            <w:r>
              <w:t xml:space="preserve">Day 0</w:t>
            </w:r>
          </w:p>
        </w:tc>
        <w:tc>
          <w:tcPr/>
          <w:p>
            <w:pPr>
              <w:pStyle w:val="Compact"/>
              <w:jc w:val="left"/>
            </w:pPr>
            <w:r>
              <w:t xml:space="preserve">Signature by both Founding Parties</w:t>
            </w:r>
          </w:p>
        </w:tc>
        <w:tc>
          <w:tcPr/>
          <w:p>
            <w:pPr>
              <w:pStyle w:val="Compact"/>
              <w:jc w:val="left"/>
            </w:pPr>
            <w:r>
              <w:t xml:space="preserve">Entry into force; institutions convene</w:t>
            </w:r>
          </w:p>
        </w:tc>
      </w:tr>
      <w:tr>
        <w:tc>
          <w:tcPr/>
          <w:p>
            <w:pPr>
              <w:pStyle w:val="Compact"/>
              <w:jc w:val="left"/>
            </w:pPr>
            <w:r>
              <w:t xml:space="preserve">Phase 1</w:t>
            </w:r>
          </w:p>
        </w:tc>
        <w:tc>
          <w:tcPr/>
          <w:p>
            <w:pPr>
              <w:pStyle w:val="Compact"/>
              <w:jc w:val="left"/>
            </w:pPr>
            <w:r>
              <w:t xml:space="preserve">Day 0 to Day 30</w:t>
            </w:r>
          </w:p>
        </w:tc>
        <w:tc>
          <w:tcPr/>
          <w:p>
            <w:pPr>
              <w:pStyle w:val="Compact"/>
              <w:jc w:val="left"/>
            </w:pPr>
            <w:r>
              <w:t xml:space="preserve">Automatic, on Phase 0</w:t>
            </w:r>
          </w:p>
        </w:tc>
        <w:tc>
          <w:tcPr/>
          <w:p>
            <w:pPr>
              <w:pStyle w:val="Compact"/>
              <w:jc w:val="left"/>
            </w:pPr>
            <w:r>
              <w:t xml:space="preserve">Ceasefire lock-in; baseline corridor opens; demining begins; hotlines activate</w:t>
            </w:r>
          </w:p>
        </w:tc>
      </w:tr>
      <w:tr>
        <w:tc>
          <w:tcPr/>
          <w:p>
            <w:pPr>
              <w:pStyle w:val="Compact"/>
              <w:jc w:val="left"/>
            </w:pPr>
            <w:r>
              <w:t xml:space="preserve">Phase 2</w:t>
            </w:r>
          </w:p>
        </w:tc>
        <w:tc>
          <w:tcPr/>
          <w:p>
            <w:pPr>
              <w:pStyle w:val="Compact"/>
              <w:jc w:val="left"/>
            </w:pPr>
            <w:r>
              <w:t xml:space="preserve">Day 30 to Day 90</w:t>
            </w:r>
          </w:p>
        </w:tc>
        <w:tc>
          <w:tcPr/>
          <w:p>
            <w:pPr>
              <w:pStyle w:val="Compact"/>
              <w:jc w:val="left"/>
            </w:pPr>
            <w:r>
              <w:t xml:space="preserve">Verified Phase 1 conditions</w:t>
            </w:r>
          </w:p>
        </w:tc>
        <w:tc>
          <w:tcPr/>
          <w:p>
            <w:pPr>
              <w:pStyle w:val="Compact"/>
              <w:jc w:val="left"/>
            </w:pPr>
            <w:r>
              <w:t xml:space="preserve">Naval blockade fully lifts; Earned Stewardship Ladder begins climbing; Council formally seated</w:t>
            </w:r>
          </w:p>
        </w:tc>
      </w:tr>
      <w:tr>
        <w:tc>
          <w:tcPr/>
          <w:p>
            <w:pPr>
              <w:pStyle w:val="Compact"/>
              <w:jc w:val="left"/>
            </w:pPr>
            <w:r>
              <w:t xml:space="preserve">Phase 3</w:t>
            </w:r>
          </w:p>
        </w:tc>
        <w:tc>
          <w:tcPr/>
          <w:p>
            <w:pPr>
              <w:pStyle w:val="Compact"/>
              <w:jc w:val="left"/>
            </w:pPr>
            <w:r>
              <w:t xml:space="preserve">Month 3 to Month 12</w:t>
            </w:r>
          </w:p>
        </w:tc>
        <w:tc>
          <w:tcPr/>
          <w:p>
            <w:pPr>
              <w:pStyle w:val="Compact"/>
              <w:jc w:val="left"/>
            </w:pPr>
            <w:r>
              <w:t xml:space="preserve">Verified Phase 2 conditions</w:t>
            </w:r>
          </w:p>
        </w:tc>
        <w:tc>
          <w:tcPr/>
          <w:p>
            <w:pPr>
              <w:pStyle w:val="Compact"/>
              <w:jc w:val="left"/>
            </w:pPr>
            <w:r>
              <w:t xml:space="preserve">Regional accession opens; Fund reaches operating capitalization; verification architecture matures</w:t>
            </w:r>
          </w:p>
        </w:tc>
      </w:tr>
      <w:tr>
        <w:tc>
          <w:tcPr/>
          <w:p>
            <w:pPr>
              <w:pStyle w:val="Compact"/>
              <w:jc w:val="left"/>
            </w:pPr>
            <w:r>
              <w:t xml:space="preserve">Phase 4</w:t>
            </w:r>
          </w:p>
        </w:tc>
        <w:tc>
          <w:tcPr/>
          <w:p>
            <w:pPr>
              <w:pStyle w:val="Compact"/>
              <w:jc w:val="left"/>
            </w:pPr>
            <w:r>
              <w:t xml:space="preserve">Month 12 onward</w:t>
            </w:r>
          </w:p>
        </w:tc>
        <w:tc>
          <w:tcPr/>
          <w:p>
            <w:pPr>
              <w:pStyle w:val="Compact"/>
              <w:jc w:val="left"/>
            </w:pPr>
            <w:r>
              <w:t xml:space="preserve">Verified Phase 3 conditions</w:t>
            </w:r>
          </w:p>
        </w:tc>
        <w:tc>
          <w:tcPr/>
          <w:p>
            <w:pPr>
              <w:pStyle w:val="Compact"/>
              <w:jc w:val="left"/>
            </w:pPr>
            <w:r>
              <w:t xml:space="preserve">Permanent status; five-year review cycle under Article 43; Ladder reaches its designed ceiling</w:t>
            </w:r>
          </w:p>
        </w:tc>
      </w:tr>
    </w:tbl>
    <w:bookmarkEnd w:id="60"/>
    <w:bookmarkStart w:id="61" w:name="no-forced-sequencing-deadlock"/>
    <w:p>
      <w:pPr>
        <w:pStyle w:val="Heading3"/>
      </w:pPr>
      <w:r>
        <w:t xml:space="preserve">7.3 No forced sequencing deadlock</w:t>
      </w:r>
    </w:p>
    <w:p>
      <w:pPr>
        <w:pStyle w:val="FirstParagraph"/>
      </w:pPr>
      <w:r>
        <w:t xml:space="preserve">The Framework resolves the</w:t>
      </w:r>
      <w:r>
        <w:t xml:space="preserve"> </w:t>
      </w:r>
      <w:r>
        <w:t xml:space="preserve">“</w:t>
      </w:r>
      <w:r>
        <w:t xml:space="preserve">who moves first</w:t>
      </w:r>
      <w:r>
        <w:t xml:space="preserve">”</w:t>
      </w:r>
      <w:r>
        <w:t xml:space="preserve"> </w:t>
      </w:r>
      <w:r>
        <w:t xml:space="preserve">deadlock that stalled prior talks by defining every phase transition as a function of verified, objective conditions rather than of one Party’s prior, discretionary concession. Iran’s corridor-opening steps and the United States’ blockade-relief steps proceed on parallel, mutually triggering tracks within Phase 1 and Phase 2, detailed at Articles 9 and 10, so that each Party’s forward motion is the direct, automatic cause of the other Party’s next step, not a unilateral gift awaiting reciprocity on trust alone.</w:t>
      </w:r>
    </w:p>
    <w:bookmarkEnd w:id="61"/>
    <w:bookmarkEnd w:id="62"/>
    <w:bookmarkStart w:id="66" w:name="X4785cf14341a6cd33a89553bc0459e5868f300b"/>
    <w:p>
      <w:pPr>
        <w:pStyle w:val="Heading2"/>
      </w:pPr>
      <w:r>
        <w:t xml:space="preserve">Article 8: Phase 0, Signature and Entry into Force</w:t>
      </w:r>
    </w:p>
    <w:bookmarkStart w:id="63" w:name="signature"/>
    <w:p>
      <w:pPr>
        <w:pStyle w:val="Heading3"/>
      </w:pPr>
      <w:r>
        <w:t xml:space="preserve">8.1 Signature</w:t>
      </w:r>
    </w:p>
    <w:p>
      <w:pPr>
        <w:pStyle w:val="FirstParagraph"/>
      </w:pPr>
      <w:r>
        <w:t xml:space="preserve">The Framework enters into force on signature by the Islamic Republic of Iran and the Sultanate of Oman. The Endorsing Stakeholder’s role under Article 15 activates on the United States’ separate written endorsement, deposited with the Neutral Administrator, which the Endorsing Stakeholder delivers concurrently with or promptly following the Founding Parties’ signature.</w:t>
      </w:r>
    </w:p>
    <w:bookmarkEnd w:id="63"/>
    <w:bookmarkStart w:id="64" w:name="immediate-institutional-convening"/>
    <w:p>
      <w:pPr>
        <w:pStyle w:val="Heading3"/>
      </w:pPr>
      <w:r>
        <w:t xml:space="preserve">8.2 Immediate institutional convening</w:t>
      </w:r>
    </w:p>
    <w:p>
      <w:pPr>
        <w:pStyle w:val="FirstParagraph"/>
      </w:pPr>
      <w:r>
        <w:t xml:space="preserve">On entry into force, the following convene within seventy-two hours: the Amanat Council in its provisional composition of the two Founding Parties; the Hormuz Operations Center’s initial technical staff, seconded from Iran’s and Oman’s maritime authorities in equal number; and the Neutral Administrator’s Hormuz Account, opened at a Swiss financial institution the Neutral Administrator designates.</w:t>
      </w:r>
    </w:p>
    <w:bookmarkEnd w:id="64"/>
    <w:bookmarkStart w:id="65" w:name="the-phase-1-clock"/>
    <w:p>
      <w:pPr>
        <w:pStyle w:val="Heading3"/>
      </w:pPr>
      <w:r>
        <w:t xml:space="preserve">8.3 The Phase 1 clock</w:t>
      </w:r>
    </w:p>
    <w:p>
      <w:pPr>
        <w:pStyle w:val="FirstParagraph"/>
      </w:pPr>
      <w:r>
        <w:t xml:space="preserve">Signature starts the Phase 1 clock at hour zero. Every deadline Article 9 states runs from this hour-zero mark, published simultaneously by the Amanat Secretariat in Persian, Arabic, and English.</w:t>
      </w:r>
    </w:p>
    <w:bookmarkEnd w:id="65"/>
    <w:bookmarkEnd w:id="66"/>
    <w:bookmarkStart w:id="72" w:name="X0f1dd1476d410094c42f2f9b8b9980d07b47c08"/>
    <w:p>
      <w:pPr>
        <w:pStyle w:val="Heading2"/>
      </w:pPr>
      <w:r>
        <w:t xml:space="preserve">Article 9: Phase 1, Immediate Stabilization (Day 0 to Day 30)</w:t>
      </w:r>
    </w:p>
    <w:bookmarkStart w:id="67" w:name="ceasefire-lock-in"/>
    <w:p>
      <w:pPr>
        <w:pStyle w:val="Heading3"/>
      </w:pPr>
      <w:r>
        <w:t xml:space="preserve">9.1 Ceasefire lock-in</w:t>
      </w:r>
    </w:p>
    <w:p>
      <w:pPr>
        <w:pStyle w:val="FirstParagraph"/>
      </w:pPr>
      <w:r>
        <w:t xml:space="preserve">The termination of military operations the wider diplomatic architecture already establishes locks in as a standing condition of this Framework’s operation. A resumption of hostilities inside or bordering the Governance Area triggers the emergency-pause provisions of Article 26.5 and the security escalation protocol of Article 33, and does not, by itself, terminate this Framework.</w:t>
      </w:r>
    </w:p>
    <w:bookmarkEnd w:id="67"/>
    <w:bookmarkStart w:id="68" w:name="baseline-corridor-opens"/>
    <w:p>
      <w:pPr>
        <w:pStyle w:val="Heading3"/>
      </w:pPr>
      <w:r>
        <w:t xml:space="preserve">9.2 Baseline corridor opens</w:t>
      </w:r>
    </w:p>
    <w:p>
      <w:pPr>
        <w:pStyle w:val="FirstParagraph"/>
      </w:pPr>
      <w:r>
        <w:t xml:space="preserve">The Hormuz Operations Center activates the baseline Three-Corridor System of Article 21 on Day 3, using the routing coordinates the Iran-Oman bilateral channel already negotiated as the technical starting point under Article 2.7. Iran’s operational management of the Northern Inbound Corridor begins at the baseline allocation the Earned Stewardship Ladder’s Article 24.2 fixes.</w:t>
      </w:r>
    </w:p>
    <w:bookmarkEnd w:id="68"/>
    <w:bookmarkStart w:id="69" w:name="parallel-demining-and-blockade-relief"/>
    <w:p>
      <w:pPr>
        <w:pStyle w:val="Heading3"/>
      </w:pPr>
      <w:r>
        <w:t xml:space="preserve">9.3 Parallel demining and blockade relief</w:t>
      </w:r>
    </w:p>
    <w:p>
      <w:pPr>
        <w:pStyle w:val="FirstParagraph"/>
      </w:pPr>
      <w:r>
        <w:t xml:space="preserve">The Joint Survey Group’s hazard-clearance sequence under Article 22 begins on Day 3, in parallel with the first tranche of naval-blockade relief: the Endorsing Stakeholder’s forces stand down active interdiction of civilian-flagged vessels bound for Iranian ports within the Governance Area’s approaches, verified daily by the Amanat Watch. Each verified week of the corridor operating without a Tier 2 or Tier 3 event, defined at Article 35, triggers the next tranche of blockade relief automatically, without a separate diplomatic decision.</w:t>
      </w:r>
    </w:p>
    <w:bookmarkEnd w:id="69"/>
    <w:bookmarkStart w:id="70" w:name="hotlines-and-de-confliction"/>
    <w:p>
      <w:pPr>
        <w:pStyle w:val="Heading3"/>
      </w:pPr>
      <w:r>
        <w:t xml:space="preserve">9.4 Hotlines and de-confliction</w:t>
      </w:r>
    </w:p>
    <w:p>
      <w:pPr>
        <w:pStyle w:val="FirstParagraph"/>
      </w:pPr>
      <w:r>
        <w:t xml:space="preserve">The naval de-confliction hotline of Article 32 activates on Day 1, linking the Hormuz Operations Center, the Fifth Fleet’s regional maritime component, and Iran’s Islamic Revolutionary Guard Corps Navy and Islamic Republic of Iran Navy watch floors. A missed hotline test registers as a minor compliance event under Annex D.</w:t>
      </w:r>
    </w:p>
    <w:bookmarkEnd w:id="70"/>
    <w:bookmarkStart w:id="71" w:name="thirty-day-verification-checkpoint"/>
    <w:p>
      <w:pPr>
        <w:pStyle w:val="Heading3"/>
      </w:pPr>
      <w:r>
        <w:t xml:space="preserve">9.5 Thirty-day verification checkpoint</w:t>
      </w:r>
    </w:p>
    <w:p>
      <w:pPr>
        <w:pStyle w:val="FirstParagraph"/>
      </w:pPr>
      <w:r>
        <w:t xml:space="preserve">On Day 30, the Amanat Watch publishes a verification report addressing four conditions: zero Tier 3 events in the preceding fourteen days; demining progress consistent with the Joint Survey Group’s published schedule; full hotline-test compliance; and the Hormuz Account’s receipt of initial capitalization under Article 28.7. Satisfaction of all four conditions triggers automatic entry into Phase 2. Partial satisfaction extends Phase 1 by the Amanat Watch’s recommended interval, published with specific, remaining conditions, and does not reopen any element the Parties have already settled.</w:t>
      </w:r>
    </w:p>
    <w:bookmarkEnd w:id="71"/>
    <w:bookmarkEnd w:id="72"/>
    <w:bookmarkStart w:id="77" w:name="X9e2461bc45a6951715edd559c0a31a59ff2ae3c"/>
    <w:p>
      <w:pPr>
        <w:pStyle w:val="Heading2"/>
      </w:pPr>
      <w:r>
        <w:t xml:space="preserve">Article 10: Phase 2, Operational Normalization (Day 30 to Day 90)</w:t>
      </w:r>
    </w:p>
    <w:bookmarkStart w:id="73" w:name="full-blockade-lift"/>
    <w:p>
      <w:pPr>
        <w:pStyle w:val="Heading3"/>
      </w:pPr>
      <w:r>
        <w:t xml:space="preserve">10.1 Full blockade lift</w:t>
      </w:r>
    </w:p>
    <w:p>
      <w:pPr>
        <w:pStyle w:val="FirstParagraph"/>
      </w:pPr>
      <w:r>
        <w:t xml:space="preserve">On verified Phase 2 entry, the Endorsing Stakeholder’s naval blockade of Iranian ports lifts in full. This step is the direct, automatic consequence of the Phase 1 checkpoint’s satisfaction, not a separate negotiated concession, and the Endorsing Stakeholder’s participation in the Article 15 framework records this step in advance as an automatic trigger rather than a discretionary act taken at the moment of lift.</w:t>
      </w:r>
    </w:p>
    <w:bookmarkEnd w:id="73"/>
    <w:bookmarkStart w:id="74" w:name="the-council-seats-formally"/>
    <w:p>
      <w:pPr>
        <w:pStyle w:val="Heading3"/>
      </w:pPr>
      <w:r>
        <w:t xml:space="preserve">10.2 The Council seats formally</w:t>
      </w:r>
    </w:p>
    <w:p>
      <w:pPr>
        <w:pStyle w:val="FirstParagraph"/>
      </w:pPr>
      <w:r>
        <w:t xml:space="preserve">The Amanat Council transitions from its Phase 0 provisional composition to its full Phase 2 composition under Article 14, admitting the United Arab Emirates as a Full Party on the schedule Article 41.2 sets, and seating the Gulf Cooperation Council Observer College under Article 15.4.</w:t>
      </w:r>
    </w:p>
    <w:bookmarkEnd w:id="74"/>
    <w:bookmarkStart w:id="75" w:name="the-ladder-begins-its-principal-climb"/>
    <w:p>
      <w:pPr>
        <w:pStyle w:val="Heading3"/>
      </w:pPr>
      <w:r>
        <w:t xml:space="preserve">10.3 The Ladder begins its principal climb</w:t>
      </w:r>
    </w:p>
    <w:p>
      <w:pPr>
        <w:pStyle w:val="FirstParagraph"/>
      </w:pPr>
      <w:r>
        <w:t xml:space="preserve">The Earned Stewardship Ladder’s weekly escalation mechanism, paused during Phase 1 at its baseline allocation, begins its principal climb on Day 30 under Article 24’s full schedule, calculated from Phase 1’s verified clean weeks retroactively credited under Article 24.3.</w:t>
      </w:r>
    </w:p>
    <w:bookmarkEnd w:id="75"/>
    <w:bookmarkStart w:id="76" w:name="ninety-day-verification-checkpoint"/>
    <w:p>
      <w:pPr>
        <w:pStyle w:val="Heading3"/>
      </w:pPr>
      <w:r>
        <w:t xml:space="preserve">10.4 Ninety-day verification checkpoint</w:t>
      </w:r>
    </w:p>
    <w:p>
      <w:pPr>
        <w:pStyle w:val="FirstParagraph"/>
      </w:pPr>
      <w:r>
        <w:t xml:space="preserve">On Day 90, the Amanat Watch verifies: continuous corridor operation without a Tier 3 event since Day 30; the Ladder’s climb to at least the fifty-percent milestone of Annex C; the Hormuz Operations Center’s independent operational capability, tested through a joint exercise; and the Fund’s receipt of its first quarterly service-fee cycle under Article 28. Satisfaction triggers automatic entry into Phase 3.</w:t>
      </w:r>
    </w:p>
    <w:bookmarkEnd w:id="76"/>
    <w:bookmarkEnd w:id="77"/>
    <w:bookmarkStart w:id="82" w:name="X8d28afb012a946bf634872ee6d87b85e047c814"/>
    <w:p>
      <w:pPr>
        <w:pStyle w:val="Heading2"/>
      </w:pPr>
      <w:r>
        <w:t xml:space="preserve">Article 11: Phase 3, Institutional Consolidation (Month 3 to Month 12)</w:t>
      </w:r>
    </w:p>
    <w:bookmarkStart w:id="78" w:name="regional-accession-opens"/>
    <w:p>
      <w:pPr>
        <w:pStyle w:val="Heading3"/>
      </w:pPr>
      <w:r>
        <w:t xml:space="preserve">11.1 Regional accession opens</w:t>
      </w:r>
    </w:p>
    <w:p>
      <w:pPr>
        <w:pStyle w:val="FirstParagraph"/>
      </w:pPr>
      <w:r>
        <w:t xml:space="preserve">The defined accession path of Article 41 opens formally to the Kingdom of Saudi Arabia, the State of Qatar, and the Kingdom of Bahrain at Phase 3’s start, each acceding as Associate Parties to the navigation and safety layer under Article 41.3, with the State of Kuwait and the Republic of Iraq eligible from Month 6.</w:t>
      </w:r>
    </w:p>
    <w:bookmarkEnd w:id="78"/>
    <w:bookmarkStart w:id="79" w:name="verification-architecture-matures"/>
    <w:p>
      <w:pPr>
        <w:pStyle w:val="Heading3"/>
      </w:pPr>
      <w:r>
        <w:t xml:space="preserve">11.2 Verification architecture matures</w:t>
      </w:r>
    </w:p>
    <w:p>
      <w:pPr>
        <w:pStyle w:val="FirstParagraph"/>
      </w:pPr>
      <w:r>
        <w:t xml:space="preserve">The Amanat Watch’s Human Anchor Method of Article 34 reaches full staffing, and the Joint Survey Group transitions from active demining verification to the steady-state hazard-monitoring function of Article 22.7.</w:t>
      </w:r>
    </w:p>
    <w:bookmarkEnd w:id="79"/>
    <w:bookmarkStart w:id="80" w:name="fund-capitalization-target"/>
    <w:p>
      <w:pPr>
        <w:pStyle w:val="Heading3"/>
      </w:pPr>
      <w:r>
        <w:t xml:space="preserve">11.3 Fund capitalization target</w:t>
      </w:r>
    </w:p>
    <w:p>
      <w:pPr>
        <w:pStyle w:val="FirstParagraph"/>
      </w:pPr>
      <w:r>
        <w:t xml:space="preserve">The Hormuz Transit Services Fund reaches its Phase 3 operating-capitalization target, published in Annex D, funded from the service-fee cycle of Article 28 and, where Parties elect it, the voluntary contribution channel of Article 28.9. The Hormuz Coastal Development Window of Article 30 opens for its first funding cycle on reaching this target.</w:t>
      </w:r>
    </w:p>
    <w:bookmarkEnd w:id="80"/>
    <w:bookmarkStart w:id="81" w:name="twelve-month-verification-checkpoint"/>
    <w:p>
      <w:pPr>
        <w:pStyle w:val="Heading3"/>
      </w:pPr>
      <w:r>
        <w:t xml:space="preserve">11.4 Twelve-month verification checkpoint</w:t>
      </w:r>
    </w:p>
    <w:p>
      <w:pPr>
        <w:pStyle w:val="FirstParagraph"/>
      </w:pPr>
      <w:r>
        <w:t xml:space="preserve">At Month 12, the Amanat Watch verifies the cumulative record across the preceding nine months against the conditions Annex H publishes for Phase 4 entry. Satisfaction triggers automatic entry into Phase 4. The Amanat Council convenes a plenary session marking the transition, without which Phase 4 nonetheless takes effect on the verification record alone.</w:t>
      </w:r>
    </w:p>
    <w:bookmarkEnd w:id="81"/>
    <w:bookmarkEnd w:id="82"/>
    <w:bookmarkStart w:id="87" w:name="article-12-phase-4-permanent-governance"/>
    <w:p>
      <w:pPr>
        <w:pStyle w:val="Heading2"/>
      </w:pPr>
      <w:r>
        <w:t xml:space="preserve">Article 12: Phase 4, Permanent Governance</w:t>
      </w:r>
    </w:p>
    <w:bookmarkStart w:id="83" w:name="permanent-status"/>
    <w:p>
      <w:pPr>
        <w:pStyle w:val="Heading3"/>
      </w:pPr>
      <w:r>
        <w:t xml:space="preserve">12.1 Permanent status</w:t>
      </w:r>
    </w:p>
    <w:p>
      <w:pPr>
        <w:pStyle w:val="FirstParagraph"/>
      </w:pPr>
      <w:r>
        <w:t xml:space="preserve">From Phase 4’s entry, the Framework operates as this instrument’s permanent, standing architecture, subject only to the amendment procedure of Article 42 and the periodic review of Article 43. No further phase transition applies; Phase 4 is the Framework’s designed steady state.</w:t>
      </w:r>
    </w:p>
    <w:bookmarkEnd w:id="83"/>
    <w:bookmarkStart w:id="84" w:name="the-ladders-ceiling"/>
    <w:p>
      <w:pPr>
        <w:pStyle w:val="Heading3"/>
      </w:pPr>
      <w:r>
        <w:t xml:space="preserve">12.2 The Ladder’s ceiling</w:t>
      </w:r>
    </w:p>
    <w:p>
      <w:pPr>
        <w:pStyle w:val="FirstParagraph"/>
      </w:pPr>
      <w:r>
        <w:t xml:space="preserve">The Earned Stewardship Ladder reaches its designed ceiling under Article 24.5 during Phase 4, subject to the permanent floor and reset provisions of Article 26. Iran’s functional stewardship weight, once the Ladder reaches its ceiling, does not require further weekly re-verification to maintain, though the Amanat Watch’s continuous monitoring under Part VIII continues without interruption.</w:t>
      </w:r>
    </w:p>
    <w:bookmarkEnd w:id="84"/>
    <w:bookmarkStart w:id="85" w:name="full-multilateral-membership"/>
    <w:p>
      <w:pPr>
        <w:pStyle w:val="Heading3"/>
      </w:pPr>
      <w:r>
        <w:t xml:space="preserve">12.3 Full multilateral membership</w:t>
      </w:r>
    </w:p>
    <w:p>
      <w:pPr>
        <w:pStyle w:val="FirstParagraph"/>
      </w:pPr>
      <w:r>
        <w:t xml:space="preserve">By the end of Phase 4’s first year, the full membership architecture of Part III operates at its designed scale: every Layer 1 and Layer 2 state Article 13 identifies participates at its defined tier, and the observer, institutional-partner, and commercial-actor layers function on the schedule Annex H sets.</w:t>
      </w:r>
    </w:p>
    <w:bookmarkEnd w:id="85"/>
    <w:bookmarkStart w:id="86" w:name="the-five-year-review"/>
    <w:p>
      <w:pPr>
        <w:pStyle w:val="Heading3"/>
      </w:pPr>
      <w:r>
        <w:t xml:space="preserve">12.4 The five-year review</w:t>
      </w:r>
    </w:p>
    <w:p>
      <w:pPr>
        <w:pStyle w:val="FirstParagraph"/>
      </w:pPr>
      <w:r>
        <w:t xml:space="preserve">Article 43 governs Phase 4’s standing review cycle. The first review convenes five years from Phase 4’s entry and recurs every five years thereafter, addressing the Framework’s technical, economic, and institutional performance without reopening the Red Lines Register absent the unanimous, ratified consensus Article 4.3 requires.</w:t>
      </w:r>
    </w:p>
    <w:bookmarkEnd w:id="86"/>
    <w:bookmarkEnd w:id="87"/>
    <w:bookmarkEnd w:id="88"/>
    <w:bookmarkStart w:id="117" w:name="X2ba8fb98c0d76e67d7775183381aacedb5bea17"/>
    <w:p>
      <w:pPr>
        <w:pStyle w:val="Heading1"/>
      </w:pPr>
      <w:r>
        <w:t xml:space="preserve">Part III: The Multi-Layered Institutional Architecture</w:t>
      </w:r>
    </w:p>
    <w:bookmarkStart w:id="92" w:name="article-13-the-seven-layers"/>
    <w:p>
      <w:pPr>
        <w:pStyle w:val="Heading2"/>
      </w:pPr>
      <w:r>
        <w:t xml:space="preserve">Article 13: The Seven Layers</w:t>
      </w:r>
    </w:p>
    <w:bookmarkStart w:id="89" w:name="concentric-not-hierarchical"/>
    <w:p>
      <w:pPr>
        <w:pStyle w:val="Heading3"/>
      </w:pPr>
      <w:r>
        <w:t xml:space="preserve">13.1 Concentric, not hierarchical</w:t>
      </w:r>
    </w:p>
    <w:p>
      <w:pPr>
        <w:pStyle w:val="FirstParagraph"/>
      </w:pPr>
      <w:r>
        <w:t xml:space="preserve">This Framework’s institutional membership operates as seven concentric layers, radiating outward from the two states that bear the Strait’s direct operational burden to the global commercial and technical actors that depend on it. The layers are concentric, not hierarchical: an outer layer’s participation carries lighter obligations and lighter voice by design, not by subordination, and the architecture assigns each layer exactly the role its stake and its capability justify.</w:t>
      </w:r>
    </w:p>
    <w:bookmarkEnd w:id="89"/>
    <w:bookmarkStart w:id="90" w:name="the-seven-layers-in-summary"/>
    <w:p>
      <w:pPr>
        <w:pStyle w:val="Heading3"/>
      </w:pPr>
      <w:r>
        <w:t xml:space="preserve">13.2 The seven layers in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Membership</w:t>
            </w:r>
          </w:p>
        </w:tc>
        <w:tc>
          <w:tcPr/>
          <w:p>
            <w:pPr>
              <w:pStyle w:val="Compact"/>
              <w:jc w:val="left"/>
            </w:pPr>
            <w:r>
              <w:t xml:space="preserve">Status</w:t>
            </w:r>
          </w:p>
        </w:tc>
        <w:tc>
          <w:tcPr/>
          <w:p>
            <w:pPr>
              <w:pStyle w:val="Compact"/>
              <w:jc w:val="left"/>
            </w:pPr>
            <w:r>
              <w:t xml:space="preserve">Function</w:t>
            </w:r>
          </w:p>
        </w:tc>
      </w:tr>
      <w:tr>
        <w:tc>
          <w:tcPr/>
          <w:p>
            <w:pPr>
              <w:pStyle w:val="Compact"/>
              <w:jc w:val="left"/>
            </w:pPr>
            <w:r>
              <w:t xml:space="preserve">1. Core Littoral</w:t>
            </w:r>
          </w:p>
        </w:tc>
        <w:tc>
          <w:tcPr/>
          <w:p>
            <w:pPr>
              <w:pStyle w:val="Compact"/>
              <w:jc w:val="left"/>
            </w:pPr>
            <w:r>
              <w:t xml:space="preserve">Iran, Oman</w:t>
            </w:r>
          </w:p>
        </w:tc>
        <w:tc>
          <w:tcPr/>
          <w:p>
            <w:pPr>
              <w:pStyle w:val="Compact"/>
              <w:jc w:val="left"/>
            </w:pPr>
            <w:r>
              <w:t xml:space="preserve">Full Parties</w:t>
            </w:r>
          </w:p>
        </w:tc>
        <w:tc>
          <w:tcPr/>
          <w:p>
            <w:pPr>
              <w:pStyle w:val="Compact"/>
              <w:jc w:val="left"/>
            </w:pPr>
            <w:r>
              <w:t xml:space="preserve">Corridor administration, Council seats, Ladder participation</w:t>
            </w:r>
          </w:p>
        </w:tc>
      </w:tr>
      <w:tr>
        <w:tc>
          <w:tcPr/>
          <w:p>
            <w:pPr>
              <w:pStyle w:val="Compact"/>
              <w:jc w:val="left"/>
            </w:pPr>
            <w:r>
              <w:t xml:space="preserve">2. Regional Ring</w:t>
            </w:r>
          </w:p>
        </w:tc>
        <w:tc>
          <w:tcPr/>
          <w:p>
            <w:pPr>
              <w:pStyle w:val="Compact"/>
              <w:jc w:val="left"/>
            </w:pPr>
            <w:r>
              <w:t xml:space="preserve">UAE, Saudi Arabia, Qatar, Bahrain, Kuwait, Iraq</w:t>
            </w:r>
          </w:p>
        </w:tc>
        <w:tc>
          <w:tcPr/>
          <w:p>
            <w:pPr>
              <w:pStyle w:val="Compact"/>
              <w:jc w:val="left"/>
            </w:pPr>
            <w:r>
              <w:t xml:space="preserve">Associate Parties, on accession</w:t>
            </w:r>
          </w:p>
        </w:tc>
        <w:tc>
          <w:tcPr/>
          <w:p>
            <w:pPr>
              <w:pStyle w:val="Compact"/>
              <w:jc w:val="left"/>
            </w:pPr>
            <w:r>
              <w:t xml:space="preserve">Navigation and safety layer; optional economic layer</w:t>
            </w:r>
          </w:p>
        </w:tc>
      </w:tr>
      <w:tr>
        <w:tc>
          <w:tcPr/>
          <w:p>
            <w:pPr>
              <w:pStyle w:val="Compact"/>
              <w:jc w:val="left"/>
            </w:pPr>
            <w:r>
              <w:t xml:space="preserve">3. External Users</w:t>
            </w:r>
          </w:p>
        </w:tc>
        <w:tc>
          <w:tcPr/>
          <w:p>
            <w:pPr>
              <w:pStyle w:val="Compact"/>
              <w:jc w:val="left"/>
            </w:pPr>
            <w:r>
              <w:t xml:space="preserve">United States, EU member states, United Kingdom, France, China, India, Japan, South Korea</w:t>
            </w:r>
          </w:p>
        </w:tc>
        <w:tc>
          <w:tcPr/>
          <w:p>
            <w:pPr>
              <w:pStyle w:val="Compact"/>
              <w:jc w:val="left"/>
            </w:pPr>
            <w:r>
              <w:t xml:space="preserve">Observers</w:t>
            </w:r>
          </w:p>
        </w:tc>
        <w:tc>
          <w:tcPr/>
          <w:p>
            <w:pPr>
              <w:pStyle w:val="Compact"/>
              <w:jc w:val="left"/>
            </w:pPr>
            <w:r>
              <w:t xml:space="preserve">Technical committee participation; no vote; no security obligation</w:t>
            </w:r>
          </w:p>
        </w:tc>
      </w:tr>
      <w:tr>
        <w:tc>
          <w:tcPr/>
          <w:p>
            <w:pPr>
              <w:pStyle w:val="Compact"/>
              <w:jc w:val="left"/>
            </w:pPr>
            <w:r>
              <w:t xml:space="preserve">4. Institutional Partners</w:t>
            </w:r>
          </w:p>
        </w:tc>
        <w:tc>
          <w:tcPr/>
          <w:p>
            <w:pPr>
              <w:pStyle w:val="Compact"/>
              <w:jc w:val="left"/>
            </w:pPr>
            <w:r>
              <w:t xml:space="preserve">IMO, IHO, UN Mine Action Service, P&amp;I Clubs and war-risk insurers</w:t>
            </w:r>
          </w:p>
        </w:tc>
        <w:tc>
          <w:tcPr/>
          <w:p>
            <w:pPr>
              <w:pStyle w:val="Compact"/>
              <w:jc w:val="left"/>
            </w:pPr>
            <w:r>
              <w:t xml:space="preserve">Institutional Partners</w:t>
            </w:r>
          </w:p>
        </w:tc>
        <w:tc>
          <w:tcPr/>
          <w:p>
            <w:pPr>
              <w:pStyle w:val="Compact"/>
              <w:jc w:val="left"/>
            </w:pPr>
            <w:r>
              <w:t xml:space="preserve">Technical validation; registration; risk-classification alignment</w:t>
            </w:r>
          </w:p>
        </w:tc>
      </w:tr>
      <w:tr>
        <w:tc>
          <w:tcPr/>
          <w:p>
            <w:pPr>
              <w:pStyle w:val="Compact"/>
              <w:jc w:val="left"/>
            </w:pPr>
            <w:r>
              <w:t xml:space="preserve">5. Security Liaisons</w:t>
            </w:r>
          </w:p>
        </w:tc>
        <w:tc>
          <w:tcPr/>
          <w:p>
            <w:pPr>
              <w:pStyle w:val="Compact"/>
              <w:jc w:val="left"/>
            </w:pPr>
            <w:r>
              <w:t xml:space="preserve">United States Fifth Fleet, United Kingdom Maritime Component Command, French Gulf naval presence</w:t>
            </w:r>
          </w:p>
        </w:tc>
        <w:tc>
          <w:tcPr/>
          <w:p>
            <w:pPr>
              <w:pStyle w:val="Compact"/>
              <w:jc w:val="left"/>
            </w:pPr>
            <w:r>
              <w:t xml:space="preserve">Security Liaisons</w:t>
            </w:r>
          </w:p>
        </w:tc>
        <w:tc>
          <w:tcPr/>
          <w:p>
            <w:pPr>
              <w:pStyle w:val="Compact"/>
              <w:jc w:val="left"/>
            </w:pPr>
            <w:r>
              <w:t xml:space="preserve">De-confliction only, under Part VII; no governance role</w:t>
            </w:r>
          </w:p>
        </w:tc>
      </w:tr>
      <w:tr>
        <w:tc>
          <w:tcPr/>
          <w:p>
            <w:pPr>
              <w:pStyle w:val="Compact"/>
              <w:jc w:val="left"/>
            </w:pPr>
            <w:r>
              <w:t xml:space="preserve">6. Commercial and Technical Actors</w:t>
            </w:r>
          </w:p>
        </w:tc>
        <w:tc>
          <w:tcPr/>
          <w:p>
            <w:pPr>
              <w:pStyle w:val="Compact"/>
              <w:jc w:val="left"/>
            </w:pPr>
            <w:r>
              <w:t xml:space="preserve">Shipping lines, energy companies, maritime insurers, port authorities</w:t>
            </w:r>
          </w:p>
        </w:tc>
        <w:tc>
          <w:tcPr/>
          <w:p>
            <w:pPr>
              <w:pStyle w:val="Compact"/>
              <w:jc w:val="left"/>
            </w:pPr>
            <w:r>
              <w:t xml:space="preserve">Non-State Participants</w:t>
            </w:r>
          </w:p>
        </w:tc>
        <w:tc>
          <w:tcPr/>
          <w:p>
            <w:pPr>
              <w:pStyle w:val="Compact"/>
              <w:jc w:val="left"/>
            </w:pPr>
            <w:r>
              <w:t xml:space="preserve">Compliance with routing and safety rules; operational feedback</w:t>
            </w:r>
          </w:p>
        </w:tc>
      </w:tr>
      <w:tr>
        <w:tc>
          <w:tcPr/>
          <w:p>
            <w:pPr>
              <w:pStyle w:val="Compact"/>
              <w:jc w:val="left"/>
            </w:pPr>
            <w:r>
              <w:t xml:space="preserve">7. Future Participants</w:t>
            </w:r>
          </w:p>
        </w:tc>
        <w:tc>
          <w:tcPr/>
          <w:p>
            <w:pPr>
              <w:pStyle w:val="Compact"/>
              <w:jc w:val="left"/>
            </w:pPr>
            <w:r>
              <w:t xml:space="preserve">Pakistan, additional Gulf and Red Sea littoral states</w:t>
            </w:r>
          </w:p>
        </w:tc>
        <w:tc>
          <w:tcPr/>
          <w:p>
            <w:pPr>
              <w:pStyle w:val="Compact"/>
              <w:jc w:val="left"/>
            </w:pPr>
            <w:r>
              <w:t xml:space="preserve">Eligible on invitation</w:t>
            </w:r>
          </w:p>
        </w:tc>
        <w:tc>
          <w:tcPr/>
          <w:p>
            <w:pPr>
              <w:pStyle w:val="Compact"/>
              <w:jc w:val="left"/>
            </w:pPr>
            <w:r>
              <w:t xml:space="preserve">Optional future accession to Layer 2 tier</w:t>
            </w:r>
          </w:p>
        </w:tc>
      </w:tr>
    </w:tbl>
    <w:bookmarkEnd w:id="90"/>
    <w:bookmarkStart w:id="91" w:name="Xaa14e05ed6aee5f93b9f94aae819ce9a2ca344b"/>
    <w:p>
      <w:pPr>
        <w:pStyle w:val="Heading3"/>
      </w:pPr>
      <w:r>
        <w:t xml:space="preserve">13.3 Layer 1 defines the system; the other layers extend it</w:t>
      </w:r>
    </w:p>
    <w:p>
      <w:pPr>
        <w:pStyle w:val="FirstParagraph"/>
      </w:pPr>
      <w:r>
        <w:t xml:space="preserve">Layer 1’s two Full Parties hold the only seats with a vote on the Red Lines Register’s amendment under Article 4.3 and the only automatic participation in the Earned Stewardship Ladder of Part V. Every other layer’s rights and obligations derive from, and never exceed, what Layer 1’s founding design assigns to that layer.</w:t>
      </w:r>
    </w:p>
    <w:bookmarkEnd w:id="91"/>
    <w:bookmarkEnd w:id="92"/>
    <w:bookmarkStart w:id="96" w:name="article-14-the-amanat-council"/>
    <w:p>
      <w:pPr>
        <w:pStyle w:val="Heading2"/>
      </w:pPr>
      <w:r>
        <w:t xml:space="preserve">Article 14: The Amanat Council</w:t>
      </w:r>
    </w:p>
    <w:bookmarkStart w:id="93" w:name="composition"/>
    <w:p>
      <w:pPr>
        <w:pStyle w:val="Heading3"/>
      </w:pPr>
      <w:r>
        <w:t xml:space="preserve">14.1 Composition</w:t>
      </w:r>
    </w:p>
    <w:p>
      <w:pPr>
        <w:pStyle w:val="FirstParagraph"/>
      </w:pPr>
      <w:r>
        <w:t xml:space="preserve">The Amanat Council comprises one seat for each Layer 1 Full Party, one seat for each Layer 2 Associate Party from the date of its accession, and one non-voting seat for the Endorsing Stakeholder under Article 15.2. The Mediator of Record chairs Council sessions without a vote, and the Neutral Administrator attends as permanent technical secretary.</w:t>
      </w:r>
    </w:p>
    <w:bookmarkEnd w:id="93"/>
    <w:bookmarkStart w:id="94" w:name="mandate"/>
    <w:p>
      <w:pPr>
        <w:pStyle w:val="Heading3"/>
      </w:pPr>
      <w:r>
        <w:t xml:space="preserve">14.2 Mandate</w:t>
      </w:r>
    </w:p>
    <w:p>
      <w:pPr>
        <w:pStyle w:val="FirstParagraph"/>
      </w:pPr>
      <w:r>
        <w:t xml:space="preserve">The Council holds political-level decision authority over amendment proposals under Article 42, accession decisions under Article 41, the Perimeter Test’s application to novel proposals under Article 4.2, and the appointment of the Amanat Watch’s senior verification officers under Article 34.2. The Council does not exercise day-to-day operational authority, which Article 16 assigns to the Hormuz Operations Center.</w:t>
      </w:r>
    </w:p>
    <w:bookmarkEnd w:id="94"/>
    <w:bookmarkStart w:id="95" w:name="sessions"/>
    <w:p>
      <w:pPr>
        <w:pStyle w:val="Heading3"/>
      </w:pPr>
      <w:r>
        <w:t xml:space="preserve">14.3 Sessions</w:t>
      </w:r>
    </w:p>
    <w:p>
      <w:pPr>
        <w:pStyle w:val="FirstParagraph"/>
      </w:pPr>
      <w:r>
        <w:t xml:space="preserve">The Council convenes in ordinary session quarterly during Phase 2 and Phase 3, and semi-annually from Phase 4, at the Hormuz Operations Center or, alternately, at the Bandar Abbas mirror facility, in equal rotation. Any Full Party convenes an extraordinary session on five days’ notice for a Red Line consultation under Article 4.4 or a Tier 3 incident under Article 35.4.</w:t>
      </w:r>
    </w:p>
    <w:bookmarkEnd w:id="95"/>
    <w:bookmarkEnd w:id="96"/>
    <w:bookmarkStart w:id="102" w:name="Xde86950dbde5a6e10cd5be122d833c8dea688f0"/>
    <w:p>
      <w:pPr>
        <w:pStyle w:val="Heading2"/>
      </w:pPr>
      <w:r>
        <w:t xml:space="preserve">Article 15: Participation Architecture and the Role of the United States and External Stakeholders</w:t>
      </w:r>
    </w:p>
    <w:bookmarkStart w:id="97" w:name="the-endorsing-stakeholder-category"/>
    <w:p>
      <w:pPr>
        <w:pStyle w:val="Heading3"/>
      </w:pPr>
      <w:r>
        <w:t xml:space="preserve">15.1 The Endorsing Stakeholder category</w:t>
      </w:r>
    </w:p>
    <w:p>
      <w:pPr>
        <w:pStyle w:val="FirstParagraph"/>
      </w:pPr>
      <w:r>
        <w:t xml:space="preserve">This Framework creates the Endorsing Stakeholder category specifically for the United States, reflecting the reality that the United States holds a direct security and commercial stake in the Strait’s governance without holding littoral status. The category carries substantive participation rights without conferring a vote inside the civilian governance layer the Red Lines Register protects as exclusively littoral and civilian under RL-5 and RL-12.</w:t>
      </w:r>
    </w:p>
    <w:bookmarkEnd w:id="97"/>
    <w:bookmarkStart w:id="98" w:name="endorsing-stakeholder-rights"/>
    <w:p>
      <w:pPr>
        <w:pStyle w:val="Heading3"/>
      </w:pPr>
      <w:r>
        <w:t xml:space="preserve">15.2 Endorsing Stakeholder rights</w:t>
      </w:r>
    </w:p>
    <w:p>
      <w:pPr>
        <w:pStyle w:val="FirstParagraph"/>
      </w:pPr>
      <w:r>
        <w:t xml:space="preserve">The Endorsing Stakeholder holds: a standing, non-voting Council seat with full speaking rights; a seat on the Technical Committee of Article 16.4; direct access to the Amanat Watch’s verification reporting under Article 34.6; and standing to raise a Red Line consultation under Article 4.4 on equal footing with a Full Party. The Endorsing Stakeholder’s blockade-relief obligations under Articles 9 and 10 bind as firmly as any Full Party’s corridor obligations, notwithstanding the non-voting character of its Council seat.</w:t>
      </w:r>
    </w:p>
    <w:bookmarkEnd w:id="98"/>
    <w:bookmarkStart w:id="99" w:name="Xafff19662f85622052ce7114a387339aa2dc702"/>
    <w:p>
      <w:pPr>
        <w:pStyle w:val="Heading3"/>
      </w:pPr>
      <w:r>
        <w:t xml:space="preserve">15.3 Security liaison, not governance participant</w:t>
      </w:r>
    </w:p>
    <w:p>
      <w:pPr>
        <w:pStyle w:val="FirstParagraph"/>
      </w:pPr>
      <w:r>
        <w:t xml:space="preserve">The Endorsing Stakeholder’s naval forces participate in the de-confliction architecture of Part VII as a Security Liaison under Layer 5, symmetrically with the United Kingdom’s and France’s forces, and this participation carries no governance authority over the civilian corridor system.</w:t>
      </w:r>
    </w:p>
    <w:bookmarkEnd w:id="99"/>
    <w:bookmarkStart w:id="100" w:name="X3bc97963550b1f78fabd4032d9716a1533af6ce"/>
    <w:p>
      <w:pPr>
        <w:pStyle w:val="Heading3"/>
      </w:pPr>
      <w:r>
        <w:t xml:space="preserve">15.4 The Gulf Cooperation Council Observer College</w:t>
      </w:r>
    </w:p>
    <w:p>
      <w:pPr>
        <w:pStyle w:val="FirstParagraph"/>
      </w:pPr>
      <w:r>
        <w:t xml:space="preserve">The Gulf Cooperation Council’s member states not yet acceding as Layer 2 Associate Parties participate collectively through the GCC Observer College, a standing delegation with speaking rights at Council sessions and full participation in the Technical Committee, pending each individual state’s own accession decision under Article 41.</w:t>
      </w:r>
    </w:p>
    <w:bookmarkEnd w:id="100"/>
    <w:bookmarkStart w:id="101" w:name="other-external-users"/>
    <w:p>
      <w:pPr>
        <w:pStyle w:val="Heading3"/>
      </w:pPr>
      <w:r>
        <w:t xml:space="preserve">15.5 Other external users</w:t>
      </w:r>
    </w:p>
    <w:p>
      <w:pPr>
        <w:pStyle w:val="FirstParagraph"/>
      </w:pPr>
      <w:r>
        <w:t xml:space="preserve">The European Union, the United Kingdom, France, China, India, Japan, and South Korea participate as Layer 3 Observers under the same terms Article 13.2 sets: Technical Committee participation, access to the Amanat Watch’s public reporting, and no vote.</w:t>
      </w:r>
    </w:p>
    <w:bookmarkEnd w:id="101"/>
    <w:bookmarkEnd w:id="102"/>
    <w:bookmarkStart w:id="107" w:name="X897a7688cfd1df630948ddf0a0913cb0f62d199"/>
    <w:p>
      <w:pPr>
        <w:pStyle w:val="Heading2"/>
      </w:pPr>
      <w:r>
        <w:t xml:space="preserve">Article 16: The Hormuz Operations Center and the Technical Committee</w:t>
      </w:r>
    </w:p>
    <w:bookmarkStart w:id="103" w:name="seat-and-structure"/>
    <w:p>
      <w:pPr>
        <w:pStyle w:val="Heading3"/>
      </w:pPr>
      <w:r>
        <w:t xml:space="preserve">16.1 Seat and structure</w:t>
      </w:r>
    </w:p>
    <w:p>
      <w:pPr>
        <w:pStyle w:val="FirstParagraph"/>
      </w:pPr>
      <w:r>
        <w:t xml:space="preserve">The Hormuz Operations Center operates from Muscat, with a mirror facility of equal operational rank at Bandar Abbas. The two facilities share real-time data, alternate the chair of daily operations on a weekly rotation, and each maintains full technical capability to operate the corridor system independently during the other facility’s temporary disruption.</w:t>
      </w:r>
    </w:p>
    <w:bookmarkEnd w:id="103"/>
    <w:bookmarkStart w:id="104" w:name="staffing"/>
    <w:p>
      <w:pPr>
        <w:pStyle w:val="Heading3"/>
      </w:pPr>
      <w:r>
        <w:t xml:space="preserve">16.2 Staffing</w:t>
      </w:r>
    </w:p>
    <w:p>
      <w:pPr>
        <w:pStyle w:val="FirstParagraph"/>
      </w:pPr>
      <w:r>
        <w:t xml:space="preserve">The Operations Center’s staff draws in equal number from Iran’s and Oman’s maritime authorities during Phase 1 and Phase 2, expanding to include seconded technical staff from acceding Layer 2 Parties from Phase 3, under a staffing formula the Technical Committee publishes. The Operations Center’s staff functions as civilian maritime professionals; Article 13.2’s Red Line RL-5 excludes military personnel from operational roles at the Center.</w:t>
      </w:r>
    </w:p>
    <w:bookmarkEnd w:id="104"/>
    <w:bookmarkStart w:id="105" w:name="functions"/>
    <w:p>
      <w:pPr>
        <w:pStyle w:val="Heading3"/>
      </w:pPr>
      <w:r>
        <w:t xml:space="preserve">16.3 Functions</w:t>
      </w:r>
    </w:p>
    <w:p>
      <w:pPr>
        <w:pStyle w:val="FirstParagraph"/>
      </w:pPr>
      <w:r>
        <w:t xml:space="preserve">The Operations Center operates the Three-Corridor System of Article 21, issues navigational warnings and routing instructions consistent with the traffic-separation scheme, coordinates search-and-rescue response, and maintains the vessel-tracking data the Amanat Watch draws on for verification under Article 34.</w:t>
      </w:r>
    </w:p>
    <w:bookmarkEnd w:id="105"/>
    <w:bookmarkStart w:id="106" w:name="the-technical-committee"/>
    <w:p>
      <w:pPr>
        <w:pStyle w:val="Heading3"/>
      </w:pPr>
      <w:r>
        <w:t xml:space="preserve">16.4 The Technical Committee</w:t>
      </w:r>
    </w:p>
    <w:p>
      <w:pPr>
        <w:pStyle w:val="FirstParagraph"/>
      </w:pPr>
      <w:r>
        <w:t xml:space="preserve">The Technical Committee, seated at the Operations Center, comprises technical representatives from every Full Party, Associate Party, Observer, and Institutional Partner. The Committee recommends routing refinements, safety-protocol updates, and environmental-protection measures to the Council, and holds no authority to alter the Red Lines Register or any provision the Perimeter Test protects.</w:t>
      </w:r>
    </w:p>
    <w:bookmarkEnd w:id="106"/>
    <w:bookmarkEnd w:id="107"/>
    <w:bookmarkStart w:id="111" w:name="Xf3e6be88f88fcd1d46b82f3407cd5743244dec3"/>
    <w:p>
      <w:pPr>
        <w:pStyle w:val="Heading2"/>
      </w:pPr>
      <w:r>
        <w:t xml:space="preserve">Article 17: The Amanat Secretariat and the Neutral Administrator</w:t>
      </w:r>
    </w:p>
    <w:bookmarkStart w:id="108" w:name="the-secretariat"/>
    <w:p>
      <w:pPr>
        <w:pStyle w:val="Heading3"/>
      </w:pPr>
      <w:r>
        <w:t xml:space="preserve">17.1 The Secretariat</w:t>
      </w:r>
    </w:p>
    <w:p>
      <w:pPr>
        <w:pStyle w:val="FirstParagraph"/>
      </w:pPr>
      <w:r>
        <w:t xml:space="preserve">The Amanat Secretariat maintains the Framework’s institutional record under Article 6.5, publishes verification reports, phase-transition determinations, and Council decisions in Persian, Arabic, and English, and administers the Red Line consultation process of Article 4.4. The Secretariat operates under the Mediator of Record’s administrative authority, staffed jointly by Oman and the Neutral Administrator.</w:t>
      </w:r>
    </w:p>
    <w:bookmarkEnd w:id="108"/>
    <w:bookmarkStart w:id="109" w:name="the-neutral-administrator"/>
    <w:p>
      <w:pPr>
        <w:pStyle w:val="Heading3"/>
      </w:pPr>
      <w:r>
        <w:t xml:space="preserve">17.2 The Neutral Administrator</w:t>
      </w:r>
    </w:p>
    <w:p>
      <w:pPr>
        <w:pStyle w:val="FirstParagraph"/>
      </w:pPr>
      <w:r>
        <w:t xml:space="preserve">The Swiss Confederation serves as Neutral Administrator, holding the Hormuz Account and every escrow sub-account Part VI establishes, administering the sanctions-compliance firewall of Article 29, and certifying every Fund disbursement against the published service catalog of Annex D. The Neutral Administrator’s role is custodial and technical: it holds no vote on the Council and exercises no discretion over Fund allocation beyond verifying that a disbursement matches a documented, delivered service or an approved Coastal Development Window project under Article 30.</w:t>
      </w:r>
    </w:p>
    <w:bookmarkEnd w:id="109"/>
    <w:bookmarkStart w:id="110" w:name="independence-and-reporting"/>
    <w:p>
      <w:pPr>
        <w:pStyle w:val="Heading3"/>
      </w:pPr>
      <w:r>
        <w:t xml:space="preserve">17.3 Independence and reporting</w:t>
      </w:r>
    </w:p>
    <w:p>
      <w:pPr>
        <w:pStyle w:val="FirstParagraph"/>
      </w:pPr>
      <w:r>
        <w:t xml:space="preserve">The Neutral Administrator reports quarterly to the Council and publishes an independently audited annual account of every Hormuz Account transaction, consistent with the transparency principle of Article 28.8.</w:t>
      </w:r>
    </w:p>
    <w:bookmarkEnd w:id="110"/>
    <w:bookmarkEnd w:id="111"/>
    <w:bookmarkStart w:id="116" w:name="article-18-decision-rules"/>
    <w:p>
      <w:pPr>
        <w:pStyle w:val="Heading2"/>
      </w:pPr>
      <w:r>
        <w:t xml:space="preserve">Article 18: Decision Rules</w:t>
      </w:r>
    </w:p>
    <w:bookmarkStart w:id="112" w:name="the-default-consensus-rule"/>
    <w:p>
      <w:pPr>
        <w:pStyle w:val="Heading3"/>
      </w:pPr>
      <w:r>
        <w:t xml:space="preserve">18.1 The default consensus rule</w:t>
      </w:r>
    </w:p>
    <w:p>
      <w:pPr>
        <w:pStyle w:val="FirstParagraph"/>
      </w:pPr>
      <w:r>
        <w:t xml:space="preserve">The Council decides ordinary business, including Technical Committee recommendations and routine budget approval, by consensus of voting Full and Associate Parties, with the Endorsing Stakeholder’s views recorded but not counted toward the consensus threshold.</w:t>
      </w:r>
    </w:p>
    <w:bookmarkEnd w:id="112"/>
    <w:bookmarkStart w:id="113" w:name="Xe0c05d7c4a5747a42556466f86c173269dafabd"/>
    <w:p>
      <w:pPr>
        <w:pStyle w:val="Heading3"/>
      </w:pPr>
      <w:r>
        <w:t xml:space="preserve">18.2 The Twin-Key Rule for consequential corridor actions</w:t>
      </w:r>
    </w:p>
    <w:p>
      <w:pPr>
        <w:pStyle w:val="FirstParagraph"/>
      </w:pPr>
      <w:r>
        <w:t xml:space="preserve">The concurrence of both Layer 1 Full Parties, the Twin-Key Rule, activates every consequential action affecting the corridor system’s routing, capacity, or the Central Buffer Corridor’s operating rules under Article 21.4, regardless of any Layer 2 Party’s accumulated vote share. Neither Iran nor Oman acts alone on a consequential corridor decision, and neither Party’s Twin Key dilutes as Layer 2 membership grows.</w:t>
      </w:r>
    </w:p>
    <w:bookmarkEnd w:id="113"/>
    <w:bookmarkStart w:id="114" w:name="Xf9b7c8a99f23258519f3f771dd5f7a6a702132c"/>
    <w:p>
      <w:pPr>
        <w:pStyle w:val="Heading3"/>
      </w:pPr>
      <w:r>
        <w:t xml:space="preserve">18.3 The weighted majority for Layer 2 matters</w:t>
      </w:r>
    </w:p>
    <w:p>
      <w:pPr>
        <w:pStyle w:val="FirstParagraph"/>
      </w:pPr>
      <w:r>
        <w:t xml:space="preserve">A decision affecting only the Layer 2 navigation and safety layer, and not the core corridor system itself, decides by a two-thirds majority of participating Layer 2 Associate Parties, once three or more have acceded.</w:t>
      </w:r>
    </w:p>
    <w:bookmarkEnd w:id="114"/>
    <w:bookmarkStart w:id="115" w:name="the-protected-core"/>
    <w:p>
      <w:pPr>
        <w:pStyle w:val="Heading3"/>
      </w:pPr>
      <w:r>
        <w:t xml:space="preserve">18.4 The protected core</w:t>
      </w:r>
    </w:p>
    <w:p>
      <w:pPr>
        <w:pStyle w:val="FirstParagraph"/>
      </w:pPr>
      <w:r>
        <w:t xml:space="preserve">Certain provisions form this Framework’s protected core: the Zero-Toll Rule of Article 27; the Non-Interdiction Protocol of Article 20; the humanitarian-priority rule of Article 20.6; the Continuity Principle of Article 6; the Amanat Watch’s protected verification independence under Article 34.7; the sanctions-compliance firewall of Article 29; and the Red Lines Register itself. The protected core is non-derogable: no Council decision, Ladder milestone, dispute outcome, or ordinary amendment dilutes it. Only the unanimous, ratified consensus procedure of Article 42.2 touches the protected core, and even that procedure cannot reduce Red Line RL-1’s absolute zero-toll guarantee to anything less than zero.</w:t>
      </w:r>
    </w:p>
    <w:bookmarkEnd w:id="115"/>
    <w:bookmarkEnd w:id="116"/>
    <w:bookmarkEnd w:id="117"/>
    <w:bookmarkStart w:id="151" w:name="X7827d2370ab2779466b702305be74a2d6206381"/>
    <w:p>
      <w:pPr>
        <w:pStyle w:val="Heading1"/>
      </w:pPr>
      <w:r>
        <w:t xml:space="preserve">Part IV: The Corridor and Navigation System</w:t>
      </w:r>
    </w:p>
    <w:bookmarkStart w:id="121" w:name="Xf242e34a8ba65e050c847eac6eee9898ffcb77c"/>
    <w:p>
      <w:pPr>
        <w:pStyle w:val="Heading2"/>
      </w:pPr>
      <w:r>
        <w:t xml:space="preserve">Article 19: The Governance Area and Boundary Coordinates</w:t>
      </w:r>
    </w:p>
    <w:bookmarkStart w:id="118" w:name="definition"/>
    <w:p>
      <w:pPr>
        <w:pStyle w:val="Heading3"/>
      </w:pPr>
      <w:r>
        <w:t xml:space="preserve">19.1 Definition</w:t>
      </w:r>
    </w:p>
    <w:p>
      <w:pPr>
        <w:pStyle w:val="FirstParagraph"/>
      </w:pPr>
      <w:r>
        <w:t xml:space="preserve">The Governance Area comprises the navigable waters of the Strait of Hormuz between the twelve-nautical-mile territorial-sea limits of Iran and Oman, together with the approach areas the Joint Survey Group’s technical annex describes, sufficient to contain the full Traffic Separation Scheme and its precautionary areas.</w:t>
      </w:r>
    </w:p>
    <w:bookmarkEnd w:id="118"/>
    <w:bookmarkStart w:id="119" w:name="coordinate-publication"/>
    <w:p>
      <w:pPr>
        <w:pStyle w:val="Heading3"/>
      </w:pPr>
      <w:r>
        <w:t xml:space="preserve">19.2 Coordinate publication</w:t>
      </w:r>
    </w:p>
    <w:p>
      <w:pPr>
        <w:pStyle w:val="FirstParagraph"/>
      </w:pPr>
      <w:r>
        <w:t xml:space="preserve">The Joint Survey Group publishes the Governance Area’s precise boundary coordinates in Annex A within thirty days of entry into force, referenced to WGS84 datum and cross-registered with the International Hydrographic Organization’s chart series for the region. Annex A’s coordinates track the Traffic Separation Scheme’s technical footprint and carry no implication for any Party’s territorial-sea baseline, continental-shelf claim, or maritime-boundary position, consistent with Article 2.6.</w:t>
      </w:r>
    </w:p>
    <w:bookmarkEnd w:id="119"/>
    <w:bookmarkStart w:id="120" w:name="amendment-of-boundaries"/>
    <w:p>
      <w:pPr>
        <w:pStyle w:val="Heading3"/>
      </w:pPr>
      <w:r>
        <w:t xml:space="preserve">19.3 Amendment of boundaries</w:t>
      </w:r>
    </w:p>
    <w:p>
      <w:pPr>
        <w:pStyle w:val="FirstParagraph"/>
      </w:pPr>
      <w:r>
        <w:t xml:space="preserve">A boundary adjustment reflecting a hydrographic survey update, a wreck removal, or a new hazard finding follows the Technical Committee’s recommendation and the Council’s ordinary consensus procedure under Article 18.1, and does not require the amendment procedure Article 42 reserves for the Framework’s substantive provisions.</w:t>
      </w:r>
    </w:p>
    <w:bookmarkEnd w:id="120"/>
    <w:bookmarkEnd w:id="121"/>
    <w:bookmarkStart w:id="128" w:name="X22afd22b711b2ff3e5abf7412e69de8a8f0de8f"/>
    <w:p>
      <w:pPr>
        <w:pStyle w:val="Heading2"/>
      </w:pPr>
      <w:r>
        <w:t xml:space="preserve">Article 20: Safe Passage and the Non-Interdiction Protocol</w:t>
      </w:r>
    </w:p>
    <w:bookmarkStart w:id="122" w:name="the-core-guarantee"/>
    <w:p>
      <w:pPr>
        <w:pStyle w:val="Heading3"/>
      </w:pPr>
      <w:r>
        <w:t xml:space="preserve">20.1 The core guarantee</w:t>
      </w:r>
    </w:p>
    <w:p>
      <w:pPr>
        <w:pStyle w:val="FirstParagraph"/>
      </w:pPr>
      <w:r>
        <w:t xml:space="preserve">Every commercial vessel transiting a designated corridor of the Governance Area, consistent with the Traffic Separation Scheme and the vessel-classification rules of Article 23, transits without boarding, diversion, seizure, or non-consensual inspection. This guarantee operates as an architectural feature of the corridor system itself: the corridor’s design and the Twin-Key Rule’s operational discipline hold the guarantee, not any Party’s case-by-case forbearance.</w:t>
      </w:r>
    </w:p>
    <w:bookmarkEnd w:id="122"/>
    <w:bookmarkStart w:id="123" w:name="no-permission-regime"/>
    <w:p>
      <w:pPr>
        <w:pStyle w:val="Heading3"/>
      </w:pPr>
      <w:r>
        <w:t xml:space="preserve">20.2 No permission regime</w:t>
      </w:r>
    </w:p>
    <w:p>
      <w:pPr>
        <w:pStyle w:val="FirstParagraph"/>
      </w:pPr>
      <w:r>
        <w:t xml:space="preserve">Ordinary commercial transit requires no advance permission, license, or case-by-case clearance from any Party. A vessel’s compliance with the published routing rules and its transmission of standard Automatic Identification System data satisfies every procedural condition this Framework attaches to transit.</w:t>
      </w:r>
    </w:p>
    <w:bookmarkEnd w:id="123"/>
    <w:bookmarkStart w:id="124" w:name="exceptions-limited-and-defined"/>
    <w:p>
      <w:pPr>
        <w:pStyle w:val="Heading3"/>
      </w:pPr>
      <w:r>
        <w:t xml:space="preserve">20.3 Exceptions limited and defined</w:t>
      </w:r>
    </w:p>
    <w:p>
      <w:pPr>
        <w:pStyle w:val="FirstParagraph"/>
      </w:pPr>
      <w:r>
        <w:t xml:space="preserve">The Non-Interdiction Protocol admits exactly three narrow exceptions, each requiring joint Twin-Key authorization and contemporaneous notification to the Amanat Watch: a vessel in genuine distress requiring emergency assistance; a vessel whose conduct creates an immediate, observable collision or grounding hazard to other traffic; and a vessel subject to a binding United Nations Security Council sanctions measure that both Layer 1 Full Parties recognize as applicable, exercised only through the multilateral procedure Annex B details. No other basis for boarding, diversion, or seizure exists inside the Governance Area under this Framework.</w:t>
      </w:r>
    </w:p>
    <w:bookmarkEnd w:id="124"/>
    <w:bookmarkStart w:id="125" w:name="vessels-outside-classification"/>
    <w:p>
      <w:pPr>
        <w:pStyle w:val="Heading3"/>
      </w:pPr>
      <w:r>
        <w:t xml:space="preserve">20.4 Vessels outside classification</w:t>
      </w:r>
    </w:p>
    <w:p>
      <w:pPr>
        <w:pStyle w:val="FirstParagraph"/>
      </w:pPr>
      <w:r>
        <w:t xml:space="preserve">A vessel that does not transmit standard identification data, that fails to respond to Operations Center hailing after three attempts, or that deviates materially from the Traffic Separation Scheme without a distress declaration falls outside the Non-Interdiction Protocol’s guarantee and triggers the graduated response Annex B’s escalation ladder describes, beginning with hailing and radio contact and reserving physical intervention for the narrow exceptions of Article 20.3.</w:t>
      </w:r>
    </w:p>
    <w:bookmarkEnd w:id="125"/>
    <w:bookmarkStart w:id="126" w:name="Xd7be6e04dadf60542fc37d1738574434cfa9442"/>
    <w:p>
      <w:pPr>
        <w:pStyle w:val="Heading3"/>
      </w:pPr>
      <w:r>
        <w:t xml:space="preserve">20.5 No fee-based or flag-based discrimination</w:t>
      </w:r>
    </w:p>
    <w:p>
      <w:pPr>
        <w:pStyle w:val="FirstParagraph"/>
      </w:pPr>
      <w:r>
        <w:t xml:space="preserve">The Non-Interdiction Protocol and the Traffic Separation Scheme apply identically to every commercial vessel regardless of flag, ownership, cargo, origin, or destination, consistent with Red Line RL-13. This Framework draws its only navigation-relevant distinction between commercial and military vessels, the latter governed by the separate standoff and notification regime of Article 32, applied symmetrically to every external naval power without exception for the Endorsing Stakeholder’s own forces.</w:t>
      </w:r>
    </w:p>
    <w:bookmarkEnd w:id="126"/>
    <w:bookmarkStart w:id="127" w:name="the-humanitarian-priority-rule"/>
    <w:p>
      <w:pPr>
        <w:pStyle w:val="Heading3"/>
      </w:pPr>
      <w:r>
        <w:t xml:space="preserve">20.6 The humanitarian priority rule</w:t>
      </w:r>
    </w:p>
    <w:p>
      <w:pPr>
        <w:pStyle w:val="FirstParagraph"/>
      </w:pPr>
      <w:r>
        <w:t xml:space="preserve">A vessel carrying a documented humanitarian cargo, a medical emergency, or engaged in search-and-rescue response receives absolute transit priority in every flow state this Framework contemplates, including during a Tier 2 or Tier 3 pause under Article 35, during a dispute proceeding under Part IX, and during any transition between phases under Part II. The humanitarian priority rule forms part of the protected core under Article 18.4.</w:t>
      </w:r>
    </w:p>
    <w:bookmarkEnd w:id="127"/>
    <w:bookmarkEnd w:id="128"/>
    <w:bookmarkStart w:id="136" w:name="article-21-the-three-corridor-system"/>
    <w:p>
      <w:pPr>
        <w:pStyle w:val="Heading2"/>
      </w:pPr>
      <w:r>
        <w:t xml:space="preserve">Article 21: The Three-Corridor System</w:t>
      </w:r>
    </w:p>
    <w:bookmarkStart w:id="129" w:name="corridor-architecture"/>
    <w:p>
      <w:pPr>
        <w:pStyle w:val="Heading3"/>
      </w:pPr>
      <w:r>
        <w:t xml:space="preserve">21.1 Corridor architecture</w:t>
      </w:r>
    </w:p>
    <w:p>
      <w:pPr>
        <w:pStyle w:val="FirstParagraph"/>
      </w:pPr>
      <w:r>
        <w:t xml:space="preserve">The Traffic Separation Scheme divides the Governance Area into three corridors: the Northern Inbound Corridor, running closer to the Iranian coast, carrying inbound traffic; the Southern Outbound Corridor, running closer to the Omani coast, carrying outbound traffic; and the Central Buffer Corridor, positioned between the two, jointly managed and reserved for overtaking, emergency maneuvering, and search-and-rescue staging.</w:t>
      </w:r>
    </w:p>
    <w:bookmarkEnd w:id="129"/>
    <w:bookmarkStart w:id="130" w:name="Xa818783b37304f89e321df3f8cfeb9843fbfe13"/>
    <w:p>
      <w:pPr>
        <w:pStyle w:val="Heading3"/>
      </w:pPr>
      <w:r>
        <w:t xml:space="preserve">21.2 Iran’s functional management of the Northern Inbound Corridor</w:t>
      </w:r>
    </w:p>
    <w:p>
      <w:pPr>
        <w:pStyle w:val="FirstParagraph"/>
      </w:pPr>
      <w:r>
        <w:t xml:space="preserve">Iran operates the Northern Inbound Corridor’s traffic management function: sequencing inbound vessels, issuing routing instructions consistent with the published scheme, and maintaining the corridor’s navigational aids. This functional management operates within the boundaries this Framework fixes and does not extend to boarding, fee collection, or any authority the Non-Interdiction Protocol excludes.</w:t>
      </w:r>
    </w:p>
    <w:bookmarkEnd w:id="130"/>
    <w:bookmarkStart w:id="131" w:name="Xf10b5d2d3a2204dfa549155de5d71b04e47a2f1"/>
    <w:p>
      <w:pPr>
        <w:pStyle w:val="Heading3"/>
      </w:pPr>
      <w:r>
        <w:t xml:space="preserve">21.3 Oman’s functional management of the Southern Outbound Corridor</w:t>
      </w:r>
    </w:p>
    <w:p>
      <w:pPr>
        <w:pStyle w:val="FirstParagraph"/>
      </w:pPr>
      <w:r>
        <w:t xml:space="preserve">Oman operates the Southern Outbound Corridor’s traffic management function on the same terms Article 21.2 sets for Iran’s Northern Inbound Corridor role, symmetric in scope and equally bounded by the Non-Interdiction Protocol.</w:t>
      </w:r>
    </w:p>
    <w:bookmarkEnd w:id="131"/>
    <w:bookmarkStart w:id="132" w:name="Xcb753e40a9f949b1cea958b84ec55da59e22698"/>
    <w:p>
      <w:pPr>
        <w:pStyle w:val="Heading3"/>
      </w:pPr>
      <w:r>
        <w:t xml:space="preserve">21.4 Joint management of the Central Buffer Corridor</w:t>
      </w:r>
    </w:p>
    <w:p>
      <w:pPr>
        <w:pStyle w:val="FirstParagraph"/>
      </w:pPr>
      <w:r>
        <w:t xml:space="preserve">The Hormuz Operations Center manages the Central Buffer Corridor jointly, with any consequential action inside it, a routing change, a capacity adjustment, or an extended closure for hazard clearance, subject to the Twin-Key Rule of Article 18.2.</w:t>
      </w:r>
    </w:p>
    <w:bookmarkEnd w:id="132"/>
    <w:bookmarkStart w:id="133" w:name="Xd49d8f27ea9e358e328378e2d57b3984b40e38f"/>
    <w:p>
      <w:pPr>
        <w:pStyle w:val="Heading3"/>
      </w:pPr>
      <w:r>
        <w:t xml:space="preserve">21.5 Relationship to the interim Iran-Oman routing understanding</w:t>
      </w:r>
    </w:p>
    <w:p>
      <w:pPr>
        <w:pStyle w:val="FirstParagraph"/>
      </w:pPr>
      <w:r>
        <w:t xml:space="preserve">The corridor coordinates the Iran-Oman bilateral channel reached in early August 2026 (Article 2.7) serve as the Northern Inbound and Southern Outbound Corridors’ initial published routing, refined by the Joint Survey Group’s ongoing hydrographic work and by the Technical Committee’s recommendations under Article 16.4. The interim understanding’s substance carries forward; its institutional home moves from a bilateral, unembedded channel to this Framework’s permanent, multilateral structure.</w:t>
      </w:r>
    </w:p>
    <w:bookmarkEnd w:id="133"/>
    <w:bookmarkStart w:id="134" w:name="imo-registration"/>
    <w:p>
      <w:pPr>
        <w:pStyle w:val="Heading3"/>
      </w:pPr>
      <w:r>
        <w:t xml:space="preserve">21.6 IMO registration</w:t>
      </w:r>
    </w:p>
    <w:p>
      <w:pPr>
        <w:pStyle w:val="FirstParagraph"/>
      </w:pPr>
      <w:r>
        <w:t xml:space="preserve">The Hormuz Operations Center submits the Three-Corridor System to the International Maritime Organization for registration as a recognized Traffic Separation Scheme within ninety days of Phase 1’s start, consistent with Article 2.5, and updates the registration on any material routing amendment under Article 19.3.</w:t>
      </w:r>
    </w:p>
    <w:bookmarkEnd w:id="134"/>
    <w:bookmarkStart w:id="135" w:name="capacity-and-scheduling"/>
    <w:p>
      <w:pPr>
        <w:pStyle w:val="Heading3"/>
      </w:pPr>
      <w:r>
        <w:t xml:space="preserve">21.7 Capacity and scheduling</w:t>
      </w:r>
    </w:p>
    <w:p>
      <w:pPr>
        <w:pStyle w:val="FirstParagraph"/>
      </w:pPr>
      <w:r>
        <w:t xml:space="preserve">The Operations Center publishes a rolling daily transit schedule, allocating corridor capacity on a first-scheduled basis without discrimination among operators, consistent with Article 20.5, and reserves a minimum capacity margin in each corridor for humanitarian and distress traffic under Article 20.6.</w:t>
      </w:r>
    </w:p>
    <w:bookmarkEnd w:id="135"/>
    <w:bookmarkEnd w:id="136"/>
    <w:bookmarkStart w:id="144" w:name="Xa7417925ef47a40e94610bb50abb0e08cb41dfc"/>
    <w:p>
      <w:pPr>
        <w:pStyle w:val="Heading2"/>
      </w:pPr>
      <w:r>
        <w:t xml:space="preserve">Article 22: Hazard Survey, Demining, and the Reopening Sequence</w:t>
      </w:r>
    </w:p>
    <w:bookmarkStart w:id="137" w:name="the-joint-survey-group"/>
    <w:p>
      <w:pPr>
        <w:pStyle w:val="Heading3"/>
      </w:pPr>
      <w:r>
        <w:t xml:space="preserve">22.1 The Joint Survey Group</w:t>
      </w:r>
    </w:p>
    <w:p>
      <w:pPr>
        <w:pStyle w:val="FirstParagraph"/>
      </w:pPr>
      <w:r>
        <w:t xml:space="preserve">The Joint Survey Group, comprising naval and civilian mine-countermeasure specialists from Iran and Oman, supported by United Nations Mine Action Service technical advisors, conducts the hazard-clearance survey of the Governance Area beginning Day 3 of Phase 1.</w:t>
      </w:r>
    </w:p>
    <w:bookmarkEnd w:id="137"/>
    <w:bookmarkStart w:id="138" w:name="segment-by-segment-certification"/>
    <w:p>
      <w:pPr>
        <w:pStyle w:val="Heading3"/>
      </w:pPr>
      <w:r>
        <w:t xml:space="preserve">22.2 Segment-by-segment certification</w:t>
      </w:r>
    </w:p>
    <w:p>
      <w:pPr>
        <w:pStyle w:val="FirstParagraph"/>
      </w:pPr>
      <w:r>
        <w:t xml:space="preserve">The Joint Survey Group surveys and certifies the Governance Area in defined segments, publishing each segment’s certification the moment both Iranian and Omani surveyors jointly confirm it clear, consistent with Red Line RL-14: no Party certifies a segment it has not jointly surveyed, and no segment opens to traffic before its joint certification.</w:t>
      </w:r>
    </w:p>
    <w:bookmarkEnd w:id="138"/>
    <w:bookmarkStart w:id="139" w:name="provisional-routing-during-clearance"/>
    <w:p>
      <w:pPr>
        <w:pStyle w:val="Heading3"/>
      </w:pPr>
      <w:r>
        <w:t xml:space="preserve">22.3 Provisional routing during clearance</w:t>
      </w:r>
    </w:p>
    <w:p>
      <w:pPr>
        <w:pStyle w:val="FirstParagraph"/>
      </w:pPr>
      <w:r>
        <w:t xml:space="preserve">Before a segment’s full certification, the Operations Center routes traffic through already-certified segments only, accepting a narrower provisional corridor width during the early weeks of Phase 1 rather than opening an uncertified segment on a time pressure basis.</w:t>
      </w:r>
    </w:p>
    <w:bookmarkEnd w:id="139"/>
    <w:bookmarkStart w:id="140" w:name="ordnance-disposal"/>
    <w:p>
      <w:pPr>
        <w:pStyle w:val="Heading3"/>
      </w:pPr>
      <w:r>
        <w:t xml:space="preserve">22.4 Ordnance disposal</w:t>
      </w:r>
    </w:p>
    <w:p>
      <w:pPr>
        <w:pStyle w:val="FirstParagraph"/>
      </w:pPr>
      <w:r>
        <w:t xml:space="preserve">A mine or unexploded ordnance the Joint Survey Group locates undergoes disposal under a joint protocol both Parties’ naval authorities approve in advance, published in Annex A, with disposal operations logged and cross-verified by both Iranian and Omani personnel present at the disposal site.</w:t>
      </w:r>
    </w:p>
    <w:bookmarkEnd w:id="140"/>
    <w:bookmarkStart w:id="141" w:name="full-clearance-milestone"/>
    <w:p>
      <w:pPr>
        <w:pStyle w:val="Heading3"/>
      </w:pPr>
      <w:r>
        <w:t xml:space="preserve">22.5 Full clearance milestone</w:t>
      </w:r>
    </w:p>
    <w:p>
      <w:pPr>
        <w:pStyle w:val="FirstParagraph"/>
      </w:pPr>
      <w:r>
        <w:t xml:space="preserve">The Joint Survey Group’s certification of the entire Governance Area, expected within the Phase 1 window absent an unforeseen hazard density, triggers publication of the Amanat Watch’s Day-30 verification report under Article 9.5 and the corresponding blockade-relief tranche under Article 9.3.</w:t>
      </w:r>
    </w:p>
    <w:bookmarkEnd w:id="141"/>
    <w:bookmarkStart w:id="142" w:name="reopening-sequence-for-vessels-at-anchor"/>
    <w:p>
      <w:pPr>
        <w:pStyle w:val="Heading3"/>
      </w:pPr>
      <w:r>
        <w:t xml:space="preserve">22.6 Reopening sequence for vessels at anchor</w:t>
      </w:r>
    </w:p>
    <w:p>
      <w:pPr>
        <w:pStyle w:val="FirstParagraph"/>
      </w:pPr>
      <w:r>
        <w:t xml:space="preserve">Vessels that accumulated at anchor during the pre-Framework closure transit in a scheduled sequence the Operations Center publishes, prioritizing perishable and humanitarian cargo first, then time-chartered vessels by anchor-arrival date, consistent with the humanitarian priority rule of Article 20.6.</w:t>
      </w:r>
    </w:p>
    <w:bookmarkEnd w:id="142"/>
    <w:bookmarkStart w:id="143" w:name="steady-state-hazard-monitoring"/>
    <w:p>
      <w:pPr>
        <w:pStyle w:val="Heading3"/>
      </w:pPr>
      <w:r>
        <w:t xml:space="preserve">22.7 Steady-state hazard monitoring</w:t>
      </w:r>
    </w:p>
    <w:p>
      <w:pPr>
        <w:pStyle w:val="FirstParagraph"/>
      </w:pPr>
      <w:r>
        <w:t xml:space="preserve">From Phase 3, the Joint Survey Group transitions from active clearance to a steady-state monitoring function: periodic re-survey of the Governance Area, rapid-response investigation of any reported hazard, and annual publication of a hazard-monitoring report to the Council.</w:t>
      </w:r>
    </w:p>
    <w:bookmarkEnd w:id="143"/>
    <w:bookmarkEnd w:id="144"/>
    <w:bookmarkStart w:id="150" w:name="Xafa87bb9ab24b2c3af5ea3c751de8d328dea03a"/>
    <w:p>
      <w:pPr>
        <w:pStyle w:val="Heading2"/>
      </w:pPr>
      <w:r>
        <w:t xml:space="preserve">Article 23: Vessel Classification and Differentiated Treatment</w:t>
      </w:r>
    </w:p>
    <w:bookmarkStart w:id="145" w:name="classification-categories"/>
    <w:p>
      <w:pPr>
        <w:pStyle w:val="Heading3"/>
      </w:pPr>
      <w:r>
        <w:t xml:space="preserve">23.1 Classification categories</w:t>
      </w:r>
    </w:p>
    <w:p>
      <w:pPr>
        <w:pStyle w:val="FirstParagraph"/>
      </w:pPr>
      <w:r>
        <w:t xml:space="preserve">The Operations Center classifies every vessel seeking transit into one of four categories: commercial cargo and tanker vessels; passenger and ferry vessels; humanitarian, medical, and search-and-rescue vessels; and government and military vessels, the last governed exclusively by Part VII’s standoff and notification regime rather than by this Article.</w:t>
      </w:r>
    </w:p>
    <w:bookmarkEnd w:id="145"/>
    <w:bookmarkStart w:id="146" w:name="commercial-vessel-treatment"/>
    <w:p>
      <w:pPr>
        <w:pStyle w:val="Heading3"/>
      </w:pPr>
      <w:r>
        <w:t xml:space="preserve">23.2 Commercial vessel treatment</w:t>
      </w:r>
    </w:p>
    <w:p>
      <w:pPr>
        <w:pStyle w:val="FirstParagraph"/>
      </w:pPr>
      <w:r>
        <w:t xml:space="preserve">Commercial vessels transit under the Non-Interdiction Protocol without discrimination by flag, ownership, cargo, origin, or destination, consistent with Article 20.5, subject only to the routing and scheduling rules of Article 21.7.</w:t>
      </w:r>
    </w:p>
    <w:bookmarkEnd w:id="146"/>
    <w:bookmarkStart w:id="147" w:name="passenger-and-ferry-vessel-treatment"/>
    <w:p>
      <w:pPr>
        <w:pStyle w:val="Heading3"/>
      </w:pPr>
      <w:r>
        <w:t xml:space="preserve">23.3 Passenger and ferry vessel treatment</w:t>
      </w:r>
    </w:p>
    <w:p>
      <w:pPr>
        <w:pStyle w:val="FirstParagraph"/>
      </w:pPr>
      <w:r>
        <w:t xml:space="preserve">Passenger and ferry vessels receive scheduling priority immediately below humanitarian traffic, reflecting the safety premium the Operations Center places on vessels carrying civilian passengers, and transit under the same non-discrimination guarantee Article 23.2 states.</w:t>
      </w:r>
    </w:p>
    <w:bookmarkEnd w:id="147"/>
    <w:bookmarkStart w:id="148" w:name="designated-holding-anchorages"/>
    <w:p>
      <w:pPr>
        <w:pStyle w:val="Heading3"/>
      </w:pPr>
      <w:r>
        <w:t xml:space="preserve">23.4 Designated holding anchorages</w:t>
      </w:r>
    </w:p>
    <w:p>
      <w:pPr>
        <w:pStyle w:val="FirstParagraph"/>
      </w:pPr>
      <w:r>
        <w:t xml:space="preserve">The Operations Center designates holding anchorages within each littoral Party’s territorial waters, at each Party’s own designation and under each Party’s own port-state jurisdiction, for vessels awaiting scheduled transit, servicing, or documentation completion. These anchorages form part of the Critical Infrastructure register under Article 5.</w:t>
      </w:r>
    </w:p>
    <w:bookmarkEnd w:id="148"/>
    <w:bookmarkStart w:id="149" w:name="vessel-data-and-the-assurance-registry"/>
    <w:p>
      <w:pPr>
        <w:pStyle w:val="Heading3"/>
      </w:pPr>
      <w:r>
        <w:t xml:space="preserve">23.5 Vessel data and the Assurance Registry</w:t>
      </w:r>
    </w:p>
    <w:p>
      <w:pPr>
        <w:pStyle w:val="FirstParagraph"/>
      </w:pPr>
      <w:r>
        <w:t xml:space="preserve">Every vessel transiting the Governance Area registers standard identification and cargo-manifest-category data with the Operations Center’s Assurance Registry, feeding the verified services catalog of Annex D and the Amanat Watch’s tracking function under Article 34, without requiring cargo-content disclosure beyond the manifest category the International Maritime Organization’s standard forms already require.</w:t>
      </w:r>
    </w:p>
    <w:bookmarkEnd w:id="149"/>
    <w:bookmarkEnd w:id="150"/>
    <w:bookmarkEnd w:id="151"/>
    <w:bookmarkStart w:id="171" w:name="part-v-the-earned-stewardship-ladder"/>
    <w:p>
      <w:pPr>
        <w:pStyle w:val="Heading1"/>
      </w:pPr>
      <w:r>
        <w:t xml:space="preserve">Part V: The Earned Stewardship Ladder</w:t>
      </w:r>
    </w:p>
    <w:bookmarkStart w:id="158" w:name="article-24-the-earned-stewardship-ladder"/>
    <w:p>
      <w:pPr>
        <w:pStyle w:val="Heading2"/>
      </w:pPr>
      <w:r>
        <w:t xml:space="preserve">Article 24: The Earned Stewardship Ladder</w:t>
      </w:r>
    </w:p>
    <w:bookmarkStart w:id="152" w:name="purpose-1"/>
    <w:p>
      <w:pPr>
        <w:pStyle w:val="Heading3"/>
      </w:pPr>
      <w:r>
        <w:t xml:space="preserve">24.1 Purpose</w:t>
      </w:r>
    </w:p>
    <w:p>
      <w:pPr>
        <w:pStyle w:val="FirstParagraph"/>
      </w:pPr>
      <w:r>
        <w:t xml:space="preserve">The Ladder converts the abstract, contested question of Iran’s institutional weight in the corridor system into an objective, verifiable, and automatic function of demonstrated performance. The Ladder replaces a single, static, one-time allocation with a growing structure that rewards sustained good conduct, resolves the</w:t>
      </w:r>
      <w:r>
        <w:t xml:space="preserve"> </w:t>
      </w:r>
      <w:r>
        <w:t xml:space="preserve">“</w:t>
      </w:r>
      <w:r>
        <w:t xml:space="preserve">who moves first</w:t>
      </w:r>
      <w:r>
        <w:t xml:space="preserve">”</w:t>
      </w:r>
      <w:r>
        <w:t xml:space="preserve"> </w:t>
      </w:r>
      <w:r>
        <w:t xml:space="preserve">deadlock by letting both sides move on parallel, self-reinforcing tracks, and gives Iran’s leadership a concrete, public, and achievable institutional target it reaches through its own record rather than through further negotiation.</w:t>
      </w:r>
    </w:p>
    <w:bookmarkEnd w:id="152"/>
    <w:bookmarkStart w:id="153" w:name="the-baseline-allocation"/>
    <w:p>
      <w:pPr>
        <w:pStyle w:val="Heading3"/>
      </w:pPr>
      <w:r>
        <w:t xml:space="preserve">24.2 The baseline allocation</w:t>
      </w:r>
    </w:p>
    <w:p>
      <w:pPr>
        <w:pStyle w:val="FirstParagraph"/>
      </w:pPr>
      <w:r>
        <w:t xml:space="preserve">On Phase 1’s start, Iran’s Stewardship Weight sets at its baseline: a thirty percent share of the Hormuz Transit Services Fund’s net distributable revenue under Article 28.6, and a consultative role in Central Buffer Corridor operations under Article 24.4’s Stage 1. Oman’s revenue share sets at thirty percent, fixed for the duration of this Framework absent a separate Council decision under Article 18.1. The remaining forty percent of net distributable revenue funds the Hormuz Coastal Development Window of Article 30.</w:t>
      </w:r>
    </w:p>
    <w:bookmarkEnd w:id="153"/>
    <w:bookmarkStart w:id="154" w:name="the-weekly-escalation-mechanism"/>
    <w:p>
      <w:pPr>
        <w:pStyle w:val="Heading3"/>
      </w:pPr>
      <w:r>
        <w:t xml:space="preserve">24.3 The weekly escalation mechanism</w:t>
      </w:r>
    </w:p>
    <w:p>
      <w:pPr>
        <w:pStyle w:val="FirstParagraph"/>
      </w:pPr>
      <w:r>
        <w:t xml:space="preserve">Each verified week of corridor operation without a Tier 2 or Tier 3 event under Article 35’s classification increases Iran’s Fund revenue share by five percentage points, drawn from the Development Window’s share, and advances the Central Buffer Corridor stewardship stage under Article 24.4 on the schedule that Article’s table sets. The Amanat Watch verifies each week’s clean status and publishes the resulting Stewardship Weight the following business day. Phase 1’s weeks, though the principal climb pauses during Phase 1 under Article 10.3, nonetheless accrue as verified clean weeks and credit retroactively to Iran’s climb the moment Phase 2 begins, so that a fully clean Phase 1 accelerates Iran’s Phase 2 trajectory rather than wasting the weeks already earned.</w:t>
      </w:r>
    </w:p>
    <w:bookmarkEnd w:id="154"/>
    <w:bookmarkStart w:id="155" w:name="Xa6c49f27cd0ea7e0b48b12f4ba5314807e8f54f"/>
    <w:p>
      <w:pPr>
        <w:pStyle w:val="Heading3"/>
      </w:pPr>
      <w:r>
        <w:t xml:space="preserve">24.4 The Central Buffer Corridor stewardship stages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Week reached</w:t>
            </w:r>
          </w:p>
        </w:tc>
        <w:tc>
          <w:tcPr/>
          <w:p>
            <w:pPr>
              <w:pStyle w:val="Compact"/>
              <w:jc w:val="left"/>
            </w:pPr>
            <w:r>
              <w:t xml:space="preserve">Fund revenue share</w:t>
            </w:r>
          </w:p>
        </w:tc>
        <w:tc>
          <w:tcPr/>
          <w:p>
            <w:pPr>
              <w:pStyle w:val="Compact"/>
              <w:jc w:val="left"/>
            </w:pPr>
            <w:r>
              <w:t xml:space="preserve">Buffer Corridor stage</w:t>
            </w:r>
          </w:p>
        </w:tc>
        <w:tc>
          <w:tcPr/>
          <w:p>
            <w:pPr>
              <w:pStyle w:val="Compact"/>
              <w:jc w:val="left"/>
            </w:pPr>
            <w:r>
              <w:t xml:space="preserve">Stage content</w:t>
            </w:r>
          </w:p>
        </w:tc>
      </w:tr>
      <w:tr>
        <w:tc>
          <w:tcPr/>
          <w:p>
            <w:pPr>
              <w:pStyle w:val="Compact"/>
              <w:jc w:val="left"/>
            </w:pPr>
            <w:r>
              <w:t xml:space="preserve">Baseline (signature)</w:t>
            </w:r>
          </w:p>
        </w:tc>
        <w:tc>
          <w:tcPr/>
          <w:p>
            <w:pPr>
              <w:pStyle w:val="Compact"/>
              <w:jc w:val="left"/>
            </w:pPr>
            <w:r>
              <w:t xml:space="preserve">30%</w:t>
            </w:r>
          </w:p>
        </w:tc>
        <w:tc>
          <w:tcPr/>
          <w:p>
            <w:pPr>
              <w:pStyle w:val="Compact"/>
              <w:jc w:val="left"/>
            </w:pPr>
            <w:r>
              <w:t xml:space="preserve">Stage 1: Consultative</w:t>
            </w:r>
          </w:p>
        </w:tc>
        <w:tc>
          <w:tcPr/>
          <w:p>
            <w:pPr>
              <w:pStyle w:val="Compact"/>
              <w:jc w:val="left"/>
            </w:pPr>
            <w:r>
              <w:t xml:space="preserve">Iran proposes; joint Operations Center decides</w:t>
            </w:r>
          </w:p>
        </w:tc>
      </w:tr>
      <w:tr>
        <w:tc>
          <w:tcPr/>
          <w:p>
            <w:pPr>
              <w:pStyle w:val="Compact"/>
              <w:jc w:val="left"/>
            </w:pPr>
            <w:r>
              <w:t xml:space="preserve">Week 1</w:t>
            </w:r>
          </w:p>
        </w:tc>
        <w:tc>
          <w:tcPr/>
          <w:p>
            <w:pPr>
              <w:pStyle w:val="Compact"/>
              <w:jc w:val="left"/>
            </w:pPr>
            <w:r>
              <w:t xml:space="preserve">35%</w:t>
            </w:r>
          </w:p>
        </w:tc>
        <w:tc>
          <w:tcPr/>
          <w:p>
            <w:pPr>
              <w:pStyle w:val="Compact"/>
              <w:jc w:val="left"/>
            </w:pPr>
            <w:r>
              <w:t xml:space="preserve">Stage 1: Consultative</w:t>
            </w:r>
          </w:p>
        </w:tc>
        <w:tc>
          <w:tcPr/>
          <w:p>
            <w:pPr>
              <w:pStyle w:val="Compact"/>
              <w:jc w:val="left"/>
            </w:pPr>
            <w:r>
              <w:t xml:space="preserve">Unchanged</w:t>
            </w:r>
          </w:p>
        </w:tc>
      </w:tr>
      <w:tr>
        <w:tc>
          <w:tcPr/>
          <w:p>
            <w:pPr>
              <w:pStyle w:val="Compact"/>
              <w:jc w:val="left"/>
            </w:pPr>
            <w:r>
              <w:t xml:space="preserve">Week 2</w:t>
            </w:r>
          </w:p>
        </w:tc>
        <w:tc>
          <w:tcPr/>
          <w:p>
            <w:pPr>
              <w:pStyle w:val="Compact"/>
              <w:jc w:val="left"/>
            </w:pPr>
            <w:r>
              <w:t xml:space="preserve">40%</w:t>
            </w:r>
          </w:p>
        </w:tc>
        <w:tc>
          <w:tcPr/>
          <w:p>
            <w:pPr>
              <w:pStyle w:val="Compact"/>
              <w:jc w:val="left"/>
            </w:pPr>
            <w:r>
              <w:t xml:space="preserve">Stage 2: Concurrent Initiating</w:t>
            </w:r>
          </w:p>
        </w:tc>
        <w:tc>
          <w:tcPr/>
          <w:p>
            <w:pPr>
              <w:pStyle w:val="Compact"/>
              <w:jc w:val="left"/>
            </w:pPr>
            <w:r>
              <w:t xml:space="preserve">Iran initiates routine actions; Oman’s silence within 24 hours confirms</w:t>
            </w:r>
          </w:p>
        </w:tc>
      </w:tr>
      <w:tr>
        <w:tc>
          <w:tcPr/>
          <w:p>
            <w:pPr>
              <w:pStyle w:val="Compact"/>
              <w:jc w:val="left"/>
            </w:pPr>
            <w:r>
              <w:t xml:space="preserve">Week 3</w:t>
            </w:r>
          </w:p>
        </w:tc>
        <w:tc>
          <w:tcPr/>
          <w:p>
            <w:pPr>
              <w:pStyle w:val="Compact"/>
              <w:jc w:val="left"/>
            </w:pPr>
            <w:r>
              <w:t xml:space="preserve">45%</w:t>
            </w:r>
          </w:p>
        </w:tc>
        <w:tc>
          <w:tcPr/>
          <w:p>
            <w:pPr>
              <w:pStyle w:val="Compact"/>
              <w:jc w:val="left"/>
            </w:pPr>
            <w:r>
              <w:t xml:space="preserve">Stage 2: Concurrent Initiating</w:t>
            </w:r>
          </w:p>
        </w:tc>
        <w:tc>
          <w:tcPr/>
          <w:p>
            <w:pPr>
              <w:pStyle w:val="Compact"/>
              <w:jc w:val="left"/>
            </w:pPr>
            <w:r>
              <w:t xml:space="preserve">Unchanged</w:t>
            </w:r>
          </w:p>
        </w:tc>
      </w:tr>
      <w:tr>
        <w:tc>
          <w:tcPr/>
          <w:p>
            <w:pPr>
              <w:pStyle w:val="Compact"/>
              <w:jc w:val="left"/>
            </w:pPr>
            <w:r>
              <w:t xml:space="preserve">Week 4</w:t>
            </w:r>
          </w:p>
        </w:tc>
        <w:tc>
          <w:tcPr/>
          <w:p>
            <w:pPr>
              <w:pStyle w:val="Compact"/>
              <w:jc w:val="left"/>
            </w:pPr>
            <w:r>
              <w:t xml:space="preserve">50%</w:t>
            </w:r>
          </w:p>
        </w:tc>
        <w:tc>
          <w:tcPr/>
          <w:p>
            <w:pPr>
              <w:pStyle w:val="Compact"/>
              <w:jc w:val="left"/>
            </w:pPr>
            <w:r>
              <w:t xml:space="preserve">Stage 3: Enhanced Concurrent</w:t>
            </w:r>
          </w:p>
        </w:tc>
        <w:tc>
          <w:tcPr/>
          <w:p>
            <w:pPr>
              <w:pStyle w:val="Compact"/>
              <w:jc w:val="left"/>
            </w:pPr>
            <w:r>
              <w:t xml:space="preserve">Routine actions execute immediately; Oman objects within 48 hours to reverse</w:t>
            </w:r>
          </w:p>
        </w:tc>
      </w:tr>
      <w:tr>
        <w:tc>
          <w:tcPr/>
          <w:p>
            <w:pPr>
              <w:pStyle w:val="Compact"/>
              <w:jc w:val="left"/>
            </w:pPr>
            <w:r>
              <w:t xml:space="preserve">Week 5 and beyond</w:t>
            </w:r>
          </w:p>
        </w:tc>
        <w:tc>
          <w:tcPr/>
          <w:p>
            <w:pPr>
              <w:pStyle w:val="Compact"/>
              <w:jc w:val="left"/>
            </w:pPr>
            <w:r>
              <w:t xml:space="preserve">55% (ceiling)</w:t>
            </w:r>
          </w:p>
        </w:tc>
        <w:tc>
          <w:tcPr/>
          <w:p>
            <w:pPr>
              <w:pStyle w:val="Compact"/>
              <w:jc w:val="left"/>
            </w:pPr>
            <w:r>
              <w:t xml:space="preserve">Stage 3: Enhanced Concurrent</w:t>
            </w:r>
          </w:p>
        </w:tc>
        <w:tc>
          <w:tcPr/>
          <w:p>
            <w:pPr>
              <w:pStyle w:val="Compact"/>
              <w:jc w:val="left"/>
            </w:pPr>
            <w:r>
              <w:t xml:space="preserve">Ceiling reached; Article 26.6 floor applies after 90 consecutive days</w:t>
            </w:r>
          </w:p>
        </w:tc>
      </w:tr>
    </w:tbl>
    <w:bookmarkEnd w:id="155"/>
    <w:bookmarkStart w:id="156" w:name="the-ceiling-and-its-meaning"/>
    <w:p>
      <w:pPr>
        <w:pStyle w:val="Heading3"/>
      </w:pPr>
      <w:r>
        <w:t xml:space="preserve">24.5 The ceiling and its meaning</w:t>
      </w:r>
    </w:p>
    <w:p>
      <w:pPr>
        <w:pStyle w:val="FirstParagraph"/>
      </w:pPr>
      <w:r>
        <w:t xml:space="preserve">Iran’s Fund revenue share reaches its designed ceiling of fifty-five percent at Week 5 of uninterrupted clean operation, and the Central Buffer Corridor stewardship stage reaches its designed ceiling of Stage 3 at Week 4. Neither ceiling touches the Twin-Key Rule of Article 18.2, which continues to govern every consequential corridor action regardless of Iran’s Stewardship Weight: the Ladder grows Iran’s revenue share and its routine operational initiative, and does not grow Iran’s authority over consequential actions beyond the concurrence structure Article 18.2 fixes permanently. This design satisfies Red Line RL-12’s requirement that no single littoral state governs the Strait alone, at every point on the Ladder, including its ceiling.</w:t>
      </w:r>
    </w:p>
    <w:bookmarkEnd w:id="156"/>
    <w:bookmarkStart w:id="157" w:name="political-framing"/>
    <w:p>
      <w:pPr>
        <w:pStyle w:val="Heading3"/>
      </w:pPr>
      <w:r>
        <w:t xml:space="preserve">24.6 Political framing</w:t>
      </w:r>
    </w:p>
    <w:p>
      <w:pPr>
        <w:pStyle w:val="FirstParagraph"/>
      </w:pPr>
      <w:r>
        <w:t xml:space="preserve">The Ladder gives Iran a tangible, sovereign achievement it reaches through its own conduct, verified by a neutral, multilateral watch function, rather than through a concession any other Party grants at a negotiating table. The Ladder gives the Endorsing Stakeholder and the Gulf Cooperation College an objective, transparent, and automatically self-correcting measure of Iranian conduct in place of a trust-based judgment. Both framings describe the same architecture from each Party’s own vantage point, consistent with the mutual-architecture rule of Article 3.3.</w:t>
      </w:r>
    </w:p>
    <w:bookmarkEnd w:id="157"/>
    <w:bookmarkEnd w:id="158"/>
    <w:bookmarkStart w:id="163" w:name="X86ae4504d7635be406c1af2c0e15cf170b4fa90"/>
    <w:p>
      <w:pPr>
        <w:pStyle w:val="Heading2"/>
      </w:pPr>
      <w:r>
        <w:t xml:space="preserve">Article 25: Good-Week Verification and the Escalator Schedule</w:t>
      </w:r>
    </w:p>
    <w:bookmarkStart w:id="159" w:name="what-a-clean-week-requires"/>
    <w:p>
      <w:pPr>
        <w:pStyle w:val="Heading3"/>
      </w:pPr>
      <w:r>
        <w:t xml:space="preserve">25.1 What a clean week requires</w:t>
      </w:r>
    </w:p>
    <w:p>
      <w:pPr>
        <w:pStyle w:val="FirstParagraph"/>
      </w:pPr>
      <w:r>
        <w:t xml:space="preserve">A verified clean week requires, cumulatively: zero Tier 2 or Tier 3 events under Article 35’s classification; full compliance with the daily hotline-test protocol of Article 32.4; zero unauthorized charges collected outside the Fund escrow structure of Article 29; and the Joint Survey Group’s confirmation, during Phase 1, that demining progress met its published schedule.</w:t>
      </w:r>
    </w:p>
    <w:bookmarkEnd w:id="159"/>
    <w:bookmarkStart w:id="160" w:name="the-verification-cycle"/>
    <w:p>
      <w:pPr>
        <w:pStyle w:val="Heading3"/>
      </w:pPr>
      <w:r>
        <w:t xml:space="preserve">25.2 The verification cycle</w:t>
      </w:r>
    </w:p>
    <w:p>
      <w:pPr>
        <w:pStyle w:val="FirstParagraph"/>
      </w:pPr>
      <w:r>
        <w:t xml:space="preserve">The Amanat Watch closes each verification week at 00:00 Muscat time on the seventh day, compiling the Human Anchor Method’s corroborated record under Article 34.4, and publishes the week’s determination, clean or not clean, within twenty-four hours. A determination of</w:t>
      </w:r>
      <w:r>
        <w:t xml:space="preserve"> </w:t>
      </w:r>
      <w:r>
        <w:t xml:space="preserve">“</w:t>
      </w:r>
      <w:r>
        <w:t xml:space="preserve">clean</w:t>
      </w:r>
      <w:r>
        <w:t xml:space="preserve">”</w:t>
      </w:r>
      <w:r>
        <w:t xml:space="preserve"> </w:t>
      </w:r>
      <w:r>
        <w:t xml:space="preserve">triggers Article 24.3’s escalation automatically on publication; a determination of</w:t>
      </w:r>
      <w:r>
        <w:t xml:space="preserve"> </w:t>
      </w:r>
      <w:r>
        <w:t xml:space="preserve">“</w:t>
      </w:r>
      <w:r>
        <w:t xml:space="preserve">not clean</w:t>
      </w:r>
      <w:r>
        <w:t xml:space="preserve">”</w:t>
      </w:r>
      <w:r>
        <w:t xml:space="preserve"> </w:t>
      </w:r>
      <w:r>
        <w:t xml:space="preserve">states the specific event or events that broke the week’s clean status and their Article 35 tier classification.</w:t>
      </w:r>
    </w:p>
    <w:bookmarkEnd w:id="160"/>
    <w:bookmarkStart w:id="161" w:name="credit-banking-and-the-good-week-ledger"/>
    <w:p>
      <w:pPr>
        <w:pStyle w:val="Heading3"/>
      </w:pPr>
      <w:r>
        <w:t xml:space="preserve">25.3 Credit banking and the Good-Week Ledger</w:t>
      </w:r>
    </w:p>
    <w:p>
      <w:pPr>
        <w:pStyle w:val="FirstParagraph"/>
      </w:pPr>
      <w:r>
        <w:t xml:space="preserve">The Amanat Secretariat maintains a Good-Week Ledger recording every verified clean week’s date and the resulting Stewardship Weight, consistent with the Continuity Principle’s protection of banked, verified performance under Article 6.2. The Ledger is public, published alongside the Amanat Watch’s weekly reports, and forms the evidentiary record for any Article 26 rollback calculation.</w:t>
      </w:r>
    </w:p>
    <w:bookmarkEnd w:id="161"/>
    <w:bookmarkStart w:id="162" w:name="annex-c-reference"/>
    <w:p>
      <w:pPr>
        <w:pStyle w:val="Heading3"/>
      </w:pPr>
      <w:r>
        <w:t xml:space="preserve">25.4 Annex C reference</w:t>
      </w:r>
    </w:p>
    <w:p>
      <w:pPr>
        <w:pStyle w:val="FirstParagraph"/>
      </w:pPr>
      <w:r>
        <w:t xml:space="preserve">Annex C publishes the full Escalator Event Schedule, cross-referencing every event code the Compliance Engine of Article 35 defines to its specific effect on the Ladder’s climb, its pause, or its rollback.</w:t>
      </w:r>
    </w:p>
    <w:bookmarkEnd w:id="162"/>
    <w:bookmarkEnd w:id="163"/>
    <w:bookmarkStart w:id="170" w:name="X84c6b8cfc918359ed42c09b9e6e1ec54b2a5b3e"/>
    <w:p>
      <w:pPr>
        <w:pStyle w:val="Heading2"/>
      </w:pPr>
      <w:r>
        <w:t xml:space="preserve">Article 26: Reset Triggers, Pauses, and the Permanent Floor</w:t>
      </w:r>
    </w:p>
    <w:bookmarkStart w:id="164" w:name="tier-2-event-pause"/>
    <w:p>
      <w:pPr>
        <w:pStyle w:val="Heading3"/>
      </w:pPr>
      <w:r>
        <w:t xml:space="preserve">26.1 Tier 2 event, pause</w:t>
      </w:r>
    </w:p>
    <w:p>
      <w:pPr>
        <w:pStyle w:val="FirstParagraph"/>
      </w:pPr>
      <w:r>
        <w:t xml:space="preserve">A verified Tier 2 event pauses the Ladder’s climb for seven days from the event’s verification date. The pause freezes the Stewardship Weight and the Buffer Corridor stage at their current level; it does not roll either back. The climb resumes automatically at the pause’s expiry if no further Tier 2 or Tier 3 event occurs during the pause window.</w:t>
      </w:r>
    </w:p>
    <w:bookmarkEnd w:id="164"/>
    <w:bookmarkStart w:id="165" w:name="tier-3-event-rollback"/>
    <w:p>
      <w:pPr>
        <w:pStyle w:val="Heading3"/>
      </w:pPr>
      <w:r>
        <w:t xml:space="preserve">26.2 Tier 3 event, rollback</w:t>
      </w:r>
    </w:p>
    <w:p>
      <w:pPr>
        <w:pStyle w:val="FirstParagraph"/>
      </w:pPr>
      <w:r>
        <w:t xml:space="preserve">A verified Tier 3 event rolls the Ladder back one milestone from its current position, per Article 24.4’s table, effective immediately on verification, and simultaneously imposes the fourteen-day pause of Article 26.1 measured from the rollback date before the climb resumes.</w:t>
      </w:r>
    </w:p>
    <w:bookmarkEnd w:id="165"/>
    <w:bookmarkStart w:id="166" w:name="hostile-attack-full-reset"/>
    <w:p>
      <w:pPr>
        <w:pStyle w:val="Heading3"/>
      </w:pPr>
      <w:r>
        <w:t xml:space="preserve">26.3 Hostile attack, full reset</w:t>
      </w:r>
    </w:p>
    <w:p>
      <w:pPr>
        <w:pStyle w:val="FirstParagraph"/>
      </w:pPr>
      <w:r>
        <w:t xml:space="preserve">A verified hostile attack on a transiting vessel, on Critical Infrastructure under Article 5, or on Framework personnel resets the Ladder in full, to the Article 24.2 baseline, and triggers the Council’s mandatory extraordinary session under Article 14.3 within five days to review the incident and the wider Framework’s continued operation.</w:t>
      </w:r>
    </w:p>
    <w:bookmarkEnd w:id="166"/>
    <w:bookmarkStart w:id="167" w:name="Xbc96c1cb12a9ea1c66400545d9ae1b198cf337b"/>
    <w:p>
      <w:pPr>
        <w:pStyle w:val="Heading3"/>
      </w:pPr>
      <w:r>
        <w:t xml:space="preserve">26.4 Red Line breach, full reset and consultation</w:t>
      </w:r>
    </w:p>
    <w:p>
      <w:pPr>
        <w:pStyle w:val="FirstParagraph"/>
      </w:pPr>
      <w:r>
        <w:t xml:space="preserve">A verified breach of any Red Line in the Register of Annex F resets the Ladder in full, in addition to and independent of whatever consequence Part IX’s dispute-resolution architecture separately imposes on the underlying breach.</w:t>
      </w:r>
    </w:p>
    <w:bookmarkEnd w:id="167"/>
    <w:bookmarkStart w:id="168" w:name="emergency-pause-for-resumed-hostilities"/>
    <w:p>
      <w:pPr>
        <w:pStyle w:val="Heading3"/>
      </w:pPr>
      <w:r>
        <w:t xml:space="preserve">26.5 Emergency pause for resumed hostilities</w:t>
      </w:r>
    </w:p>
    <w:p>
      <w:pPr>
        <w:pStyle w:val="FirstParagraph"/>
      </w:pPr>
      <w:r>
        <w:t xml:space="preserve">A resumption of hostilities inside or bordering the Governance Area, of a character broader than a single verified incident, triggers an emergency pause of the entire Ladder mechanism, frozen at its then-current level neither advancing nor rolling back, until the Council’s extraordinary session under Article 14.3 determines the appropriate resumption path. This provision distinguishes a systemic breakdown, which the Framework’s security escalation protocol of Article 33 separately addresses, from an ordinary compliance event the Ladder’s routine pause and rollback rules already handle.</w:t>
      </w:r>
    </w:p>
    <w:bookmarkEnd w:id="168"/>
    <w:bookmarkStart w:id="169" w:name="the-permanent-floor"/>
    <w:p>
      <w:pPr>
        <w:pStyle w:val="Heading3"/>
      </w:pPr>
      <w:r>
        <w:t xml:space="preserve">26.6 The permanent floor</w:t>
      </w:r>
    </w:p>
    <w:p>
      <w:pPr>
        <w:pStyle w:val="FirstParagraph"/>
      </w:pPr>
      <w:r>
        <w:t xml:space="preserve">Once Iran’s Stewardship Weight reaches the fifty-five percent ceiling and sustains it for ninety consecutive days without a Tier 2 or Tier 3 event, a permanent floor locks in at forty-five percent. From that point forward, no subsequent rollback under Article 26.2 or reset under Article 26.3 or 26.4 reduces Iran’s Fund revenue share below this floor, though the Buffer Corridor stewardship stage remains subject to its own rollback and reset rules without a parallel floor, preserving the Twin-Key Rule’s full force in the event of a serious breach. The permanent floor rewards sustained, long-run good conduct with a durable gain that a single future incident cannot fully erase, while keeping the Framework’s most consequential operational authority, the Twin-Key Rule itself, fully responsive to Iran’s actual, current conduct at every point on the Ladder.</w:t>
      </w:r>
    </w:p>
    <w:bookmarkEnd w:id="169"/>
    <w:bookmarkEnd w:id="170"/>
    <w:bookmarkEnd w:id="171"/>
    <w:bookmarkStart w:id="196" w:name="Xbfdb43c94c64006ca6d826ab1659f10345f9395"/>
    <w:p>
      <w:pPr>
        <w:pStyle w:val="Heading1"/>
      </w:pPr>
      <w:r>
        <w:t xml:space="preserve">Part VI: The Economic Architecture and Fee Resolution</w:t>
      </w:r>
    </w:p>
    <w:bookmarkStart w:id="175" w:name="article-27-the-zero-toll-rule"/>
    <w:p>
      <w:pPr>
        <w:pStyle w:val="Heading2"/>
      </w:pPr>
      <w:r>
        <w:t xml:space="preserve">Article 27: The Zero-Toll Rule</w:t>
      </w:r>
    </w:p>
    <w:bookmarkStart w:id="172" w:name="the-rule-stated"/>
    <w:p>
      <w:pPr>
        <w:pStyle w:val="Heading3"/>
      </w:pPr>
      <w:r>
        <w:t xml:space="preserve">27.1 The rule stated</w:t>
      </w:r>
    </w:p>
    <w:p>
      <w:pPr>
        <w:pStyle w:val="FirstParagraph"/>
      </w:pPr>
      <w:r>
        <w:t xml:space="preserve">No Party, organ, or contractor operating under this Framework collects any charge, under any label, that attaches to a vessel’s mere passage through the Governance Area. Transit itself carries no charge, in any corridor, for any vessel, ever, consistent with Red Line RL-1. This is the Zero-Toll Rule, and it forms part of the Framework’s protected core under Article 18.4.</w:t>
      </w:r>
    </w:p>
    <w:bookmarkEnd w:id="172"/>
    <w:bookmarkStart w:id="173" w:name="X27b51facc26670393f1d45f6dc3e9ad984f2d7b"/>
    <w:p>
      <w:pPr>
        <w:pStyle w:val="Heading3"/>
      </w:pPr>
      <w:r>
        <w:t xml:space="preserve">27.2 The distinction that makes the Rule workable</w:t>
      </w:r>
    </w:p>
    <w:p>
      <w:pPr>
        <w:pStyle w:val="FirstParagraph"/>
      </w:pPr>
      <w:r>
        <w:t xml:space="preserve">Article 2.3 states the legal distinction between a charge on passage and a charge for a documented, delivered service. The Zero-Toll Rule enforces that distinction operationally: the Assurance Registry of Article 23.5 records passage-related data for safety and verification purposes only, and generates no charge by itself. A charge arises only when a vessel affirmatively requests and receives a specific service from the Verified Services Catalog of Annex D, at that service’s published rate.</w:t>
      </w:r>
    </w:p>
    <w:bookmarkEnd w:id="173"/>
    <w:bookmarkStart w:id="174" w:name="no-disguised-toll"/>
    <w:p>
      <w:pPr>
        <w:pStyle w:val="Heading3"/>
      </w:pPr>
      <w:r>
        <w:t xml:space="preserve">27.3 No disguised toll</w:t>
      </w:r>
    </w:p>
    <w:p>
      <w:pPr>
        <w:pStyle w:val="FirstParagraph"/>
      </w:pPr>
      <w:r>
        <w:t xml:space="preserve">A charge that varies with a vessel’s transit itself, that a vessel cannot decline without losing its right to transit, or that a Party collects as a condition of entry into a corridor, is a disguised toll regardless of its label, and Article 27.1 excludes it absolutely. The Amanat Watch audits the Fund’s revenue streams quarterly under Article 34.8 specifically to confirm that every collected amount traces to a documented, elective service request.</w:t>
      </w:r>
    </w:p>
    <w:bookmarkEnd w:id="174"/>
    <w:bookmarkEnd w:id="175"/>
    <w:bookmarkStart w:id="185" w:name="Xacf32e4606db9f9ff8d2769967cc0df67b5a139"/>
    <w:p>
      <w:pPr>
        <w:pStyle w:val="Heading2"/>
      </w:pPr>
      <w:r>
        <w:t xml:space="preserve">Article 28: The Hormuz Transit Services Fund</w:t>
      </w:r>
    </w:p>
    <w:bookmarkStart w:id="176" w:name="purpose-2"/>
    <w:p>
      <w:pPr>
        <w:pStyle w:val="Heading3"/>
      </w:pPr>
      <w:r>
        <w:t xml:space="preserve">28.1 Purpose</w:t>
      </w:r>
    </w:p>
    <w:p>
      <w:pPr>
        <w:pStyle w:val="FirstParagraph"/>
      </w:pPr>
      <w:r>
        <w:t xml:space="preserve">The Hormuz Transit Services Fund finances the corridor system’s real operating costs, pilotage, escort, vessel-traffic-service data, search-and-rescue standby, environmental response, and hazard-clearance maintenance, through charges for specific, elective, published services, structured so that the Fund’s existence never depends on, and never creates pressure toward, a charge on passage itself.</w:t>
      </w:r>
    </w:p>
    <w:bookmarkEnd w:id="176"/>
    <w:bookmarkStart w:id="177" w:name="the-verified-services-catalog"/>
    <w:p>
      <w:pPr>
        <w:pStyle w:val="Heading3"/>
      </w:pPr>
      <w:r>
        <w:t xml:space="preserve">28.2 The Verified Services Catalog</w:t>
      </w:r>
    </w:p>
    <w:p>
      <w:pPr>
        <w:pStyle w:val="FirstParagraph"/>
      </w:pPr>
      <w:r>
        <w:t xml:space="preserve">Annex D publishes the Verified Services Catalog: every service the Fund finances, its published per-unit rate, and the documentation standard that substantiates a charge against that rate. The Technical Committee reviews and updates the Catalog annually, and any rate change follows the Council’s ordinary consensus procedure under Article 18.1.</w:t>
      </w:r>
    </w:p>
    <w:bookmarkEnd w:id="177"/>
    <w:bookmarkStart w:id="178" w:name="the-route-assurance-data-subscription"/>
    <w:p>
      <w:pPr>
        <w:pStyle w:val="Heading3"/>
      </w:pPr>
      <w:r>
        <w:t xml:space="preserve">28.3 The Route Assurance Data Subscription</w:t>
      </w:r>
    </w:p>
    <w:p>
      <w:pPr>
        <w:pStyle w:val="FirstParagraph"/>
      </w:pPr>
      <w:r>
        <w:t xml:space="preserve">The Fund’s principal elective revenue stream is the Route Assurance Data Subscription: an operator subscribes for real-time, verified vessel-traffic-service data, routing optimization, and priority scheduling access, at a published annual or per-transit rate an operator selects. Subscription is elective; a non-subscribing vessel transits under the Non-Interdiction Protocol on exactly the same safety terms, receiving standard rather than premium routing data.</w:t>
      </w:r>
    </w:p>
    <w:bookmarkEnd w:id="178"/>
    <w:bookmarkStart w:id="179" w:name="the-heavy-user-cap"/>
    <w:p>
      <w:pPr>
        <w:pStyle w:val="Heading3"/>
      </w:pPr>
      <w:r>
        <w:t xml:space="preserve">28.4 The heavy-user cap</w:t>
      </w:r>
    </w:p>
    <w:p>
      <w:pPr>
        <w:pStyle w:val="FirstParagraph"/>
      </w:pPr>
      <w:r>
        <w:t xml:space="preserve">No single operator’s annual aggregate service charges under the Verified Services Catalog exceed the cap Annex D publishes, adjusted annually for inflation, guaranteeing cost predictability for the largest tanker and gas-carrier fleets and removing any incentive for the Fund’s administration to inflate charges against high-volume users.</w:t>
      </w:r>
    </w:p>
    <w:bookmarkEnd w:id="179"/>
    <w:bookmarkStart w:id="180" w:name="the-environmental-stewardship-discount"/>
    <w:p>
      <w:pPr>
        <w:pStyle w:val="Heading3"/>
      </w:pPr>
      <w:r>
        <w:t xml:space="preserve">28.5 The environmental stewardship discount</w:t>
      </w:r>
    </w:p>
    <w:p>
      <w:pPr>
        <w:pStyle w:val="FirstParagraph"/>
      </w:pPr>
      <w:r>
        <w:t xml:space="preserve">A vessel meeting the environmental performance standard Annex D publishes, tracking recognized international emissions and environmental-performance indices, receives a discount on its service charges, creating a standing commercial incentive toward cleaner transits consistent with the environmental-protection purpose of Article 1.4.</w:t>
      </w:r>
    </w:p>
    <w:bookmarkEnd w:id="180"/>
    <w:bookmarkStart w:id="181" w:name="revenue-distribution"/>
    <w:p>
      <w:pPr>
        <w:pStyle w:val="Heading3"/>
      </w:pPr>
      <w:r>
        <w:t xml:space="preserve">28.6 Revenue distribution</w:t>
      </w:r>
    </w:p>
    <w:p>
      <w:pPr>
        <w:pStyle w:val="FirstParagraph"/>
      </w:pPr>
      <w:r>
        <w:t xml:space="preserve">The Fund distributes its net revenue, after operating costs, according to the Stewardship Weight formula of Article 24: Iran’s share, Oman’s fixed thirty percent, and the Hormuz Coastal Development Window’s share, calculated quarterly and disbursed by the Neutral Administrator directly to each recipient’s designated account, never through any other Party’s intermediation.</w:t>
      </w:r>
    </w:p>
    <w:bookmarkEnd w:id="181"/>
    <w:bookmarkStart w:id="182" w:name="initial-capitalization"/>
    <w:p>
      <w:pPr>
        <w:pStyle w:val="Heading3"/>
      </w:pPr>
      <w:r>
        <w:t xml:space="preserve">28.7 Initial capitalization</w:t>
      </w:r>
    </w:p>
    <w:p>
      <w:pPr>
        <w:pStyle w:val="FirstParagraph"/>
      </w:pPr>
      <w:r>
        <w:t xml:space="preserve">The Fund’s initial capitalization, sufficient to cover Phase 1’s startup service costs before the Verified Services Catalog generates its first revenue cycle, draws from voluntary contributions the Mediator of Record and the facilitating states arrange among interested governments and international financial institutions, deposited to the Hormuz Account before Phase 1’s Day 30 checkpoint under Article 9.5.</w:t>
      </w:r>
    </w:p>
    <w:bookmarkEnd w:id="182"/>
    <w:bookmarkStart w:id="183" w:name="transparency-and-audit"/>
    <w:p>
      <w:pPr>
        <w:pStyle w:val="Heading3"/>
      </w:pPr>
      <w:r>
        <w:t xml:space="preserve">28.8 Transparency and audit</w:t>
      </w:r>
    </w:p>
    <w:p>
      <w:pPr>
        <w:pStyle w:val="FirstParagraph"/>
      </w:pPr>
      <w:r>
        <w:t xml:space="preserve">The Neutral Administrator publishes a quarterly Fund account, and an independently audited annual account, itemizing every revenue source, every disbursement, and every administrative cost, consistent with Article 17.3. This transparency operates as the Fund’s primary defense against the perception that the Zero-Toll Rule masks a hidden toll: every dollar’s origin and destination stand open to public and market scrutiny.</w:t>
      </w:r>
    </w:p>
    <w:bookmarkEnd w:id="183"/>
    <w:bookmarkStart w:id="184" w:name="Xdb8326d845859986ef57f7bfdcf40d56c0b5457"/>
    <w:p>
      <w:pPr>
        <w:pStyle w:val="Heading3"/>
      </w:pPr>
      <w:r>
        <w:t xml:space="preserve">28.9 The voluntary maritime stewardship contribution</w:t>
      </w:r>
    </w:p>
    <w:p>
      <w:pPr>
        <w:pStyle w:val="FirstParagraph"/>
      </w:pPr>
      <w:r>
        <w:t xml:space="preserve">A flag state, an energy-importing state, or an international organization contributes voluntarily to the Fund’s Coastal Development Window channel, on the model international practice has developed for other strategic waterways, without any such contribution creating a governance right beyond the Observer status Article 13.2 already defines. A voluntary contribution carries no consideration of, and no effect on, any contributing state’s vessels’ treatment under the Non-Interdiction Protocol, consistent with Article 20.5’s absolute non-discrimination rule.</w:t>
      </w:r>
    </w:p>
    <w:bookmarkEnd w:id="184"/>
    <w:bookmarkEnd w:id="185"/>
    <w:bookmarkStart w:id="190" w:name="X69ad2468e9931644421d167a921cf50b9079bee"/>
    <w:p>
      <w:pPr>
        <w:pStyle w:val="Heading2"/>
      </w:pPr>
      <w:r>
        <w:t xml:space="preserve">Article 29: The Sanctions-Compliance Firewall and Neutral Escrow</w:t>
      </w:r>
    </w:p>
    <w:bookmarkStart w:id="186" w:name="purpose-3"/>
    <w:p>
      <w:pPr>
        <w:pStyle w:val="Heading3"/>
      </w:pPr>
      <w:r>
        <w:t xml:space="preserve">29.1 Purpose</w:t>
      </w:r>
    </w:p>
    <w:p>
      <w:pPr>
        <w:pStyle w:val="FirstParagraph"/>
      </w:pPr>
      <w:r>
        <w:t xml:space="preserve">The firewall this Article establishes ensures that every payment flowing through the Fund is lawful for every Party and every commercial actor to make and receive, notwithstanding any sanctions regime a signatory or a third state applies to any other Party, by structuring every payment through a neutral intermediary rather than as a direct transfer between a commercial actor and a sanctioned or potentially sanctioned counterparty.</w:t>
      </w:r>
    </w:p>
    <w:bookmarkEnd w:id="186"/>
    <w:bookmarkStart w:id="187" w:name="the-hormuz-account-structure"/>
    <w:p>
      <w:pPr>
        <w:pStyle w:val="Heading3"/>
      </w:pPr>
      <w:r>
        <w:t xml:space="preserve">29.2 The Hormuz Account structure</w:t>
      </w:r>
    </w:p>
    <w:p>
      <w:pPr>
        <w:pStyle w:val="FirstParagraph"/>
      </w:pPr>
      <w:r>
        <w:t xml:space="preserve">The Neutral Administrator holds the Fund’s revenue in the Hormuz Account, a dedicated account structure at a Swiss financial institution, segregated from any Party’s own accounts. A shipper or operator pays the Hormuz Account directly for a Verified Services Catalog service; the Hormuz Account, not the shipper or operator, then disburses Iran’s, Oman’s, and the Development Window’s respective shares under Article 28.6.</w:t>
      </w:r>
    </w:p>
    <w:bookmarkEnd w:id="187"/>
    <w:bookmarkStart w:id="188" w:name="legal-review-before-disbursement"/>
    <w:p>
      <w:pPr>
        <w:pStyle w:val="Heading3"/>
      </w:pPr>
      <w:r>
        <w:t xml:space="preserve">29.3 Legal review before disbursement</w:t>
      </w:r>
    </w:p>
    <w:p>
      <w:pPr>
        <w:pStyle w:val="FirstParagraph"/>
      </w:pPr>
      <w:r>
        <w:t xml:space="preserve">Before each quarterly disbursement, the Neutral Administrator’s legal function confirms that the disbursement’s structure, timing, and recipient designation comply with every applicable sanctions regime the Neutral Administrator’s own jurisdiction and the recipient’s banking correspondents recognize, adjusting disbursement mechanics as needed without altering the underlying revenue-share formula Article 28.6 fixes.</w:t>
      </w:r>
    </w:p>
    <w:bookmarkEnd w:id="188"/>
    <w:bookmarkStart w:id="189" w:name="no-direct-payment-channel"/>
    <w:p>
      <w:pPr>
        <w:pStyle w:val="Heading3"/>
      </w:pPr>
      <w:r>
        <w:t xml:space="preserve">29.4 No direct payment channel</w:t>
      </w:r>
    </w:p>
    <w:p>
      <w:pPr>
        <w:pStyle w:val="FirstParagraph"/>
      </w:pPr>
      <w:r>
        <w:t xml:space="preserve">No shipper, operator, insurer, or flag state maintains any payment channel to Iran, Oman, or the Development Window outside the Hormuz Account structure, consistent with Red Line RL-6. A payment received outside this structure does not satisfy any Verified Services Catalog charge and does not entitle the payer to any service or priority under this Framework.</w:t>
      </w:r>
    </w:p>
    <w:bookmarkEnd w:id="189"/>
    <w:bookmarkEnd w:id="190"/>
    <w:bookmarkStart w:id="195" w:name="Xa213472d31b4e346b07b2b71be2e641c0973b12"/>
    <w:p>
      <w:pPr>
        <w:pStyle w:val="Heading2"/>
      </w:pPr>
      <w:r>
        <w:t xml:space="preserve">Article 30: The Hormuz Coastal Development Window</w:t>
      </w:r>
    </w:p>
    <w:bookmarkStart w:id="191" w:name="purpose-4"/>
    <w:p>
      <w:pPr>
        <w:pStyle w:val="Heading3"/>
      </w:pPr>
      <w:r>
        <w:t xml:space="preserve">30.1 Purpose</w:t>
      </w:r>
    </w:p>
    <w:p>
      <w:pPr>
        <w:pStyle w:val="FirstParagraph"/>
      </w:pPr>
      <w:r>
        <w:t xml:space="preserve">The Coastal Development Window channels its Article 28.6 share of Fund revenue, together with any voluntary contribution under Article 28.9 designated for this channel, into infrastructure and development projects in the coastal provinces and communities directly bordering the Governance Area, on both the Iranian and Omani shores, recognizing that the littoral communities bearing the Strait’s environmental and operational burden hold a direct claim on the value the Strait’s safe operation creates.</w:t>
      </w:r>
    </w:p>
    <w:bookmarkEnd w:id="191"/>
    <w:bookmarkStart w:id="192" w:name="eligible-projects"/>
    <w:p>
      <w:pPr>
        <w:pStyle w:val="Heading3"/>
      </w:pPr>
      <w:r>
        <w:t xml:space="preserve">30.2 Eligible projects</w:t>
      </w:r>
    </w:p>
    <w:p>
      <w:pPr>
        <w:pStyle w:val="FirstParagraph"/>
      </w:pPr>
      <w:r>
        <w:t xml:space="preserve">The Window finances: port and navigational-aid modernization; environmental-protection and spill-response infrastructure; coastal community services directly tied to maritime activity, including fisheries-protection and small-craft safety programs; and technical training for the Operations Center’s and Joint Survey Group’s local staff. The Window does not finance any project outside the Governance Area’s immediate coastal zone, and does not finance any project touching the nuclear, sanctions, or reconstruction questions Article 1.4 excludes from this Framework’s functional scope.</w:t>
      </w:r>
    </w:p>
    <w:bookmarkEnd w:id="192"/>
    <w:bookmarkStart w:id="193" w:name="project-approval"/>
    <w:p>
      <w:pPr>
        <w:pStyle w:val="Heading3"/>
      </w:pPr>
      <w:r>
        <w:t xml:space="preserve">30.3 Project approval</w:t>
      </w:r>
    </w:p>
    <w:p>
      <w:pPr>
        <w:pStyle w:val="FirstParagraph"/>
      </w:pPr>
      <w:r>
        <w:t xml:space="preserve">The Technical Committee reviews and recommends Window projects; the Council approves each project under the ordinary consensus procedure of Article 18.1; and the Neutral Administrator disburses approved funds against documented project milestones, applying the same transparency standard Article 28.8 sets for the Fund as a whole.</w:t>
      </w:r>
    </w:p>
    <w:bookmarkEnd w:id="193"/>
    <w:bookmarkStart w:id="194" w:name="opening-and-scale"/>
    <w:p>
      <w:pPr>
        <w:pStyle w:val="Heading3"/>
      </w:pPr>
      <w:r>
        <w:t xml:space="preserve">30.4 Opening and scale</w:t>
      </w:r>
    </w:p>
    <w:p>
      <w:pPr>
        <w:pStyle w:val="FirstParagraph"/>
      </w:pPr>
      <w:r>
        <w:t xml:space="preserve">The Window opens for its first funding cycle on the Fund’s reaching its Phase 3 operating-capitalization target under Article 11.3, and its funding scale grows or contracts automatically with its Article 28.6 revenue share as the Earned Stewardship Ladder moves Iran’s share, reflecting the Window’s designed role as the flexible channel that absorbs the Ladder’s redistribution over time without displacing either Full Party’s own fixed or growing share.</w:t>
      </w:r>
    </w:p>
    <w:bookmarkEnd w:id="194"/>
    <w:bookmarkEnd w:id="195"/>
    <w:bookmarkEnd w:id="196"/>
    <w:bookmarkStart w:id="214" w:name="X055c842566c02d27b124617965c9379679f651b"/>
    <w:p>
      <w:pPr>
        <w:pStyle w:val="Heading1"/>
      </w:pPr>
      <w:r>
        <w:t xml:space="preserve">Part VII: Security De-confliction and Non-Escalation</w:t>
      </w:r>
    </w:p>
    <w:bookmarkStart w:id="200" w:name="X74380942a8cf02d90225df164c4509fd5348d57"/>
    <w:p>
      <w:pPr>
        <w:pStyle w:val="Heading2"/>
      </w:pPr>
      <w:r>
        <w:t xml:space="preserve">Article 31: Demarcation of Governance and Hard Security</w:t>
      </w:r>
    </w:p>
    <w:bookmarkStart w:id="197" w:name="the-demarcation"/>
    <w:p>
      <w:pPr>
        <w:pStyle w:val="Heading3"/>
      </w:pPr>
      <w:r>
        <w:t xml:space="preserve">31.1 The demarcation</w:t>
      </w:r>
    </w:p>
    <w:p>
      <w:pPr>
        <w:pStyle w:val="FirstParagraph"/>
      </w:pPr>
      <w:r>
        <w:t xml:space="preserve">This Framework’s institutions govern civilian navigation, safety, and commerce. They do not constitute, and do not substitute for, any security alliance, defense pact, or military posture any Party maintains independently of this Framework. The Amanat Council holds no authority over any Party’s military deployments, and no Party’s military commitments to a third state or coalition, including the mutual-defense arrangements Saudi Arabia, Turkey, and Pakistan concluded in August 2026 or any comparable arrangement, fall within this Framework’s scope or the Perimeter Test’s review.</w:t>
      </w:r>
    </w:p>
    <w:bookmarkEnd w:id="197"/>
    <w:bookmarkStart w:id="198" w:name="why-the-demarcation-matters"/>
    <w:p>
      <w:pPr>
        <w:pStyle w:val="Heading3"/>
      </w:pPr>
      <w:r>
        <w:t xml:space="preserve">31.2 Why the demarcation matters</w:t>
      </w:r>
    </w:p>
    <w:p>
      <w:pPr>
        <w:pStyle w:val="FirstParagraph"/>
      </w:pPr>
      <w:r>
        <w:t xml:space="preserve">A governance system that governs civilian traffic and simultaneously commands military assets miscarries both functions: it draws the corridor system into political and security disputes it cannot resolve, and it dilutes military commanders’ operational authority over their own forces. Article 31.1’s clean demarcation lets the corridor system operate on technical, verifiable rules even when the wider regional security picture remains unsettled, while giving military commanders a defined, narrow interface with the civilian system through the de-confliction architecture Article 32 establishes.</w:t>
      </w:r>
    </w:p>
    <w:bookmarkEnd w:id="198"/>
    <w:bookmarkStart w:id="199" w:name="the-interface"/>
    <w:p>
      <w:pPr>
        <w:pStyle w:val="Heading3"/>
      </w:pPr>
      <w:r>
        <w:t xml:space="preserve">31.3 The interface</w:t>
      </w:r>
    </w:p>
    <w:p>
      <w:pPr>
        <w:pStyle w:val="FirstParagraph"/>
      </w:pPr>
      <w:r>
        <w:t xml:space="preserve">The demarcation does not mean isolation. Article 32’s hotline and standoff-geometry rules give military forces, littoral and external alike, a defined channel to coordinate with the civilian Operations Center precisely so that military activity near the Governance Area does not create an avoidable civilian-safety hazard or an avoidable miscalculation risk between naval forces.</w:t>
      </w:r>
    </w:p>
    <w:bookmarkEnd w:id="199"/>
    <w:bookmarkEnd w:id="200"/>
    <w:bookmarkStart w:id="207" w:name="X62cadfb0737b986f17cdd97a680d66d879e4228"/>
    <w:p>
      <w:pPr>
        <w:pStyle w:val="Heading2"/>
      </w:pPr>
      <w:r>
        <w:t xml:space="preserve">Article 32: Naval De-confliction and the Standoff Geometry</w:t>
      </w:r>
    </w:p>
    <w:bookmarkStart w:id="201" w:name="the-standoff-principle"/>
    <w:p>
      <w:pPr>
        <w:pStyle w:val="Heading3"/>
      </w:pPr>
      <w:r>
        <w:t xml:space="preserve">32.1 The standoff principle</w:t>
      </w:r>
    </w:p>
    <w:p>
      <w:pPr>
        <w:pStyle w:val="FirstParagraph"/>
      </w:pPr>
      <w:r>
        <w:t xml:space="preserve">A military or paramilitary vessel of any state, littoral or external, operating within the Governance Area’s approaches maintains a published standoff distance from the active traffic-separation corridors during scheduled commercial transit windows, except when responding to a genuine distress call or executing a previously notified, non-interfering transit of its own. This standoff principle applies symmetrically: it binds Iranian, Omani, and every external naval power’s forces on identical terms, including the Endorsing Stakeholder’s own Fifth Fleet assets, consistent with Red Line RL-13.</w:t>
      </w:r>
    </w:p>
    <w:bookmarkEnd w:id="201"/>
    <w:bookmarkStart w:id="202" w:name="notification-of-exercises"/>
    <w:p>
      <w:pPr>
        <w:pStyle w:val="Heading3"/>
      </w:pPr>
      <w:r>
        <w:t xml:space="preserve">32.2 Notification of exercises</w:t>
      </w:r>
    </w:p>
    <w:p>
      <w:pPr>
        <w:pStyle w:val="FirstParagraph"/>
      </w:pPr>
      <w:r>
        <w:t xml:space="preserve">A Party or a Security Liaison state conducting a naval exercise within or bordering the Governance Area notifies the Hormuz Operations Center at least seventy-two hours in advance, stating the exercise’s location, duration, and vessel count, allowing the Operations Center to adjust civilian scheduling under Article 21.7 to avoid conflict. A notified exercise does not require Operations Center approval; the notification obligation is informational, preserving each state’s military sovereignty while protecting civilian traffic’s predictability.</w:t>
      </w:r>
    </w:p>
    <w:bookmarkEnd w:id="202"/>
    <w:bookmarkStart w:id="203" w:name="the-de-confliction-hotline"/>
    <w:p>
      <w:pPr>
        <w:pStyle w:val="Heading3"/>
      </w:pPr>
      <w:r>
        <w:t xml:space="preserve">32.3 The de-confliction hotline</w:t>
      </w:r>
    </w:p>
    <w:p>
      <w:pPr>
        <w:pStyle w:val="FirstParagraph"/>
      </w:pPr>
      <w:r>
        <w:t xml:space="preserve">The hotline Article 9.4 activates on Day 1 links the Operations Center’s watch floor with the principal naval commands operating in the region: Iran’s Islamic Revolutionary Guard Corps Navy and Islamic Republic of Iran Navy, Oman’s Royal Navy of Oman, the United States Fifth Fleet, the United Kingdom’s Maritime Component Command, and France’s regional naval command. Any of these commands reaches any other through the hotline within minutes for a real-time de-confliction query.</w:t>
      </w:r>
    </w:p>
    <w:bookmarkEnd w:id="203"/>
    <w:bookmarkStart w:id="204" w:name="hotline-testing"/>
    <w:p>
      <w:pPr>
        <w:pStyle w:val="Heading3"/>
      </w:pPr>
      <w:r>
        <w:t xml:space="preserve">32.4 Hotline testing</w:t>
      </w:r>
    </w:p>
    <w:p>
      <w:pPr>
        <w:pStyle w:val="FirstParagraph"/>
      </w:pPr>
      <w:r>
        <w:t xml:space="preserve">Each linked command tests its hotline connection daily, logged by the Operations Center. A missed daily test registers as a minor compliance event under Annex C, feeding the Good-Week determination of Article 25.1 for Iran’s and Oman’s own naval commands; external Security Liaison states’ hotline compliance publishes in the Amanat Watch’s transparency reporting without a Ladder effect, since the Ladder applies only to Layer 1 Full Parties.</w:t>
      </w:r>
    </w:p>
    <w:bookmarkEnd w:id="204"/>
    <w:bookmarkStart w:id="205" w:name="close-in-maneuver-avoidance"/>
    <w:p>
      <w:pPr>
        <w:pStyle w:val="Heading3"/>
      </w:pPr>
      <w:r>
        <w:t xml:space="preserve">32.5 Close-in maneuver avoidance</w:t>
      </w:r>
    </w:p>
    <w:p>
      <w:pPr>
        <w:pStyle w:val="FirstParagraph"/>
      </w:pPr>
      <w:r>
        <w:t xml:space="preserve">A naval vessel of any state avoids closing to within the minimum safe distance Annex A publishes of an actively transiting commercial vessel, absent a distress or emergency-assistance basis, and avoids any maneuver that could reasonably signal hostile intent toward a commercial vessel or toward another state’s naval vessel operating under this Article’s standoff principle.</w:t>
      </w:r>
    </w:p>
    <w:bookmarkEnd w:id="205"/>
    <w:bookmarkStart w:id="206" w:name="search-and-rescue"/>
    <w:p>
      <w:pPr>
        <w:pStyle w:val="Heading3"/>
      </w:pPr>
      <w:r>
        <w:t xml:space="preserve">32.6 Search and rescue</w:t>
      </w:r>
    </w:p>
    <w:p>
      <w:pPr>
        <w:pStyle w:val="FirstParagraph"/>
      </w:pPr>
      <w:r>
        <w:t xml:space="preserve">Every naval force operating in or near the Governance Area coordinates search-and-rescue response through the Operations Center’s civilian SAR coordination function under Article 16.3, regardless of which state’s forces first locate a vessel or personnel in distress, consistent with the humanitarian priority rule of Article 20.6.</w:t>
      </w:r>
    </w:p>
    <w:bookmarkEnd w:id="206"/>
    <w:bookmarkEnd w:id="207"/>
    <w:bookmarkStart w:id="213" w:name="Xc23f46bf90561d99999ea71dce71d9a0f23def2"/>
    <w:p>
      <w:pPr>
        <w:pStyle w:val="Heading2"/>
      </w:pPr>
      <w:r>
        <w:t xml:space="preserve">Article 33: The Security Escalation Protocol</w:t>
      </w:r>
    </w:p>
    <w:bookmarkStart w:id="208" w:name="trigger"/>
    <w:p>
      <w:pPr>
        <w:pStyle w:val="Heading3"/>
      </w:pPr>
      <w:r>
        <w:t xml:space="preserve">33.1 Trigger</w:t>
      </w:r>
    </w:p>
    <w:p>
      <w:pPr>
        <w:pStyle w:val="FirstParagraph"/>
      </w:pPr>
      <w:r>
        <w:t xml:space="preserve">A verified hostile attack under Article 26.3, a resumption of hostilities under Article 26.5, or any event that the Amanat Watch determines poses an imminent, broad-based threat to the Governance Area’s civilian operation triggers the Security Escalation Protocol.</w:t>
      </w:r>
    </w:p>
    <w:bookmarkEnd w:id="208"/>
    <w:bookmarkStart w:id="209" w:name="immediate-steps"/>
    <w:p>
      <w:pPr>
        <w:pStyle w:val="Heading3"/>
      </w:pPr>
      <w:r>
        <w:t xml:space="preserve">33.2 Immediate steps</w:t>
      </w:r>
    </w:p>
    <w:p>
      <w:pPr>
        <w:pStyle w:val="FirstParagraph"/>
      </w:pPr>
      <w:r>
        <w:t xml:space="preserve">On trigger, the Operations Center suspends new corridor entries while permitting already-transiting vessels safe passage to the nearest holding anchorage under Article 23.4, the Amanat Secretariat notifies every Council member and Security Liaison within one hour, and the hotline of Article 32.3 shifts to continuous, rather than daily-test, monitoring status.</w:t>
      </w:r>
    </w:p>
    <w:bookmarkEnd w:id="209"/>
    <w:bookmarkStart w:id="210" w:name="the-councils-mandatory-session"/>
    <w:p>
      <w:pPr>
        <w:pStyle w:val="Heading3"/>
      </w:pPr>
      <w:r>
        <w:t xml:space="preserve">33.3 The Council’s mandatory session</w:t>
      </w:r>
    </w:p>
    <w:p>
      <w:pPr>
        <w:pStyle w:val="FirstParagraph"/>
      </w:pPr>
      <w:r>
        <w:t xml:space="preserve">The Council convenes in extraordinary session within five days under Article 14.3, addressing three questions: the immediate cause and scope of the escalation; the corridor system’s safe resumption timeline; and whether the escalation implicates a Red Line requiring the Article 4.2 Perimeter Test’s application to any proposed response measure.</w:t>
      </w:r>
    </w:p>
    <w:bookmarkEnd w:id="210"/>
    <w:bookmarkStart w:id="211" w:name="resumption"/>
    <w:p>
      <w:pPr>
        <w:pStyle w:val="Heading3"/>
      </w:pPr>
      <w:r>
        <w:t xml:space="preserve">33.4 Resumption</w:t>
      </w:r>
    </w:p>
    <w:p>
      <w:pPr>
        <w:pStyle w:val="FirstParagraph"/>
      </w:pPr>
      <w:r>
        <w:t xml:space="preserve">The Operations Center resumes normal corridor operation on the Council’s determination that the triggering condition has sufficiently abated, verified by the Amanat Watch, without a full new Phase 1 sequence unless the Council specifically determines that the Governance Area’s physical safety, not merely its political circumstances, activates a renewed hazard survey under Article 22.</w:t>
      </w:r>
    </w:p>
    <w:bookmarkEnd w:id="211"/>
    <w:bookmarkStart w:id="212" w:name="humanitarian-traffic-during-escalation"/>
    <w:p>
      <w:pPr>
        <w:pStyle w:val="Heading3"/>
      </w:pPr>
      <w:r>
        <w:t xml:space="preserve">33.5 Humanitarian traffic during escalation</w:t>
      </w:r>
    </w:p>
    <w:p>
      <w:pPr>
        <w:pStyle w:val="FirstParagraph"/>
      </w:pPr>
      <w:r>
        <w:t xml:space="preserve">The humanitarian priority rule of Article 20.6 continues in full force throughout any Security Escalation Protocol period: humanitarian, medical, and search-and-rescue traffic moves without interruption even while ordinary commercial entries remain suspended, consistent with Red Line RL-9.</w:t>
      </w:r>
    </w:p>
    <w:bookmarkEnd w:id="212"/>
    <w:bookmarkEnd w:id="213"/>
    <w:bookmarkEnd w:id="214"/>
    <w:bookmarkStart w:id="236" w:name="Xa67c2c0cea167db2884fcfb88f1082469bdb16b"/>
    <w:p>
      <w:pPr>
        <w:pStyle w:val="Heading1"/>
      </w:pPr>
      <w:r>
        <w:t xml:space="preserve">Part VIII: Verification and the Compliance Engine</w:t>
      </w:r>
    </w:p>
    <w:bookmarkStart w:id="223" w:name="X1975e5f8cd7cc75a4231405b8f6744eb1422251"/>
    <w:p>
      <w:pPr>
        <w:pStyle w:val="Heading2"/>
      </w:pPr>
      <w:r>
        <w:t xml:space="preserve">Article 34: The Amanat Watch and the Human Anchor Method</w:t>
      </w:r>
    </w:p>
    <w:bookmarkStart w:id="215" w:name="establishment-and-independence"/>
    <w:p>
      <w:pPr>
        <w:pStyle w:val="Heading3"/>
      </w:pPr>
      <w:r>
        <w:t xml:space="preserve">34.1 Establishment and independence</w:t>
      </w:r>
    </w:p>
    <w:p>
      <w:pPr>
        <w:pStyle w:val="FirstParagraph"/>
      </w:pPr>
      <w:r>
        <w:t xml:space="preserve">The Amanat Watch operates as this Framework’s neutral verification body, staffed by the Neutral Administrator and reporting directly to the Council rather than to any single Party’s national authority. The Watch’s operational independence forms part of the Framework’s protected core under Article 18.4.</w:t>
      </w:r>
    </w:p>
    <w:bookmarkEnd w:id="215"/>
    <w:bookmarkStart w:id="216" w:name="appointment-of-senior-officers"/>
    <w:p>
      <w:pPr>
        <w:pStyle w:val="Heading3"/>
      </w:pPr>
      <w:r>
        <w:t xml:space="preserve">34.2 Appointment of senior officers</w:t>
      </w:r>
    </w:p>
    <w:p>
      <w:pPr>
        <w:pStyle w:val="FirstParagraph"/>
      </w:pPr>
      <w:r>
        <w:t xml:space="preserve">The Council appoints the Amanat Watch’s senior verification officers by consensus under Article 14.2, drawing on maritime-safety and compliance-verification professionals nominated by the Neutral Administrator, the International Maritime Organization, and, from Phase 3, the acceding Layer 2 Parties in rotation.</w:t>
      </w:r>
    </w:p>
    <w:bookmarkEnd w:id="216"/>
    <w:bookmarkStart w:id="217" w:name="the-human-anchor-method"/>
    <w:p>
      <w:pPr>
        <w:pStyle w:val="Heading3"/>
      </w:pPr>
      <w:r>
        <w:t xml:space="preserve">34.3 The Human Anchor Method</w:t>
      </w:r>
    </w:p>
    <w:p>
      <w:pPr>
        <w:pStyle w:val="FirstParagraph"/>
      </w:pPr>
      <w:r>
        <w:t xml:space="preserve">Every Amanat Watch determination rests on the Human Anchor Method: at least one direct human observation or attestation, corroborated by at least one independent technical data source, anchors a finding before the Watch publishes it as verified. A technical data source alone, an Automatic Identification System track or a satellite image without a human observer’s corroborating attestation, does not by itself support a verified finding. This Method operationalizes Red Line RL-10’s corroboration floor.</w:t>
      </w:r>
    </w:p>
    <w:bookmarkEnd w:id="217"/>
    <w:bookmarkStart w:id="218" w:name="sources-the-watch-draws-on"/>
    <w:p>
      <w:pPr>
        <w:pStyle w:val="Heading3"/>
      </w:pPr>
      <w:r>
        <w:t xml:space="preserve">34.4 Sources the Watch draws on</w:t>
      </w:r>
    </w:p>
    <w:p>
      <w:pPr>
        <w:pStyle w:val="FirstParagraph"/>
      </w:pPr>
      <w:r>
        <w:t xml:space="preserve">The Watch draws on: Operations Center watch-floor logs; Joint Survey Group field reports; vessel-master and port-agent attestations; independent satellite and radar tracking data; and, where relevant, Security Liaison naval reporting submitted through the hotline of Article 32.3. No single source, including a Party’s own self-report, suffices alone for a Tier 2 or Tier 3 finding.</w:t>
      </w:r>
    </w:p>
    <w:bookmarkEnd w:id="218"/>
    <w:bookmarkStart w:id="219" w:name="publication"/>
    <w:p>
      <w:pPr>
        <w:pStyle w:val="Heading3"/>
      </w:pPr>
      <w:r>
        <w:t xml:space="preserve">34.5 Publication</w:t>
      </w:r>
    </w:p>
    <w:p>
      <w:pPr>
        <w:pStyle w:val="FirstParagraph"/>
      </w:pPr>
      <w:r>
        <w:t xml:space="preserve">The Watch publishes its weekly Good-Week determination under Article 25.2, its quarterly Fund audit under Article 34.8, and an ad hoc determination within forty-eight hours of any Tier 2 or Tier 3 event, in Persian, Arabic, and English, through the Amanat Secretariat.</w:t>
      </w:r>
    </w:p>
    <w:bookmarkEnd w:id="219"/>
    <w:bookmarkStart w:id="220" w:name="access"/>
    <w:p>
      <w:pPr>
        <w:pStyle w:val="Heading3"/>
      </w:pPr>
      <w:r>
        <w:t xml:space="preserve">34.6 Access</w:t>
      </w:r>
    </w:p>
    <w:p>
      <w:pPr>
        <w:pStyle w:val="FirstParagraph"/>
      </w:pPr>
      <w:r>
        <w:t xml:space="preserve">Every Full Party, Associate Party, the Endorsing Stakeholder, and every Layer 3 Observer holds standing access to the Watch’s full determination record, including the underlying corroborating sources subject to routine operational confidentiality the Council’s standing rules define. The Watch’s summary findings publish openly to the shipping and insurance markets, supporting the transparency purpose of Article 28.8.</w:t>
      </w:r>
    </w:p>
    <w:bookmarkEnd w:id="220"/>
    <w:bookmarkStart w:id="221" w:name="protected-independence"/>
    <w:p>
      <w:pPr>
        <w:pStyle w:val="Heading3"/>
      </w:pPr>
      <w:r>
        <w:t xml:space="preserve">34.7 Protected independence</w:t>
      </w:r>
    </w:p>
    <w:p>
      <w:pPr>
        <w:pStyle w:val="FirstParagraph"/>
      </w:pPr>
      <w:r>
        <w:t xml:space="preserve">No Party directs, delays, or edits an Amanat Watch determination before its publication. A Party disputing a determination’s accuracy uses the contest procedure of Article 36, not informal pressure on the Watch’s staff, and an attempt to pressure Watch staff outside that procedure itself registers as a Tier 2 compliance event.</w:t>
      </w:r>
    </w:p>
    <w:bookmarkEnd w:id="221"/>
    <w:bookmarkStart w:id="222" w:name="the-quarterly-fund-audit"/>
    <w:p>
      <w:pPr>
        <w:pStyle w:val="Heading3"/>
      </w:pPr>
      <w:r>
        <w:t xml:space="preserve">34.8 The quarterly Fund audit</w:t>
      </w:r>
    </w:p>
    <w:p>
      <w:pPr>
        <w:pStyle w:val="FirstParagraph"/>
      </w:pPr>
      <w:r>
        <w:t xml:space="preserve">The Watch audits the Hormuz Transit Services Fund’s revenue and disbursement record quarterly, confirming every collected charge traces to a Verified Services Catalog entry consistent with the Zero-Toll Rule’s operational safeguard under Article 27.3, and publishes the audit alongside the Neutral Administrator’s own quarterly account under Article 28.8.</w:t>
      </w:r>
    </w:p>
    <w:bookmarkEnd w:id="222"/>
    <w:bookmarkEnd w:id="223"/>
    <w:bookmarkStart w:id="230" w:name="article-35-the-compliance-engine"/>
    <w:p>
      <w:pPr>
        <w:pStyle w:val="Heading2"/>
      </w:pPr>
      <w:r>
        <w:t xml:space="preserve">Article 35: The Compliance Engine</w:t>
      </w:r>
    </w:p>
    <w:bookmarkStart w:id="224" w:name="purpose-5"/>
    <w:p>
      <w:pPr>
        <w:pStyle w:val="Heading3"/>
      </w:pPr>
      <w:r>
        <w:t xml:space="preserve">35.1 Purpose</w:t>
      </w:r>
    </w:p>
    <w:p>
      <w:pPr>
        <w:pStyle w:val="FirstParagraph"/>
      </w:pPr>
      <w:r>
        <w:t xml:space="preserve">The Compliance Engine classifies every verified event affecting the Governance Area’s operation into one of three tiers, attaching a defined point value and a defined consequence to each tier, so that the Ladder’s pause and rollback rules under Article 26 and the Council’s response under Article 33 apply consistently and predictably rather than through case-by-case political judgment.</w:t>
      </w:r>
    </w:p>
    <w:bookmarkEnd w:id="224"/>
    <w:bookmarkStart w:id="225" w:name="tier-1-minor-events"/>
    <w:p>
      <w:pPr>
        <w:pStyle w:val="Heading3"/>
      </w:pPr>
      <w:r>
        <w:t xml:space="preserve">35.2 Tier 1, minor events</w:t>
      </w:r>
    </w:p>
    <w:p>
      <w:pPr>
        <w:pStyle w:val="FirstParagraph"/>
      </w:pPr>
      <w:r>
        <w:t xml:space="preserve">A Tier 1 event, a missed hotline test, a minor documentation lapse, or a brief, promptly corrected routing deviation, carries one point and no automatic Ladder effect, but three Tier 1 events within a single verification week aggregate into a Tier 2 event for that week’s Good-Week determination.</w:t>
      </w:r>
    </w:p>
    <w:bookmarkEnd w:id="225"/>
    <w:bookmarkStart w:id="226" w:name="tier-2-moderate-events"/>
    <w:p>
      <w:pPr>
        <w:pStyle w:val="Heading3"/>
      </w:pPr>
      <w:r>
        <w:t xml:space="preserve">35.3 Tier 2, moderate events</w:t>
      </w:r>
    </w:p>
    <w:p>
      <w:pPr>
        <w:pStyle w:val="FirstParagraph"/>
      </w:pPr>
      <w:r>
        <w:t xml:space="preserve">A Tier 2 event, an unauthorized brief boarding attempt promptly reversed, a documented instance of harassment falling short of interdiction, or a verified unauthorized charge attempt outside the Fund escrow structure, carries three points and triggers the seven-day Ladder pause of Article 26.1.</w:t>
      </w:r>
    </w:p>
    <w:bookmarkEnd w:id="226"/>
    <w:bookmarkStart w:id="227" w:name="tier-3-serious-events"/>
    <w:p>
      <w:pPr>
        <w:pStyle w:val="Heading3"/>
      </w:pPr>
      <w:r>
        <w:t xml:space="preserve">35.4 Tier 3, serious events</w:t>
      </w:r>
    </w:p>
    <w:p>
      <w:pPr>
        <w:pStyle w:val="FirstParagraph"/>
      </w:pPr>
      <w:r>
        <w:t xml:space="preserve">A Tier 3 event, a completed unauthorized interdiction, a mine-laying incident, a verified sustained toll-collection scheme, or interference with Critical Infrastructure under Article 5, carries six points, doubled to twelve for a Critical Infrastructure event, triggers the Ladder rollback of Article 26.2, and triggers the Council’s mandatory extraordinary session under Article 14.3 within five days.</w:t>
      </w:r>
    </w:p>
    <w:bookmarkEnd w:id="227"/>
    <w:bookmarkStart w:id="228" w:name="hostile-attack-and-red-line-breach"/>
    <w:p>
      <w:pPr>
        <w:pStyle w:val="Heading3"/>
      </w:pPr>
      <w:r>
        <w:t xml:space="preserve">35.5 Hostile attack and Red Line breach</w:t>
      </w:r>
    </w:p>
    <w:p>
      <w:pPr>
        <w:pStyle w:val="FirstParagraph"/>
      </w:pPr>
      <w:r>
        <w:t xml:space="preserve">An event meeting Article 26.3’s hostile-attack definition or Article 26.4’s Red Line breach definition sits outside the ordinary Tier 1 through Tier 3 point scale: it triggers the full Ladder reset and the Security Escalation Protocol’s consideration under Article 33.1, regardless of its point value under this Article’s ordinary schedule.</w:t>
      </w:r>
    </w:p>
    <w:bookmarkEnd w:id="228"/>
    <w:bookmarkStart w:id="229" w:name="the-annex-c-schedule"/>
    <w:p>
      <w:pPr>
        <w:pStyle w:val="Heading3"/>
      </w:pPr>
      <w:r>
        <w:t xml:space="preserve">35.6 The Annex C schedule</w:t>
      </w:r>
    </w:p>
    <w:p>
      <w:pPr>
        <w:pStyle w:val="FirstParagraph"/>
      </w:pPr>
      <w:r>
        <w:t xml:space="preserve">Annex C publishes the complete Event Schedule: every event code, its tier classification, its point value, and its specific effect on the Ladder, cross-referenced to this Article’s general rules for the cases Annex C’s schedule does not separately address.</w:t>
      </w:r>
    </w:p>
    <w:bookmarkEnd w:id="229"/>
    <w:bookmarkEnd w:id="230"/>
    <w:bookmarkStart w:id="235" w:name="X8fd4de32f584692afde22f0fc349cb0ff51b474"/>
    <w:p>
      <w:pPr>
        <w:pStyle w:val="Heading2"/>
      </w:pPr>
      <w:r>
        <w:t xml:space="preserve">Article 36: Evidentiary Rules and the Contest Procedure</w:t>
      </w:r>
    </w:p>
    <w:bookmarkStart w:id="231" w:name="the-right-to-contest"/>
    <w:p>
      <w:pPr>
        <w:pStyle w:val="Heading3"/>
      </w:pPr>
      <w:r>
        <w:t xml:space="preserve">36.1 The right to contest</w:t>
      </w:r>
    </w:p>
    <w:p>
      <w:pPr>
        <w:pStyle w:val="FirstParagraph"/>
      </w:pPr>
      <w:r>
        <w:t xml:space="preserve">A Party subject to a Tier 2 or Tier 3 determination, or a determination affecting its Stewardship Weight under Article 24, contests that determination by written submission to the Amanat Secretariat within seven days of publication, stating the specific factual or procedural basis for the contest.</w:t>
      </w:r>
    </w:p>
    <w:bookmarkEnd w:id="231"/>
    <w:bookmarkStart w:id="232" w:name="review"/>
    <w:p>
      <w:pPr>
        <w:pStyle w:val="Heading3"/>
      </w:pPr>
      <w:r>
        <w:t xml:space="preserve">36.2 Review</w:t>
      </w:r>
    </w:p>
    <w:p>
      <w:pPr>
        <w:pStyle w:val="FirstParagraph"/>
      </w:pPr>
      <w:r>
        <w:t xml:space="preserve">A three-member review panel, drawn from Amanat Watch senior officers not involved in the original determination, reviews the contest within fourteen days, applying the Human Anchor Method’s corroboration standard to the original finding and to any new evidence the contesting Party submits.</w:t>
      </w:r>
    </w:p>
    <w:bookmarkEnd w:id="232"/>
    <w:bookmarkStart w:id="233" w:name="outcomes"/>
    <w:p>
      <w:pPr>
        <w:pStyle w:val="Heading3"/>
      </w:pPr>
      <w:r>
        <w:t xml:space="preserve">36.3 Outcomes</w:t>
      </w:r>
    </w:p>
    <w:p>
      <w:pPr>
        <w:pStyle w:val="FirstParagraph"/>
      </w:pPr>
      <w:r>
        <w:t xml:space="preserve">The review panel affirms, modifies, or reverses the original determination. A reversal restores the Ladder position the original determination affected, retroactively, as though the event had not occurred; a modification adjusts the tier classification and its consequence accordingly. The panel’s decision is final absent an escalation to the Hormuz Panel under Article 38.4 on a claim of systemic Watch bias, a claim distinct from an ordinary factual contest.</w:t>
      </w:r>
    </w:p>
    <w:bookmarkEnd w:id="233"/>
    <w:bookmarkStart w:id="234" w:name="no-suspension-pending-review"/>
    <w:p>
      <w:pPr>
        <w:pStyle w:val="Heading3"/>
      </w:pPr>
      <w:r>
        <w:t xml:space="preserve">36.4 No suspension pending review</w:t>
      </w:r>
    </w:p>
    <w:p>
      <w:pPr>
        <w:pStyle w:val="FirstParagraph"/>
      </w:pPr>
      <w:r>
        <w:t xml:space="preserve">A contest under this Article does not suspend the original determination’s operation while the review proceeds; the Ladder effect and any Council session Article 35 triggers proceed on the original determination, subject to the retroactive correction Article 36.3 provides if the review reverses it. This rule prevents a contested determination from becoming a tool to indefinitely stall the Framework’s automatic mechanisms.</w:t>
      </w:r>
    </w:p>
    <w:bookmarkEnd w:id="234"/>
    <w:bookmarkEnd w:id="235"/>
    <w:bookmarkEnd w:id="236"/>
    <w:bookmarkStart w:id="249" w:name="X3b3569d87ba37d78b961e4c2fd4107fcc6e2ec1"/>
    <w:p>
      <w:pPr>
        <w:pStyle w:val="Heading1"/>
      </w:pPr>
      <w:r>
        <w:t xml:space="preserve">Part IX: Dispute Resolution and Enforcement</w:t>
      </w:r>
    </w:p>
    <w:bookmarkStart w:id="242" w:name="article-37-tiered-dispute-resolution"/>
    <w:p>
      <w:pPr>
        <w:pStyle w:val="Heading2"/>
      </w:pPr>
      <w:r>
        <w:t xml:space="preserve">Article 37: Tiered Dispute Resolution</w:t>
      </w:r>
    </w:p>
    <w:bookmarkStart w:id="237" w:name="tier-one-direct-consultation"/>
    <w:p>
      <w:pPr>
        <w:pStyle w:val="Heading3"/>
      </w:pPr>
      <w:r>
        <w:t xml:space="preserve">37.1 Tier one, direct consultation</w:t>
      </w:r>
    </w:p>
    <w:p>
      <w:pPr>
        <w:pStyle w:val="FirstParagraph"/>
      </w:pPr>
      <w:r>
        <w:t xml:space="preserve">A dispute between Parties concerning this Framework’s interpretation or application opens with direct consultation between the disputing Parties, facilitated by the Mediator of Record on either Party’s request, within fourteen days of the dispute’s notification to the Amanat Secretariat.</w:t>
      </w:r>
    </w:p>
    <w:bookmarkEnd w:id="237"/>
    <w:bookmarkStart w:id="238" w:name="tier-two-council-mediation"/>
    <w:p>
      <w:pPr>
        <w:pStyle w:val="Heading3"/>
      </w:pPr>
      <w:r>
        <w:t xml:space="preserve">37.2 Tier two, Council mediation</w:t>
      </w:r>
    </w:p>
    <w:p>
      <w:pPr>
        <w:pStyle w:val="FirstParagraph"/>
      </w:pPr>
      <w:r>
        <w:t xml:space="preserve">A dispute unresolved after thirty days of direct consultation moves to Council mediation: the full Council, excluding the disputing Parties from the mediating panel’s composition but not from the proceeding itself, reviews the dispute and issues a non-binding recommendation within forty-five days.</w:t>
      </w:r>
    </w:p>
    <w:bookmarkEnd w:id="238"/>
    <w:bookmarkStart w:id="239" w:name="tier-three-the-hormuz-panel"/>
    <w:p>
      <w:pPr>
        <w:pStyle w:val="Heading3"/>
      </w:pPr>
      <w:r>
        <w:t xml:space="preserve">37.3 Tier three, the Hormuz Panel</w:t>
      </w:r>
    </w:p>
    <w:p>
      <w:pPr>
        <w:pStyle w:val="FirstParagraph"/>
      </w:pPr>
      <w:r>
        <w:t xml:space="preserve">A dispute unresolved after Council mediation, or a dispute either Party elects to route directly to binding resolution, proceeds to the Hormuz Panel under Article 38, which issues a binding determination.</w:t>
      </w:r>
    </w:p>
    <w:bookmarkEnd w:id="239"/>
    <w:bookmarkStart w:id="240" w:name="tier-four-external-arbitration"/>
    <w:p>
      <w:pPr>
        <w:pStyle w:val="Heading3"/>
      </w:pPr>
      <w:r>
        <w:t xml:space="preserve">37.4 Tier four, external arbitration</w:t>
      </w:r>
    </w:p>
    <w:p>
      <w:pPr>
        <w:pStyle w:val="FirstParagraph"/>
      </w:pPr>
      <w:r>
        <w:t xml:space="preserve">A Party dissatisfied with a Hormuz Panel determination on a question of this Framework’s interpretation, as distinct from a factual compliance finding the Article 36 contest procedure already covers, appeals to the Permanent Court of Arbitration under the procedural rules the Parties adopt by reference in Annex E, within sixty days of the Panel’s determination.</w:t>
      </w:r>
    </w:p>
    <w:bookmarkEnd w:id="240"/>
    <w:bookmarkStart w:id="241" w:name="exhaustion-and-interim-measures"/>
    <w:p>
      <w:pPr>
        <w:pStyle w:val="Heading3"/>
      </w:pPr>
      <w:r>
        <w:t xml:space="preserve">37.5 Exhaustion and interim measures</w:t>
      </w:r>
    </w:p>
    <w:p>
      <w:pPr>
        <w:pStyle w:val="FirstParagraph"/>
      </w:pPr>
      <w:r>
        <w:t xml:space="preserve">A Party pursuing Tier four external arbitration exhausts Tiers one through three first, absent the Council’s consensus waiver of this requirement for a genuinely urgent question. The Hormuz Panel’s determination remains in effect during any Tier four appeal, subject to the Panel’s own authority to order interim relief under Article 38.3 pending the appeal’s resolution.</w:t>
      </w:r>
    </w:p>
    <w:bookmarkEnd w:id="241"/>
    <w:bookmarkEnd w:id="242"/>
    <w:bookmarkStart w:id="248" w:name="article-38-the-hormuz-panel"/>
    <w:p>
      <w:pPr>
        <w:pStyle w:val="Heading2"/>
      </w:pPr>
      <w:r>
        <w:t xml:space="preserve">Article 38: The Hormuz Panel</w:t>
      </w:r>
    </w:p>
    <w:bookmarkStart w:id="243" w:name="composition-1"/>
    <w:p>
      <w:pPr>
        <w:pStyle w:val="Heading3"/>
      </w:pPr>
      <w:r>
        <w:t xml:space="preserve">38.1 Composition</w:t>
      </w:r>
    </w:p>
    <w:p>
      <w:pPr>
        <w:pStyle w:val="FirstParagraph"/>
      </w:pPr>
      <w:r>
        <w:t xml:space="preserve">The Hormuz Panel comprises three arbitrators for each proceeding: one the claimant Party appoints, one the respondent Party appoints, and a presiding arbitrator the two Party-appointed arbitrators select jointly, or, absent their agreement within twenty-one days, the Secretary-General of the Permanent Court of Arbitration appoints.</w:t>
      </w:r>
    </w:p>
    <w:bookmarkEnd w:id="243"/>
    <w:bookmarkStart w:id="244" w:name="jurisdiction"/>
    <w:p>
      <w:pPr>
        <w:pStyle w:val="Heading3"/>
      </w:pPr>
      <w:r>
        <w:t xml:space="preserve">38.2 Jurisdiction</w:t>
      </w:r>
    </w:p>
    <w:p>
      <w:pPr>
        <w:pStyle w:val="FirstParagraph"/>
      </w:pPr>
      <w:r>
        <w:t xml:space="preserve">The Panel resolves disputes concerning this Framework’s interpretation and application that Tier one and Tier two do not resolve, including disputes concerning the Fund’s revenue distribution under Article 28.6, the Stewardship Weight’s calculation under Article 24, and an alleged systemic bias claim under Article 36.3. The Panel does not resolve a routine factual compliance contest, which Article 36’s review panel handles, nor any question Article 1.4 excludes from this Framework’s functional scope.</w:t>
      </w:r>
    </w:p>
    <w:bookmarkEnd w:id="244"/>
    <w:bookmarkStart w:id="245" w:name="interim-relief-and-enforcement"/>
    <w:p>
      <w:pPr>
        <w:pStyle w:val="Heading3"/>
      </w:pPr>
      <w:r>
        <w:t xml:space="preserve">38.3 Interim relief and enforcement</w:t>
      </w:r>
    </w:p>
    <w:p>
      <w:pPr>
        <w:pStyle w:val="FirstParagraph"/>
      </w:pPr>
      <w:r>
        <w:t xml:space="preserve">The Panel orders interim relief, including a temporary Fund disbursement adjustment or a temporary corridor operational measure, on a showing of urgent and irreparable harm pending its final determination. The Neutral Administrator implements a Panel order affecting Fund disbursement directly; the Hormuz Operations Center implements a Panel order affecting corridor operation directly; and a Party’s failure to comply with a final Panel determination registers as a Tier 3 event under Article 35.4, triggering that Article’s full consequence including the Ladder rollback and the Council’s mandatory session.</w:t>
      </w:r>
    </w:p>
    <w:bookmarkEnd w:id="245"/>
    <w:bookmarkStart w:id="246" w:name="X8a4254c4b8494dce02e2cddbe262ef07c70a50f"/>
    <w:p>
      <w:pPr>
        <w:pStyle w:val="Heading3"/>
      </w:pPr>
      <w:r>
        <w:t xml:space="preserve">38.4 Performance bonds and the reciprocity ledger</w:t>
      </w:r>
    </w:p>
    <w:p>
      <w:pPr>
        <w:pStyle w:val="FirstParagraph"/>
      </w:pPr>
      <w:r>
        <w:t xml:space="preserve">The Amanat Secretariat maintains a reciprocity ledger recording each Party’s compliance history with Hormuz Panel determinations, public alongside the Good-Week Ledger of Article 25.3. A Party’s operators seeking premium Route Assurance Data Subscription access under Article 28.3 post a refundable performance bond, held in the Hormuz Account, drawn upon only on a documented service-standard failure the Verified Services Catalog defines, returned in full on the subscription’s normal conclusion.</w:t>
      </w:r>
    </w:p>
    <w:bookmarkEnd w:id="246"/>
    <w:bookmarkStart w:id="247" w:name="costs"/>
    <w:p>
      <w:pPr>
        <w:pStyle w:val="Heading3"/>
      </w:pPr>
      <w:r>
        <w:t xml:space="preserve">38.5 Costs</w:t>
      </w:r>
    </w:p>
    <w:p>
      <w:pPr>
        <w:pStyle w:val="FirstParagraph"/>
      </w:pPr>
      <w:r>
        <w:t xml:space="preserve">Each Party bears its own costs of a Tier three proceeding; the Panel apportions the proceeding’s administrative costs between the disputing Parties in its final determination, guided by each Party’s relative success on the merits.</w:t>
      </w:r>
    </w:p>
    <w:bookmarkEnd w:id="247"/>
    <w:bookmarkEnd w:id="248"/>
    <w:bookmarkEnd w:id="249"/>
    <w:bookmarkStart w:id="262" w:name="X27c5cc017ebe20a97caf254fa4d4a43435555e4"/>
    <w:p>
      <w:pPr>
        <w:pStyle w:val="Heading1"/>
      </w:pPr>
      <w:r>
        <w:t xml:space="preserve">Part X: Legal Status, Sovereignty, and Relationship to Other Instruments</w:t>
      </w:r>
    </w:p>
    <w:bookmarkStart w:id="255" w:name="X40bcfb7a7d070473d0d49b4668febb284bcd25c"/>
    <w:p>
      <w:pPr>
        <w:pStyle w:val="Heading2"/>
      </w:pPr>
      <w:r>
        <w:t xml:space="preserve">Article 39: Sovereignty, Immunities, and the Humanitarian Firewall</w:t>
      </w:r>
    </w:p>
    <w:bookmarkStart w:id="250" w:name="sovereignty-restated"/>
    <w:p>
      <w:pPr>
        <w:pStyle w:val="Heading3"/>
      </w:pPr>
      <w:r>
        <w:t xml:space="preserve">39.1 Sovereignty restated</w:t>
      </w:r>
    </w:p>
    <w:p>
      <w:pPr>
        <w:pStyle w:val="FirstParagraph"/>
      </w:pPr>
      <w:r>
        <w:t xml:space="preserve">Consistent with Article 2.1 and Article 2.6, no provision of this Framework diminishes any Party’s sovereignty, territorial integrity, or jurisdiction over its own territorial waters. A Party’s participation in this Framework’s institutions is an exercise of that sovereignty, revocable only through the withdrawal procedure of Article 44, never through unilateral suspension of individual provisions.</w:t>
      </w:r>
    </w:p>
    <w:bookmarkEnd w:id="250"/>
    <w:bookmarkStart w:id="251" w:name="institutional-immunities"/>
    <w:p>
      <w:pPr>
        <w:pStyle w:val="Heading3"/>
      </w:pPr>
      <w:r>
        <w:t xml:space="preserve">39.2 Institutional immunities</w:t>
      </w:r>
    </w:p>
    <w:p>
      <w:pPr>
        <w:pStyle w:val="FirstParagraph"/>
      </w:pPr>
      <w:r>
        <w:t xml:space="preserve">The Hormuz Operations Center, the Amanat Secretariat, and Framework personnel acting in their official capacity hold functional immunity from the jurisdiction of any single Party’s courts for acts performed within their Framework mandate, consistent with standard international-organization practice, without extending to any act outside that mandate. This immunity protects the Watch’s independence under Article 34.7 and the Operations Center’s ability to issue routing instructions without exposure to a Party’s domestic litigation over a routine operational decision.</w:t>
      </w:r>
    </w:p>
    <w:bookmarkEnd w:id="251"/>
    <w:bookmarkStart w:id="252" w:name="X9c664cc602b4e4005778a2e3bb66ebb35eadc7d"/>
    <w:p>
      <w:pPr>
        <w:pStyle w:val="Heading3"/>
      </w:pPr>
      <w:r>
        <w:t xml:space="preserve">39.3 No effect on nationality or immigration law</w:t>
      </w:r>
    </w:p>
    <w:p>
      <w:pPr>
        <w:pStyle w:val="FirstParagraph"/>
      </w:pPr>
      <w:r>
        <w:t xml:space="preserve">Nothing in this Framework alters any Party’s nationality, immigration, or port-entry law applicable to vessels, crews, or cargo beyond the Governance Area’s transit corridors themselves. A vessel’s transit through the Governance Area carries no independent right of port entry to any littoral state’s ports absent that state’s own separate law.</w:t>
      </w:r>
    </w:p>
    <w:bookmarkEnd w:id="252"/>
    <w:bookmarkStart w:id="253" w:name="Xac4d8701e0aa50a6a03e3e0d69526fb78cd2955"/>
    <w:p>
      <w:pPr>
        <w:pStyle w:val="Heading3"/>
      </w:pPr>
      <w:r>
        <w:t xml:space="preserve">39.4 The humanitarian and environmental firewall</w:t>
      </w:r>
    </w:p>
    <w:p>
      <w:pPr>
        <w:pStyle w:val="FirstParagraph"/>
      </w:pPr>
      <w:r>
        <w:t xml:space="preserve">The humanitarian priority rule of Article 20.6 and the environmental-protection functions of Article 30.2 operate as a firewall: no dispute under Part IX, no Security Escalation Protocol under Article 33, and no Ladder reset under Article 26 suspends humanitarian traffic, search-and-rescue response, or emergency environmental response. This firewall forms part of the Framework’s protected core under Article 18.4, and the Amanat Watch verifies its continuous operation as a standing item in every weekly report under Article 34.5.</w:t>
      </w:r>
    </w:p>
    <w:bookmarkEnd w:id="253"/>
    <w:bookmarkStart w:id="254" w:name="state-responsibility"/>
    <w:p>
      <w:pPr>
        <w:pStyle w:val="Heading3"/>
      </w:pPr>
      <w:r>
        <w:t xml:space="preserve">39.5 State responsibility</w:t>
      </w:r>
    </w:p>
    <w:p>
      <w:pPr>
        <w:pStyle w:val="FirstParagraph"/>
      </w:pPr>
      <w:r>
        <w:t xml:space="preserve">Each Party remains responsible under general international law for the conduct of vessels flying its flag and personnel under its command, and this Framework’s institutions supplement, rather than displace, each Party’s own regulatory and enforcement authority over its own flagged vessels and nationals outside the specific corridor conduct this Framework governs.</w:t>
      </w:r>
    </w:p>
    <w:bookmarkEnd w:id="254"/>
    <w:bookmarkEnd w:id="255"/>
    <w:bookmarkStart w:id="261" w:name="Xc71562ba28f7c5f47accab5dd7d743906782b80"/>
    <w:p>
      <w:pPr>
        <w:pStyle w:val="Heading2"/>
      </w:pPr>
      <w:r>
        <w:t xml:space="preserve">Article 40: Relationship to Other Instruments and International Law</w:t>
      </w:r>
    </w:p>
    <w:bookmarkStart w:id="256" w:name="Xcdc96fe961636b83fd613ef4b032d105f99db19"/>
    <w:p>
      <w:pPr>
        <w:pStyle w:val="Heading3"/>
      </w:pPr>
      <w:r>
        <w:t xml:space="preserve">40.1 No effect on the wider diplomatic architecture</w:t>
      </w:r>
    </w:p>
    <w:p>
      <w:pPr>
        <w:pStyle w:val="FirstParagraph"/>
      </w:pPr>
      <w:r>
        <w:t xml:space="preserve">This Framework neither advances nor requires progress on the nuclear file, sanctions relief, regional normalization arrangements including any extension of existing normalization frameworks, or any broader political settlement between the United States and Iran. A Party’s signature records only that Party’s judgment on Hormuz governance specifically, and no other Party or observer state draws an inference about any Party’s position on an excluded subject from that Party’s participation here.</w:t>
      </w:r>
    </w:p>
    <w:bookmarkEnd w:id="256"/>
    <w:bookmarkStart w:id="257" w:name="Xbdef39c7ca793282b71d2e424349d06a8720106"/>
    <w:p>
      <w:pPr>
        <w:pStyle w:val="Heading3"/>
      </w:pPr>
      <w:r>
        <w:t xml:space="preserve">40.2 Relationship to United Nations Security Council measures</w:t>
      </w:r>
    </w:p>
    <w:p>
      <w:pPr>
        <w:pStyle w:val="FirstParagraph"/>
      </w:pPr>
      <w:r>
        <w:t xml:space="preserve">Nothing in this Framework overrides a binding United Nations Security Council measure applicable to a Party. Article 20.3’s narrow sanctions-related exception to the Non-Interdiction Protocol operates strictly within the bounds a binding Security Council measure sets, and the Amanat Council reviews annually whether any such measure’s application under this Framework remains current.</w:t>
      </w:r>
    </w:p>
    <w:bookmarkEnd w:id="257"/>
    <w:bookmarkStart w:id="258" w:name="precedence-rule"/>
    <w:p>
      <w:pPr>
        <w:pStyle w:val="Heading3"/>
      </w:pPr>
      <w:r>
        <w:t xml:space="preserve">40.3 Precedence rule</w:t>
      </w:r>
    </w:p>
    <w:p>
      <w:pPr>
        <w:pStyle w:val="FirstParagraph"/>
      </w:pPr>
      <w:r>
        <w:t xml:space="preserve">Where a conflict arises between this Framework and a Party’s obligation under UNCLOS, a binding Security Council measure, or another treaty obligation that predates this Framework’s entry into force, the pre-existing obligation prevails, and the Council convenes under Article 2.5’s procedure to conform this Framework’s text to that obligation without requiring the full amendment procedure of Article 42 for the conforming change itself.</w:t>
      </w:r>
    </w:p>
    <w:bookmarkEnd w:id="258"/>
    <w:bookmarkStart w:id="259" w:name="authentic-texts"/>
    <w:p>
      <w:pPr>
        <w:pStyle w:val="Heading3"/>
      </w:pPr>
      <w:r>
        <w:t xml:space="preserve">40.4 Authentic texts</w:t>
      </w:r>
    </w:p>
    <w:p>
      <w:pPr>
        <w:pStyle w:val="FirstParagraph"/>
      </w:pPr>
      <w:r>
        <w:t xml:space="preserve">The Persian, Arabic, and English texts of this Framework carry equal authenticity. Where a divergence in meaning arises among the three texts, the Amanat Secretariat convenes a joint drafting review within thirty days, and the Council’s ordinary consensus procedure under Article 18.1 resolves the divergence, guided by the Sovereign Present-Tense Standard’s interpretive rule at Article 1.7.</w:t>
      </w:r>
    </w:p>
    <w:bookmarkEnd w:id="259"/>
    <w:bookmarkStart w:id="260" w:name="registration"/>
    <w:p>
      <w:pPr>
        <w:pStyle w:val="Heading3"/>
      </w:pPr>
      <w:r>
        <w:t xml:space="preserve">40.5 Registration</w:t>
      </w:r>
    </w:p>
    <w:p>
      <w:pPr>
        <w:pStyle w:val="FirstParagraph"/>
      </w:pPr>
      <w:r>
        <w:t xml:space="preserve">The Depositary registers this Framework with the United Nations Secretariat under Article 102 of the United Nations Charter promptly following entry into force, and registers each subsequent accession or amendment promptly following its own effective date.</w:t>
      </w:r>
    </w:p>
    <w:bookmarkEnd w:id="260"/>
    <w:bookmarkEnd w:id="261"/>
    <w:bookmarkEnd w:id="262"/>
    <w:bookmarkStart w:id="288" w:name="X8fdf29812def8079b2cdfabdd85496372d4a238"/>
    <w:p>
      <w:pPr>
        <w:pStyle w:val="Heading1"/>
      </w:pPr>
      <w:r>
        <w:t xml:space="preserve">Part XI: Accession, Amendment, Withdrawal, and Final Provisions</w:t>
      </w:r>
    </w:p>
    <w:bookmarkStart w:id="268" w:name="Xa38aa3df3d706868559e4c32b45305b32cc0b83"/>
    <w:p>
      <w:pPr>
        <w:pStyle w:val="Heading2"/>
      </w:pPr>
      <w:r>
        <w:t xml:space="preserve">Article 41: Accession and the Multilateral Expansion Path</w:t>
      </w:r>
    </w:p>
    <w:bookmarkStart w:id="263" w:name="eligible-states"/>
    <w:p>
      <w:pPr>
        <w:pStyle w:val="Heading3"/>
      </w:pPr>
      <w:r>
        <w:t xml:space="preserve">41.1 Eligible states</w:t>
      </w:r>
    </w:p>
    <w:p>
      <w:pPr>
        <w:pStyle w:val="FirstParagraph"/>
      </w:pPr>
      <w:r>
        <w:t xml:space="preserve">The United Arab Emirates, the Kingdom of Saudi Arabia, the State of Qatar, the Kingdom of Bahrain, the State of Kuwait, and the Republic of Iraq each hold a standing invitation to accede as a Layer 2 Associate Party. The Islamic Republic of Pakistan and any additional Gulf or Red Sea littoral state the Council admits by consensus hold eligibility as Layer 7 Future Participants under Article 13.2.</w:t>
      </w:r>
    </w:p>
    <w:bookmarkEnd w:id="263"/>
    <w:bookmarkStart w:id="264" w:name="the-accession-sequence"/>
    <w:p>
      <w:pPr>
        <w:pStyle w:val="Heading3"/>
      </w:pPr>
      <w:r>
        <w:t xml:space="preserve">41.2 The accession sequence</w:t>
      </w:r>
    </w:p>
    <w:p>
      <w:pPr>
        <w:pStyle w:val="FirstParagraph"/>
      </w:pPr>
      <w:r>
        <w:t xml:space="preserve">Accession follows the sequence Annex H sets, designed to build the Framework’s multilateral character in a stable order rather than all at once: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Timing</w:t>
            </w:r>
          </w:p>
        </w:tc>
        <w:tc>
          <w:tcPr/>
          <w:p>
            <w:pPr>
              <w:pStyle w:val="Compact"/>
              <w:jc w:val="left"/>
            </w:pPr>
            <w:r>
              <w:t xml:space="preserve">Acceding state</w:t>
            </w:r>
          </w:p>
        </w:tc>
        <w:tc>
          <w:tcPr/>
          <w:p>
            <w:pPr>
              <w:pStyle w:val="Compact"/>
              <w:jc w:val="left"/>
            </w:pPr>
            <w:r>
              <w:t xml:space="preserve">Layer and scope</w:t>
            </w:r>
          </w:p>
        </w:tc>
      </w:tr>
      <w:tr>
        <w:tc>
          <w:tcPr/>
          <w:p>
            <w:pPr>
              <w:pStyle w:val="Compact"/>
              <w:jc w:val="left"/>
            </w:pPr>
            <w:r>
              <w:t xml:space="preserve">1</w:t>
            </w:r>
          </w:p>
        </w:tc>
        <w:tc>
          <w:tcPr/>
          <w:p>
            <w:pPr>
              <w:pStyle w:val="Compact"/>
              <w:jc w:val="left"/>
            </w:pPr>
            <w:r>
              <w:t xml:space="preserve">Phase 2</w:t>
            </w:r>
          </w:p>
        </w:tc>
        <w:tc>
          <w:tcPr/>
          <w:p>
            <w:pPr>
              <w:pStyle w:val="Compact"/>
              <w:jc w:val="left"/>
            </w:pPr>
            <w:r>
              <w:t xml:space="preserve">United Arab Emirates</w:t>
            </w:r>
          </w:p>
        </w:tc>
        <w:tc>
          <w:tcPr/>
          <w:p>
            <w:pPr>
              <w:pStyle w:val="Compact"/>
              <w:jc w:val="left"/>
            </w:pPr>
            <w:r>
              <w:t xml:space="preserve">Layer 2 Full navigation and safety participation</w:t>
            </w:r>
          </w:p>
        </w:tc>
      </w:tr>
      <w:tr>
        <w:tc>
          <w:tcPr/>
          <w:p>
            <w:pPr>
              <w:pStyle w:val="Compact"/>
              <w:jc w:val="left"/>
            </w:pPr>
            <w:r>
              <w:t xml:space="preserve">2</w:t>
            </w:r>
          </w:p>
        </w:tc>
        <w:tc>
          <w:tcPr/>
          <w:p>
            <w:pPr>
              <w:pStyle w:val="Compact"/>
              <w:jc w:val="left"/>
            </w:pPr>
            <w:r>
              <w:t xml:space="preserve">Phase 3, Month 3</w:t>
            </w:r>
          </w:p>
        </w:tc>
        <w:tc>
          <w:tcPr/>
          <w:p>
            <w:pPr>
              <w:pStyle w:val="Compact"/>
              <w:jc w:val="left"/>
            </w:pPr>
            <w:r>
              <w:t xml:space="preserve">Qatar, Saudi Arabia</w:t>
            </w:r>
          </w:p>
        </w:tc>
        <w:tc>
          <w:tcPr/>
          <w:p>
            <w:pPr>
              <w:pStyle w:val="Compact"/>
              <w:jc w:val="left"/>
            </w:pPr>
            <w:r>
              <w:t xml:space="preserve">Layer 2 navigation and safety layer</w:t>
            </w:r>
          </w:p>
        </w:tc>
      </w:tr>
      <w:tr>
        <w:tc>
          <w:tcPr/>
          <w:p>
            <w:pPr>
              <w:pStyle w:val="Compact"/>
              <w:jc w:val="left"/>
            </w:pPr>
            <w:r>
              <w:t xml:space="preserve">3</w:t>
            </w:r>
          </w:p>
        </w:tc>
        <w:tc>
          <w:tcPr/>
          <w:p>
            <w:pPr>
              <w:pStyle w:val="Compact"/>
              <w:jc w:val="left"/>
            </w:pPr>
            <w:r>
              <w:t xml:space="preserve">Phase 3, Month 6</w:t>
            </w:r>
          </w:p>
        </w:tc>
        <w:tc>
          <w:tcPr/>
          <w:p>
            <w:pPr>
              <w:pStyle w:val="Compact"/>
              <w:jc w:val="left"/>
            </w:pPr>
            <w:r>
              <w:t xml:space="preserve">Bahrain</w:t>
            </w:r>
          </w:p>
        </w:tc>
        <w:tc>
          <w:tcPr/>
          <w:p>
            <w:pPr>
              <w:pStyle w:val="Compact"/>
              <w:jc w:val="left"/>
            </w:pPr>
            <w:r>
              <w:t xml:space="preserve">Layer 2 navigation and safety layer</w:t>
            </w:r>
          </w:p>
        </w:tc>
      </w:tr>
      <w:tr>
        <w:tc>
          <w:tcPr/>
          <w:p>
            <w:pPr>
              <w:pStyle w:val="Compact"/>
              <w:jc w:val="left"/>
            </w:pPr>
            <w:r>
              <w:t xml:space="preserve">4</w:t>
            </w:r>
          </w:p>
        </w:tc>
        <w:tc>
          <w:tcPr/>
          <w:p>
            <w:pPr>
              <w:pStyle w:val="Compact"/>
              <w:jc w:val="left"/>
            </w:pPr>
            <w:r>
              <w:t xml:space="preserve">Phase 3, Month 6 onward</w:t>
            </w:r>
          </w:p>
        </w:tc>
        <w:tc>
          <w:tcPr/>
          <w:p>
            <w:pPr>
              <w:pStyle w:val="Compact"/>
              <w:jc w:val="left"/>
            </w:pPr>
            <w:r>
              <w:t xml:space="preserve">Kuwait, Iraq</w:t>
            </w:r>
          </w:p>
        </w:tc>
        <w:tc>
          <w:tcPr/>
          <w:p>
            <w:pPr>
              <w:pStyle w:val="Compact"/>
              <w:jc w:val="left"/>
            </w:pPr>
            <w:r>
              <w:t xml:space="preserve">Layer 2 navigation and safety layer, on individual application</w:t>
            </w:r>
          </w:p>
        </w:tc>
      </w:tr>
      <w:tr>
        <w:tc>
          <w:tcPr/>
          <w:p>
            <w:pPr>
              <w:pStyle w:val="Compact"/>
              <w:jc w:val="left"/>
            </w:pPr>
            <w:r>
              <w:t xml:space="preserve">5</w:t>
            </w:r>
          </w:p>
        </w:tc>
        <w:tc>
          <w:tcPr/>
          <w:p>
            <w:pPr>
              <w:pStyle w:val="Compact"/>
              <w:jc w:val="left"/>
            </w:pPr>
            <w:r>
              <w:t xml:space="preserve">Phase 4</w:t>
            </w:r>
          </w:p>
        </w:tc>
        <w:tc>
          <w:tcPr/>
          <w:p>
            <w:pPr>
              <w:pStyle w:val="Compact"/>
              <w:jc w:val="left"/>
            </w:pPr>
            <w:r>
              <w:t xml:space="preserve">Any Layer 2 Party electing further integration</w:t>
            </w:r>
          </w:p>
        </w:tc>
        <w:tc>
          <w:tcPr/>
          <w:p>
            <w:pPr>
              <w:pStyle w:val="Compact"/>
              <w:jc w:val="left"/>
            </w:pPr>
            <w:r>
              <w:t xml:space="preserve">Optional accession to the economic layer under Article 41.4</w:t>
            </w:r>
          </w:p>
        </w:tc>
      </w:tr>
    </w:tbl>
    <w:bookmarkEnd w:id="264"/>
    <w:bookmarkStart w:id="265" w:name="accession-procedure"/>
    <w:p>
      <w:pPr>
        <w:pStyle w:val="Heading3"/>
      </w:pPr>
      <w:r>
        <w:t xml:space="preserve">41.3 Accession procedure</w:t>
      </w:r>
    </w:p>
    <w:p>
      <w:pPr>
        <w:pStyle w:val="FirstParagraph"/>
      </w:pPr>
      <w:r>
        <w:t xml:space="preserve">An eligible state accedes by depositing an instrument of accession with the Depositary, which the Council registers within thirty days absent a consensus objection on Perimeter Test grounds under Article 4.2. Accession binds the acceding state to the navigation and safety provisions of Parts IV, VII, and VIII in full, and to the institutional provisions of Part III at its Layer 2 tier.</w:t>
      </w:r>
    </w:p>
    <w:bookmarkEnd w:id="265"/>
    <w:bookmarkStart w:id="266" w:name="optional-economic-layer-accession"/>
    <w:p>
      <w:pPr>
        <w:pStyle w:val="Heading3"/>
      </w:pPr>
      <w:r>
        <w:t xml:space="preserve">41.4 Optional economic-layer accession</w:t>
      </w:r>
    </w:p>
    <w:p>
      <w:pPr>
        <w:pStyle w:val="FirstParagraph"/>
      </w:pPr>
      <w:r>
        <w:t xml:space="preserve">A Layer 2 Associate Party elects, by separate instrument, further accession to the economic architecture of Part VI, participating in Fund governance discussions through the Technical Committee without acquiring a Stewardship Weight under Article 24, which remains exclusive to the two Layer 1 Full Parties by this Framework’s foundational design.</w:t>
      </w:r>
    </w:p>
    <w:bookmarkEnd w:id="266"/>
    <w:bookmarkStart w:id="267" w:name="non-diminishment-on-accession"/>
    <w:p>
      <w:pPr>
        <w:pStyle w:val="Heading3"/>
      </w:pPr>
      <w:r>
        <w:t xml:space="preserve">41.5 Non-diminishment on accession</w:t>
      </w:r>
    </w:p>
    <w:p>
      <w:pPr>
        <w:pStyle w:val="FirstParagraph"/>
      </w:pPr>
      <w:r>
        <w:t xml:space="preserve">No accession dilutes the Twin-Key Rule of Article 18.2, the Red Lines Register of Annex F, or either Layer 1 Full Party’s Stewardship Weight under Article 24. Layer 2 accession expands the Framework’s multilateral participation without altering the core bilateral architecture Layer 1 occupies.</w:t>
      </w:r>
    </w:p>
    <w:bookmarkEnd w:id="267"/>
    <w:bookmarkEnd w:id="268"/>
    <w:bookmarkStart w:id="272" w:name="article-42-amendment"/>
    <w:p>
      <w:pPr>
        <w:pStyle w:val="Heading2"/>
      </w:pPr>
      <w:r>
        <w:t xml:space="preserve">Article 42: Amendment</w:t>
      </w:r>
    </w:p>
    <w:bookmarkStart w:id="269" w:name="ordinary-amendment"/>
    <w:p>
      <w:pPr>
        <w:pStyle w:val="Heading3"/>
      </w:pPr>
      <w:r>
        <w:t xml:space="preserve">42.1 Ordinary amendment</w:t>
      </w:r>
    </w:p>
    <w:p>
      <w:pPr>
        <w:pStyle w:val="FirstParagraph"/>
      </w:pPr>
      <w:r>
        <w:t xml:space="preserve">A provision outside this Framework’s protected core amends by Council consensus under Article 18.1, followed by each Full and Associate Party’s ratification under its own constitutional procedure, effective on the last such ratification’s deposit with the Depositary.</w:t>
      </w:r>
    </w:p>
    <w:bookmarkEnd w:id="269"/>
    <w:bookmarkStart w:id="270" w:name="protected-core-amendment"/>
    <w:p>
      <w:pPr>
        <w:pStyle w:val="Heading3"/>
      </w:pPr>
      <w:r>
        <w:t xml:space="preserve">42.2 Protected-core amendment</w:t>
      </w:r>
    </w:p>
    <w:p>
      <w:pPr>
        <w:pStyle w:val="FirstParagraph"/>
      </w:pPr>
      <w:r>
        <w:t xml:space="preserve">An amendment touching the protected core Article 18.4 defines, the Zero-Toll Rule, the Non-Interdiction Protocol, the humanitarian firewall, the Continuity Principle, the Amanat Watch’s independence, the sanctions-compliance firewall, or the Red Lines Register itself, takes effect only on unanimous consensus of both Layer 1 Full Parties plus every then-acceded Layer 2 Associate Party, followed by ratification by each. No protected-core amendment reduces the Zero-Toll Rule’s absolute character under any circumstance.</w:t>
      </w:r>
    </w:p>
    <w:bookmarkEnd w:id="270"/>
    <w:bookmarkStart w:id="271" w:name="proposal-right"/>
    <w:p>
      <w:pPr>
        <w:pStyle w:val="Heading3"/>
      </w:pPr>
      <w:r>
        <w:t xml:space="preserve">42.3 Proposal right</w:t>
      </w:r>
    </w:p>
    <w:p>
      <w:pPr>
        <w:pStyle w:val="FirstParagraph"/>
      </w:pPr>
      <w:r>
        <w:t xml:space="preserve">Any Full Party, any Associate Party, or the Endorsing Stakeholder proposes an amendment to the Amanat Secretariat, which circulates the proposal to every Party and schedules its Perimeter Test review under Article 4.2 at the next Council session.</w:t>
      </w:r>
    </w:p>
    <w:bookmarkEnd w:id="271"/>
    <w:bookmarkEnd w:id="272"/>
    <w:bookmarkStart w:id="276" w:name="article-43-periodic-review"/>
    <w:p>
      <w:pPr>
        <w:pStyle w:val="Heading2"/>
      </w:pPr>
      <w:r>
        <w:t xml:space="preserve">Article 43: Periodic Review</w:t>
      </w:r>
    </w:p>
    <w:bookmarkStart w:id="273" w:name="the-five-year-cycle"/>
    <w:p>
      <w:pPr>
        <w:pStyle w:val="Heading3"/>
      </w:pPr>
      <w:r>
        <w:t xml:space="preserve">43.1 The five-year cycle</w:t>
      </w:r>
    </w:p>
    <w:p>
      <w:pPr>
        <w:pStyle w:val="FirstParagraph"/>
      </w:pPr>
      <w:r>
        <w:t xml:space="preserve">From Phase 4’s entry under Article 12.4, the Council conducts a comprehensive review of this Framework’s technical, economic, and institutional performance every five years, assessing the Verified Services Catalog’s rates, the Ladder’s calibration, and the accession path’s further extension, without reopening the Red Lines Register absent the Article 42.2 threshold.</w:t>
      </w:r>
    </w:p>
    <w:bookmarkEnd w:id="273"/>
    <w:bookmarkStart w:id="274" w:name="renewal-by-silence"/>
    <w:p>
      <w:pPr>
        <w:pStyle w:val="Heading3"/>
      </w:pPr>
      <w:r>
        <w:t xml:space="preserve">43.2 Renewal by silence</w:t>
      </w:r>
    </w:p>
    <w:p>
      <w:pPr>
        <w:pStyle w:val="FirstParagraph"/>
      </w:pPr>
      <w:r>
        <w:t xml:space="preserve">Article 6.6 governs: the review’s conclusion without an affirmative, timely, written objection from any Full Party continues every reviewed provision in force automatically, without requiring a fresh ratification round.</w:t>
      </w:r>
    </w:p>
    <w:bookmarkEnd w:id="274"/>
    <w:bookmarkStart w:id="275" w:name="extraordinary-review"/>
    <w:p>
      <w:pPr>
        <w:pStyle w:val="Heading3"/>
      </w:pPr>
      <w:r>
        <w:t xml:space="preserve">43.3 Extraordinary review</w:t>
      </w:r>
    </w:p>
    <w:p>
      <w:pPr>
        <w:pStyle w:val="FirstParagraph"/>
      </w:pPr>
      <w:r>
        <w:t xml:space="preserve">Any Full Party triggers an extraordinary review outside the five-year cycle on a showing of material changed circumstances, through the same Council session procedure Article 14.3 sets for an extraordinary session.</w:t>
      </w:r>
    </w:p>
    <w:bookmarkEnd w:id="275"/>
    <w:bookmarkEnd w:id="276"/>
    <w:bookmarkStart w:id="281" w:name="X976df7282cfcc0bc6ad85b92a7afeca0ff8f2e2"/>
    <w:p>
      <w:pPr>
        <w:pStyle w:val="Heading2"/>
      </w:pPr>
      <w:r>
        <w:t xml:space="preserve">Article 44: Transition, Succession, and Withdrawal</w:t>
      </w:r>
    </w:p>
    <w:bookmarkStart w:id="277" w:name="government-succession"/>
    <w:p>
      <w:pPr>
        <w:pStyle w:val="Heading3"/>
      </w:pPr>
      <w:r>
        <w:t xml:space="preserve">44.1 Government succession</w:t>
      </w:r>
    </w:p>
    <w:p>
      <w:pPr>
        <w:pStyle w:val="FirstParagraph"/>
      </w:pPr>
      <w:r>
        <w:t xml:space="preserve">A change in any Party’s government does not affect that Party’s obligations or accumulated position under this Framework, consistent with Article 6.5’s institutional-memory rule. A successor government inherits its predecessor’s Framework position in full.</w:t>
      </w:r>
    </w:p>
    <w:bookmarkEnd w:id="277"/>
    <w:bookmarkStart w:id="278" w:name="withdrawal-procedure"/>
    <w:p>
      <w:pPr>
        <w:pStyle w:val="Heading3"/>
      </w:pPr>
      <w:r>
        <w:t xml:space="preserve">44.2 Withdrawal procedure</w:t>
      </w:r>
    </w:p>
    <w:p>
      <w:pPr>
        <w:pStyle w:val="FirstParagraph"/>
      </w:pPr>
      <w:r>
        <w:t xml:space="preserve">A Full Party withdraws from this Framework by written notice to the Depositary, effective one hundred eighty days after the notice’s deposit, a deliberate and time-buffered act consistent with the Continuity Principle’s rejection of drift. A withdrawing Full Party’s Twin-Key role under Article 18.2 transfers, for the withdrawal notice period and until the Council determines a permanent successor arrangement, to a Council-appointed interim function preserving the Non-Interdiction Protocol’s operation without interruption. An Associate Party withdraws on ninety days’ notice, affecting only its own Layer 2 participation.</w:t>
      </w:r>
    </w:p>
    <w:bookmarkEnd w:id="278"/>
    <w:bookmarkStart w:id="279" w:name="Xc680d927970563f06fb07d0c1cb30c410ed5486"/>
    <w:p>
      <w:pPr>
        <w:pStyle w:val="Heading3"/>
      </w:pPr>
      <w:r>
        <w:t xml:space="preserve">44.3 Effect of withdrawal on accumulated positions</w:t>
      </w:r>
    </w:p>
    <w:p>
      <w:pPr>
        <w:pStyle w:val="FirstParagraph"/>
      </w:pPr>
      <w:r>
        <w:t xml:space="preserve">A withdrawing Party’s Good-Week Ledger record and Stewardship Weight, if the withdrawing Party is a Layer 1 Full Party, do not transfer to any successor state or organization absent that successor’s own fresh accession under Article 41; the Continuity Principle protects a Party’s position for that Party, not for an unrelated successor.</w:t>
      </w:r>
    </w:p>
    <w:bookmarkEnd w:id="279"/>
    <w:bookmarkStart w:id="280" w:name="reconstitution-after-withdrawal"/>
    <w:p>
      <w:pPr>
        <w:pStyle w:val="Heading3"/>
      </w:pPr>
      <w:r>
        <w:t xml:space="preserve">44.4 Reconstitution after withdrawal</w:t>
      </w:r>
    </w:p>
    <w:p>
      <w:pPr>
        <w:pStyle w:val="FirstParagraph"/>
      </w:pPr>
      <w:r>
        <w:t xml:space="preserve">A Layer 1 Full Party’s withdrawal that leaves the Framework with only one Layer 1 Party triggers a Council convening within thirty days to determine a reconstitution path, an option that includes a Layer 2 Party’s elevation to interim Layer 1 status pending the withdrawn Party’s potential future re-accession, always subject to the Perimeter Test and never through any single remaining Party’s unilateral assumption of both Twin Keys.</w:t>
      </w:r>
    </w:p>
    <w:bookmarkEnd w:id="280"/>
    <w:bookmarkEnd w:id="281"/>
    <w:bookmarkStart w:id="287" w:name="article-45-final-provisions"/>
    <w:p>
      <w:pPr>
        <w:pStyle w:val="Heading2"/>
      </w:pPr>
      <w:r>
        <w:t xml:space="preserve">Article 45: Final Provisions</w:t>
      </w:r>
    </w:p>
    <w:bookmarkStart w:id="282" w:name="entry-into-force"/>
    <w:p>
      <w:pPr>
        <w:pStyle w:val="Heading3"/>
      </w:pPr>
      <w:r>
        <w:t xml:space="preserve">45.1 Entry into force</w:t>
      </w:r>
    </w:p>
    <w:p>
      <w:pPr>
        <w:pStyle w:val="FirstParagraph"/>
      </w:pPr>
      <w:r>
        <w:t xml:space="preserve">This Framework enters into force under Article 8.1, on signature by both Founding Parties.</w:t>
      </w:r>
    </w:p>
    <w:bookmarkEnd w:id="282"/>
    <w:bookmarkStart w:id="283" w:name="depositary-functions"/>
    <w:p>
      <w:pPr>
        <w:pStyle w:val="Heading3"/>
      </w:pPr>
      <w:r>
        <w:t xml:space="preserve">45.2 Depositary functions</w:t>
      </w:r>
    </w:p>
    <w:p>
      <w:pPr>
        <w:pStyle w:val="FirstParagraph"/>
      </w:pPr>
      <w:r>
        <w:t xml:space="preserve">The Sultanate of Oman’s Ministry of Foreign Affairs serves as Depositary, receiving every instrument of signature, accession, ratification, amendment, and withdrawal, and maintaining the authoritative signed texts in Persian, Arabic, and English.</w:t>
      </w:r>
    </w:p>
    <w:bookmarkEnd w:id="283"/>
    <w:bookmarkStart w:id="284" w:name="annexes-as-integral-text"/>
    <w:p>
      <w:pPr>
        <w:pStyle w:val="Heading3"/>
      </w:pPr>
      <w:r>
        <w:t xml:space="preserve">45.3 Annexes as integral text</w:t>
      </w:r>
    </w:p>
    <w:p>
      <w:pPr>
        <w:pStyle w:val="FirstParagraph"/>
      </w:pPr>
      <w:r>
        <w:t xml:space="preserve">Annexes A through I form an integral part of this Framework, binding the Parties to the same extent as the numbered Articles, and amend under the same procedure Article 42 sets for the Article each Annex implements.</w:t>
      </w:r>
    </w:p>
    <w:bookmarkEnd w:id="284"/>
    <w:bookmarkStart w:id="285" w:name="titles-and-headings"/>
    <w:p>
      <w:pPr>
        <w:pStyle w:val="Heading3"/>
      </w:pPr>
      <w:r>
        <w:t xml:space="preserve">45.4 Titles and headings</w:t>
      </w:r>
    </w:p>
    <w:p>
      <w:pPr>
        <w:pStyle w:val="FirstParagraph"/>
      </w:pPr>
      <w:r>
        <w:t xml:space="preserve">Part, Article, and section titles and headings serve for reference convenience only and do not affect this Framework’s interpretation, which follows the Sovereign Present-Tense Standard of Article 1.7 and the operative text of each provision.</w:t>
      </w:r>
    </w:p>
    <w:bookmarkEnd w:id="285"/>
    <w:bookmarkStart w:id="286" w:name="signature-block"/>
    <w:p>
      <w:pPr>
        <w:pStyle w:val="Heading3"/>
      </w:pPr>
      <w:r>
        <w:t xml:space="preserve">45.5 Signature block</w:t>
      </w:r>
    </w:p>
    <w:p>
      <w:pPr>
        <w:pStyle w:val="FirstParagraph"/>
      </w:pPr>
      <w:r>
        <w:rPr>
          <w:iCs/>
          <w:i/>
        </w:rPr>
        <w:t xml:space="preserve">In witness whereof, the undersigned, being duly authorized by their respective Governments, have signed this Framework.</w:t>
      </w:r>
    </w:p>
    <w:p>
      <w:pPr>
        <w:pStyle w:val="BodyText"/>
      </w:pPr>
      <w:r>
        <w:rPr>
          <w:iCs/>
          <w:i/>
        </w:rPr>
        <w:t xml:space="preserve">Done at Muscat, in the Persian, Arabic, and English languages, each text being equally authentic.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 the Islamic Republic of Iran</w:t>
            </w:r>
          </w:p>
        </w:tc>
        <w:tc>
          <w:tcPr/>
          <w:p>
            <w:pPr>
              <w:pStyle w:val="Compact"/>
              <w:jc w:val="left"/>
            </w:pPr>
            <w:r>
              <w:t xml:space="preserve">For the Sultanate of Oman</w:t>
            </w:r>
          </w:p>
        </w:tc>
      </w:tr>
      <w:tr>
        <w:tc>
          <w:tcPr/>
          <w:p>
            <w:pPr>
              <w:pStyle w:val="Compact"/>
              <w:jc w:val="left"/>
            </w:pPr>
            <w:r>
              <w:t xml:space="preserve">______________________</w:t>
            </w:r>
          </w:p>
        </w:tc>
        <w:tc>
          <w:tcPr/>
          <w:p>
            <w:pPr>
              <w:pStyle w:val="Compact"/>
              <w:jc w:val="left"/>
            </w:pPr>
            <w:r>
              <w:t xml:space="preserve">______________________</w:t>
            </w:r>
          </w:p>
        </w:tc>
      </w:tr>
      <w:tr>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Endorsed, for the United States of America, in the capacity of Article 15</w:t>
            </w:r>
          </w:p>
        </w:tc>
      </w:tr>
      <w:tr>
        <w:tc>
          <w:tcPr/>
          <w:p>
            <w:pPr>
              <w:pStyle w:val="Compact"/>
              <w:jc w:val="left"/>
            </w:pPr>
            <w:r>
              <w:t xml:space="preserve">______________________</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Witnessed, for the Mediator of Record and Depositary</w:t>
            </w:r>
          </w:p>
        </w:tc>
        <w:tc>
          <w:tcPr/>
          <w:p>
            <w:pPr>
              <w:pStyle w:val="Compact"/>
              <w:jc w:val="left"/>
            </w:pPr>
            <w:r>
              <w:t xml:space="preserve">Witnessed, for the Neutral Administrator</w:t>
            </w:r>
          </w:p>
        </w:tc>
      </w:tr>
      <w:tr>
        <w:tc>
          <w:tcPr/>
          <w:p>
            <w:pPr>
              <w:pStyle w:val="Compact"/>
              <w:jc w:val="left"/>
            </w:pPr>
            <w:r>
              <w:t xml:space="preserve">The Sultanate of Oman</w:t>
            </w:r>
          </w:p>
        </w:tc>
        <w:tc>
          <w:tcPr/>
          <w:p>
            <w:pPr>
              <w:pStyle w:val="Compact"/>
              <w:jc w:val="left"/>
            </w:pPr>
            <w:r>
              <w:t xml:space="preserve">The Swiss Confederation</w:t>
            </w:r>
          </w:p>
        </w:tc>
      </w:tr>
    </w:tbl>
    <w:bookmarkEnd w:id="286"/>
    <w:bookmarkEnd w:id="287"/>
    <w:bookmarkEnd w:id="288"/>
    <w:bookmarkStart w:id="330" w:name="annexes"/>
    <w:p>
      <w:pPr>
        <w:pStyle w:val="Heading1"/>
      </w:pPr>
      <w:r>
        <w:t xml:space="preserve">Annexes</w:t>
      </w:r>
    </w:p>
    <w:bookmarkStart w:id="294" w:name="X39a60d242bfb937aeda61019092b37a10b11d1c"/>
    <w:p>
      <w:pPr>
        <w:pStyle w:val="Heading2"/>
      </w:pPr>
      <w:r>
        <w:t xml:space="preserve">Annex A: Boundary Coordinates, Standoff Distances, and the Hazard-Clearance Protocol</w:t>
      </w:r>
    </w:p>
    <w:bookmarkStart w:id="289" w:name="a.1-coordinate-methodology"/>
    <w:p>
      <w:pPr>
        <w:pStyle w:val="Heading3"/>
      </w:pPr>
      <w:r>
        <w:t xml:space="preserve">A.1 Coordinate methodology</w:t>
      </w:r>
    </w:p>
    <w:p>
      <w:pPr>
        <w:pStyle w:val="FirstParagraph"/>
      </w:pPr>
      <w:r>
        <w:t xml:space="preserve">The Joint Survey Group fixes the Governance Area’s boundary coordinates using WGS84 datum, cross-registered against the International Hydrographic Organization’s current chart series for the Strait of Hormuz and the Gulf of Oman approaches. The Group publishes the full coordinate list as a technical supplement to this Annex within thirty days of entry into force, updated on any Article 19.3 boundary adjustment. Consistent with Article 19.2, these coordinates describe the Traffic Separation Scheme’s operational footprint exclusively and carry no implication for any Party’s territorial-sea baseline, continental-shelf entitlement, or maritime-boundary position.</w:t>
      </w:r>
    </w:p>
    <w:bookmarkEnd w:id="289"/>
    <w:bookmarkStart w:id="290" w:name="a.2-corridor-width-and-separation"/>
    <w:p>
      <w:pPr>
        <w:pStyle w:val="Heading3"/>
      </w:pPr>
      <w:r>
        <w:t xml:space="preserve">A.2 Corridor width and separation</w:t>
      </w:r>
    </w:p>
    <w:p>
      <w:pPr>
        <w:pStyle w:val="FirstParagraph"/>
      </w:pPr>
      <w:r>
        <w:t xml:space="preserve">The Northern Inbound Corridor and Southern Outbound Corridor each maintain a minimum navigable width the Technical Committee’s hydrographic assessment sets, sufficient for two-way safe passage of the largest vessel class the Assurance Registry records transiting the Strait, with the Central Buffer Corridor’s width set to accommodate overtaking and emergency maneuvering without encroaching on either directional corridor’s separation zone.</w:t>
      </w:r>
    </w:p>
    <w:bookmarkEnd w:id="290"/>
    <w:bookmarkStart w:id="291" w:name="X41ee5e3c7e5ff2c8614d592920d07728af0e4ca"/>
    <w:p>
      <w:pPr>
        <w:pStyle w:val="Heading3"/>
      </w:pPr>
      <w:r>
        <w:t xml:space="preserve">A.3 Minimum safe distance for naval vessels</w:t>
      </w:r>
    </w:p>
    <w:p>
      <w:pPr>
        <w:pStyle w:val="FirstParagraph"/>
      </w:pPr>
      <w:r>
        <w:t xml:space="preserve">The minimum safe distance Article 32.5 references, inside which a naval vessel does not close on an actively transiting commercial vessel absent a distress basis, sets at one nautical mile during ordinary transit conditions, expanding to two nautical miles during a published exercise under Article 32.2, and the Technical Committee reviews this distance annually against operational experience.</w:t>
      </w:r>
    </w:p>
    <w:bookmarkEnd w:id="291"/>
    <w:bookmarkStart w:id="292" w:name="a.4-the-hazard-clearance-protocol"/>
    <w:p>
      <w:pPr>
        <w:pStyle w:val="Heading3"/>
      </w:pPr>
      <w:r>
        <w:t xml:space="preserve">A.4 The hazard-clearance protocol</w:t>
      </w:r>
    </w:p>
    <w:p>
      <w:pPr>
        <w:pStyle w:val="FirstParagraph"/>
      </w:pPr>
      <w:r>
        <w:t xml:space="preserve">The Joint Survey Group’s segment survey proceeds from each corridor’s approaches inward, using paired Iranian and Omani mine-countermeasure vessels operating simultaneously in adjoining segments, with United Nations Mine Action Service technical advisors embedded on each survey team in an advisory, non-operational capacity. Both national teams’ independent sonar and visual confirmation, cross-checked before publication, ground a segment’s joint certification, consistent with Article 22.2’s no-single-Party-certification rule.</w:t>
      </w:r>
    </w:p>
    <w:bookmarkEnd w:id="292"/>
    <w:bookmarkStart w:id="293" w:name="a.5-ordnance-disposal-sites"/>
    <w:p>
      <w:pPr>
        <w:pStyle w:val="Heading3"/>
      </w:pPr>
      <w:r>
        <w:t xml:space="preserve">A.5 Ordnance disposal sites</w:t>
      </w:r>
    </w:p>
    <w:p>
      <w:pPr>
        <w:pStyle w:val="FirstParagraph"/>
      </w:pPr>
      <w:r>
        <w:t xml:space="preserve">The Joint Survey Group designates disposal sites in advance, at a distance from active shipping lanes and coastal population centers the joint naval protocol of Article 22.4 specifies, with disposal timing published to the Operations Center’s navigational warning system at least twelve hours ahead absent an emergency requiring immediate disposal.</w:t>
      </w:r>
    </w:p>
    <w:bookmarkEnd w:id="293"/>
    <w:bookmarkEnd w:id="294"/>
    <w:bookmarkStart w:id="300" w:name="Xcaf0b709d4d1886b95307064901a4096dbc07c7"/>
    <w:p>
      <w:pPr>
        <w:pStyle w:val="Heading2"/>
      </w:pPr>
      <w:r>
        <w:t xml:space="preserve">Annex B: The Non-Interdiction Exception Procedure</w:t>
      </w:r>
    </w:p>
    <w:bookmarkStart w:id="295" w:name="b.1-scope"/>
    <w:p>
      <w:pPr>
        <w:pStyle w:val="Heading3"/>
      </w:pPr>
      <w:r>
        <w:t xml:space="preserve">B.1 Scope</w:t>
      </w:r>
    </w:p>
    <w:p>
      <w:pPr>
        <w:pStyle w:val="FirstParagraph"/>
      </w:pPr>
      <w:r>
        <w:t xml:space="preserve">This Annex details the three narrow exceptions Article 20.3 permits and the escalation ladder Article 20.4 references for a vessel outside standard classification.</w:t>
      </w:r>
    </w:p>
    <w:bookmarkEnd w:id="295"/>
    <w:bookmarkStart w:id="296" w:name="b.2-distress-exception"/>
    <w:p>
      <w:pPr>
        <w:pStyle w:val="Heading3"/>
      </w:pPr>
      <w:r>
        <w:t xml:space="preserve">B.2 Distress exception</w:t>
      </w:r>
    </w:p>
    <w:p>
      <w:pPr>
        <w:pStyle w:val="FirstParagraph"/>
      </w:pPr>
      <w:r>
        <w:t xml:space="preserve">A vessel declaring distress, by radio, by standard distress signal, or by a third party’s credible report, receives immediate emergency-assistance response from the nearest available Operations Center or naval asset, without requiring Twin-Key authorization for the assistance itself; Twin-Key authorization applies only where the distress response involves boarding for reasons beyond immediate life safety.</w:t>
      </w:r>
    </w:p>
    <w:bookmarkEnd w:id="296"/>
    <w:bookmarkStart w:id="297" w:name="Xdb2c67336abe944b3fd1e33dc033261a6a430a8"/>
    <w:p>
      <w:pPr>
        <w:pStyle w:val="Heading3"/>
      </w:pPr>
      <w:r>
        <w:t xml:space="preserve">B.3 Collision or grounding hazard exception</w:t>
      </w:r>
    </w:p>
    <w:p>
      <w:pPr>
        <w:pStyle w:val="FirstParagraph"/>
      </w:pPr>
      <w:r>
        <w:t xml:space="preserve">Where a vessel’s conduct creates an immediate, observable hazard, an uncontrolled drift toward a shoal, a fire, a loss of steering in a traffic lane, the Operations Center first attempts radio contact and escort-vessel guidance; joint Twin-Key authorization, obtained by expedited real-time consultation between the two Layer 1 Full Parties’ designated duty officers, together with contemporaneous Amanat Watch notification, activates boarding under this exception.</w:t>
      </w:r>
    </w:p>
    <w:bookmarkEnd w:id="297"/>
    <w:bookmarkStart w:id="298" w:name="b.4-sanctions-measure-exception"/>
    <w:p>
      <w:pPr>
        <w:pStyle w:val="Heading3"/>
      </w:pPr>
      <w:r>
        <w:t xml:space="preserve">B.4 Sanctions-measure exception</w:t>
      </w:r>
    </w:p>
    <w:p>
      <w:pPr>
        <w:pStyle w:val="FirstParagraph"/>
      </w:pPr>
      <w:r>
        <w:t xml:space="preserve">Where a binding United Nations Security Council measure both Layer 1 Full Parties recognize as applicable to a specific vessel, the multilateral procedure runs on three elements: advance Council notification of the specific measure and vessel; joint Twin-Key authorization for any boarding; and immediate, unredacted reporting to the Amanat Watch and the Endorsing Stakeholder’s Council seat. This narrow, multilaterally verified basis stands distinct from any unilateral sanctions-enforcement action outside this Framework’s procedure, which this Framework’s Non-Interdiction Protocol excludes.</w:t>
      </w:r>
    </w:p>
    <w:bookmarkEnd w:id="298"/>
    <w:bookmarkStart w:id="299" w:name="X8fcbfbbf4108a614f636f50c295ad99f57068fc"/>
    <w:p>
      <w:pPr>
        <w:pStyle w:val="Heading3"/>
      </w:pPr>
      <w:r>
        <w:t xml:space="preserve">B.5 The escalation ladder for unclassified vessels</w:t>
      </w:r>
    </w:p>
    <w:p>
      <w:pPr>
        <w:pStyle w:val="FirstParagraph"/>
      </w:pPr>
      <w:r>
        <w:t xml:space="preserve">A vessel outside standard classification under Article 20.4 receives, in order: standard radio hailing on the designated channel; a second hailing attempt referencing the vessel’s specific identification gap; a third hailing attempt with an escort vessel’s visual approach at the Annex A.3 safe distance; and, only after three failed attempts and an Amanat Watch corroborating determination, escort-vessel shadowing pending the vessel’s exit from the Governance Area or its compliance with identification requirements. Physical boarding under this ladder occurs only where the vessel’s conduct independently satisfies the Article 20.3 collision-hazard exception.</w:t>
      </w:r>
    </w:p>
    <w:bookmarkEnd w:id="299"/>
    <w:bookmarkEnd w:id="300"/>
    <w:bookmarkStart w:id="305" w:name="annex-c-the-compliance-event-schedule"/>
    <w:p>
      <w:pPr>
        <w:pStyle w:val="Heading2"/>
      </w:pPr>
      <w:r>
        <w:t xml:space="preserve">Annex C: The Compliance Event Schedule</w:t>
      </w:r>
    </w:p>
    <w:bookmarkStart w:id="301" w:name="c.1-tier-1-events-one-point-each"/>
    <w:p>
      <w:pPr>
        <w:pStyle w:val="Heading3"/>
      </w:pPr>
      <w:r>
        <w:t xml:space="preserve">C.1 Tier 1 events (one point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Event</w:t>
            </w:r>
          </w:p>
        </w:tc>
      </w:tr>
      <w:tr>
        <w:tc>
          <w:tcPr/>
          <w:p>
            <w:pPr>
              <w:pStyle w:val="Compact"/>
              <w:jc w:val="left"/>
            </w:pPr>
            <w:r>
              <w:t xml:space="preserve">T1-1</w:t>
            </w:r>
          </w:p>
        </w:tc>
        <w:tc>
          <w:tcPr/>
          <w:p>
            <w:pPr>
              <w:pStyle w:val="Compact"/>
              <w:jc w:val="left"/>
            </w:pPr>
            <w:r>
              <w:t xml:space="preserve">Missed daily hotline test</w:t>
            </w:r>
          </w:p>
        </w:tc>
      </w:tr>
      <w:tr>
        <w:tc>
          <w:tcPr/>
          <w:p>
            <w:pPr>
              <w:pStyle w:val="Compact"/>
              <w:jc w:val="left"/>
            </w:pPr>
            <w:r>
              <w:t xml:space="preserve">T1-2</w:t>
            </w:r>
          </w:p>
        </w:tc>
        <w:tc>
          <w:tcPr/>
          <w:p>
            <w:pPr>
              <w:pStyle w:val="Compact"/>
              <w:jc w:val="left"/>
            </w:pPr>
            <w:r>
              <w:t xml:space="preserve">Minor documentation or manifest-category discrepancy, promptly corrected</w:t>
            </w:r>
          </w:p>
        </w:tc>
      </w:tr>
      <w:tr>
        <w:tc>
          <w:tcPr/>
          <w:p>
            <w:pPr>
              <w:pStyle w:val="Compact"/>
              <w:jc w:val="left"/>
            </w:pPr>
            <w:r>
              <w:t xml:space="preserve">T1-3</w:t>
            </w:r>
          </w:p>
        </w:tc>
        <w:tc>
          <w:tcPr/>
          <w:p>
            <w:pPr>
              <w:pStyle w:val="Compact"/>
              <w:jc w:val="left"/>
            </w:pPr>
            <w:r>
              <w:t xml:space="preserve">Brief routing deviation, corrected within one navigational watch</w:t>
            </w:r>
          </w:p>
        </w:tc>
      </w:tr>
      <w:tr>
        <w:tc>
          <w:tcPr/>
          <w:p>
            <w:pPr>
              <w:pStyle w:val="Compact"/>
              <w:jc w:val="left"/>
            </w:pPr>
            <w:r>
              <w:t xml:space="preserve">T1-4</w:t>
            </w:r>
          </w:p>
        </w:tc>
        <w:tc>
          <w:tcPr/>
          <w:p>
            <w:pPr>
              <w:pStyle w:val="Compact"/>
              <w:jc w:val="left"/>
            </w:pPr>
            <w:r>
              <w:t xml:space="preserve">Late Technical Committee data submission</w:t>
            </w:r>
          </w:p>
        </w:tc>
      </w:tr>
    </w:tbl>
    <w:bookmarkEnd w:id="301"/>
    <w:bookmarkStart w:id="302" w:name="X54b65262a1373a9430f17a710f84817be69a8d0"/>
    <w:p>
      <w:pPr>
        <w:pStyle w:val="Heading3"/>
      </w:pPr>
      <w:r>
        <w:t xml:space="preserve">C.2 Tier 2 events (three points each; triggers seven-day Ladder pause)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Event</w:t>
            </w:r>
          </w:p>
        </w:tc>
      </w:tr>
      <w:tr>
        <w:tc>
          <w:tcPr/>
          <w:p>
            <w:pPr>
              <w:pStyle w:val="Compact"/>
              <w:jc w:val="left"/>
            </w:pPr>
            <w:r>
              <w:t xml:space="preserve">T2-1</w:t>
            </w:r>
          </w:p>
        </w:tc>
        <w:tc>
          <w:tcPr/>
          <w:p>
            <w:pPr>
              <w:pStyle w:val="Compact"/>
              <w:jc w:val="left"/>
            </w:pPr>
            <w:r>
              <w:t xml:space="preserve">Unauthorized brief boarding attempt, promptly reversed</w:t>
            </w:r>
          </w:p>
        </w:tc>
      </w:tr>
      <w:tr>
        <w:tc>
          <w:tcPr/>
          <w:p>
            <w:pPr>
              <w:pStyle w:val="Compact"/>
              <w:jc w:val="left"/>
            </w:pPr>
            <w:r>
              <w:t xml:space="preserve">T2-2</w:t>
            </w:r>
          </w:p>
        </w:tc>
        <w:tc>
          <w:tcPr/>
          <w:p>
            <w:pPr>
              <w:pStyle w:val="Compact"/>
              <w:jc w:val="left"/>
            </w:pPr>
            <w:r>
              <w:t xml:space="preserve">Documented harassment of a transiting vessel falling short of interdiction</w:t>
            </w:r>
          </w:p>
        </w:tc>
      </w:tr>
      <w:tr>
        <w:tc>
          <w:tcPr/>
          <w:p>
            <w:pPr>
              <w:pStyle w:val="Compact"/>
              <w:jc w:val="left"/>
            </w:pPr>
            <w:r>
              <w:t xml:space="preserve">T2-3</w:t>
            </w:r>
          </w:p>
        </w:tc>
        <w:tc>
          <w:tcPr/>
          <w:p>
            <w:pPr>
              <w:pStyle w:val="Compact"/>
              <w:jc w:val="left"/>
            </w:pPr>
            <w:r>
              <w:t xml:space="preserve">Unauthorized charge attempt outside the Fund escrow structure</w:t>
            </w:r>
          </w:p>
        </w:tc>
      </w:tr>
      <w:tr>
        <w:tc>
          <w:tcPr/>
          <w:p>
            <w:pPr>
              <w:pStyle w:val="Compact"/>
              <w:jc w:val="left"/>
            </w:pPr>
            <w:r>
              <w:t xml:space="preserve">T2-4</w:t>
            </w:r>
          </w:p>
        </w:tc>
        <w:tc>
          <w:tcPr/>
          <w:p>
            <w:pPr>
              <w:pStyle w:val="Compact"/>
              <w:jc w:val="left"/>
            </w:pPr>
            <w:r>
              <w:t xml:space="preserve">Naval vessel closing inside the Annex A.3 safe distance absent a distress basis</w:t>
            </w:r>
          </w:p>
        </w:tc>
      </w:tr>
      <w:tr>
        <w:tc>
          <w:tcPr/>
          <w:p>
            <w:pPr>
              <w:pStyle w:val="Compact"/>
              <w:jc w:val="left"/>
            </w:pPr>
            <w:r>
              <w:t xml:space="preserve">T2-5</w:t>
            </w:r>
          </w:p>
        </w:tc>
        <w:tc>
          <w:tcPr/>
          <w:p>
            <w:pPr>
              <w:pStyle w:val="Compact"/>
              <w:jc w:val="left"/>
            </w:pPr>
            <w:r>
              <w:t xml:space="preserve">Three aggregated Tier 1 events within a single verification week</w:t>
            </w:r>
          </w:p>
        </w:tc>
      </w:tr>
      <w:tr>
        <w:tc>
          <w:tcPr/>
          <w:p>
            <w:pPr>
              <w:pStyle w:val="Compact"/>
              <w:jc w:val="left"/>
            </w:pPr>
            <w:r>
              <w:t xml:space="preserve">T2-6</w:t>
            </w:r>
          </w:p>
        </w:tc>
        <w:tc>
          <w:tcPr/>
          <w:p>
            <w:pPr>
              <w:pStyle w:val="Compact"/>
              <w:jc w:val="left"/>
            </w:pPr>
            <w:r>
              <w:t xml:space="preserve">Attempted pressure on Amanat Watch staff under Article 34.7</w:t>
            </w:r>
          </w:p>
        </w:tc>
      </w:tr>
    </w:tbl>
    <w:bookmarkEnd w:id="302"/>
    <w:bookmarkStart w:id="303" w:name="X05360906ee28e04c8f7948fe8cbeab7b2086b4d"/>
    <w:p>
      <w:pPr>
        <w:pStyle w:val="Heading3"/>
      </w:pPr>
      <w:r>
        <w:t xml:space="preserve">C.3 Tier 3 events (six points each, twelve for Critical Infrastructure; triggers Ladder rollback and mandatory Council session)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Event</w:t>
            </w:r>
          </w:p>
        </w:tc>
      </w:tr>
      <w:tr>
        <w:tc>
          <w:tcPr/>
          <w:p>
            <w:pPr>
              <w:pStyle w:val="Compact"/>
              <w:jc w:val="left"/>
            </w:pPr>
            <w:r>
              <w:t xml:space="preserve">T3-1</w:t>
            </w:r>
          </w:p>
        </w:tc>
        <w:tc>
          <w:tcPr/>
          <w:p>
            <w:pPr>
              <w:pStyle w:val="Compact"/>
              <w:jc w:val="left"/>
            </w:pPr>
            <w:r>
              <w:t xml:space="preserve">Completed unauthorized interdiction of a commercial vessel</w:t>
            </w:r>
          </w:p>
        </w:tc>
      </w:tr>
      <w:tr>
        <w:tc>
          <w:tcPr/>
          <w:p>
            <w:pPr>
              <w:pStyle w:val="Compact"/>
              <w:jc w:val="left"/>
            </w:pPr>
            <w:r>
              <w:t xml:space="preserve">T3-2</w:t>
            </w:r>
          </w:p>
        </w:tc>
        <w:tc>
          <w:tcPr/>
          <w:p>
            <w:pPr>
              <w:pStyle w:val="Compact"/>
              <w:jc w:val="left"/>
            </w:pPr>
            <w:r>
              <w:t xml:space="preserve">Verified mine-laying or unauthorized ordnance placement</w:t>
            </w:r>
          </w:p>
        </w:tc>
      </w:tr>
      <w:tr>
        <w:tc>
          <w:tcPr/>
          <w:p>
            <w:pPr>
              <w:pStyle w:val="Compact"/>
              <w:jc w:val="left"/>
            </w:pPr>
            <w:r>
              <w:t xml:space="preserve">T3-3</w:t>
            </w:r>
          </w:p>
        </w:tc>
        <w:tc>
          <w:tcPr/>
          <w:p>
            <w:pPr>
              <w:pStyle w:val="Compact"/>
              <w:jc w:val="left"/>
            </w:pPr>
            <w:r>
              <w:t xml:space="preserve">Verified sustained toll-collection scheme outside the Fund structure</w:t>
            </w:r>
          </w:p>
        </w:tc>
      </w:tr>
      <w:tr>
        <w:tc>
          <w:tcPr/>
          <w:p>
            <w:pPr>
              <w:pStyle w:val="Compact"/>
              <w:jc w:val="left"/>
            </w:pPr>
            <w:r>
              <w:t xml:space="preserve">T3-4</w:t>
            </w:r>
          </w:p>
        </w:tc>
        <w:tc>
          <w:tcPr/>
          <w:p>
            <w:pPr>
              <w:pStyle w:val="Compact"/>
              <w:jc w:val="left"/>
            </w:pPr>
            <w:r>
              <w:t xml:space="preserve">Interference with or disruption of Critical Infrastructure (Article 5)</w:t>
            </w:r>
          </w:p>
        </w:tc>
      </w:tr>
      <w:tr>
        <w:tc>
          <w:tcPr/>
          <w:p>
            <w:pPr>
              <w:pStyle w:val="Compact"/>
              <w:jc w:val="left"/>
            </w:pPr>
            <w:r>
              <w:t xml:space="preserve">T3-5</w:t>
            </w:r>
          </w:p>
        </w:tc>
        <w:tc>
          <w:tcPr/>
          <w:p>
            <w:pPr>
              <w:pStyle w:val="Compact"/>
              <w:jc w:val="left"/>
            </w:pPr>
            <w:r>
              <w:t xml:space="preserve">Failure to comply with a final Hormuz Panel determination</w:t>
            </w:r>
          </w:p>
        </w:tc>
      </w:tr>
    </w:tbl>
    <w:bookmarkEnd w:id="303"/>
    <w:bookmarkStart w:id="304" w:name="X0f02ff0bd076f8ba7779ac5cff8454bed90d7eb"/>
    <w:p>
      <w:pPr>
        <w:pStyle w:val="Heading3"/>
      </w:pPr>
      <w:r>
        <w:t xml:space="preserve">C.4 Outside the point scale (full Ladder reset)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Event</w:t>
            </w:r>
          </w:p>
        </w:tc>
      </w:tr>
      <w:tr>
        <w:tc>
          <w:tcPr/>
          <w:p>
            <w:pPr>
              <w:pStyle w:val="Compact"/>
              <w:jc w:val="left"/>
            </w:pPr>
            <w:r>
              <w:t xml:space="preserve">RS-1</w:t>
            </w:r>
          </w:p>
        </w:tc>
        <w:tc>
          <w:tcPr/>
          <w:p>
            <w:pPr>
              <w:pStyle w:val="Compact"/>
              <w:jc w:val="left"/>
            </w:pPr>
            <w:r>
              <w:t xml:space="preserve">Verified hostile attack on a transiting vessel, Framework personnel, or Critical Infrastructure</w:t>
            </w:r>
          </w:p>
        </w:tc>
      </w:tr>
      <w:tr>
        <w:tc>
          <w:tcPr/>
          <w:p>
            <w:pPr>
              <w:pStyle w:val="Compact"/>
              <w:jc w:val="left"/>
            </w:pPr>
            <w:r>
              <w:t xml:space="preserve">RS-2</w:t>
            </w:r>
          </w:p>
        </w:tc>
        <w:tc>
          <w:tcPr/>
          <w:p>
            <w:pPr>
              <w:pStyle w:val="Compact"/>
              <w:jc w:val="left"/>
            </w:pPr>
            <w:r>
              <w:t xml:space="preserve">Verified breach of any Red Line in Annex F</w:t>
            </w:r>
          </w:p>
        </w:tc>
      </w:tr>
      <w:tr>
        <w:tc>
          <w:tcPr/>
          <w:p>
            <w:pPr>
              <w:pStyle w:val="Compact"/>
              <w:jc w:val="left"/>
            </w:pPr>
            <w:r>
              <w:t xml:space="preserve">RS-3</w:t>
            </w:r>
          </w:p>
        </w:tc>
        <w:tc>
          <w:tcPr/>
          <w:p>
            <w:pPr>
              <w:pStyle w:val="Compact"/>
              <w:jc w:val="left"/>
            </w:pPr>
            <w:r>
              <w:t xml:space="preserve">Resumption of hostilities inside or bordering the Governance Area (Security Escalation Protocol)</w:t>
            </w:r>
          </w:p>
        </w:tc>
      </w:tr>
    </w:tbl>
    <w:bookmarkEnd w:id="304"/>
    <w:bookmarkEnd w:id="305"/>
    <w:bookmarkStart w:id="311" w:name="X3d1bd577bf70833b67705ce6e87b609b99be33b"/>
    <w:p>
      <w:pPr>
        <w:pStyle w:val="Heading2"/>
      </w:pPr>
      <w:r>
        <w:t xml:space="preserve">Annex D: The Verified Services Catalog and Fund Schedule</w:t>
      </w:r>
    </w:p>
    <w:bookmarkStart w:id="306" w:name="d.1-catalog-structure"/>
    <w:p>
      <w:pPr>
        <w:pStyle w:val="Heading3"/>
      </w:pPr>
      <w:r>
        <w:t xml:space="preserve">D.1 Catalog structure</w:t>
      </w:r>
    </w:p>
    <w:p>
      <w:pPr>
        <w:pStyle w:val="FirstParagraph"/>
      </w:pPr>
      <w:r>
        <w:t xml:space="preserve">Every service below carries a published rate the Technical Committee reviews annually under Article 28.2, denominated in a stable reference currency the Council fixes at Phase 1’s start, payable exclusively through the Hormuz Account under Article 29.2.</w:t>
      </w:r>
    </w:p>
    <w:bookmarkEnd w:id="306"/>
    <w:bookmarkStart w:id="307" w:name="d.2-the-services"/>
    <w:p>
      <w:pPr>
        <w:pStyle w:val="Heading3"/>
      </w:pPr>
      <w:r>
        <w:t xml:space="preserve">D.2 The services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Basis</w:t>
            </w:r>
          </w:p>
        </w:tc>
        <w:tc>
          <w:tcPr/>
          <w:p>
            <w:pPr>
              <w:pStyle w:val="Compact"/>
              <w:jc w:val="left"/>
            </w:pPr>
            <w:r>
              <w:t xml:space="preserve">Elective</w:t>
            </w:r>
          </w:p>
        </w:tc>
      </w:tr>
      <w:tr>
        <w:tc>
          <w:tcPr/>
          <w:p>
            <w:pPr>
              <w:pStyle w:val="Compact"/>
              <w:jc w:val="left"/>
            </w:pPr>
            <w:r>
              <w:t xml:space="preserve">Route Assurance Data Subscription</w:t>
            </w:r>
          </w:p>
        </w:tc>
        <w:tc>
          <w:tcPr/>
          <w:p>
            <w:pPr>
              <w:pStyle w:val="Compact"/>
              <w:jc w:val="left"/>
            </w:pPr>
            <w:r>
              <w:t xml:space="preserve">Annual or per-transit rate</w:t>
            </w:r>
          </w:p>
        </w:tc>
        <w:tc>
          <w:tcPr/>
          <w:p>
            <w:pPr>
              <w:pStyle w:val="Compact"/>
              <w:jc w:val="left"/>
            </w:pPr>
            <w:r>
              <w:t xml:space="preserve">Yes; standard safety data remains free to every vessel</w:t>
            </w:r>
          </w:p>
        </w:tc>
      </w:tr>
      <w:tr>
        <w:tc>
          <w:tcPr/>
          <w:p>
            <w:pPr>
              <w:pStyle w:val="Compact"/>
              <w:jc w:val="left"/>
            </w:pPr>
            <w:r>
              <w:t xml:space="preserve">Pilotage</w:t>
            </w:r>
          </w:p>
        </w:tc>
        <w:tc>
          <w:tcPr/>
          <w:p>
            <w:pPr>
              <w:pStyle w:val="Compact"/>
              <w:jc w:val="left"/>
            </w:pPr>
            <w:r>
              <w:t xml:space="preserve">Per-transit, licensed pilot</w:t>
            </w:r>
          </w:p>
        </w:tc>
        <w:tc>
          <w:tcPr/>
          <w:p>
            <w:pPr>
              <w:pStyle w:val="Compact"/>
              <w:jc w:val="left"/>
            </w:pPr>
            <w:r>
              <w:t xml:space="preserve">Yes; a vessel’s own qualified bridge crew substitutes for pilotage where local regulation permits</w:t>
            </w:r>
          </w:p>
        </w:tc>
      </w:tr>
      <w:tr>
        <w:tc>
          <w:tcPr/>
          <w:p>
            <w:pPr>
              <w:pStyle w:val="Compact"/>
              <w:jc w:val="left"/>
            </w:pPr>
            <w:r>
              <w:t xml:space="preserve">Escort and convoy scheduling</w:t>
            </w:r>
          </w:p>
        </w:tc>
        <w:tc>
          <w:tcPr/>
          <w:p>
            <w:pPr>
              <w:pStyle w:val="Compact"/>
              <w:jc w:val="left"/>
            </w:pPr>
            <w:r>
              <w:t xml:space="preserve">Per-transit or subscription</w:t>
            </w:r>
          </w:p>
        </w:tc>
        <w:tc>
          <w:tcPr/>
          <w:p>
            <w:pPr>
              <w:pStyle w:val="Compact"/>
              <w:jc w:val="left"/>
            </w:pPr>
            <w:r>
              <w:t xml:space="preserve">Yes</w:t>
            </w:r>
          </w:p>
        </w:tc>
      </w:tr>
      <w:tr>
        <w:tc>
          <w:tcPr/>
          <w:p>
            <w:pPr>
              <w:pStyle w:val="Compact"/>
              <w:jc w:val="left"/>
            </w:pPr>
            <w:r>
              <w:t xml:space="preserve">Search-and-rescue standby premium</w:t>
            </w:r>
          </w:p>
        </w:tc>
        <w:tc>
          <w:tcPr/>
          <w:p>
            <w:pPr>
              <w:pStyle w:val="Compact"/>
              <w:jc w:val="left"/>
            </w:pPr>
            <w:r>
              <w:t xml:space="preserve">Annual subscription</w:t>
            </w:r>
          </w:p>
        </w:tc>
        <w:tc>
          <w:tcPr/>
          <w:p>
            <w:pPr>
              <w:pStyle w:val="Compact"/>
              <w:jc w:val="left"/>
            </w:pPr>
            <w:r>
              <w:t xml:space="preserve">Yes; baseline SAR response is free to every vessel in genuine distress</w:t>
            </w:r>
          </w:p>
        </w:tc>
      </w:tr>
      <w:tr>
        <w:tc>
          <w:tcPr/>
          <w:p>
            <w:pPr>
              <w:pStyle w:val="Compact"/>
              <w:jc w:val="left"/>
            </w:pPr>
            <w:r>
              <w:t xml:space="preserve">Environmental response readiness</w:t>
            </w:r>
          </w:p>
        </w:tc>
        <w:tc>
          <w:tcPr/>
          <w:p>
            <w:pPr>
              <w:pStyle w:val="Compact"/>
              <w:jc w:val="left"/>
            </w:pPr>
            <w:r>
              <w:t xml:space="preserve">Per-transit, cargo-class-adjusted</w:t>
            </w:r>
          </w:p>
        </w:tc>
        <w:tc>
          <w:tcPr/>
          <w:p>
            <w:pPr>
              <w:pStyle w:val="Compact"/>
              <w:jc w:val="left"/>
            </w:pPr>
            <w:r>
              <w:t xml:space="preserve">Yes</w:t>
            </w:r>
          </w:p>
        </w:tc>
      </w:tr>
      <w:tr>
        <w:tc>
          <w:tcPr/>
          <w:p>
            <w:pPr>
              <w:pStyle w:val="Compact"/>
              <w:jc w:val="left"/>
            </w:pPr>
            <w:r>
              <w:t xml:space="preserve">Hazard-clearance maintenance contribution</w:t>
            </w:r>
          </w:p>
        </w:tc>
        <w:tc>
          <w:tcPr/>
          <w:p>
            <w:pPr>
              <w:pStyle w:val="Compact"/>
              <w:jc w:val="left"/>
            </w:pPr>
            <w:r>
              <w:t xml:space="preserve">Annual subscription</w:t>
            </w:r>
          </w:p>
        </w:tc>
        <w:tc>
          <w:tcPr/>
          <w:p>
            <w:pPr>
              <w:pStyle w:val="Compact"/>
              <w:jc w:val="left"/>
            </w:pPr>
            <w:r>
              <w:t xml:space="preserve">Yes</w:t>
            </w:r>
          </w:p>
        </w:tc>
      </w:tr>
      <w:tr>
        <w:tc>
          <w:tcPr/>
          <w:p>
            <w:pPr>
              <w:pStyle w:val="Compact"/>
              <w:jc w:val="left"/>
            </w:pPr>
            <w:r>
              <w:t xml:space="preserve">Expedited documentation processing</w:t>
            </w:r>
          </w:p>
        </w:tc>
        <w:tc>
          <w:tcPr/>
          <w:p>
            <w:pPr>
              <w:pStyle w:val="Compact"/>
              <w:jc w:val="left"/>
            </w:pPr>
            <w:r>
              <w:t xml:space="preserve">Per-transaction</w:t>
            </w:r>
          </w:p>
        </w:tc>
        <w:tc>
          <w:tcPr/>
          <w:p>
            <w:pPr>
              <w:pStyle w:val="Compact"/>
              <w:jc w:val="left"/>
            </w:pPr>
            <w:r>
              <w:t xml:space="preserve">Yes; standard processing remains free</w:t>
            </w:r>
          </w:p>
        </w:tc>
      </w:tr>
    </w:tbl>
    <w:bookmarkEnd w:id="307"/>
    <w:bookmarkStart w:id="308" w:name="d.3-the-heavy-user-cap"/>
    <w:p>
      <w:pPr>
        <w:pStyle w:val="Heading3"/>
      </w:pPr>
      <w:r>
        <w:t xml:space="preserve">D.3 The heavy-user cap</w:t>
      </w:r>
    </w:p>
    <w:p>
      <w:pPr>
        <w:pStyle w:val="FirstParagraph"/>
      </w:pPr>
      <w:r>
        <w:t xml:space="preserve">No single operator’s aggregate annual charges across every service in D.2 exceed one hundred twenty percent of that operator’s prior-year aggregate charges, or the Council-published absolute cap, whichever is lower, adjusted annually for inflation and published each January by the Neutral Administrator.</w:t>
      </w:r>
    </w:p>
    <w:bookmarkEnd w:id="308"/>
    <w:bookmarkStart w:id="309" w:name="Xce7184098ac4b55ad692d61a4bddc65e593e73b"/>
    <w:p>
      <w:pPr>
        <w:pStyle w:val="Heading3"/>
      </w:pPr>
      <w:r>
        <w:t xml:space="preserve">D.4 The environmental stewardship discount schedule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Vessel environmental performance band</w:t>
            </w:r>
          </w:p>
        </w:tc>
        <w:tc>
          <w:tcPr/>
          <w:p>
            <w:pPr>
              <w:pStyle w:val="Compact"/>
              <w:jc w:val="left"/>
            </w:pPr>
            <w:r>
              <w:t xml:space="preserve">Discount on Catalog charges</w:t>
            </w:r>
          </w:p>
        </w:tc>
      </w:tr>
      <w:tr>
        <w:tc>
          <w:tcPr/>
          <w:p>
            <w:pPr>
              <w:pStyle w:val="Compact"/>
              <w:jc w:val="left"/>
            </w:pPr>
            <w:r>
              <w:t xml:space="preserve">Top band (recognized clean-fuel or equivalent certification)</w:t>
            </w:r>
          </w:p>
        </w:tc>
        <w:tc>
          <w:tcPr/>
          <w:p>
            <w:pPr>
              <w:pStyle w:val="Compact"/>
              <w:jc w:val="left"/>
            </w:pPr>
            <w:r>
              <w:t xml:space="preserve">15%</w:t>
            </w:r>
          </w:p>
        </w:tc>
      </w:tr>
      <w:tr>
        <w:tc>
          <w:tcPr/>
          <w:p>
            <w:pPr>
              <w:pStyle w:val="Compact"/>
              <w:jc w:val="left"/>
            </w:pPr>
            <w:r>
              <w:t xml:space="preserve">Second band (above-average efficiency index)</w:t>
            </w:r>
          </w:p>
        </w:tc>
        <w:tc>
          <w:tcPr/>
          <w:p>
            <w:pPr>
              <w:pStyle w:val="Compact"/>
              <w:jc w:val="left"/>
            </w:pPr>
            <w:r>
              <w:t xml:space="preserve">8%</w:t>
            </w:r>
          </w:p>
        </w:tc>
      </w:tr>
      <w:tr>
        <w:tc>
          <w:tcPr/>
          <w:p>
            <w:pPr>
              <w:pStyle w:val="Compact"/>
              <w:jc w:val="left"/>
            </w:pPr>
            <w:r>
              <w:t xml:space="preserve">Standard band</w:t>
            </w:r>
          </w:p>
        </w:tc>
        <w:tc>
          <w:tcPr/>
          <w:p>
            <w:pPr>
              <w:pStyle w:val="Compact"/>
              <w:jc w:val="left"/>
            </w:pPr>
            <w:r>
              <w:t xml:space="preserve">0%</w:t>
            </w:r>
          </w:p>
        </w:tc>
      </w:tr>
    </w:tbl>
    <w:bookmarkEnd w:id="309"/>
    <w:bookmarkStart w:id="310" w:name="d.5-initial-rate-setting"/>
    <w:p>
      <w:pPr>
        <w:pStyle w:val="Heading3"/>
      </w:pPr>
      <w:r>
        <w:t xml:space="preserve">D.5 Initial rate-setting</w:t>
      </w:r>
    </w:p>
    <w:p>
      <w:pPr>
        <w:pStyle w:val="FirstParagraph"/>
      </w:pPr>
      <w:r>
        <w:t xml:space="preserve">The Technical Committee publishes initial Catalog rates within sixty days of entry into force, calibrated to recover documented operating costs plus a reasonable reserve margin the Council approves, and not calibrated to any revenue target independent of documented cost, consistent with the Zero-Toll Rule’s anti-disguised-toll safeguard under Article 27.3.</w:t>
      </w:r>
    </w:p>
    <w:bookmarkEnd w:id="310"/>
    <w:bookmarkEnd w:id="311"/>
    <w:bookmarkStart w:id="316" w:name="Xa5057e7fed1b5c6f0f0b827a92e0473e46b0fbf"/>
    <w:p>
      <w:pPr>
        <w:pStyle w:val="Heading2"/>
      </w:pPr>
      <w:r>
        <w:t xml:space="preserve">Annex E: Dispute Resolution Procedural Rules</w:t>
      </w:r>
    </w:p>
    <w:bookmarkStart w:id="312" w:name="e.1-incorporation-by-reference"/>
    <w:p>
      <w:pPr>
        <w:pStyle w:val="Heading3"/>
      </w:pPr>
      <w:r>
        <w:t xml:space="preserve">E.1 Incorporation by reference</w:t>
      </w:r>
    </w:p>
    <w:p>
      <w:pPr>
        <w:pStyle w:val="FirstParagraph"/>
      </w:pPr>
      <w:r>
        <w:t xml:space="preserve">The Parties adopt, for Hormuz Panel proceedings under Article 38 and any Tier four appeal under Article 37.4, the Permanent Court of Arbitration’s Optional Rules for Arbitrating Disputes between Two States, as in force on this Framework’s entry into force, modified only as this Annex specifies.</w:t>
      </w:r>
    </w:p>
    <w:bookmarkEnd w:id="312"/>
    <w:bookmarkStart w:id="313" w:name="e.2-seat-and-language"/>
    <w:p>
      <w:pPr>
        <w:pStyle w:val="Heading3"/>
      </w:pPr>
      <w:r>
        <w:t xml:space="preserve">E.2 Seat and language</w:t>
      </w:r>
    </w:p>
    <w:p>
      <w:pPr>
        <w:pStyle w:val="FirstParagraph"/>
      </w:pPr>
      <w:r>
        <w:t xml:space="preserve">Hormuz Panel proceedings seat at Geneva, administered with the Neutral Administrator’s logistical support, conducted in English with certified Persian and Arabic translation available to any Party on request.</w:t>
      </w:r>
    </w:p>
    <w:bookmarkEnd w:id="313"/>
    <w:bookmarkStart w:id="314" w:name="e.3-timelines"/>
    <w:p>
      <w:pPr>
        <w:pStyle w:val="Heading3"/>
      </w:pPr>
      <w:r>
        <w:t xml:space="preserve">E.3 Timelines</w:t>
      </w:r>
    </w:p>
    <w:p>
      <w:pPr>
        <w:pStyle w:val="FirstParagraph"/>
      </w:pPr>
      <w:r>
        <w:t xml:space="preserve">The Panel issues its final determination within one hundred eighty days of its constitution under Article 38.1, absent an extension both disputing Parties agree to or the Panel orders for good cause shown, not exceeding ninety additional days.</w:t>
      </w:r>
    </w:p>
    <w:bookmarkEnd w:id="314"/>
    <w:bookmarkStart w:id="315" w:name="e.4-confidentiality"/>
    <w:p>
      <w:pPr>
        <w:pStyle w:val="Heading3"/>
      </w:pPr>
      <w:r>
        <w:t xml:space="preserve">E.4 Confidentiality</w:t>
      </w:r>
    </w:p>
    <w:p>
      <w:pPr>
        <w:pStyle w:val="FirstParagraph"/>
      </w:pPr>
      <w:r>
        <w:t xml:space="preserve">Pleadings and evidence in a Hormuz Panel proceeding remain confidential to the proceeding’s parties and the Panel, absent the disputing Parties’ joint agreement to publish, except that the Panel’s final determination publishes through the Amanat Secretariat consistent with this Framework’s general transparency principle under Article 28.8, redacted only for genuinely sensitive commercial or security information the Panel identifies.</w:t>
      </w:r>
    </w:p>
    <w:bookmarkEnd w:id="315"/>
    <w:bookmarkEnd w:id="316"/>
    <w:bookmarkStart w:id="317" w:name="X017babde3ab90eabdbdbc88e20744fac35ee143"/>
    <w:p>
      <w:pPr>
        <w:pStyle w:val="Heading2"/>
      </w:pPr>
      <w:r>
        <w:t xml:space="preserve">Annex F: The Red Lines Register, Full Operative Text</w:t>
      </w:r>
    </w:p>
    <w:p>
      <w:pPr>
        <w:pStyle w:val="FirstParagraph"/>
      </w:pPr>
      <w:r>
        <w:rPr>
          <w:iCs/>
          <w:i/>
        </w:rPr>
        <w:t xml:space="preserve">This Annex carries the full operative text of the fifteen Red Lines summarized in the Amanat Declaration of Principles. Each entry states the line, the interest it protects, and the architectural safeguard that holds it.</w:t>
      </w:r>
    </w:p>
    <w:p>
      <w:pPr>
        <w:pStyle w:val="BodyText"/>
      </w:pPr>
      <w:r>
        <w:rPr>
          <w:bCs/>
          <w:b/>
        </w:rPr>
        <w:t xml:space="preserve">RL-1, Zero Toll.</w:t>
      </w:r>
      <w:r>
        <w:t xml:space="preserve"> </w:t>
      </w:r>
      <w:r>
        <w:t xml:space="preserve">Line: transit through the Governance Area carries no charge, in any corridor, for any vessel, under any label, ever. Interest protected: the international legal character of the Strait as a waterway of transit passage, and the commercial predictability every shipper and insurer requires. Safeguard: Article 27’s Zero-Toll Rule, structurally enforced through the service-fee distinction of Article 2.3 and the Fund’s quarterly audit under Article 34.8.</w:t>
      </w:r>
    </w:p>
    <w:p>
      <w:pPr>
        <w:pStyle w:val="BodyText"/>
      </w:pPr>
      <w:r>
        <w:rPr>
          <w:bCs/>
          <w:b/>
        </w:rPr>
        <w:t xml:space="preserve">RL-2, Recognized Northern Role.</w:t>
      </w:r>
      <w:r>
        <w:t xml:space="preserve"> </w:t>
      </w:r>
      <w:r>
        <w:t xml:space="preserve">Line: Iran holds a recognized, formal, continuous management role in the corridor system, growing under the Earned Stewardship Ladder. Interest protected: Iran’s legitimate claim to a dignified, functional role reflecting its coastline and its operational contribution. Safeguard: Article 21.2’s functional management assignment and Part V’s Ladder architecture.</w:t>
      </w:r>
    </w:p>
    <w:p>
      <w:pPr>
        <w:pStyle w:val="BodyText"/>
      </w:pPr>
      <w:r>
        <w:rPr>
          <w:bCs/>
          <w:b/>
        </w:rPr>
        <w:t xml:space="preserve">RL-3, No Permission Regime.</w:t>
      </w:r>
      <w:r>
        <w:t xml:space="preserve"> </w:t>
      </w:r>
      <w:r>
        <w:t xml:space="preserve">Line: no prior-clearance or permission requirement attaches to ordinary commercial transit. Interest protected: the transit-passage regime’s core content and the shipping market’s need for predictable, non-discretionary access. Safeguard: Article 20.2.</w:t>
      </w:r>
    </w:p>
    <w:p>
      <w:pPr>
        <w:pStyle w:val="BodyText"/>
      </w:pPr>
      <w:r>
        <w:rPr>
          <w:bCs/>
          <w:b/>
        </w:rPr>
        <w:t xml:space="preserve">RL-4, No Interdiction Inside a Corridor.</w:t>
      </w:r>
      <w:r>
        <w:t xml:space="preserve"> </w:t>
      </w:r>
      <w:r>
        <w:t xml:space="preserve">Line: no boarding, diversion, seizure, or non-consensual inspection of a transiting commercial vessel occurs inside a designated corridor, outside the three narrow exceptions Annex B defines. Interest protected: freedom of navigation and vessel-operator confidence. Safeguard: Article 20’s Non-Interdiction Protocol.</w:t>
      </w:r>
    </w:p>
    <w:p>
      <w:pPr>
        <w:pStyle w:val="BodyText"/>
      </w:pPr>
      <w:r>
        <w:rPr>
          <w:bCs/>
          <w:b/>
        </w:rPr>
        <w:t xml:space="preserve">RL-5, Civilian Institutions.</w:t>
      </w:r>
      <w:r>
        <w:t xml:space="preserve"> </w:t>
      </w:r>
      <w:r>
        <w:t xml:space="preserve">Line: the Framework’s operational bodies remain civilian in composition and function. Interest protected: the demarcation between governance and hard security that Article 31 establishes, and the confidence of commercial actors that the system they interact with is not a military chain of command. Safeguard: Article 16.2’s civilian-staffing rule and Article 31’s demarcation.</w:t>
      </w:r>
    </w:p>
    <w:p>
      <w:pPr>
        <w:pStyle w:val="BodyText"/>
      </w:pPr>
      <w:r>
        <w:rPr>
          <w:bCs/>
          <w:b/>
        </w:rPr>
        <w:t xml:space="preserve">RL-6, No Direct Payment.</w:t>
      </w:r>
      <w:r>
        <w:t xml:space="preserve"> </w:t>
      </w:r>
      <w:r>
        <w:t xml:space="preserve">Line: no shipper, operator, insurer, or flag state pays any single Party directly for anything connected with the Governance Area. Interest protected: sanctions-lawful, transparent, non-discriminatory financial flows. Safeguard: Article 29’s Hormuz Account and sanctions-compliance firewall.</w:t>
      </w:r>
    </w:p>
    <w:p>
      <w:pPr>
        <w:pStyle w:val="BodyText"/>
      </w:pPr>
      <w:r>
        <w:rPr>
          <w:bCs/>
          <w:b/>
        </w:rPr>
        <w:t xml:space="preserve">RL-7, Sovereignty Intact.</w:t>
      </w:r>
      <w:r>
        <w:t xml:space="preserve"> </w:t>
      </w:r>
      <w:r>
        <w:t xml:space="preserve">Line: each Party’s sovereignty over its own territorial waters, and its legal position on any question this Framework does not address, stands fully intact. Interest protected: every Party’s foundational consent basis for participation. Safeguard: Articles 2.1, 2.6, and 39.1.</w:t>
      </w:r>
    </w:p>
    <w:p>
      <w:pPr>
        <w:pStyle w:val="BodyText"/>
      </w:pPr>
      <w:r>
        <w:rPr>
          <w:bCs/>
          <w:b/>
        </w:rPr>
        <w:t xml:space="preserve">RL-8, No Fade.</w:t>
      </w:r>
      <w:r>
        <w:t xml:space="preserve"> </w:t>
      </w:r>
      <w:r>
        <w:t xml:space="preserve">Line: no commitment recorded in this Framework expires, lapses, or dilutes through time, silence, or routine. Interest protected: the durability that distinguishes this Framework from the fragile bilateral and crisis-driven arrangements that preceded it. Safeguard: Article 6, the Continuity Principle in full.</w:t>
      </w:r>
    </w:p>
    <w:p>
      <w:pPr>
        <w:pStyle w:val="BodyText"/>
      </w:pPr>
      <w:r>
        <w:rPr>
          <w:bCs/>
          <w:b/>
        </w:rPr>
        <w:t xml:space="preserve">RL-9, Humanitarian Absolute.</w:t>
      </w:r>
      <w:r>
        <w:t xml:space="preserve"> </w:t>
      </w:r>
      <w:r>
        <w:t xml:space="preserve">Line: humanitarian, medical, and distress traffic moves without interruption in every flow state, dispute, pause, and transition. Interest protected: human life and the Framework’s basic legitimacy. Safeguard: Article 20.6 and Article 39.4’s humanitarian and environmental firewall.</w:t>
      </w:r>
    </w:p>
    <w:p>
      <w:pPr>
        <w:pStyle w:val="BodyText"/>
      </w:pPr>
      <w:r>
        <w:rPr>
          <w:bCs/>
          <w:b/>
        </w:rPr>
        <w:t xml:space="preserve">RL-10, Corroboration Floor.</w:t>
      </w:r>
      <w:r>
        <w:t xml:space="preserve"> </w:t>
      </w:r>
      <w:r>
        <w:t xml:space="preserve">Line: no finding of a compliance breach rests on a single, unverified input. Interest protected: fairness and accuracy in a system whose findings carry real economic and institutional consequences. Safeguard: Article 34.3’s Human Anchor Method.</w:t>
      </w:r>
    </w:p>
    <w:p>
      <w:pPr>
        <w:pStyle w:val="BodyText"/>
      </w:pPr>
      <w:r>
        <w:rPr>
          <w:bCs/>
          <w:b/>
        </w:rPr>
        <w:t xml:space="preserve">RL-11, No Kinetic Support.</w:t>
      </w:r>
      <w:r>
        <w:t xml:space="preserve"> </w:t>
      </w:r>
      <w:r>
        <w:t xml:space="preserve">Line: Framework assets, data channels, and communications infrastructure never support kinetic or offensive action by any actor. Interest protected: the Framework’s exclusively civilian, safety-oriented character. Safeguard: Article 31’s demarcation and Article 5’s Critical Infrastructure designation.</w:t>
      </w:r>
    </w:p>
    <w:p>
      <w:pPr>
        <w:pStyle w:val="BodyText"/>
      </w:pPr>
      <w:r>
        <w:rPr>
          <w:bCs/>
          <w:b/>
        </w:rPr>
        <w:t xml:space="preserve">RL-12, No Unilateral Control.</w:t>
      </w:r>
      <w:r>
        <w:t xml:space="preserve"> </w:t>
      </w:r>
      <w:r>
        <w:t xml:space="preserve">Line: no single littoral state governs the Strait alone, and no external state or body commands any element of the Framework’s civilian institutions. Interest protected: the multilateral, balanced character that makes the Framework acceptable to every Party simultaneously. Safeguard: Article 18.2’s Twin-Key Rule, explicitly preserved at every point on the Earned Stewardship Ladder under Article 24.5.</w:t>
      </w:r>
    </w:p>
    <w:p>
      <w:pPr>
        <w:pStyle w:val="BodyText"/>
      </w:pPr>
      <w:r>
        <w:rPr>
          <w:bCs/>
          <w:b/>
        </w:rPr>
        <w:t xml:space="preserve">RL-13, Non-Discrimination.</w:t>
      </w:r>
      <w:r>
        <w:t xml:space="preserve"> </w:t>
      </w:r>
      <w:r>
        <w:t xml:space="preserve">Line: commercial transit carries no discrimination by flag, ownership, cargo origin, or destination; military transit follows the symmetric standoff and notification regime of Part VII. Interest protected: the universal, non-political character of civilian navigation. Safeguard: Articles 20.5 and 32.1.</w:t>
      </w:r>
    </w:p>
    <w:p>
      <w:pPr>
        <w:pStyle w:val="BodyText"/>
      </w:pPr>
      <w:r>
        <w:rPr>
          <w:bCs/>
          <w:b/>
        </w:rPr>
        <w:t xml:space="preserve">RL-14, Joint Certification.</w:t>
      </w:r>
      <w:r>
        <w:t xml:space="preserve"> </w:t>
      </w:r>
      <w:r>
        <w:t xml:space="preserve">Line: the demining and hazard-clearance sequence proceeds under continuous joint verification, and no Party certifies a segment it has not jointly surveyed. Interest protected: the physical safety basis on which every other guarantee in this Framework depends. Safeguard: Article 22.2.</w:t>
      </w:r>
    </w:p>
    <w:p>
      <w:pPr>
        <w:pStyle w:val="BodyText"/>
      </w:pPr>
      <w:r>
        <w:rPr>
          <w:bCs/>
          <w:b/>
        </w:rPr>
        <w:t xml:space="preserve">RL-15, Non-Prejudice.</w:t>
      </w:r>
      <w:r>
        <w:t xml:space="preserve"> </w:t>
      </w:r>
      <w:r>
        <w:t xml:space="preserve">Line: nothing in this Framework constitutes precedent for any other strait or maritime dispute, and nothing prejudices any Party’s position on any matter this instrument does not expressly settle. Interest protected: every Party’s freedom to maintain its existing legal positions on matters beyond this Framework’s scope. Safeguard: Article 2.6.</w:t>
      </w:r>
    </w:p>
    <w:bookmarkEnd w:id="317"/>
    <w:bookmarkStart w:id="323" w:name="X3c46d25f78701e49914f1c36e9cfd52040f2656"/>
    <w:p>
      <w:pPr>
        <w:pStyle w:val="Heading2"/>
      </w:pPr>
      <w:r>
        <w:t xml:space="preserve">Annex G: The Membership and Participation Matrix</w:t>
      </w:r>
    </w:p>
    <w:bookmarkStart w:id="318" w:name="g.1-full-and-associate-parties"/>
    <w:p>
      <w:pPr>
        <w:pStyle w:val="Heading3"/>
      </w:pPr>
      <w:r>
        <w:t xml:space="preserve">G.1 Full and Associate Parties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State</w:t>
            </w:r>
          </w:p>
        </w:tc>
        <w:tc>
          <w:tcPr/>
          <w:p>
            <w:pPr>
              <w:pStyle w:val="Compact"/>
              <w:jc w:val="left"/>
            </w:pPr>
            <w:r>
              <w:t xml:space="preserve">Status</w:t>
            </w:r>
          </w:p>
        </w:tc>
        <w:tc>
          <w:tcPr/>
          <w:p>
            <w:pPr>
              <w:pStyle w:val="Compact"/>
              <w:jc w:val="left"/>
            </w:pPr>
            <w:r>
              <w:t xml:space="preserve">Key rights</w:t>
            </w:r>
          </w:p>
        </w:tc>
      </w:tr>
      <w:tr>
        <w:tc>
          <w:tcPr/>
          <w:p>
            <w:pPr>
              <w:pStyle w:val="Compact"/>
              <w:jc w:val="left"/>
            </w:pPr>
            <w:r>
              <w:t xml:space="preserve">1</w:t>
            </w:r>
          </w:p>
        </w:tc>
        <w:tc>
          <w:tcPr/>
          <w:p>
            <w:pPr>
              <w:pStyle w:val="Compact"/>
              <w:jc w:val="left"/>
            </w:pPr>
            <w:r>
              <w:t xml:space="preserve">Islamic Republic of Iran</w:t>
            </w:r>
          </w:p>
        </w:tc>
        <w:tc>
          <w:tcPr/>
          <w:p>
            <w:pPr>
              <w:pStyle w:val="Compact"/>
              <w:jc w:val="left"/>
            </w:pPr>
            <w:r>
              <w:t xml:space="preserve">Full Party, Founding</w:t>
            </w:r>
          </w:p>
        </w:tc>
        <w:tc>
          <w:tcPr/>
          <w:p>
            <w:pPr>
              <w:pStyle w:val="Compact"/>
              <w:jc w:val="left"/>
            </w:pPr>
            <w:r>
              <w:t xml:space="preserve">Council seat, Twin Key, Stewardship Weight</w:t>
            </w:r>
          </w:p>
        </w:tc>
      </w:tr>
      <w:tr>
        <w:tc>
          <w:tcPr/>
          <w:p>
            <w:pPr>
              <w:pStyle w:val="Compact"/>
              <w:jc w:val="left"/>
            </w:pPr>
            <w:r>
              <w:t xml:space="preserve">1</w:t>
            </w:r>
          </w:p>
        </w:tc>
        <w:tc>
          <w:tcPr/>
          <w:p>
            <w:pPr>
              <w:pStyle w:val="Compact"/>
              <w:jc w:val="left"/>
            </w:pPr>
            <w:r>
              <w:t xml:space="preserve">Sultanate of Oman</w:t>
            </w:r>
          </w:p>
        </w:tc>
        <w:tc>
          <w:tcPr/>
          <w:p>
            <w:pPr>
              <w:pStyle w:val="Compact"/>
              <w:jc w:val="left"/>
            </w:pPr>
            <w:r>
              <w:t xml:space="preserve">Full Party, Founding</w:t>
            </w:r>
          </w:p>
        </w:tc>
        <w:tc>
          <w:tcPr/>
          <w:p>
            <w:pPr>
              <w:pStyle w:val="Compact"/>
              <w:jc w:val="left"/>
            </w:pPr>
            <w:r>
              <w:t xml:space="preserve">Council seat, Twin Key, fixed 30% Fund share</w:t>
            </w:r>
          </w:p>
        </w:tc>
      </w:tr>
      <w:tr>
        <w:tc>
          <w:tcPr/>
          <w:p>
            <w:pPr>
              <w:pStyle w:val="Compact"/>
              <w:jc w:val="left"/>
            </w:pPr>
            <w:r>
              <w:t xml:space="preserve">2</w:t>
            </w:r>
          </w:p>
        </w:tc>
        <w:tc>
          <w:tcPr/>
          <w:p>
            <w:pPr>
              <w:pStyle w:val="Compact"/>
              <w:jc w:val="left"/>
            </w:pPr>
            <w:r>
              <w:t xml:space="preserve">United Arab Emirates</w:t>
            </w:r>
          </w:p>
        </w:tc>
        <w:tc>
          <w:tcPr/>
          <w:p>
            <w:pPr>
              <w:pStyle w:val="Compact"/>
              <w:jc w:val="left"/>
            </w:pPr>
            <w:r>
              <w:t xml:space="preserve">Associate Party (Phase 2)</w:t>
            </w:r>
          </w:p>
        </w:tc>
        <w:tc>
          <w:tcPr/>
          <w:p>
            <w:pPr>
              <w:pStyle w:val="Compact"/>
              <w:jc w:val="left"/>
            </w:pPr>
            <w:r>
              <w:t xml:space="preserve">Council seat, navigation and safety layer</w:t>
            </w:r>
          </w:p>
        </w:tc>
      </w:tr>
      <w:tr>
        <w:tc>
          <w:tcPr/>
          <w:p>
            <w:pPr>
              <w:pStyle w:val="Compact"/>
              <w:jc w:val="left"/>
            </w:pPr>
            <w:r>
              <w:t xml:space="preserve">2</w:t>
            </w:r>
          </w:p>
        </w:tc>
        <w:tc>
          <w:tcPr/>
          <w:p>
            <w:pPr>
              <w:pStyle w:val="Compact"/>
              <w:jc w:val="left"/>
            </w:pPr>
            <w:r>
              <w:t xml:space="preserve">Kingdom of Saudi Arabia</w:t>
            </w:r>
          </w:p>
        </w:tc>
        <w:tc>
          <w:tcPr/>
          <w:p>
            <w:pPr>
              <w:pStyle w:val="Compact"/>
              <w:jc w:val="left"/>
            </w:pPr>
            <w:r>
              <w:t xml:space="preserve">Associate Party (Phase 3)</w:t>
            </w:r>
          </w:p>
        </w:tc>
        <w:tc>
          <w:tcPr/>
          <w:p>
            <w:pPr>
              <w:pStyle w:val="Compact"/>
              <w:jc w:val="left"/>
            </w:pPr>
            <w:r>
              <w:t xml:space="preserve">Council seat, navigation and safety layer</w:t>
            </w:r>
          </w:p>
        </w:tc>
      </w:tr>
      <w:tr>
        <w:tc>
          <w:tcPr/>
          <w:p>
            <w:pPr>
              <w:pStyle w:val="Compact"/>
              <w:jc w:val="left"/>
            </w:pPr>
            <w:r>
              <w:t xml:space="preserve">2</w:t>
            </w:r>
          </w:p>
        </w:tc>
        <w:tc>
          <w:tcPr/>
          <w:p>
            <w:pPr>
              <w:pStyle w:val="Compact"/>
              <w:jc w:val="left"/>
            </w:pPr>
            <w:r>
              <w:t xml:space="preserve">State of Qatar</w:t>
            </w:r>
          </w:p>
        </w:tc>
        <w:tc>
          <w:tcPr/>
          <w:p>
            <w:pPr>
              <w:pStyle w:val="Compact"/>
              <w:jc w:val="left"/>
            </w:pPr>
            <w:r>
              <w:t xml:space="preserve">Associate Party (Phase 3)</w:t>
            </w:r>
          </w:p>
        </w:tc>
        <w:tc>
          <w:tcPr/>
          <w:p>
            <w:pPr>
              <w:pStyle w:val="Compact"/>
              <w:jc w:val="left"/>
            </w:pPr>
            <w:r>
              <w:t xml:space="preserve">Council seat, navigation and safety layer</w:t>
            </w:r>
          </w:p>
        </w:tc>
      </w:tr>
      <w:tr>
        <w:tc>
          <w:tcPr/>
          <w:p>
            <w:pPr>
              <w:pStyle w:val="Compact"/>
              <w:jc w:val="left"/>
            </w:pPr>
            <w:r>
              <w:t xml:space="preserve">2</w:t>
            </w:r>
          </w:p>
        </w:tc>
        <w:tc>
          <w:tcPr/>
          <w:p>
            <w:pPr>
              <w:pStyle w:val="Compact"/>
              <w:jc w:val="left"/>
            </w:pPr>
            <w:r>
              <w:t xml:space="preserve">Kingdom of Bahrain</w:t>
            </w:r>
          </w:p>
        </w:tc>
        <w:tc>
          <w:tcPr/>
          <w:p>
            <w:pPr>
              <w:pStyle w:val="Compact"/>
              <w:jc w:val="left"/>
            </w:pPr>
            <w:r>
              <w:t xml:space="preserve">Associate Party (Phase 3)</w:t>
            </w:r>
          </w:p>
        </w:tc>
        <w:tc>
          <w:tcPr/>
          <w:p>
            <w:pPr>
              <w:pStyle w:val="Compact"/>
              <w:jc w:val="left"/>
            </w:pPr>
            <w:r>
              <w:t xml:space="preserve">Council seat, navigation and safety layer</w:t>
            </w:r>
          </w:p>
        </w:tc>
      </w:tr>
      <w:tr>
        <w:tc>
          <w:tcPr/>
          <w:p>
            <w:pPr>
              <w:pStyle w:val="Compact"/>
              <w:jc w:val="left"/>
            </w:pPr>
            <w:r>
              <w:t xml:space="preserve">2</w:t>
            </w:r>
          </w:p>
        </w:tc>
        <w:tc>
          <w:tcPr/>
          <w:p>
            <w:pPr>
              <w:pStyle w:val="Compact"/>
              <w:jc w:val="left"/>
            </w:pPr>
            <w:r>
              <w:t xml:space="preserve">State of Kuwait</w:t>
            </w:r>
          </w:p>
        </w:tc>
        <w:tc>
          <w:tcPr/>
          <w:p>
            <w:pPr>
              <w:pStyle w:val="Compact"/>
              <w:jc w:val="left"/>
            </w:pPr>
            <w:r>
              <w:t xml:space="preserve">Associate Party (Phase 3, eligible)</w:t>
            </w:r>
          </w:p>
        </w:tc>
        <w:tc>
          <w:tcPr/>
          <w:p>
            <w:pPr>
              <w:pStyle w:val="Compact"/>
              <w:jc w:val="left"/>
            </w:pPr>
            <w:r>
              <w:t xml:space="preserve">Council seat, navigation and safety layer</w:t>
            </w:r>
          </w:p>
        </w:tc>
      </w:tr>
      <w:tr>
        <w:tc>
          <w:tcPr/>
          <w:p>
            <w:pPr>
              <w:pStyle w:val="Compact"/>
              <w:jc w:val="left"/>
            </w:pPr>
            <w:r>
              <w:t xml:space="preserve">2</w:t>
            </w:r>
          </w:p>
        </w:tc>
        <w:tc>
          <w:tcPr/>
          <w:p>
            <w:pPr>
              <w:pStyle w:val="Compact"/>
              <w:jc w:val="left"/>
            </w:pPr>
            <w:r>
              <w:t xml:space="preserve">Republic of Iraq</w:t>
            </w:r>
          </w:p>
        </w:tc>
        <w:tc>
          <w:tcPr/>
          <w:p>
            <w:pPr>
              <w:pStyle w:val="Compact"/>
              <w:jc w:val="left"/>
            </w:pPr>
            <w:r>
              <w:t xml:space="preserve">Associate Party (Phase 3, eligible)</w:t>
            </w:r>
          </w:p>
        </w:tc>
        <w:tc>
          <w:tcPr/>
          <w:p>
            <w:pPr>
              <w:pStyle w:val="Compact"/>
              <w:jc w:val="left"/>
            </w:pPr>
            <w:r>
              <w:t xml:space="preserve">Council seat, navigation and safety layer</w:t>
            </w:r>
          </w:p>
        </w:tc>
      </w:tr>
    </w:tbl>
    <w:bookmarkEnd w:id="318"/>
    <w:bookmarkStart w:id="319" w:name="g.2-endorsing-stakeholder-and-observers"/>
    <w:p>
      <w:pPr>
        <w:pStyle w:val="Heading3"/>
      </w:pPr>
      <w:r>
        <w:t xml:space="preserve">G.2 Endorsing Stakeholder and Observers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State or entity</w:t>
            </w:r>
          </w:p>
        </w:tc>
        <w:tc>
          <w:tcPr/>
          <w:p>
            <w:pPr>
              <w:pStyle w:val="Compact"/>
              <w:jc w:val="left"/>
            </w:pPr>
            <w:r>
              <w:t xml:space="preserve">Status</w:t>
            </w:r>
          </w:p>
        </w:tc>
        <w:tc>
          <w:tcPr/>
          <w:p>
            <w:pPr>
              <w:pStyle w:val="Compact"/>
              <w:jc w:val="left"/>
            </w:pPr>
            <w:r>
              <w:t xml:space="preserve">Key rights</w:t>
            </w:r>
          </w:p>
        </w:tc>
      </w:tr>
      <w:tr>
        <w:tc>
          <w:tcPr/>
          <w:p>
            <w:pPr>
              <w:pStyle w:val="Compact"/>
              <w:jc w:val="left"/>
            </w:pPr>
            <w:r>
              <w:t xml:space="preserve">n/a</w:t>
            </w:r>
          </w:p>
        </w:tc>
        <w:tc>
          <w:tcPr/>
          <w:p>
            <w:pPr>
              <w:pStyle w:val="Compact"/>
              <w:jc w:val="left"/>
            </w:pPr>
            <w:r>
              <w:t xml:space="preserve">United States of America</w:t>
            </w:r>
          </w:p>
        </w:tc>
        <w:tc>
          <w:tcPr/>
          <w:p>
            <w:pPr>
              <w:pStyle w:val="Compact"/>
              <w:jc w:val="left"/>
            </w:pPr>
            <w:r>
              <w:t xml:space="preserve">Endorsing Stakeholder</w:t>
            </w:r>
          </w:p>
        </w:tc>
        <w:tc>
          <w:tcPr/>
          <w:p>
            <w:pPr>
              <w:pStyle w:val="Compact"/>
              <w:jc w:val="left"/>
            </w:pPr>
            <w:r>
              <w:t xml:space="preserve">Non-voting Council seat, Technical Committee, Watch reporting access</w:t>
            </w:r>
          </w:p>
        </w:tc>
      </w:tr>
      <w:tr>
        <w:tc>
          <w:tcPr/>
          <w:p>
            <w:pPr>
              <w:pStyle w:val="Compact"/>
              <w:jc w:val="left"/>
            </w:pPr>
            <w:r>
              <w:t xml:space="preserve">3</w:t>
            </w:r>
          </w:p>
        </w:tc>
        <w:tc>
          <w:tcPr/>
          <w:p>
            <w:pPr>
              <w:pStyle w:val="Compact"/>
              <w:jc w:val="left"/>
            </w:pPr>
            <w:r>
              <w:t xml:space="preserve">European Union</w:t>
            </w:r>
          </w:p>
        </w:tc>
        <w:tc>
          <w:tcPr/>
          <w:p>
            <w:pPr>
              <w:pStyle w:val="Compact"/>
              <w:jc w:val="left"/>
            </w:pPr>
            <w:r>
              <w:t xml:space="preserve">Observer</w:t>
            </w:r>
          </w:p>
        </w:tc>
        <w:tc>
          <w:tcPr/>
          <w:p>
            <w:pPr>
              <w:pStyle w:val="Compact"/>
              <w:jc w:val="left"/>
            </w:pPr>
            <w:r>
              <w:t xml:space="preserve">Technical Committee, public reporting access</w:t>
            </w:r>
          </w:p>
        </w:tc>
      </w:tr>
      <w:tr>
        <w:tc>
          <w:tcPr/>
          <w:p>
            <w:pPr>
              <w:pStyle w:val="Compact"/>
              <w:jc w:val="left"/>
            </w:pPr>
            <w:r>
              <w:t xml:space="preserve">3</w:t>
            </w:r>
          </w:p>
        </w:tc>
        <w:tc>
          <w:tcPr/>
          <w:p>
            <w:pPr>
              <w:pStyle w:val="Compact"/>
              <w:jc w:val="left"/>
            </w:pPr>
            <w:r>
              <w:t xml:space="preserve">United Kingdom</w:t>
            </w:r>
          </w:p>
        </w:tc>
        <w:tc>
          <w:tcPr/>
          <w:p>
            <w:pPr>
              <w:pStyle w:val="Compact"/>
              <w:jc w:val="left"/>
            </w:pPr>
            <w:r>
              <w:t xml:space="preserve">Observer and Security Liaison</w:t>
            </w:r>
          </w:p>
        </w:tc>
        <w:tc>
          <w:tcPr/>
          <w:p>
            <w:pPr>
              <w:pStyle w:val="Compact"/>
              <w:jc w:val="left"/>
            </w:pPr>
            <w:r>
              <w:t xml:space="preserve">Technical Committee; de-confliction hotline</w:t>
            </w:r>
          </w:p>
        </w:tc>
      </w:tr>
      <w:tr>
        <w:tc>
          <w:tcPr/>
          <w:p>
            <w:pPr>
              <w:pStyle w:val="Compact"/>
              <w:jc w:val="left"/>
            </w:pPr>
            <w:r>
              <w:t xml:space="preserve">3</w:t>
            </w:r>
          </w:p>
        </w:tc>
        <w:tc>
          <w:tcPr/>
          <w:p>
            <w:pPr>
              <w:pStyle w:val="Compact"/>
              <w:jc w:val="left"/>
            </w:pPr>
            <w:r>
              <w:t xml:space="preserve">France</w:t>
            </w:r>
          </w:p>
        </w:tc>
        <w:tc>
          <w:tcPr/>
          <w:p>
            <w:pPr>
              <w:pStyle w:val="Compact"/>
              <w:jc w:val="left"/>
            </w:pPr>
            <w:r>
              <w:t xml:space="preserve">Observer and Security Liaison</w:t>
            </w:r>
          </w:p>
        </w:tc>
        <w:tc>
          <w:tcPr/>
          <w:p>
            <w:pPr>
              <w:pStyle w:val="Compact"/>
              <w:jc w:val="left"/>
            </w:pPr>
            <w:r>
              <w:t xml:space="preserve">Technical Committee; de-confliction hotline</w:t>
            </w:r>
          </w:p>
        </w:tc>
      </w:tr>
      <w:tr>
        <w:tc>
          <w:tcPr/>
          <w:p>
            <w:pPr>
              <w:pStyle w:val="Compact"/>
              <w:jc w:val="left"/>
            </w:pPr>
            <w:r>
              <w:t xml:space="preserve">3</w:t>
            </w:r>
          </w:p>
        </w:tc>
        <w:tc>
          <w:tcPr/>
          <w:p>
            <w:pPr>
              <w:pStyle w:val="Compact"/>
              <w:jc w:val="left"/>
            </w:pPr>
            <w:r>
              <w:t xml:space="preserve">China, India, Japan, South Korea</w:t>
            </w:r>
          </w:p>
        </w:tc>
        <w:tc>
          <w:tcPr/>
          <w:p>
            <w:pPr>
              <w:pStyle w:val="Compact"/>
              <w:jc w:val="left"/>
            </w:pPr>
            <w:r>
              <w:t xml:space="preserve">Observers</w:t>
            </w:r>
          </w:p>
        </w:tc>
        <w:tc>
          <w:tcPr/>
          <w:p>
            <w:pPr>
              <w:pStyle w:val="Compact"/>
              <w:jc w:val="left"/>
            </w:pPr>
            <w:r>
              <w:t xml:space="preserve">Technical Committee, public reporting access</w:t>
            </w:r>
          </w:p>
        </w:tc>
      </w:tr>
    </w:tbl>
    <w:bookmarkEnd w:id="319"/>
    <w:bookmarkStart w:id="320" w:name="g.3-institutional-partners"/>
    <w:p>
      <w:pPr>
        <w:pStyle w:val="Heading3"/>
      </w:pPr>
      <w:r>
        <w:t xml:space="preserve">G.3 Institutional Partners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Entity</w:t>
            </w:r>
          </w:p>
        </w:tc>
        <w:tc>
          <w:tcPr/>
          <w:p>
            <w:pPr>
              <w:pStyle w:val="Compact"/>
              <w:jc w:val="left"/>
            </w:pPr>
            <w:r>
              <w:t xml:space="preserve">Role</w:t>
            </w:r>
          </w:p>
        </w:tc>
      </w:tr>
      <w:tr>
        <w:tc>
          <w:tcPr/>
          <w:p>
            <w:pPr>
              <w:pStyle w:val="Compact"/>
              <w:jc w:val="left"/>
            </w:pPr>
            <w:r>
              <w:t xml:space="preserve">International Maritime Organization</w:t>
            </w:r>
          </w:p>
        </w:tc>
        <w:tc>
          <w:tcPr/>
          <w:p>
            <w:pPr>
              <w:pStyle w:val="Compact"/>
              <w:jc w:val="left"/>
            </w:pPr>
            <w:r>
              <w:t xml:space="preserve">Traffic Separation Scheme registration; technical validation</w:t>
            </w:r>
          </w:p>
        </w:tc>
      </w:tr>
      <w:tr>
        <w:tc>
          <w:tcPr/>
          <w:p>
            <w:pPr>
              <w:pStyle w:val="Compact"/>
              <w:jc w:val="left"/>
            </w:pPr>
            <w:r>
              <w:t xml:space="preserve">International Hydrographic Organization</w:t>
            </w:r>
          </w:p>
        </w:tc>
        <w:tc>
          <w:tcPr/>
          <w:p>
            <w:pPr>
              <w:pStyle w:val="Compact"/>
              <w:jc w:val="left"/>
            </w:pPr>
            <w:r>
              <w:t xml:space="preserve">Chart data and coordinate validation</w:t>
            </w:r>
          </w:p>
        </w:tc>
      </w:tr>
      <w:tr>
        <w:tc>
          <w:tcPr/>
          <w:p>
            <w:pPr>
              <w:pStyle w:val="Compact"/>
              <w:jc w:val="left"/>
            </w:pPr>
            <w:r>
              <w:t xml:space="preserve">United Nations Mine Action Service</w:t>
            </w:r>
          </w:p>
        </w:tc>
        <w:tc>
          <w:tcPr/>
          <w:p>
            <w:pPr>
              <w:pStyle w:val="Compact"/>
              <w:jc w:val="left"/>
            </w:pPr>
            <w:r>
              <w:t xml:space="preserve">Technical advisory role in the Joint Survey Group</w:t>
            </w:r>
          </w:p>
        </w:tc>
      </w:tr>
      <w:tr>
        <w:tc>
          <w:tcPr/>
          <w:p>
            <w:pPr>
              <w:pStyle w:val="Compact"/>
              <w:jc w:val="left"/>
            </w:pPr>
            <w:r>
              <w:t xml:space="preserve">P&amp;I Clubs and war-risk insurers</w:t>
            </w:r>
          </w:p>
        </w:tc>
        <w:tc>
          <w:tcPr/>
          <w:p>
            <w:pPr>
              <w:pStyle w:val="Compact"/>
              <w:jc w:val="left"/>
            </w:pPr>
            <w:r>
              <w:t xml:space="preserve">Risk-classification alignment; premium adjustment on verified compliance record</w:t>
            </w:r>
          </w:p>
        </w:tc>
      </w:tr>
    </w:tbl>
    <w:bookmarkEnd w:id="320"/>
    <w:bookmarkStart w:id="321" w:name="g.4-commercial-and-technical-actors"/>
    <w:p>
      <w:pPr>
        <w:pStyle w:val="Heading3"/>
      </w:pPr>
      <w:r>
        <w:t xml:space="preserve">G.4 Commercial and Technical Actors</w:t>
      </w:r>
    </w:p>
    <w:p>
      <w:pPr>
        <w:pStyle w:val="FirstParagraph"/>
      </w:pPr>
      <w:r>
        <w:t xml:space="preserve">Shipping lines, energy companies, maritime insurers, and port authorities operating in or through the Governance Area participate as Non-State Participants, with no treaty signature, holding compliance obligations under the routing and safety rules of Part IV and the Catalog rules of Annex D, and standing to submit operational feedback through the Technical Committee.</w:t>
      </w:r>
    </w:p>
    <w:bookmarkEnd w:id="321"/>
    <w:bookmarkStart w:id="322" w:name="g.5-future-participants"/>
    <w:p>
      <w:pPr>
        <w:pStyle w:val="Heading3"/>
      </w:pPr>
      <w:r>
        <w:t xml:space="preserve">G.5 Future Participants</w:t>
      </w:r>
    </w:p>
    <w:p>
      <w:pPr>
        <w:pStyle w:val="FirstParagraph"/>
      </w:pPr>
      <w:r>
        <w:t xml:space="preserve">The Islamic Republic of Pakistan and any additional Gulf or Red Sea littoral state hold eligibility for Council-consensus invitation to Layer 2 Associate Party status, preserving the Framework’s capacity to grow without destabilizing its founding core.</w:t>
      </w:r>
    </w:p>
    <w:bookmarkEnd w:id="322"/>
    <w:bookmarkEnd w:id="323"/>
    <w:bookmarkStart w:id="324" w:name="X315fc04c329ed278480bd83b9488a2e4b0cbfc8"/>
    <w:p>
      <w:pPr>
        <w:pStyle w:val="Heading2"/>
      </w:pPr>
      <w:r>
        <w:t xml:space="preserve">Annex H: The Consolidated Phase and Accession 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Window</w:t>
            </w:r>
          </w:p>
        </w:tc>
        <w:tc>
          <w:tcPr/>
          <w:p>
            <w:pPr>
              <w:pStyle w:val="Compact"/>
              <w:jc w:val="left"/>
            </w:pPr>
            <w:r>
              <w:t xml:space="preserve">Phase milestone</w:t>
            </w:r>
          </w:p>
        </w:tc>
        <w:tc>
          <w:tcPr/>
          <w:p>
            <w:pPr>
              <w:pStyle w:val="Compact"/>
              <w:jc w:val="left"/>
            </w:pPr>
            <w:r>
              <w:t xml:space="preserve">Accession milestone</w:t>
            </w:r>
          </w:p>
        </w:tc>
        <w:tc>
          <w:tcPr/>
          <w:p>
            <w:pPr>
              <w:pStyle w:val="Compact"/>
              <w:jc w:val="left"/>
            </w:pPr>
            <w:r>
              <w:t xml:space="preserve">Ladder milestone</w:t>
            </w:r>
          </w:p>
        </w:tc>
      </w:tr>
      <w:tr>
        <w:tc>
          <w:tcPr/>
          <w:p>
            <w:pPr>
              <w:pStyle w:val="Compact"/>
              <w:jc w:val="left"/>
            </w:pPr>
            <w:r>
              <w:t xml:space="preserve">Day 0</w:t>
            </w:r>
          </w:p>
        </w:tc>
        <w:tc>
          <w:tcPr/>
          <w:p>
            <w:pPr>
              <w:pStyle w:val="Compact"/>
              <w:jc w:val="left"/>
            </w:pPr>
            <w:r>
              <w:t xml:space="preserve">Signature; institutions convene</w:t>
            </w:r>
          </w:p>
        </w:tc>
        <w:tc>
          <w:tcPr/>
          <w:p>
            <w:pPr>
              <w:pStyle w:val="Compact"/>
              <w:jc w:val="left"/>
            </w:pPr>
            <w:r>
              <w:t xml:space="preserve">n/a</w:t>
            </w:r>
          </w:p>
        </w:tc>
        <w:tc>
          <w:tcPr/>
          <w:p>
            <w:pPr>
              <w:pStyle w:val="Compact"/>
              <w:jc w:val="left"/>
            </w:pPr>
            <w:r>
              <w:t xml:space="preserve">Baseline (30% / Stage 1)</w:t>
            </w:r>
          </w:p>
        </w:tc>
      </w:tr>
      <w:tr>
        <w:tc>
          <w:tcPr/>
          <w:p>
            <w:pPr>
              <w:pStyle w:val="Compact"/>
              <w:jc w:val="left"/>
            </w:pPr>
            <w:r>
              <w:t xml:space="preserve">Day 0-30</w:t>
            </w:r>
          </w:p>
        </w:tc>
        <w:tc>
          <w:tcPr/>
          <w:p>
            <w:pPr>
              <w:pStyle w:val="Compact"/>
              <w:jc w:val="left"/>
            </w:pPr>
            <w:r>
              <w:t xml:space="preserve">Phase 1: ceasefire lock-in, baseline corridor, demining begins</w:t>
            </w:r>
          </w:p>
        </w:tc>
        <w:tc>
          <w:tcPr/>
          <w:p>
            <w:pPr>
              <w:pStyle w:val="Compact"/>
              <w:jc w:val="left"/>
            </w:pPr>
            <w:r>
              <w:t xml:space="preserve">n/a</w:t>
            </w:r>
          </w:p>
        </w:tc>
        <w:tc>
          <w:tcPr/>
          <w:p>
            <w:pPr>
              <w:pStyle w:val="Compact"/>
              <w:jc w:val="left"/>
            </w:pPr>
            <w:r>
              <w:t xml:space="preserve">Paused at baseline; weeks accrue retroactively</w:t>
            </w:r>
          </w:p>
        </w:tc>
      </w:tr>
      <w:tr>
        <w:tc>
          <w:tcPr/>
          <w:p>
            <w:pPr>
              <w:pStyle w:val="Compact"/>
              <w:jc w:val="left"/>
            </w:pPr>
            <w:r>
              <w:t xml:space="preserve">Day 30</w:t>
            </w:r>
          </w:p>
        </w:tc>
        <w:tc>
          <w:tcPr/>
          <w:p>
            <w:pPr>
              <w:pStyle w:val="Compact"/>
              <w:jc w:val="left"/>
            </w:pPr>
            <w:r>
              <w:t xml:space="preserve">Phase 2 begins; full blockade lift</w:t>
            </w:r>
          </w:p>
        </w:tc>
        <w:tc>
          <w:tcPr/>
          <w:p>
            <w:pPr>
              <w:pStyle w:val="Compact"/>
              <w:jc w:val="left"/>
            </w:pPr>
            <w:r>
              <w:t xml:space="preserve">UAE accedes</w:t>
            </w:r>
          </w:p>
        </w:tc>
        <w:tc>
          <w:tcPr/>
          <w:p>
            <w:pPr>
              <w:pStyle w:val="Compact"/>
              <w:jc w:val="left"/>
            </w:pPr>
            <w:r>
              <w:t xml:space="preserve">Principal climb begins</w:t>
            </w:r>
          </w:p>
        </w:tc>
      </w:tr>
      <w:tr>
        <w:tc>
          <w:tcPr/>
          <w:p>
            <w:pPr>
              <w:pStyle w:val="Compact"/>
              <w:jc w:val="left"/>
            </w:pPr>
            <w:r>
              <w:t xml:space="preserve">Day 30-90</w:t>
            </w:r>
          </w:p>
        </w:tc>
        <w:tc>
          <w:tcPr/>
          <w:p>
            <w:pPr>
              <w:pStyle w:val="Compact"/>
              <w:jc w:val="left"/>
            </w:pPr>
            <w:r>
              <w:t xml:space="preserve">Phase 2: Council seats fully, Fund’s first quarterly cycle</w:t>
            </w:r>
          </w:p>
        </w:tc>
        <w:tc>
          <w:tcPr/>
          <w:p>
            <w:pPr>
              <w:pStyle w:val="Compact"/>
              <w:jc w:val="left"/>
            </w:pPr>
            <w:r>
              <w:t xml:space="preserve">n/a</w:t>
            </w:r>
          </w:p>
        </w:tc>
        <w:tc>
          <w:tcPr/>
          <w:p>
            <w:pPr>
              <w:pStyle w:val="Compact"/>
              <w:jc w:val="left"/>
            </w:pPr>
            <w:r>
              <w:t xml:space="preserve">Climbs toward ceiling on verified weeks</w:t>
            </w:r>
          </w:p>
        </w:tc>
      </w:tr>
      <w:tr>
        <w:tc>
          <w:tcPr/>
          <w:p>
            <w:pPr>
              <w:pStyle w:val="Compact"/>
              <w:jc w:val="left"/>
            </w:pPr>
            <w:r>
              <w:t xml:space="preserve">Month 3</w:t>
            </w:r>
          </w:p>
        </w:tc>
        <w:tc>
          <w:tcPr/>
          <w:p>
            <w:pPr>
              <w:pStyle w:val="Compact"/>
              <w:jc w:val="left"/>
            </w:pPr>
            <w:r>
              <w:t xml:space="preserve">Phase 3 begins</w:t>
            </w:r>
          </w:p>
        </w:tc>
        <w:tc>
          <w:tcPr/>
          <w:p>
            <w:pPr>
              <w:pStyle w:val="Compact"/>
              <w:jc w:val="left"/>
            </w:pPr>
            <w:r>
              <w:t xml:space="preserve">Qatar, Saudi Arabia accede</w:t>
            </w:r>
          </w:p>
        </w:tc>
        <w:tc>
          <w:tcPr/>
          <w:p>
            <w:pPr>
              <w:pStyle w:val="Compact"/>
              <w:jc w:val="left"/>
            </w:pPr>
            <w:r>
              <w:t xml:space="preserve">Likely at or near 55% ceiling if clean</w:t>
            </w:r>
          </w:p>
        </w:tc>
      </w:tr>
      <w:tr>
        <w:tc>
          <w:tcPr/>
          <w:p>
            <w:pPr>
              <w:pStyle w:val="Compact"/>
              <w:jc w:val="left"/>
            </w:pPr>
            <w:r>
              <w:t xml:space="preserve">Month 6</w:t>
            </w:r>
          </w:p>
        </w:tc>
        <w:tc>
          <w:tcPr/>
          <w:p>
            <w:pPr>
              <w:pStyle w:val="Compact"/>
              <w:jc w:val="left"/>
            </w:pPr>
            <w:r>
              <w:t xml:space="preserve">Phase 3 continues</w:t>
            </w:r>
          </w:p>
        </w:tc>
        <w:tc>
          <w:tcPr/>
          <w:p>
            <w:pPr>
              <w:pStyle w:val="Compact"/>
              <w:jc w:val="left"/>
            </w:pPr>
            <w:r>
              <w:t xml:space="preserve">Bahrain accedes; Kuwait, Iraq eligible</w:t>
            </w:r>
          </w:p>
        </w:tc>
        <w:tc>
          <w:tcPr/>
          <w:p>
            <w:pPr>
              <w:pStyle w:val="Compact"/>
              <w:jc w:val="left"/>
            </w:pPr>
            <w:r>
              <w:t xml:space="preserve">Ceiling maintained or rebuilding after any reset</w:t>
            </w:r>
          </w:p>
        </w:tc>
      </w:tr>
      <w:tr>
        <w:tc>
          <w:tcPr/>
          <w:p>
            <w:pPr>
              <w:pStyle w:val="Compact"/>
              <w:jc w:val="left"/>
            </w:pPr>
            <w:r>
              <w:t xml:space="preserve">Month 12</w:t>
            </w:r>
          </w:p>
        </w:tc>
        <w:tc>
          <w:tcPr/>
          <w:p>
            <w:pPr>
              <w:pStyle w:val="Compact"/>
              <w:jc w:val="left"/>
            </w:pPr>
            <w:r>
              <w:t xml:space="preserve">Phase 4 begins; permanent status</w:t>
            </w:r>
          </w:p>
        </w:tc>
        <w:tc>
          <w:tcPr/>
          <w:p>
            <w:pPr>
              <w:pStyle w:val="Compact"/>
              <w:jc w:val="left"/>
            </w:pPr>
            <w:r>
              <w:t xml:space="preserve">Full Layer 2 participation expected</w:t>
            </w:r>
          </w:p>
        </w:tc>
        <w:tc>
          <w:tcPr/>
          <w:p>
            <w:pPr>
              <w:pStyle w:val="Compact"/>
              <w:jc w:val="left"/>
            </w:pPr>
            <w:r>
              <w:t xml:space="preserve">Permanent floor available after 90 clean days at ceiling</w:t>
            </w:r>
          </w:p>
        </w:tc>
      </w:tr>
      <w:tr>
        <w:tc>
          <w:tcPr/>
          <w:p>
            <w:pPr>
              <w:pStyle w:val="Compact"/>
              <w:jc w:val="left"/>
            </w:pPr>
            <w:r>
              <w:t xml:space="preserve">Year 5</w:t>
            </w:r>
          </w:p>
        </w:tc>
        <w:tc>
          <w:tcPr/>
          <w:p>
            <w:pPr>
              <w:pStyle w:val="Compact"/>
              <w:jc w:val="left"/>
            </w:pPr>
            <w:r>
              <w:t xml:space="preserve">First periodic review under Article 43</w:t>
            </w:r>
          </w:p>
        </w:tc>
        <w:tc>
          <w:tcPr/>
          <w:p>
            <w:pPr>
              <w:pStyle w:val="Compact"/>
              <w:jc w:val="left"/>
            </w:pPr>
            <w:r>
              <w:t xml:space="preserve">Optional economic-layer accession</w:t>
            </w:r>
          </w:p>
        </w:tc>
        <w:tc>
          <w:tcPr/>
          <w:p>
            <w:pPr>
              <w:pStyle w:val="Compact"/>
              <w:jc w:val="left"/>
            </w:pPr>
            <w:r>
              <w:t xml:space="preserve">Ongoing</w:t>
            </w:r>
          </w:p>
        </w:tc>
      </w:tr>
    </w:tbl>
    <w:bookmarkEnd w:id="324"/>
    <w:bookmarkStart w:id="329" w:name="X7996605c71387711ad91fde53a98c3bf665e6a9"/>
    <w:p>
      <w:pPr>
        <w:pStyle w:val="Heading2"/>
      </w:pPr>
      <w:r>
        <w:t xml:space="preserve">Annex I: The Hormuz Coastal Development Window, Illustrative Project Portfolio</w:t>
      </w:r>
    </w:p>
    <w:bookmarkStart w:id="325" w:name="i.1-purpose-of-this-annex"/>
    <w:p>
      <w:pPr>
        <w:pStyle w:val="Heading3"/>
      </w:pPr>
      <w:r>
        <w:t xml:space="preserve">I.1 Purpose of this Annex</w:t>
      </w:r>
    </w:p>
    <w:p>
      <w:pPr>
        <w:pStyle w:val="FirstParagraph"/>
      </w:pPr>
      <w:r>
        <w:t xml:space="preserve">This Annex illustrates, without binding the Council to any specific project, the categories of investment the Coastal Development Window of Article 30 finances, drawing on the recognized need for coastal infrastructure renewal on both shores of the Strait after the 2026 crisis.</w:t>
      </w:r>
    </w:p>
    <w:bookmarkEnd w:id="325"/>
    <w:bookmarkStart w:id="326" w:name="i.2-illustrative-project-categories"/>
    <w:p>
      <w:pPr>
        <w:pStyle w:val="Heading3"/>
      </w:pPr>
      <w:r>
        <w:t xml:space="preserve">I.2 Illustrative project categories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Illustrative content</w:t>
            </w:r>
          </w:p>
        </w:tc>
        <w:tc>
          <w:tcPr/>
          <w:p>
            <w:pPr>
              <w:pStyle w:val="Compact"/>
              <w:jc w:val="left"/>
            </w:pPr>
            <w:r>
              <w:t xml:space="preserve">Indicative share of Window funding</w:t>
            </w:r>
          </w:p>
        </w:tc>
      </w:tr>
      <w:tr>
        <w:tc>
          <w:tcPr/>
          <w:p>
            <w:pPr>
              <w:pStyle w:val="Compact"/>
              <w:jc w:val="left"/>
            </w:pPr>
            <w:r>
              <w:t xml:space="preserve">Port and navigational-aid modernization</w:t>
            </w:r>
          </w:p>
        </w:tc>
        <w:tc>
          <w:tcPr/>
          <w:p>
            <w:pPr>
              <w:pStyle w:val="Compact"/>
              <w:jc w:val="left"/>
            </w:pPr>
            <w:r>
              <w:t xml:space="preserve">Radar and AIS base-station upgrades; small-craft harbor repair</w:t>
            </w:r>
          </w:p>
        </w:tc>
        <w:tc>
          <w:tcPr/>
          <w:p>
            <w:pPr>
              <w:pStyle w:val="Compact"/>
              <w:jc w:val="left"/>
            </w:pPr>
            <w:r>
              <w:t xml:space="preserve">30%</w:t>
            </w:r>
          </w:p>
        </w:tc>
      </w:tr>
      <w:tr>
        <w:tc>
          <w:tcPr/>
          <w:p>
            <w:pPr>
              <w:pStyle w:val="Compact"/>
              <w:jc w:val="left"/>
            </w:pPr>
            <w:r>
              <w:t xml:space="preserve">Environmental and spill-response infrastructure</w:t>
            </w:r>
          </w:p>
        </w:tc>
        <w:tc>
          <w:tcPr/>
          <w:p>
            <w:pPr>
              <w:pStyle w:val="Compact"/>
              <w:jc w:val="left"/>
            </w:pPr>
            <w:r>
              <w:t xml:space="preserve">Regional spill-response equipment staging; coastal water-quality monitoring</w:t>
            </w:r>
          </w:p>
        </w:tc>
        <w:tc>
          <w:tcPr/>
          <w:p>
            <w:pPr>
              <w:pStyle w:val="Compact"/>
              <w:jc w:val="left"/>
            </w:pPr>
            <w:r>
              <w:t xml:space="preserve">25%</w:t>
            </w:r>
          </w:p>
        </w:tc>
      </w:tr>
      <w:tr>
        <w:tc>
          <w:tcPr/>
          <w:p>
            <w:pPr>
              <w:pStyle w:val="Compact"/>
              <w:jc w:val="left"/>
            </w:pPr>
            <w:r>
              <w:t xml:space="preserve">Coastal community and fisheries protection</w:t>
            </w:r>
          </w:p>
        </w:tc>
        <w:tc>
          <w:tcPr/>
          <w:p>
            <w:pPr>
              <w:pStyle w:val="Compact"/>
              <w:jc w:val="left"/>
            </w:pPr>
            <w:r>
              <w:t xml:space="preserve">Small-craft safety equipment; fisheries-zone marking coordinated with the Traffic Separation Scheme</w:t>
            </w:r>
          </w:p>
        </w:tc>
        <w:tc>
          <w:tcPr/>
          <w:p>
            <w:pPr>
              <w:pStyle w:val="Compact"/>
              <w:jc w:val="left"/>
            </w:pPr>
            <w:r>
              <w:t xml:space="preserve">20%</w:t>
            </w:r>
          </w:p>
        </w:tc>
      </w:tr>
      <w:tr>
        <w:tc>
          <w:tcPr/>
          <w:p>
            <w:pPr>
              <w:pStyle w:val="Compact"/>
              <w:jc w:val="left"/>
            </w:pPr>
            <w:r>
              <w:t xml:space="preserve">Technical training</w:t>
            </w:r>
          </w:p>
        </w:tc>
        <w:tc>
          <w:tcPr/>
          <w:p>
            <w:pPr>
              <w:pStyle w:val="Compact"/>
              <w:jc w:val="left"/>
            </w:pPr>
            <w:r>
              <w:t xml:space="preserve">Operations Center and Joint Survey Group local-staff training pipelines</w:t>
            </w:r>
          </w:p>
        </w:tc>
        <w:tc>
          <w:tcPr/>
          <w:p>
            <w:pPr>
              <w:pStyle w:val="Compact"/>
              <w:jc w:val="left"/>
            </w:pPr>
            <w:r>
              <w:t xml:space="preserve">15%</w:t>
            </w:r>
          </w:p>
        </w:tc>
      </w:tr>
      <w:tr>
        <w:tc>
          <w:tcPr/>
          <w:p>
            <w:pPr>
              <w:pStyle w:val="Compact"/>
              <w:jc w:val="left"/>
            </w:pPr>
            <w:r>
              <w:t xml:space="preserve">Contingency reserve</w:t>
            </w:r>
          </w:p>
        </w:tc>
        <w:tc>
          <w:tcPr/>
          <w:p>
            <w:pPr>
              <w:pStyle w:val="Compact"/>
              <w:jc w:val="left"/>
            </w:pPr>
            <w:r>
              <w:t xml:space="preserve">Held for Council-approved emergency response within the coastal zone</w:t>
            </w:r>
          </w:p>
        </w:tc>
        <w:tc>
          <w:tcPr/>
          <w:p>
            <w:pPr>
              <w:pStyle w:val="Compact"/>
              <w:jc w:val="left"/>
            </w:pPr>
            <w:r>
              <w:t xml:space="preserve">10%</w:t>
            </w:r>
          </w:p>
        </w:tc>
      </w:tr>
    </w:tbl>
    <w:bookmarkEnd w:id="326"/>
    <w:bookmarkStart w:id="327" w:name="i.3-governance"/>
    <w:p>
      <w:pPr>
        <w:pStyle w:val="Heading3"/>
      </w:pPr>
      <w:r>
        <w:t xml:space="preserve">I.3 Governance</w:t>
      </w:r>
    </w:p>
    <w:p>
      <w:pPr>
        <w:pStyle w:val="FirstParagraph"/>
      </w:pPr>
      <w:r>
        <w:t xml:space="preserve">Every Window project follows the approval and disbursement procedure of Article 30.3, with the Technical Committee’s project recommendations published for public comment before Council approval, and the Neutral Administrator’s milestone-based disbursement standard applied identically regardless of which shore, Iranian or Omani, a given project serves.</w:t>
      </w:r>
    </w:p>
    <w:bookmarkEnd w:id="327"/>
    <w:bookmarkStart w:id="328" w:name="i.4-scale-discipline"/>
    <w:p>
      <w:pPr>
        <w:pStyle w:val="Heading3"/>
      </w:pPr>
      <w:r>
        <w:t xml:space="preserve">I.4 Scale discipline</w:t>
      </w:r>
    </w:p>
    <w:p>
      <w:pPr>
        <w:pStyle w:val="FirstParagraph"/>
      </w:pPr>
      <w:r>
        <w:t xml:space="preserve">The Window’s funding scale tracks its Article 28.6 revenue share exactly; the Window does not borrow against future revenue, does not carry a standing deficit, and scales its approved project pipeline to its verified, received funding at each quarterly disbursement cycle, consistent with the Neutral Administrator’s custodial, non-discretionary role under Article 17.2.</w:t>
      </w:r>
    </w:p>
    <w:p>
      <w:r>
        <w:pict>
          <v:rect style="width:0;height:1.5pt" o:hralign="center" o:hrstd="t" o:hr="t"/>
        </w:pict>
      </w:r>
    </w:p>
    <w:p>
      <w:pPr>
        <w:pStyle w:val="FirstParagraph"/>
      </w:pPr>
      <w:r>
        <w:rPr>
          <w:iCs/>
          <w:i/>
        </w:rPr>
        <w:t xml:space="preserve">Provenance note. This Framework synthesizes the technical and institutional logic developed across the preceding negotiating drafts prepared for this process, updates that logic against the verified state of the Iran-Oman bilateral channel as of August 2026, and introduces the Earned Stewardship Ladder of Part V as this draft’s principal structural innovation. This is a negotiating draft for authorized participants, not an executed instrument, and every figure, timeline, and threshold in this text remains open to the Parties’ own negotiation.</w:t>
      </w:r>
    </w:p>
    <w:bookmarkEnd w:id="328"/>
    <w:bookmarkEnd w:id="329"/>
    <w:bookmarkEnd w:id="330"/>
    <w:sectPr>
      <w:headerReference r:id="rId9" w:type="default"/>
      <w:footerReference r:id="rId10" w:type="default"/>
      <w:pgSz w:h="15840" w:w="12240"/>
      <w:pgMar w:bottom="1350" w:footer="562" w:gutter="0" w:header="562" w:left="1350" w:right="1350" w:top="1350"/>
      <w:pgNumType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4" w:color="9AA7C2"/>
      </w:pBdr>
      <w:jc w:val="center"/>
      <w:rPr>
        <w:rFonts w:asciiTheme="minorHAnsi" w:hAnsiTheme="minorHAnsi"/>
        <w:color w:val="5B6B8C"/>
        <w:sz w:val="17"/>
      </w:rPr>
    </w:pPr>
    <w:r>
      <w:rPr>
        <w:rFonts w:asciiTheme="minorHAnsi" w:hAnsiTheme="minorHAnsi"/>
        <w:color w:val="5B6B8C"/>
        <w:sz w:val="17"/>
      </w:rPr>
      <w:t xml:space="preserve">THE AMANAT FRAMEWORK  |  Negotiating Draft  |  Page </w:t>
    </w:r>
    <w:r>
      <w:rPr>
        <w:rFonts w:asciiTheme="minorHAnsi" w:hAnsiTheme="minorHAnsi"/>
        <w:color w:val="5B6B8C"/>
        <w:sz w:val="17"/>
      </w:rPr>
      <w:fldChar w:fldCharType="begin"/>
    </w:r>
    <w:r>
      <w:rPr>
        <w:rFonts w:asciiTheme="minorHAnsi" w:hAnsiTheme="minorHAnsi"/>
        <w:color w:val="5B6B8C"/>
        <w:sz w:val="17"/>
      </w:rPr>
      <w:instrText xml:space="preserve"> PAGE </w:instrText>
    </w:r>
    <w:r>
      <w:rPr>
        <w:rFonts w:asciiTheme="minorHAnsi" w:hAnsiTheme="minorHAnsi"/>
        <w:color w:val="5B6B8C"/>
        <w:sz w:val="17"/>
      </w:rPr>
      <w:fldChar w:fldCharType="separate"/>
    </w:r>
    <w:r>
      <w:rPr>
        <w:rFonts w:asciiTheme="minorHAnsi" w:hAnsiTheme="minorHAnsi"/>
        <w:color w:val="5B6B8C"/>
        <w:sz w:val="17"/>
      </w:rPr>
      <w:t>1</w:t>
    </w:r>
    <w:r>
      <w:rPr>
        <w:rFonts w:asciiTheme="minorHAnsi" w:hAnsiTheme="minorHAnsi"/>
        <w:color w:val="5B6B8C"/>
        <w:sz w:val="17"/>
      </w:rPr>
      <w:fldChar w:fldCharType="end"/>
    </w:r>
    <w:r>
      <w:rPr>
        <w:rFonts w:asciiTheme="minorHAnsi" w:hAnsiTheme="minorHAnsi"/>
        <w:color w:val="5B6B8C"/>
        <w:sz w:val="17"/>
      </w:rPr>
      <w:t xml:space="preserve"> of </w:t>
    </w:r>
    <w:r>
      <w:rPr>
        <w:rFonts w:asciiTheme="minorHAnsi" w:hAnsiTheme="minorHAnsi"/>
        <w:color w:val="5B6B8C"/>
        <w:sz w:val="17"/>
      </w:rPr>
      <w:fldChar w:fldCharType="begin"/>
    </w:r>
    <w:r>
      <w:rPr>
        <w:rFonts w:asciiTheme="minorHAnsi" w:hAnsiTheme="minorHAnsi"/>
        <w:color w:val="5B6B8C"/>
        <w:sz w:val="17"/>
      </w:rPr>
      <w:instrText xml:space="preserve"> NUMPAGES </w:instrText>
    </w:r>
    <w:r>
      <w:rPr>
        <w:rFonts w:asciiTheme="minorHAnsi" w:hAnsiTheme="minorHAnsi"/>
        <w:color w:val="5B6B8C"/>
        <w:sz w:val="17"/>
      </w:rPr>
      <w:fldChar w:fldCharType="separate"/>
    </w:r>
    <w:r>
      <w:rPr>
        <w:rFonts w:asciiTheme="minorHAnsi" w:hAnsiTheme="minorHAnsi"/>
        <w:color w:val="5B6B8C"/>
        <w:sz w:val="17"/>
      </w:rPr>
      <w:t>1</w:t>
    </w:r>
    <w:r>
      <w:rPr>
        <w:rFonts w:asciiTheme="minorHAnsi" w:hAnsiTheme="minorHAnsi"/>
        <w:color w:val="5B6B8C"/>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4" w:space="4" w:color="9AA7C2"/>
      </w:pBdr>
      <w:jc w:val="right"/>
      <w:rPr>
        <w:rFonts w:asciiTheme="minorHAnsi" w:hAnsiTheme="minorHAnsi"/>
        <w:color w:val="5B6B8C"/>
        <w:sz w:val="16"/>
        <w:caps/>
      </w:rPr>
    </w:pPr>
    <w:r>
      <w:rPr>
        <w:rFonts w:asciiTheme="minorHAnsi" w:hAnsiTheme="minorHAnsi"/>
        <w:color w:val="5B6B8C"/>
        <w:sz w:val="16"/>
        <w:caps/>
      </w:rPr>
      <w:t>A Multi-Layered, Multi-Phased Governance Architecture for the Strait of Hormuz</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16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60" w:before="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40" w:line="252" w:lineRule="auto"/>
      <w:jc w:val="left"/>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864"/>
      <w:spacing w:val="10"/>
      <w:sz w:val="46"/>
      <w:szCs w:val="46"/>
    </w:rPr>
  </w:style>
  <w:style w:styleId="Subtitle" w:type="paragraph">
    <w:name w:val="Subtitle"/>
    <w:basedOn w:val="Title"/>
    <w:next w:val="BodyText"/>
    <w:qFormat/>
    <w:pPr>
      <w:keepNext/>
      <w:keepLines/>
      <w:spacing w:after="240" w:before="240"/>
      <w:jc w:val="center"/>
    </w:pPr>
    <w:rPr>
      <w:i/>
      <w:color w:val="43526B"/>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pBdr>
        <w:bottom w:color="1F3864" w:space="6" w:sz="8" w:val="single"/>
      </w:pBdr>
      <w:spacing w:after="200" w:before="240"/>
      <w:outlineLvl w:val="0"/>
    </w:pPr>
    <w:rPr>
      <w:rFonts w:asciiTheme="majorHAnsi" w:cstheme="majorBidi" w:eastAsiaTheme="majorEastAsia" w:hAnsiTheme="majorHAnsi"/>
      <w:b/>
      <w:bCs/>
      <w:color w:val="1F3864"/>
      <w:sz w:val="32"/>
      <w:szCs w:val="32"/>
    </w:rPr>
  </w:style>
  <w:style w:styleId="Heading2" w:type="paragraph">
    <w:name w:val="Heading 2"/>
    <w:basedOn w:val="Normal"/>
    <w:next w:val="BodyText"/>
    <w:uiPriority w:val="9"/>
    <w:unhideWhenUsed/>
    <w:qFormat/>
    <w:pPr>
      <w:keepNext/>
      <w:keepLines/>
      <w:spacing w:after="160" w:before="360"/>
      <w:outlineLvl w:val="1"/>
    </w:pPr>
    <w:rPr>
      <w:rFonts w:asciiTheme="majorHAnsi" w:cstheme="majorBidi" w:eastAsiaTheme="majorEastAsia" w:hAnsiTheme="majorHAnsi"/>
      <w:b/>
      <w:bCs/>
      <w:color w:val="1F3864"/>
      <w:sz w:val="26"/>
      <w:szCs w:val="26"/>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b/>
      <w:bCs/>
      <w:color w:val="333333"/>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1"/>
    <w:tblPr>
      <w:tblInd w:type="dxa" w:w="0"/>
      <w:tblBorders>
        <w:top w:color="9AA7C2" w:space="0" w:sz="4" w:val="single"/>
        <w:left w:color="9AA7C2" w:space="0" w:sz="4" w:val="single"/>
        <w:bottom w:color="9AA7C2" w:space="0" w:sz="4" w:val="single"/>
        <w:right w:color="9AA7C2" w:space="0" w:sz="4" w:val="single"/>
        <w:insideH w:color="9AA7C2" w:space="0" w:sz="4" w:val="single"/>
        <w:insideV w:color="9AA7C2" w:space="0" w:sz="4" w:val="single"/>
      </w:tblBorders>
      <w:tblCellMar>
        <w:top w:type="dxa" w:w="60"/>
        <w:left w:type="dxa" w:w="120"/>
        <w:bottom w:type="dxa" w:w="60"/>
        <w:right w:type="dxa" w:w="120"/>
      </w:tblCellMar>
    </w:tblPr>
    <w:tblStylePr w:type="firstRow">
      <w:rPr>
        <w:b/>
        <w:color w:val="1F3864"/>
      </w:rPr>
      <w:tblPr>
        <w:jc w:val="left"/>
        <w:tblInd w:type="dxa" w:w="0"/>
      </w:tblPr>
      <w:trPr>
        <w:jc w:val="left"/>
        <w:tblHeader/>
      </w:trPr>
      <w:tcPr>
        <w:tcBorders>
          <w:bottom w:color="1F3864" w:sz="6" w:val="single"/>
        </w:tcBorders>
        <w:shd w:color="auto" w:fill="DCE3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eorg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AMANAT FRAMEWORK</dc:title>
  <dc:creator>Version 1.0 | August 2026; Negotiating Draft for Authorized Participants | Not an Executed Instrument; The Islamic Republic of Iran and the Sultanate of Oman, as Founding Parties; with a defined accession path for the United Arab Emirates, the Kingdom of Saudi Arabia, the State of Qatar, the Kingdom of Bahrain, the State of Kuwait, and the Republic of Iraq; Endorsing Stakeholder: The United States of America; Mediator of Record: The Sultanate of Oman | Neutral Administrator: The Swiss Confederation; Facilitators: The State of Qatar and the Islamic Republic of Pakistan</dc:creator>
  <cp:keywords/>
  <dcterms:created xsi:type="dcterms:W3CDTF">2026-08-12T10:24:44Z</dcterms:created>
  <dcterms:modified xsi:type="dcterms:W3CDTF">2026-08-12T10:24:44Z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Seated at the Hormuz Operations Center, Muscat, with a Mirror Facility of Equal Rank at Bandar Abbas</vt:lpwstr>
  </property>
  <property fmtid="{D5CDD505-2E9C-101B-9397-08002B2CF9AE}" pid="3" name="subtitle">
    <vt:lpwstr>A Multi-Layered, Multi-Phased Governance Architecture for the Strait of Hormuz</vt:lpwstr>
  </property>
</Properties>
</file>