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4911" w14:textId="77777777" w:rsidR="0027270B" w:rsidRDefault="00000000">
      <w:pPr>
        <w:spacing w:before="2200" w:after="0"/>
        <w:jc w:val="center"/>
      </w:pPr>
      <w:r>
        <w:rPr>
          <w:color w:val="3E6B8F"/>
          <w:sz w:val="24"/>
        </w:rPr>
        <w:t>GOVERNANCE ARCHITECTURE FOR THE STRAIT OF HORMUZ</w:t>
      </w:r>
    </w:p>
    <w:p w14:paraId="65F3E8FD" w14:textId="77777777" w:rsidR="0027270B" w:rsidRDefault="00000000">
      <w:pPr>
        <w:shd w:val="clear" w:color="auto" w:fill="1B3A5C"/>
        <w:spacing w:before="480" w:after="0" w:line="440" w:lineRule="auto"/>
        <w:jc w:val="center"/>
      </w:pPr>
      <w:r>
        <w:rPr>
          <w:sz w:val="24"/>
        </w:rPr>
        <w:t xml:space="preserve"> </w:t>
      </w:r>
    </w:p>
    <w:p w14:paraId="593E2D9E" w14:textId="77777777" w:rsidR="0027270B" w:rsidRDefault="00000000">
      <w:pPr>
        <w:shd w:val="clear" w:color="auto" w:fill="1B3A5C"/>
        <w:spacing w:after="0" w:line="560" w:lineRule="auto"/>
        <w:jc w:val="center"/>
      </w:pPr>
      <w:r>
        <w:rPr>
          <w:b/>
          <w:color w:val="FFFFFF"/>
          <w:sz w:val="76"/>
        </w:rPr>
        <w:t>THE BLUE PASSAGE</w:t>
      </w:r>
    </w:p>
    <w:p w14:paraId="4168DBF7" w14:textId="77777777" w:rsidR="0027270B" w:rsidRDefault="00000000">
      <w:pPr>
        <w:shd w:val="clear" w:color="auto" w:fill="1B3A5C"/>
        <w:spacing w:after="0" w:line="560" w:lineRule="auto"/>
        <w:jc w:val="center"/>
      </w:pPr>
      <w:r>
        <w:rPr>
          <w:b/>
          <w:color w:val="FFFFFF"/>
          <w:sz w:val="76"/>
        </w:rPr>
        <w:t>PEACE ACCORD</w:t>
      </w:r>
    </w:p>
    <w:p w14:paraId="6ECB7D33" w14:textId="77777777" w:rsidR="0027270B" w:rsidRDefault="00000000">
      <w:pPr>
        <w:shd w:val="clear" w:color="auto" w:fill="1B3A5C"/>
        <w:spacing w:before="120" w:after="0" w:line="440" w:lineRule="auto"/>
        <w:jc w:val="center"/>
      </w:pPr>
      <w:r>
        <w:rPr>
          <w:sz w:val="24"/>
        </w:rPr>
        <w:t xml:space="preserve"> </w:t>
      </w:r>
    </w:p>
    <w:p w14:paraId="0F8F1201" w14:textId="77777777" w:rsidR="0027270B" w:rsidRDefault="00000000">
      <w:pPr>
        <w:spacing w:before="560" w:after="120"/>
        <w:jc w:val="center"/>
      </w:pPr>
      <w:r>
        <w:rPr>
          <w:i/>
          <w:color w:val="51656F"/>
          <w:sz w:val="26"/>
        </w:rPr>
        <w:t>A Cooperative, Verified, and Durable Framework for Open, Safe, and Predictable Navigation</w:t>
      </w:r>
    </w:p>
    <w:p w14:paraId="7EB2693B" w14:textId="77777777" w:rsidR="0027270B" w:rsidRDefault="00000000">
      <w:pPr>
        <w:spacing w:before="2400" w:after="60"/>
        <w:jc w:val="center"/>
      </w:pPr>
      <w:r>
        <w:rPr>
          <w:b/>
          <w:color w:val="1B3A5C"/>
          <w:sz w:val="24"/>
        </w:rPr>
        <w:t>Version 1.0</w:t>
      </w:r>
    </w:p>
    <w:p w14:paraId="1D7BF778" w14:textId="77777777" w:rsidR="0027270B" w:rsidRDefault="00000000">
      <w:pPr>
        <w:spacing w:after="60"/>
        <w:jc w:val="center"/>
      </w:pPr>
      <w:r>
        <w:rPr>
          <w:color w:val="51656F"/>
          <w:sz w:val="24"/>
        </w:rPr>
        <w:t>Muscat, August 2026</w:t>
      </w:r>
    </w:p>
    <w:p w14:paraId="37D173F6" w14:textId="77777777" w:rsidR="0027270B" w:rsidRDefault="00000000">
      <w:pPr>
        <w:spacing w:after="60"/>
        <w:jc w:val="center"/>
      </w:pPr>
      <w:r>
        <w:rPr>
          <w:color w:val="51656F"/>
          <w:sz w:val="22"/>
        </w:rPr>
        <w:t>Drawn up under the Mediation of the Sultanate of Oman</w:t>
      </w:r>
    </w:p>
    <w:p w14:paraId="795A7523" w14:textId="77777777" w:rsidR="0027270B" w:rsidRDefault="00000000">
      <w:pPr>
        <w:spacing w:before="1200" w:after="0"/>
        <w:jc w:val="center"/>
      </w:pPr>
      <w:r>
        <w:rPr>
          <w:color w:val="7FA3BF"/>
          <w:sz w:val="20"/>
        </w:rPr>
        <w:t>The Blue Corridor System  |  The 72-Hour Blue Opening  |  The Zero-Toll Rule  |  The Cothrom Blue Verification Method</w:t>
      </w:r>
    </w:p>
    <w:p w14:paraId="1E4CB894" w14:textId="77777777" w:rsidR="0027270B" w:rsidRDefault="0027270B">
      <w:pPr>
        <w:sectPr w:rsidR="0027270B">
          <w:pgSz w:w="11906" w:h="16838"/>
          <w:pgMar w:top="1134" w:right="1134" w:bottom="1134" w:left="1134" w:header="0" w:footer="0" w:gutter="0"/>
          <w:pgBorders w:display="firstPage" w:offsetFrom="page">
            <w:top w:val="double" w:sz="12" w:space="28" w:color="1B3A5C"/>
            <w:left w:val="double" w:sz="12" w:space="28" w:color="1B3A5C"/>
            <w:bottom w:val="double" w:sz="12" w:space="28" w:color="1B3A5C"/>
            <w:right w:val="double" w:sz="12" w:space="28" w:color="1B3A5C"/>
          </w:pgBorders>
          <w:cols w:space="720"/>
        </w:sectPr>
      </w:pPr>
    </w:p>
    <w:p w14:paraId="0051B8CC" w14:textId="77777777" w:rsidR="0027270B" w:rsidRDefault="00000000">
      <w:pPr>
        <w:keepNext/>
        <w:spacing w:before="240" w:after="240"/>
      </w:pPr>
      <w:r>
        <w:rPr>
          <w:b/>
          <w:color w:val="1B3A5C"/>
          <w:sz w:val="32"/>
        </w:rPr>
        <w:lastRenderedPageBreak/>
        <w:t>TABLE OF CONTENTS</w:t>
      </w:r>
    </w:p>
    <w:p w14:paraId="54D769E7" w14:textId="65DF6111" w:rsidR="00D72D24" w:rsidRDefault="00000000">
      <w:pPr>
        <w:pStyle w:val="TOC1"/>
        <w:rPr>
          <w:rFonts w:asciiTheme="minorHAnsi" w:eastAsiaTheme="minorEastAsia" w:hAnsiTheme="minorHAnsi"/>
          <w:b w:val="0"/>
          <w:noProof/>
          <w:color w:val="auto"/>
          <w:sz w:val="24"/>
        </w:rPr>
      </w:pPr>
      <w:r>
        <w:fldChar w:fldCharType="begin"/>
      </w:r>
      <w:r>
        <w:instrText xml:space="preserve"> TOC \o "1-3" \h \z \u </w:instrText>
      </w:r>
      <w:r>
        <w:fldChar w:fldCharType="separate"/>
      </w:r>
      <w:hyperlink w:anchor="_Toc237648449" w:history="1">
        <w:r w:rsidR="00D72D24" w:rsidRPr="00CD2BBA">
          <w:rPr>
            <w:rStyle w:val="Hyperlink"/>
            <w:noProof/>
          </w:rPr>
          <w:t>Document Control</w:t>
        </w:r>
        <w:r w:rsidR="00D72D24">
          <w:rPr>
            <w:noProof/>
            <w:webHidden/>
          </w:rPr>
          <w:tab/>
        </w:r>
        <w:r w:rsidR="00D72D24">
          <w:rPr>
            <w:noProof/>
            <w:webHidden/>
          </w:rPr>
          <w:fldChar w:fldCharType="begin"/>
        </w:r>
        <w:r w:rsidR="00D72D24">
          <w:rPr>
            <w:noProof/>
            <w:webHidden/>
          </w:rPr>
          <w:instrText xml:space="preserve"> PAGEREF _Toc237648449 \h </w:instrText>
        </w:r>
        <w:r w:rsidR="00D72D24">
          <w:rPr>
            <w:noProof/>
            <w:webHidden/>
          </w:rPr>
        </w:r>
        <w:r w:rsidR="00D72D24">
          <w:rPr>
            <w:noProof/>
            <w:webHidden/>
          </w:rPr>
          <w:fldChar w:fldCharType="separate"/>
        </w:r>
        <w:r w:rsidR="00D72D24">
          <w:rPr>
            <w:noProof/>
            <w:webHidden/>
          </w:rPr>
          <w:t>6</w:t>
        </w:r>
        <w:r w:rsidR="00D72D24">
          <w:rPr>
            <w:noProof/>
            <w:webHidden/>
          </w:rPr>
          <w:fldChar w:fldCharType="end"/>
        </w:r>
      </w:hyperlink>
    </w:p>
    <w:p w14:paraId="6706AAEB" w14:textId="7F117EE3" w:rsidR="00D72D24" w:rsidRDefault="00D72D24">
      <w:pPr>
        <w:pStyle w:val="TOC2"/>
        <w:rPr>
          <w:rFonts w:asciiTheme="minorHAnsi" w:eastAsiaTheme="minorEastAsia" w:hAnsiTheme="minorHAnsi"/>
          <w:noProof/>
          <w:color w:val="auto"/>
          <w:sz w:val="24"/>
        </w:rPr>
      </w:pPr>
      <w:hyperlink w:anchor="_Toc237648450" w:history="1">
        <w:r w:rsidRPr="00CD2BBA">
          <w:rPr>
            <w:rStyle w:val="Hyperlink"/>
            <w:noProof/>
          </w:rPr>
          <w:t>Drafting Discipline Note</w:t>
        </w:r>
        <w:r>
          <w:rPr>
            <w:noProof/>
            <w:webHidden/>
          </w:rPr>
          <w:tab/>
        </w:r>
        <w:r>
          <w:rPr>
            <w:noProof/>
            <w:webHidden/>
          </w:rPr>
          <w:fldChar w:fldCharType="begin"/>
        </w:r>
        <w:r>
          <w:rPr>
            <w:noProof/>
            <w:webHidden/>
          </w:rPr>
          <w:instrText xml:space="preserve"> PAGEREF _Toc237648450 \h </w:instrText>
        </w:r>
        <w:r>
          <w:rPr>
            <w:noProof/>
            <w:webHidden/>
          </w:rPr>
        </w:r>
        <w:r>
          <w:rPr>
            <w:noProof/>
            <w:webHidden/>
          </w:rPr>
          <w:fldChar w:fldCharType="separate"/>
        </w:r>
        <w:r>
          <w:rPr>
            <w:noProof/>
            <w:webHidden/>
          </w:rPr>
          <w:t>6</w:t>
        </w:r>
        <w:r>
          <w:rPr>
            <w:noProof/>
            <w:webHidden/>
          </w:rPr>
          <w:fldChar w:fldCharType="end"/>
        </w:r>
      </w:hyperlink>
    </w:p>
    <w:p w14:paraId="05D7D7B6" w14:textId="28525FE6" w:rsidR="00D72D24" w:rsidRDefault="00D72D24">
      <w:pPr>
        <w:pStyle w:val="TOC2"/>
        <w:rPr>
          <w:rFonts w:asciiTheme="minorHAnsi" w:eastAsiaTheme="minorEastAsia" w:hAnsiTheme="minorHAnsi"/>
          <w:noProof/>
          <w:color w:val="auto"/>
          <w:sz w:val="24"/>
        </w:rPr>
      </w:pPr>
      <w:hyperlink w:anchor="_Toc237648451" w:history="1">
        <w:r w:rsidRPr="00CD2BBA">
          <w:rPr>
            <w:rStyle w:val="Hyperlink"/>
            <w:noProof/>
          </w:rPr>
          <w:t>How to Read This Accord</w:t>
        </w:r>
        <w:r>
          <w:rPr>
            <w:noProof/>
            <w:webHidden/>
          </w:rPr>
          <w:tab/>
        </w:r>
        <w:r>
          <w:rPr>
            <w:noProof/>
            <w:webHidden/>
          </w:rPr>
          <w:fldChar w:fldCharType="begin"/>
        </w:r>
        <w:r>
          <w:rPr>
            <w:noProof/>
            <w:webHidden/>
          </w:rPr>
          <w:instrText xml:space="preserve"> PAGEREF _Toc237648451 \h </w:instrText>
        </w:r>
        <w:r>
          <w:rPr>
            <w:noProof/>
            <w:webHidden/>
          </w:rPr>
        </w:r>
        <w:r>
          <w:rPr>
            <w:noProof/>
            <w:webHidden/>
          </w:rPr>
          <w:fldChar w:fldCharType="separate"/>
        </w:r>
        <w:r>
          <w:rPr>
            <w:noProof/>
            <w:webHidden/>
          </w:rPr>
          <w:t>6</w:t>
        </w:r>
        <w:r>
          <w:rPr>
            <w:noProof/>
            <w:webHidden/>
          </w:rPr>
          <w:fldChar w:fldCharType="end"/>
        </w:r>
      </w:hyperlink>
    </w:p>
    <w:p w14:paraId="447B0888" w14:textId="596A2C26" w:rsidR="00D72D24" w:rsidRDefault="00D72D24">
      <w:pPr>
        <w:pStyle w:val="TOC1"/>
        <w:rPr>
          <w:rFonts w:asciiTheme="minorHAnsi" w:eastAsiaTheme="minorEastAsia" w:hAnsiTheme="minorHAnsi"/>
          <w:b w:val="0"/>
          <w:noProof/>
          <w:color w:val="auto"/>
          <w:sz w:val="24"/>
        </w:rPr>
      </w:pPr>
      <w:hyperlink w:anchor="_Toc237648452" w:history="1">
        <w:r w:rsidRPr="00CD2BBA">
          <w:rPr>
            <w:rStyle w:val="Hyperlink"/>
            <w:noProof/>
          </w:rPr>
          <w:t>Preamble: The Moment of August 2026</w:t>
        </w:r>
        <w:r>
          <w:rPr>
            <w:noProof/>
            <w:webHidden/>
          </w:rPr>
          <w:tab/>
        </w:r>
        <w:r>
          <w:rPr>
            <w:noProof/>
            <w:webHidden/>
          </w:rPr>
          <w:fldChar w:fldCharType="begin"/>
        </w:r>
        <w:r>
          <w:rPr>
            <w:noProof/>
            <w:webHidden/>
          </w:rPr>
          <w:instrText xml:space="preserve"> PAGEREF _Toc237648452 \h </w:instrText>
        </w:r>
        <w:r>
          <w:rPr>
            <w:noProof/>
            <w:webHidden/>
          </w:rPr>
        </w:r>
        <w:r>
          <w:rPr>
            <w:noProof/>
            <w:webHidden/>
          </w:rPr>
          <w:fldChar w:fldCharType="separate"/>
        </w:r>
        <w:r>
          <w:rPr>
            <w:noProof/>
            <w:webHidden/>
          </w:rPr>
          <w:t>7</w:t>
        </w:r>
        <w:r>
          <w:rPr>
            <w:noProof/>
            <w:webHidden/>
          </w:rPr>
          <w:fldChar w:fldCharType="end"/>
        </w:r>
      </w:hyperlink>
    </w:p>
    <w:p w14:paraId="3F0311B6" w14:textId="1ECF3A6C" w:rsidR="00D72D24" w:rsidRDefault="00D72D24">
      <w:pPr>
        <w:pStyle w:val="TOC1"/>
        <w:rPr>
          <w:rFonts w:asciiTheme="minorHAnsi" w:eastAsiaTheme="minorEastAsia" w:hAnsiTheme="minorHAnsi"/>
          <w:b w:val="0"/>
          <w:noProof/>
          <w:color w:val="auto"/>
          <w:sz w:val="24"/>
        </w:rPr>
      </w:pPr>
      <w:hyperlink w:anchor="_Toc237648453" w:history="1">
        <w:r w:rsidRPr="00CD2BBA">
          <w:rPr>
            <w:rStyle w:val="Hyperlink"/>
            <w:noProof/>
          </w:rPr>
          <w:t>The Blue Passage Declaration of Operating Principles</w:t>
        </w:r>
        <w:r>
          <w:rPr>
            <w:noProof/>
            <w:webHidden/>
          </w:rPr>
          <w:tab/>
        </w:r>
        <w:r>
          <w:rPr>
            <w:noProof/>
            <w:webHidden/>
          </w:rPr>
          <w:fldChar w:fldCharType="begin"/>
        </w:r>
        <w:r>
          <w:rPr>
            <w:noProof/>
            <w:webHidden/>
          </w:rPr>
          <w:instrText xml:space="preserve"> PAGEREF _Toc237648453 \h </w:instrText>
        </w:r>
        <w:r>
          <w:rPr>
            <w:noProof/>
            <w:webHidden/>
          </w:rPr>
        </w:r>
        <w:r>
          <w:rPr>
            <w:noProof/>
            <w:webHidden/>
          </w:rPr>
          <w:fldChar w:fldCharType="separate"/>
        </w:r>
        <w:r>
          <w:rPr>
            <w:noProof/>
            <w:webHidden/>
          </w:rPr>
          <w:t>8</w:t>
        </w:r>
        <w:r>
          <w:rPr>
            <w:noProof/>
            <w:webHidden/>
          </w:rPr>
          <w:fldChar w:fldCharType="end"/>
        </w:r>
      </w:hyperlink>
    </w:p>
    <w:p w14:paraId="73CB57D1" w14:textId="36001607" w:rsidR="00D72D24" w:rsidRDefault="00D72D24">
      <w:pPr>
        <w:pStyle w:val="TOC1"/>
        <w:rPr>
          <w:rFonts w:asciiTheme="minorHAnsi" w:eastAsiaTheme="minorEastAsia" w:hAnsiTheme="minorHAnsi"/>
          <w:b w:val="0"/>
          <w:noProof/>
          <w:color w:val="auto"/>
          <w:sz w:val="24"/>
        </w:rPr>
      </w:pPr>
      <w:hyperlink w:anchor="_Toc237648454" w:history="1">
        <w:r w:rsidRPr="00CD2BBA">
          <w:rPr>
            <w:rStyle w:val="Hyperlink"/>
            <w:noProof/>
          </w:rPr>
          <w:t>PART I: FOUNDATIONS</w:t>
        </w:r>
        <w:r>
          <w:rPr>
            <w:noProof/>
            <w:webHidden/>
          </w:rPr>
          <w:tab/>
        </w:r>
        <w:r>
          <w:rPr>
            <w:noProof/>
            <w:webHidden/>
          </w:rPr>
          <w:fldChar w:fldCharType="begin"/>
        </w:r>
        <w:r>
          <w:rPr>
            <w:noProof/>
            <w:webHidden/>
          </w:rPr>
          <w:instrText xml:space="preserve"> PAGEREF _Toc237648454 \h </w:instrText>
        </w:r>
        <w:r>
          <w:rPr>
            <w:noProof/>
            <w:webHidden/>
          </w:rPr>
        </w:r>
        <w:r>
          <w:rPr>
            <w:noProof/>
            <w:webHidden/>
          </w:rPr>
          <w:fldChar w:fldCharType="separate"/>
        </w:r>
        <w:r>
          <w:rPr>
            <w:noProof/>
            <w:webHidden/>
          </w:rPr>
          <w:t>9</w:t>
        </w:r>
        <w:r>
          <w:rPr>
            <w:noProof/>
            <w:webHidden/>
          </w:rPr>
          <w:fldChar w:fldCharType="end"/>
        </w:r>
      </w:hyperlink>
    </w:p>
    <w:p w14:paraId="5AF4F1EC" w14:textId="5D6DAE5C" w:rsidR="00D72D24" w:rsidRDefault="00D72D24">
      <w:pPr>
        <w:pStyle w:val="TOC2"/>
        <w:rPr>
          <w:rFonts w:asciiTheme="minorHAnsi" w:eastAsiaTheme="minorEastAsia" w:hAnsiTheme="minorHAnsi"/>
          <w:noProof/>
          <w:color w:val="auto"/>
          <w:sz w:val="24"/>
        </w:rPr>
      </w:pPr>
      <w:hyperlink w:anchor="_Toc237648455" w:history="1">
        <w:r w:rsidRPr="00CD2BBA">
          <w:rPr>
            <w:rStyle w:val="Hyperlink"/>
            <w:noProof/>
          </w:rPr>
          <w:t>Article 1: Purpose and Scope</w:t>
        </w:r>
        <w:r>
          <w:rPr>
            <w:noProof/>
            <w:webHidden/>
          </w:rPr>
          <w:tab/>
        </w:r>
        <w:r>
          <w:rPr>
            <w:noProof/>
            <w:webHidden/>
          </w:rPr>
          <w:fldChar w:fldCharType="begin"/>
        </w:r>
        <w:r>
          <w:rPr>
            <w:noProof/>
            <w:webHidden/>
          </w:rPr>
          <w:instrText xml:space="preserve"> PAGEREF _Toc237648455 \h </w:instrText>
        </w:r>
        <w:r>
          <w:rPr>
            <w:noProof/>
            <w:webHidden/>
          </w:rPr>
        </w:r>
        <w:r>
          <w:rPr>
            <w:noProof/>
            <w:webHidden/>
          </w:rPr>
          <w:fldChar w:fldCharType="separate"/>
        </w:r>
        <w:r>
          <w:rPr>
            <w:noProof/>
            <w:webHidden/>
          </w:rPr>
          <w:t>9</w:t>
        </w:r>
        <w:r>
          <w:rPr>
            <w:noProof/>
            <w:webHidden/>
          </w:rPr>
          <w:fldChar w:fldCharType="end"/>
        </w:r>
      </w:hyperlink>
    </w:p>
    <w:p w14:paraId="01F1D476" w14:textId="134C7A2E" w:rsidR="00D72D24" w:rsidRDefault="00D72D24">
      <w:pPr>
        <w:pStyle w:val="TOC2"/>
        <w:rPr>
          <w:rFonts w:asciiTheme="minorHAnsi" w:eastAsiaTheme="minorEastAsia" w:hAnsiTheme="minorHAnsi"/>
          <w:noProof/>
          <w:color w:val="auto"/>
          <w:sz w:val="24"/>
        </w:rPr>
      </w:pPr>
      <w:hyperlink w:anchor="_Toc237648456" w:history="1">
        <w:r w:rsidRPr="00CD2BBA">
          <w:rPr>
            <w:rStyle w:val="Hyperlink"/>
            <w:noProof/>
          </w:rPr>
          <w:t>Article 2: Definitions and Interpretation</w:t>
        </w:r>
        <w:r>
          <w:rPr>
            <w:noProof/>
            <w:webHidden/>
          </w:rPr>
          <w:tab/>
        </w:r>
        <w:r>
          <w:rPr>
            <w:noProof/>
            <w:webHidden/>
          </w:rPr>
          <w:fldChar w:fldCharType="begin"/>
        </w:r>
        <w:r>
          <w:rPr>
            <w:noProof/>
            <w:webHidden/>
          </w:rPr>
          <w:instrText xml:space="preserve"> PAGEREF _Toc237648456 \h </w:instrText>
        </w:r>
        <w:r>
          <w:rPr>
            <w:noProof/>
            <w:webHidden/>
          </w:rPr>
        </w:r>
        <w:r>
          <w:rPr>
            <w:noProof/>
            <w:webHidden/>
          </w:rPr>
          <w:fldChar w:fldCharType="separate"/>
        </w:r>
        <w:r>
          <w:rPr>
            <w:noProof/>
            <w:webHidden/>
          </w:rPr>
          <w:t>9</w:t>
        </w:r>
        <w:r>
          <w:rPr>
            <w:noProof/>
            <w:webHidden/>
          </w:rPr>
          <w:fldChar w:fldCharType="end"/>
        </w:r>
      </w:hyperlink>
    </w:p>
    <w:p w14:paraId="357071A8" w14:textId="7F69A7E1" w:rsidR="00D72D24" w:rsidRDefault="00D72D24">
      <w:pPr>
        <w:pStyle w:val="TOC2"/>
        <w:rPr>
          <w:rFonts w:asciiTheme="minorHAnsi" w:eastAsiaTheme="minorEastAsia" w:hAnsiTheme="minorHAnsi"/>
          <w:noProof/>
          <w:color w:val="auto"/>
          <w:sz w:val="24"/>
        </w:rPr>
      </w:pPr>
      <w:hyperlink w:anchor="_Toc237648457" w:history="1">
        <w:r w:rsidRPr="00CD2BBA">
          <w:rPr>
            <w:rStyle w:val="Hyperlink"/>
            <w:noProof/>
          </w:rPr>
          <w:t>Article 3: The Operating Principles</w:t>
        </w:r>
        <w:r>
          <w:rPr>
            <w:noProof/>
            <w:webHidden/>
          </w:rPr>
          <w:tab/>
        </w:r>
        <w:r>
          <w:rPr>
            <w:noProof/>
            <w:webHidden/>
          </w:rPr>
          <w:fldChar w:fldCharType="begin"/>
        </w:r>
        <w:r>
          <w:rPr>
            <w:noProof/>
            <w:webHidden/>
          </w:rPr>
          <w:instrText xml:space="preserve"> PAGEREF _Toc237648457 \h </w:instrText>
        </w:r>
        <w:r>
          <w:rPr>
            <w:noProof/>
            <w:webHidden/>
          </w:rPr>
        </w:r>
        <w:r>
          <w:rPr>
            <w:noProof/>
            <w:webHidden/>
          </w:rPr>
          <w:fldChar w:fldCharType="separate"/>
        </w:r>
        <w:r>
          <w:rPr>
            <w:noProof/>
            <w:webHidden/>
          </w:rPr>
          <w:t>10</w:t>
        </w:r>
        <w:r>
          <w:rPr>
            <w:noProof/>
            <w:webHidden/>
          </w:rPr>
          <w:fldChar w:fldCharType="end"/>
        </w:r>
      </w:hyperlink>
    </w:p>
    <w:p w14:paraId="35C51C1E" w14:textId="0BE91C71" w:rsidR="00D72D24" w:rsidRDefault="00D72D24">
      <w:pPr>
        <w:pStyle w:val="TOC2"/>
        <w:rPr>
          <w:rFonts w:asciiTheme="minorHAnsi" w:eastAsiaTheme="minorEastAsia" w:hAnsiTheme="minorHAnsi"/>
          <w:noProof/>
          <w:color w:val="auto"/>
          <w:sz w:val="24"/>
        </w:rPr>
      </w:pPr>
      <w:hyperlink w:anchor="_Toc237648458" w:history="1">
        <w:r w:rsidRPr="00CD2BBA">
          <w:rPr>
            <w:rStyle w:val="Hyperlink"/>
            <w:noProof/>
          </w:rPr>
          <w:t>Article 4: The Simplicity Rule and the Five-Step Limit</w:t>
        </w:r>
        <w:r>
          <w:rPr>
            <w:noProof/>
            <w:webHidden/>
          </w:rPr>
          <w:tab/>
        </w:r>
        <w:r>
          <w:rPr>
            <w:noProof/>
            <w:webHidden/>
          </w:rPr>
          <w:fldChar w:fldCharType="begin"/>
        </w:r>
        <w:r>
          <w:rPr>
            <w:noProof/>
            <w:webHidden/>
          </w:rPr>
          <w:instrText xml:space="preserve"> PAGEREF _Toc237648458 \h </w:instrText>
        </w:r>
        <w:r>
          <w:rPr>
            <w:noProof/>
            <w:webHidden/>
          </w:rPr>
        </w:r>
        <w:r>
          <w:rPr>
            <w:noProof/>
            <w:webHidden/>
          </w:rPr>
          <w:fldChar w:fldCharType="separate"/>
        </w:r>
        <w:r>
          <w:rPr>
            <w:noProof/>
            <w:webHidden/>
          </w:rPr>
          <w:t>10</w:t>
        </w:r>
        <w:r>
          <w:rPr>
            <w:noProof/>
            <w:webHidden/>
          </w:rPr>
          <w:fldChar w:fldCharType="end"/>
        </w:r>
      </w:hyperlink>
    </w:p>
    <w:p w14:paraId="65D46C75" w14:textId="33087E31" w:rsidR="00D72D24" w:rsidRDefault="00D72D24">
      <w:pPr>
        <w:pStyle w:val="TOC2"/>
        <w:rPr>
          <w:rFonts w:asciiTheme="minorHAnsi" w:eastAsiaTheme="minorEastAsia" w:hAnsiTheme="minorHAnsi"/>
          <w:noProof/>
          <w:color w:val="auto"/>
          <w:sz w:val="24"/>
        </w:rPr>
      </w:pPr>
      <w:hyperlink w:anchor="_Toc237648459" w:history="1">
        <w:r w:rsidRPr="00CD2BBA">
          <w:rPr>
            <w:rStyle w:val="Hyperlink"/>
            <w:noProof/>
          </w:rPr>
          <w:t>Article 5: Non-Prejudice and the Sovereignty Shield</w:t>
        </w:r>
        <w:r>
          <w:rPr>
            <w:noProof/>
            <w:webHidden/>
          </w:rPr>
          <w:tab/>
        </w:r>
        <w:r>
          <w:rPr>
            <w:noProof/>
            <w:webHidden/>
          </w:rPr>
          <w:fldChar w:fldCharType="begin"/>
        </w:r>
        <w:r>
          <w:rPr>
            <w:noProof/>
            <w:webHidden/>
          </w:rPr>
          <w:instrText xml:space="preserve"> PAGEREF _Toc237648459 \h </w:instrText>
        </w:r>
        <w:r>
          <w:rPr>
            <w:noProof/>
            <w:webHidden/>
          </w:rPr>
        </w:r>
        <w:r>
          <w:rPr>
            <w:noProof/>
            <w:webHidden/>
          </w:rPr>
          <w:fldChar w:fldCharType="separate"/>
        </w:r>
        <w:r>
          <w:rPr>
            <w:noProof/>
            <w:webHidden/>
          </w:rPr>
          <w:t>10</w:t>
        </w:r>
        <w:r>
          <w:rPr>
            <w:noProof/>
            <w:webHidden/>
          </w:rPr>
          <w:fldChar w:fldCharType="end"/>
        </w:r>
      </w:hyperlink>
    </w:p>
    <w:p w14:paraId="2151C23C" w14:textId="4502B355" w:rsidR="00D72D24" w:rsidRDefault="00D72D24">
      <w:pPr>
        <w:pStyle w:val="TOC2"/>
        <w:rPr>
          <w:rFonts w:asciiTheme="minorHAnsi" w:eastAsiaTheme="minorEastAsia" w:hAnsiTheme="minorHAnsi"/>
          <w:noProof/>
          <w:color w:val="auto"/>
          <w:sz w:val="24"/>
        </w:rPr>
      </w:pPr>
      <w:hyperlink w:anchor="_Toc237648460" w:history="1">
        <w:r w:rsidRPr="00CD2BBA">
          <w:rPr>
            <w:rStyle w:val="Hyperlink"/>
            <w:noProof/>
          </w:rPr>
          <w:t>Article 6: The Nuclear Firewall Protocol</w:t>
        </w:r>
        <w:r>
          <w:rPr>
            <w:noProof/>
            <w:webHidden/>
          </w:rPr>
          <w:tab/>
        </w:r>
        <w:r>
          <w:rPr>
            <w:noProof/>
            <w:webHidden/>
          </w:rPr>
          <w:fldChar w:fldCharType="begin"/>
        </w:r>
        <w:r>
          <w:rPr>
            <w:noProof/>
            <w:webHidden/>
          </w:rPr>
          <w:instrText xml:space="preserve"> PAGEREF _Toc237648460 \h </w:instrText>
        </w:r>
        <w:r>
          <w:rPr>
            <w:noProof/>
            <w:webHidden/>
          </w:rPr>
        </w:r>
        <w:r>
          <w:rPr>
            <w:noProof/>
            <w:webHidden/>
          </w:rPr>
          <w:fldChar w:fldCharType="separate"/>
        </w:r>
        <w:r>
          <w:rPr>
            <w:noProof/>
            <w:webHidden/>
          </w:rPr>
          <w:t>11</w:t>
        </w:r>
        <w:r>
          <w:rPr>
            <w:noProof/>
            <w:webHidden/>
          </w:rPr>
          <w:fldChar w:fldCharType="end"/>
        </w:r>
      </w:hyperlink>
    </w:p>
    <w:p w14:paraId="589549B1" w14:textId="7C6771B5" w:rsidR="00D72D24" w:rsidRDefault="00D72D24">
      <w:pPr>
        <w:pStyle w:val="TOC2"/>
        <w:rPr>
          <w:rFonts w:asciiTheme="minorHAnsi" w:eastAsiaTheme="minorEastAsia" w:hAnsiTheme="minorHAnsi"/>
          <w:noProof/>
          <w:color w:val="auto"/>
          <w:sz w:val="24"/>
        </w:rPr>
      </w:pPr>
      <w:hyperlink w:anchor="_Toc237648461" w:history="1">
        <w:r w:rsidRPr="00CD2BBA">
          <w:rPr>
            <w:rStyle w:val="Hyperlink"/>
            <w:noProof/>
          </w:rPr>
          <w:t>Article 7: The Red Lines Register and the Perimeter Test</w:t>
        </w:r>
        <w:r>
          <w:rPr>
            <w:noProof/>
            <w:webHidden/>
          </w:rPr>
          <w:tab/>
        </w:r>
        <w:r>
          <w:rPr>
            <w:noProof/>
            <w:webHidden/>
          </w:rPr>
          <w:fldChar w:fldCharType="begin"/>
        </w:r>
        <w:r>
          <w:rPr>
            <w:noProof/>
            <w:webHidden/>
          </w:rPr>
          <w:instrText xml:space="preserve"> PAGEREF _Toc237648461 \h </w:instrText>
        </w:r>
        <w:r>
          <w:rPr>
            <w:noProof/>
            <w:webHidden/>
          </w:rPr>
        </w:r>
        <w:r>
          <w:rPr>
            <w:noProof/>
            <w:webHidden/>
          </w:rPr>
          <w:fldChar w:fldCharType="separate"/>
        </w:r>
        <w:r>
          <w:rPr>
            <w:noProof/>
            <w:webHidden/>
          </w:rPr>
          <w:t>11</w:t>
        </w:r>
        <w:r>
          <w:rPr>
            <w:noProof/>
            <w:webHidden/>
          </w:rPr>
          <w:fldChar w:fldCharType="end"/>
        </w:r>
      </w:hyperlink>
    </w:p>
    <w:p w14:paraId="7238F998" w14:textId="47656BCA" w:rsidR="00D72D24" w:rsidRDefault="00D72D24">
      <w:pPr>
        <w:pStyle w:val="TOC1"/>
        <w:rPr>
          <w:rFonts w:asciiTheme="minorHAnsi" w:eastAsiaTheme="minorEastAsia" w:hAnsiTheme="minorHAnsi"/>
          <w:b w:val="0"/>
          <w:noProof/>
          <w:color w:val="auto"/>
          <w:sz w:val="24"/>
        </w:rPr>
      </w:pPr>
      <w:hyperlink w:anchor="_Toc237648462" w:history="1">
        <w:r w:rsidRPr="00CD2BBA">
          <w:rPr>
            <w:rStyle w:val="Hyperlink"/>
            <w:noProof/>
          </w:rPr>
          <w:t>PART II: THE BLUE CORRIDOR SYSTEM</w:t>
        </w:r>
        <w:r>
          <w:rPr>
            <w:noProof/>
            <w:webHidden/>
          </w:rPr>
          <w:tab/>
        </w:r>
        <w:r>
          <w:rPr>
            <w:noProof/>
            <w:webHidden/>
          </w:rPr>
          <w:fldChar w:fldCharType="begin"/>
        </w:r>
        <w:r>
          <w:rPr>
            <w:noProof/>
            <w:webHidden/>
          </w:rPr>
          <w:instrText xml:space="preserve"> PAGEREF _Toc237648462 \h </w:instrText>
        </w:r>
        <w:r>
          <w:rPr>
            <w:noProof/>
            <w:webHidden/>
          </w:rPr>
        </w:r>
        <w:r>
          <w:rPr>
            <w:noProof/>
            <w:webHidden/>
          </w:rPr>
          <w:fldChar w:fldCharType="separate"/>
        </w:r>
        <w:r>
          <w:rPr>
            <w:noProof/>
            <w:webHidden/>
          </w:rPr>
          <w:t>13</w:t>
        </w:r>
        <w:r>
          <w:rPr>
            <w:noProof/>
            <w:webHidden/>
          </w:rPr>
          <w:fldChar w:fldCharType="end"/>
        </w:r>
      </w:hyperlink>
    </w:p>
    <w:p w14:paraId="0ECC2473" w14:textId="2361493C" w:rsidR="00D72D24" w:rsidRDefault="00D72D24">
      <w:pPr>
        <w:pStyle w:val="TOC2"/>
        <w:rPr>
          <w:rFonts w:asciiTheme="minorHAnsi" w:eastAsiaTheme="minorEastAsia" w:hAnsiTheme="minorHAnsi"/>
          <w:noProof/>
          <w:color w:val="auto"/>
          <w:sz w:val="24"/>
        </w:rPr>
      </w:pPr>
      <w:hyperlink w:anchor="_Toc237648463" w:history="1">
        <w:r w:rsidRPr="00CD2BBA">
          <w:rPr>
            <w:rStyle w:val="Hyperlink"/>
            <w:noProof/>
          </w:rPr>
          <w:t>Article 8: The Governance Area</w:t>
        </w:r>
        <w:r>
          <w:rPr>
            <w:noProof/>
            <w:webHidden/>
          </w:rPr>
          <w:tab/>
        </w:r>
        <w:r>
          <w:rPr>
            <w:noProof/>
            <w:webHidden/>
          </w:rPr>
          <w:fldChar w:fldCharType="begin"/>
        </w:r>
        <w:r>
          <w:rPr>
            <w:noProof/>
            <w:webHidden/>
          </w:rPr>
          <w:instrText xml:space="preserve"> PAGEREF _Toc237648463 \h </w:instrText>
        </w:r>
        <w:r>
          <w:rPr>
            <w:noProof/>
            <w:webHidden/>
          </w:rPr>
        </w:r>
        <w:r>
          <w:rPr>
            <w:noProof/>
            <w:webHidden/>
          </w:rPr>
          <w:fldChar w:fldCharType="separate"/>
        </w:r>
        <w:r>
          <w:rPr>
            <w:noProof/>
            <w:webHidden/>
          </w:rPr>
          <w:t>13</w:t>
        </w:r>
        <w:r>
          <w:rPr>
            <w:noProof/>
            <w:webHidden/>
          </w:rPr>
          <w:fldChar w:fldCharType="end"/>
        </w:r>
      </w:hyperlink>
    </w:p>
    <w:p w14:paraId="489EF65D" w14:textId="3F711FF8" w:rsidR="00D72D24" w:rsidRDefault="00D72D24">
      <w:pPr>
        <w:pStyle w:val="TOC2"/>
        <w:rPr>
          <w:rFonts w:asciiTheme="minorHAnsi" w:eastAsiaTheme="minorEastAsia" w:hAnsiTheme="minorHAnsi"/>
          <w:noProof/>
          <w:color w:val="auto"/>
          <w:sz w:val="24"/>
        </w:rPr>
      </w:pPr>
      <w:hyperlink w:anchor="_Toc237648464" w:history="1">
        <w:r w:rsidRPr="00CD2BBA">
          <w:rPr>
            <w:rStyle w:val="Hyperlink"/>
            <w:noProof/>
          </w:rPr>
          <w:t>Article 9: The Three Blue Corridors</w:t>
        </w:r>
        <w:r>
          <w:rPr>
            <w:noProof/>
            <w:webHidden/>
          </w:rPr>
          <w:tab/>
        </w:r>
        <w:r>
          <w:rPr>
            <w:noProof/>
            <w:webHidden/>
          </w:rPr>
          <w:fldChar w:fldCharType="begin"/>
        </w:r>
        <w:r>
          <w:rPr>
            <w:noProof/>
            <w:webHidden/>
          </w:rPr>
          <w:instrText xml:space="preserve"> PAGEREF _Toc237648464 \h </w:instrText>
        </w:r>
        <w:r>
          <w:rPr>
            <w:noProof/>
            <w:webHidden/>
          </w:rPr>
        </w:r>
        <w:r>
          <w:rPr>
            <w:noProof/>
            <w:webHidden/>
          </w:rPr>
          <w:fldChar w:fldCharType="separate"/>
        </w:r>
        <w:r>
          <w:rPr>
            <w:noProof/>
            <w:webHidden/>
          </w:rPr>
          <w:t>13</w:t>
        </w:r>
        <w:r>
          <w:rPr>
            <w:noProof/>
            <w:webHidden/>
          </w:rPr>
          <w:fldChar w:fldCharType="end"/>
        </w:r>
      </w:hyperlink>
    </w:p>
    <w:p w14:paraId="155E3C88" w14:textId="5A9F51BB" w:rsidR="00D72D24" w:rsidRDefault="00D72D24">
      <w:pPr>
        <w:pStyle w:val="TOC2"/>
        <w:rPr>
          <w:rFonts w:asciiTheme="minorHAnsi" w:eastAsiaTheme="minorEastAsia" w:hAnsiTheme="minorHAnsi"/>
          <w:noProof/>
          <w:color w:val="auto"/>
          <w:sz w:val="24"/>
        </w:rPr>
      </w:pPr>
      <w:hyperlink w:anchor="_Toc237648465" w:history="1">
        <w:r w:rsidRPr="00CD2BBA">
          <w:rPr>
            <w:rStyle w:val="Hyperlink"/>
            <w:noProof/>
          </w:rPr>
          <w:t>Article 10: Emergency Diversion Channels and Safe Anchorages</w:t>
        </w:r>
        <w:r>
          <w:rPr>
            <w:noProof/>
            <w:webHidden/>
          </w:rPr>
          <w:tab/>
        </w:r>
        <w:r>
          <w:rPr>
            <w:noProof/>
            <w:webHidden/>
          </w:rPr>
          <w:fldChar w:fldCharType="begin"/>
        </w:r>
        <w:r>
          <w:rPr>
            <w:noProof/>
            <w:webHidden/>
          </w:rPr>
          <w:instrText xml:space="preserve"> PAGEREF _Toc237648465 \h </w:instrText>
        </w:r>
        <w:r>
          <w:rPr>
            <w:noProof/>
            <w:webHidden/>
          </w:rPr>
        </w:r>
        <w:r>
          <w:rPr>
            <w:noProof/>
            <w:webHidden/>
          </w:rPr>
          <w:fldChar w:fldCharType="separate"/>
        </w:r>
        <w:r>
          <w:rPr>
            <w:noProof/>
            <w:webHidden/>
          </w:rPr>
          <w:t>14</w:t>
        </w:r>
        <w:r>
          <w:rPr>
            <w:noProof/>
            <w:webHidden/>
          </w:rPr>
          <w:fldChar w:fldCharType="end"/>
        </w:r>
      </w:hyperlink>
    </w:p>
    <w:p w14:paraId="5B44F2B7" w14:textId="4270B207" w:rsidR="00D72D24" w:rsidRDefault="00D72D24">
      <w:pPr>
        <w:pStyle w:val="TOC2"/>
        <w:rPr>
          <w:rFonts w:asciiTheme="minorHAnsi" w:eastAsiaTheme="minorEastAsia" w:hAnsiTheme="minorHAnsi"/>
          <w:noProof/>
          <w:color w:val="auto"/>
          <w:sz w:val="24"/>
        </w:rPr>
      </w:pPr>
      <w:hyperlink w:anchor="_Toc237648466" w:history="1">
        <w:r w:rsidRPr="00CD2BBA">
          <w:rPr>
            <w:rStyle w:val="Hyperlink"/>
            <w:noProof/>
          </w:rPr>
          <w:t>Article 11: Vessel Classification</w:t>
        </w:r>
        <w:r>
          <w:rPr>
            <w:noProof/>
            <w:webHidden/>
          </w:rPr>
          <w:tab/>
        </w:r>
        <w:r>
          <w:rPr>
            <w:noProof/>
            <w:webHidden/>
          </w:rPr>
          <w:fldChar w:fldCharType="begin"/>
        </w:r>
        <w:r>
          <w:rPr>
            <w:noProof/>
            <w:webHidden/>
          </w:rPr>
          <w:instrText xml:space="preserve"> PAGEREF _Toc237648466 \h </w:instrText>
        </w:r>
        <w:r>
          <w:rPr>
            <w:noProof/>
            <w:webHidden/>
          </w:rPr>
        </w:r>
        <w:r>
          <w:rPr>
            <w:noProof/>
            <w:webHidden/>
          </w:rPr>
          <w:fldChar w:fldCharType="separate"/>
        </w:r>
        <w:r>
          <w:rPr>
            <w:noProof/>
            <w:webHidden/>
          </w:rPr>
          <w:t>14</w:t>
        </w:r>
        <w:r>
          <w:rPr>
            <w:noProof/>
            <w:webHidden/>
          </w:rPr>
          <w:fldChar w:fldCharType="end"/>
        </w:r>
      </w:hyperlink>
    </w:p>
    <w:p w14:paraId="7F2030FE" w14:textId="2BDE4984" w:rsidR="00D72D24" w:rsidRDefault="00D72D24">
      <w:pPr>
        <w:pStyle w:val="TOC2"/>
        <w:rPr>
          <w:rFonts w:asciiTheme="minorHAnsi" w:eastAsiaTheme="minorEastAsia" w:hAnsiTheme="minorHAnsi"/>
          <w:noProof/>
          <w:color w:val="auto"/>
          <w:sz w:val="24"/>
        </w:rPr>
      </w:pPr>
      <w:hyperlink w:anchor="_Toc237648467" w:history="1">
        <w:r w:rsidRPr="00CD2BBA">
          <w:rPr>
            <w:rStyle w:val="Hyperlink"/>
            <w:noProof/>
          </w:rPr>
          <w:t>Article 12: The Notification Protocol (File and Acknowledge)</w:t>
        </w:r>
        <w:r>
          <w:rPr>
            <w:noProof/>
            <w:webHidden/>
          </w:rPr>
          <w:tab/>
        </w:r>
        <w:r>
          <w:rPr>
            <w:noProof/>
            <w:webHidden/>
          </w:rPr>
          <w:fldChar w:fldCharType="begin"/>
        </w:r>
        <w:r>
          <w:rPr>
            <w:noProof/>
            <w:webHidden/>
          </w:rPr>
          <w:instrText xml:space="preserve"> PAGEREF _Toc237648467 \h </w:instrText>
        </w:r>
        <w:r>
          <w:rPr>
            <w:noProof/>
            <w:webHidden/>
          </w:rPr>
        </w:r>
        <w:r>
          <w:rPr>
            <w:noProof/>
            <w:webHidden/>
          </w:rPr>
          <w:fldChar w:fldCharType="separate"/>
        </w:r>
        <w:r>
          <w:rPr>
            <w:noProof/>
            <w:webHidden/>
          </w:rPr>
          <w:t>14</w:t>
        </w:r>
        <w:r>
          <w:rPr>
            <w:noProof/>
            <w:webHidden/>
          </w:rPr>
          <w:fldChar w:fldCharType="end"/>
        </w:r>
      </w:hyperlink>
    </w:p>
    <w:p w14:paraId="11046A4D" w14:textId="4FBD296C" w:rsidR="00D72D24" w:rsidRDefault="00D72D24">
      <w:pPr>
        <w:pStyle w:val="TOC2"/>
        <w:rPr>
          <w:rFonts w:asciiTheme="minorHAnsi" w:eastAsiaTheme="minorEastAsia" w:hAnsiTheme="minorHAnsi"/>
          <w:noProof/>
          <w:color w:val="auto"/>
          <w:sz w:val="24"/>
        </w:rPr>
      </w:pPr>
      <w:hyperlink w:anchor="_Toc237648468" w:history="1">
        <w:r w:rsidRPr="00CD2BBA">
          <w:rPr>
            <w:rStyle w:val="Hyperlink"/>
            <w:noProof/>
          </w:rPr>
          <w:t>Article 13: The Absolute Non-Interdiction Protocol</w:t>
        </w:r>
        <w:r>
          <w:rPr>
            <w:noProof/>
            <w:webHidden/>
          </w:rPr>
          <w:tab/>
        </w:r>
        <w:r>
          <w:rPr>
            <w:noProof/>
            <w:webHidden/>
          </w:rPr>
          <w:fldChar w:fldCharType="begin"/>
        </w:r>
        <w:r>
          <w:rPr>
            <w:noProof/>
            <w:webHidden/>
          </w:rPr>
          <w:instrText xml:space="preserve"> PAGEREF _Toc237648468 \h </w:instrText>
        </w:r>
        <w:r>
          <w:rPr>
            <w:noProof/>
            <w:webHidden/>
          </w:rPr>
        </w:r>
        <w:r>
          <w:rPr>
            <w:noProof/>
            <w:webHidden/>
          </w:rPr>
          <w:fldChar w:fldCharType="separate"/>
        </w:r>
        <w:r>
          <w:rPr>
            <w:noProof/>
            <w:webHidden/>
          </w:rPr>
          <w:t>15</w:t>
        </w:r>
        <w:r>
          <w:rPr>
            <w:noProof/>
            <w:webHidden/>
          </w:rPr>
          <w:fldChar w:fldCharType="end"/>
        </w:r>
      </w:hyperlink>
    </w:p>
    <w:p w14:paraId="716EC058" w14:textId="1D37E687" w:rsidR="00D72D24" w:rsidRDefault="00D72D24">
      <w:pPr>
        <w:pStyle w:val="TOC2"/>
        <w:rPr>
          <w:rFonts w:asciiTheme="minorHAnsi" w:eastAsiaTheme="minorEastAsia" w:hAnsiTheme="minorHAnsi"/>
          <w:noProof/>
          <w:color w:val="auto"/>
          <w:sz w:val="24"/>
        </w:rPr>
      </w:pPr>
      <w:hyperlink w:anchor="_Toc237648469" w:history="1">
        <w:r w:rsidRPr="00CD2BBA">
          <w:rPr>
            <w:rStyle w:val="Hyperlink"/>
            <w:noProof/>
          </w:rPr>
          <w:t>Article 14: The Humanitarian Bridge and the Mariner First Bridge</w:t>
        </w:r>
        <w:r>
          <w:rPr>
            <w:noProof/>
            <w:webHidden/>
          </w:rPr>
          <w:tab/>
        </w:r>
        <w:r>
          <w:rPr>
            <w:noProof/>
            <w:webHidden/>
          </w:rPr>
          <w:fldChar w:fldCharType="begin"/>
        </w:r>
        <w:r>
          <w:rPr>
            <w:noProof/>
            <w:webHidden/>
          </w:rPr>
          <w:instrText xml:space="preserve"> PAGEREF _Toc237648469 \h </w:instrText>
        </w:r>
        <w:r>
          <w:rPr>
            <w:noProof/>
            <w:webHidden/>
          </w:rPr>
        </w:r>
        <w:r>
          <w:rPr>
            <w:noProof/>
            <w:webHidden/>
          </w:rPr>
          <w:fldChar w:fldCharType="separate"/>
        </w:r>
        <w:r>
          <w:rPr>
            <w:noProof/>
            <w:webHidden/>
          </w:rPr>
          <w:t>15</w:t>
        </w:r>
        <w:r>
          <w:rPr>
            <w:noProof/>
            <w:webHidden/>
          </w:rPr>
          <w:fldChar w:fldCharType="end"/>
        </w:r>
      </w:hyperlink>
    </w:p>
    <w:p w14:paraId="40D5EEE6" w14:textId="28B550A5" w:rsidR="00D72D24" w:rsidRDefault="00D72D24">
      <w:pPr>
        <w:pStyle w:val="TOC1"/>
        <w:rPr>
          <w:rFonts w:asciiTheme="minorHAnsi" w:eastAsiaTheme="minorEastAsia" w:hAnsiTheme="minorHAnsi"/>
          <w:b w:val="0"/>
          <w:noProof/>
          <w:color w:val="auto"/>
          <w:sz w:val="24"/>
        </w:rPr>
      </w:pPr>
      <w:hyperlink w:anchor="_Toc237648470" w:history="1">
        <w:r w:rsidRPr="00CD2BBA">
          <w:rPr>
            <w:rStyle w:val="Hyperlink"/>
            <w:noProof/>
          </w:rPr>
          <w:t>PART III: THE 72-HOUR BLUE OPENING</w:t>
        </w:r>
        <w:r>
          <w:rPr>
            <w:noProof/>
            <w:webHidden/>
          </w:rPr>
          <w:tab/>
        </w:r>
        <w:r>
          <w:rPr>
            <w:noProof/>
            <w:webHidden/>
          </w:rPr>
          <w:fldChar w:fldCharType="begin"/>
        </w:r>
        <w:r>
          <w:rPr>
            <w:noProof/>
            <w:webHidden/>
          </w:rPr>
          <w:instrText xml:space="preserve"> PAGEREF _Toc237648470 \h </w:instrText>
        </w:r>
        <w:r>
          <w:rPr>
            <w:noProof/>
            <w:webHidden/>
          </w:rPr>
        </w:r>
        <w:r>
          <w:rPr>
            <w:noProof/>
            <w:webHidden/>
          </w:rPr>
          <w:fldChar w:fldCharType="separate"/>
        </w:r>
        <w:r>
          <w:rPr>
            <w:noProof/>
            <w:webHidden/>
          </w:rPr>
          <w:t>17</w:t>
        </w:r>
        <w:r>
          <w:rPr>
            <w:noProof/>
            <w:webHidden/>
          </w:rPr>
          <w:fldChar w:fldCharType="end"/>
        </w:r>
      </w:hyperlink>
    </w:p>
    <w:p w14:paraId="6A3ABC01" w14:textId="0D3A4AE7" w:rsidR="00D72D24" w:rsidRDefault="00D72D24">
      <w:pPr>
        <w:pStyle w:val="TOC2"/>
        <w:rPr>
          <w:rFonts w:asciiTheme="minorHAnsi" w:eastAsiaTheme="minorEastAsia" w:hAnsiTheme="minorHAnsi"/>
          <w:noProof/>
          <w:color w:val="auto"/>
          <w:sz w:val="24"/>
        </w:rPr>
      </w:pPr>
      <w:hyperlink w:anchor="_Toc237648471" w:history="1">
        <w:r w:rsidRPr="00CD2BBA">
          <w:rPr>
            <w:rStyle w:val="Hyperlink"/>
            <w:noProof/>
          </w:rPr>
          <w:t>Article 15: The Blue Opening Protocol (BOP-72)</w:t>
        </w:r>
        <w:r>
          <w:rPr>
            <w:noProof/>
            <w:webHidden/>
          </w:rPr>
          <w:tab/>
        </w:r>
        <w:r>
          <w:rPr>
            <w:noProof/>
            <w:webHidden/>
          </w:rPr>
          <w:fldChar w:fldCharType="begin"/>
        </w:r>
        <w:r>
          <w:rPr>
            <w:noProof/>
            <w:webHidden/>
          </w:rPr>
          <w:instrText xml:space="preserve"> PAGEREF _Toc237648471 \h </w:instrText>
        </w:r>
        <w:r>
          <w:rPr>
            <w:noProof/>
            <w:webHidden/>
          </w:rPr>
        </w:r>
        <w:r>
          <w:rPr>
            <w:noProof/>
            <w:webHidden/>
          </w:rPr>
          <w:fldChar w:fldCharType="separate"/>
        </w:r>
        <w:r>
          <w:rPr>
            <w:noProof/>
            <w:webHidden/>
          </w:rPr>
          <w:t>17</w:t>
        </w:r>
        <w:r>
          <w:rPr>
            <w:noProof/>
            <w:webHidden/>
          </w:rPr>
          <w:fldChar w:fldCharType="end"/>
        </w:r>
      </w:hyperlink>
    </w:p>
    <w:p w14:paraId="6A4B5305" w14:textId="225C7F81" w:rsidR="00D72D24" w:rsidRDefault="00D72D24">
      <w:pPr>
        <w:pStyle w:val="TOC2"/>
        <w:rPr>
          <w:rFonts w:asciiTheme="minorHAnsi" w:eastAsiaTheme="minorEastAsia" w:hAnsiTheme="minorHAnsi"/>
          <w:noProof/>
          <w:color w:val="auto"/>
          <w:sz w:val="24"/>
        </w:rPr>
      </w:pPr>
      <w:hyperlink w:anchor="_Toc237648472" w:history="1">
        <w:r w:rsidRPr="00CD2BBA">
          <w:rPr>
            <w:rStyle w:val="Hyperlink"/>
            <w:noProof/>
          </w:rPr>
          <w:t>Article 16: The Blue Convoy Clock</w:t>
        </w:r>
        <w:r>
          <w:rPr>
            <w:noProof/>
            <w:webHidden/>
          </w:rPr>
          <w:tab/>
        </w:r>
        <w:r>
          <w:rPr>
            <w:noProof/>
            <w:webHidden/>
          </w:rPr>
          <w:fldChar w:fldCharType="begin"/>
        </w:r>
        <w:r>
          <w:rPr>
            <w:noProof/>
            <w:webHidden/>
          </w:rPr>
          <w:instrText xml:space="preserve"> PAGEREF _Toc237648472 \h </w:instrText>
        </w:r>
        <w:r>
          <w:rPr>
            <w:noProof/>
            <w:webHidden/>
          </w:rPr>
        </w:r>
        <w:r>
          <w:rPr>
            <w:noProof/>
            <w:webHidden/>
          </w:rPr>
          <w:fldChar w:fldCharType="separate"/>
        </w:r>
        <w:r>
          <w:rPr>
            <w:noProof/>
            <w:webHidden/>
          </w:rPr>
          <w:t>18</w:t>
        </w:r>
        <w:r>
          <w:rPr>
            <w:noProof/>
            <w:webHidden/>
          </w:rPr>
          <w:fldChar w:fldCharType="end"/>
        </w:r>
      </w:hyperlink>
    </w:p>
    <w:p w14:paraId="66BCCCCB" w14:textId="3EC21E16" w:rsidR="00D72D24" w:rsidRDefault="00D72D24">
      <w:pPr>
        <w:pStyle w:val="TOC2"/>
        <w:rPr>
          <w:rFonts w:asciiTheme="minorHAnsi" w:eastAsiaTheme="minorEastAsia" w:hAnsiTheme="minorHAnsi"/>
          <w:noProof/>
          <w:color w:val="auto"/>
          <w:sz w:val="24"/>
        </w:rPr>
      </w:pPr>
      <w:hyperlink w:anchor="_Toc237648473" w:history="1">
        <w:r w:rsidRPr="00CD2BBA">
          <w:rPr>
            <w:rStyle w:val="Hyperlink"/>
            <w:noProof/>
          </w:rPr>
          <w:t>Article 17: The Synchronized Relief Track</w:t>
        </w:r>
        <w:r>
          <w:rPr>
            <w:noProof/>
            <w:webHidden/>
          </w:rPr>
          <w:tab/>
        </w:r>
        <w:r>
          <w:rPr>
            <w:noProof/>
            <w:webHidden/>
          </w:rPr>
          <w:fldChar w:fldCharType="begin"/>
        </w:r>
        <w:r>
          <w:rPr>
            <w:noProof/>
            <w:webHidden/>
          </w:rPr>
          <w:instrText xml:space="preserve"> PAGEREF _Toc237648473 \h </w:instrText>
        </w:r>
        <w:r>
          <w:rPr>
            <w:noProof/>
            <w:webHidden/>
          </w:rPr>
        </w:r>
        <w:r>
          <w:rPr>
            <w:noProof/>
            <w:webHidden/>
          </w:rPr>
          <w:fldChar w:fldCharType="separate"/>
        </w:r>
        <w:r>
          <w:rPr>
            <w:noProof/>
            <w:webHidden/>
          </w:rPr>
          <w:t>18</w:t>
        </w:r>
        <w:r>
          <w:rPr>
            <w:noProof/>
            <w:webHidden/>
          </w:rPr>
          <w:fldChar w:fldCharType="end"/>
        </w:r>
      </w:hyperlink>
    </w:p>
    <w:p w14:paraId="740969C0" w14:textId="4B9F5881" w:rsidR="00D72D24" w:rsidRDefault="00D72D24">
      <w:pPr>
        <w:pStyle w:val="TOC1"/>
        <w:rPr>
          <w:rFonts w:asciiTheme="minorHAnsi" w:eastAsiaTheme="minorEastAsia" w:hAnsiTheme="minorHAnsi"/>
          <w:b w:val="0"/>
          <w:noProof/>
          <w:color w:val="auto"/>
          <w:sz w:val="24"/>
        </w:rPr>
      </w:pPr>
      <w:hyperlink w:anchor="_Toc237648474" w:history="1">
        <w:r w:rsidRPr="00CD2BBA">
          <w:rPr>
            <w:rStyle w:val="Hyperlink"/>
            <w:noProof/>
          </w:rPr>
          <w:t>PART IV: SECURITY AND DECONFLICTION</w:t>
        </w:r>
        <w:r>
          <w:rPr>
            <w:noProof/>
            <w:webHidden/>
          </w:rPr>
          <w:tab/>
        </w:r>
        <w:r>
          <w:rPr>
            <w:noProof/>
            <w:webHidden/>
          </w:rPr>
          <w:fldChar w:fldCharType="begin"/>
        </w:r>
        <w:r>
          <w:rPr>
            <w:noProof/>
            <w:webHidden/>
          </w:rPr>
          <w:instrText xml:space="preserve"> PAGEREF _Toc237648474 \h </w:instrText>
        </w:r>
        <w:r>
          <w:rPr>
            <w:noProof/>
            <w:webHidden/>
          </w:rPr>
        </w:r>
        <w:r>
          <w:rPr>
            <w:noProof/>
            <w:webHidden/>
          </w:rPr>
          <w:fldChar w:fldCharType="separate"/>
        </w:r>
        <w:r>
          <w:rPr>
            <w:noProof/>
            <w:webHidden/>
          </w:rPr>
          <w:t>20</w:t>
        </w:r>
        <w:r>
          <w:rPr>
            <w:noProof/>
            <w:webHidden/>
          </w:rPr>
          <w:fldChar w:fldCharType="end"/>
        </w:r>
      </w:hyperlink>
    </w:p>
    <w:p w14:paraId="282ADB12" w14:textId="6692F226" w:rsidR="00D72D24" w:rsidRDefault="00D72D24">
      <w:pPr>
        <w:pStyle w:val="TOC2"/>
        <w:rPr>
          <w:rFonts w:asciiTheme="minorHAnsi" w:eastAsiaTheme="minorEastAsia" w:hAnsiTheme="minorHAnsi"/>
          <w:noProof/>
          <w:color w:val="auto"/>
          <w:sz w:val="24"/>
        </w:rPr>
      </w:pPr>
      <w:hyperlink w:anchor="_Toc237648475" w:history="1">
        <w:r w:rsidRPr="00CD2BBA">
          <w:rPr>
            <w:rStyle w:val="Hyperlink"/>
            <w:noProof/>
          </w:rPr>
          <w:t>Article 18: Functional Allocation of Security Tasks</w:t>
        </w:r>
        <w:r>
          <w:rPr>
            <w:noProof/>
            <w:webHidden/>
          </w:rPr>
          <w:tab/>
        </w:r>
        <w:r>
          <w:rPr>
            <w:noProof/>
            <w:webHidden/>
          </w:rPr>
          <w:fldChar w:fldCharType="begin"/>
        </w:r>
        <w:r>
          <w:rPr>
            <w:noProof/>
            <w:webHidden/>
          </w:rPr>
          <w:instrText xml:space="preserve"> PAGEREF _Toc237648475 \h </w:instrText>
        </w:r>
        <w:r>
          <w:rPr>
            <w:noProof/>
            <w:webHidden/>
          </w:rPr>
        </w:r>
        <w:r>
          <w:rPr>
            <w:noProof/>
            <w:webHidden/>
          </w:rPr>
          <w:fldChar w:fldCharType="separate"/>
        </w:r>
        <w:r>
          <w:rPr>
            <w:noProof/>
            <w:webHidden/>
          </w:rPr>
          <w:t>20</w:t>
        </w:r>
        <w:r>
          <w:rPr>
            <w:noProof/>
            <w:webHidden/>
          </w:rPr>
          <w:fldChar w:fldCharType="end"/>
        </w:r>
      </w:hyperlink>
    </w:p>
    <w:p w14:paraId="0F22FFCF" w14:textId="4A50D5C7" w:rsidR="00D72D24" w:rsidRDefault="00D72D24">
      <w:pPr>
        <w:pStyle w:val="TOC2"/>
        <w:rPr>
          <w:rFonts w:asciiTheme="minorHAnsi" w:eastAsiaTheme="minorEastAsia" w:hAnsiTheme="minorHAnsi"/>
          <w:noProof/>
          <w:color w:val="auto"/>
          <w:sz w:val="24"/>
        </w:rPr>
      </w:pPr>
      <w:hyperlink w:anchor="_Toc237648476" w:history="1">
        <w:r w:rsidRPr="00CD2BBA">
          <w:rPr>
            <w:rStyle w:val="Hyperlink"/>
            <w:noProof/>
          </w:rPr>
          <w:t>Article 19: The Twin Key Rule</w:t>
        </w:r>
        <w:r>
          <w:rPr>
            <w:noProof/>
            <w:webHidden/>
          </w:rPr>
          <w:tab/>
        </w:r>
        <w:r>
          <w:rPr>
            <w:noProof/>
            <w:webHidden/>
          </w:rPr>
          <w:fldChar w:fldCharType="begin"/>
        </w:r>
        <w:r>
          <w:rPr>
            <w:noProof/>
            <w:webHidden/>
          </w:rPr>
          <w:instrText xml:space="preserve"> PAGEREF _Toc237648476 \h </w:instrText>
        </w:r>
        <w:r>
          <w:rPr>
            <w:noProof/>
            <w:webHidden/>
          </w:rPr>
        </w:r>
        <w:r>
          <w:rPr>
            <w:noProof/>
            <w:webHidden/>
          </w:rPr>
          <w:fldChar w:fldCharType="separate"/>
        </w:r>
        <w:r>
          <w:rPr>
            <w:noProof/>
            <w:webHidden/>
          </w:rPr>
          <w:t>20</w:t>
        </w:r>
        <w:r>
          <w:rPr>
            <w:noProof/>
            <w:webHidden/>
          </w:rPr>
          <w:fldChar w:fldCharType="end"/>
        </w:r>
      </w:hyperlink>
    </w:p>
    <w:p w14:paraId="4CBC5980" w14:textId="435C45CC" w:rsidR="00D72D24" w:rsidRDefault="00D72D24">
      <w:pPr>
        <w:pStyle w:val="TOC2"/>
        <w:rPr>
          <w:rFonts w:asciiTheme="minorHAnsi" w:eastAsiaTheme="minorEastAsia" w:hAnsiTheme="minorHAnsi"/>
          <w:noProof/>
          <w:color w:val="auto"/>
          <w:sz w:val="24"/>
        </w:rPr>
      </w:pPr>
      <w:hyperlink w:anchor="_Toc237648477" w:history="1">
        <w:r w:rsidRPr="00CD2BBA">
          <w:rPr>
            <w:rStyle w:val="Hyperlink"/>
            <w:noProof/>
          </w:rPr>
          <w:t>Article 20: The United States Transitional Security Umbrella</w:t>
        </w:r>
        <w:r>
          <w:rPr>
            <w:noProof/>
            <w:webHidden/>
          </w:rPr>
          <w:tab/>
        </w:r>
        <w:r>
          <w:rPr>
            <w:noProof/>
            <w:webHidden/>
          </w:rPr>
          <w:fldChar w:fldCharType="begin"/>
        </w:r>
        <w:r>
          <w:rPr>
            <w:noProof/>
            <w:webHidden/>
          </w:rPr>
          <w:instrText xml:space="preserve"> PAGEREF _Toc237648477 \h </w:instrText>
        </w:r>
        <w:r>
          <w:rPr>
            <w:noProof/>
            <w:webHidden/>
          </w:rPr>
        </w:r>
        <w:r>
          <w:rPr>
            <w:noProof/>
            <w:webHidden/>
          </w:rPr>
          <w:fldChar w:fldCharType="separate"/>
        </w:r>
        <w:r>
          <w:rPr>
            <w:noProof/>
            <w:webHidden/>
          </w:rPr>
          <w:t>21</w:t>
        </w:r>
        <w:r>
          <w:rPr>
            <w:noProof/>
            <w:webHidden/>
          </w:rPr>
          <w:fldChar w:fldCharType="end"/>
        </w:r>
      </w:hyperlink>
    </w:p>
    <w:p w14:paraId="70C27144" w14:textId="6792DB16" w:rsidR="00D72D24" w:rsidRDefault="00D72D24">
      <w:pPr>
        <w:pStyle w:val="TOC2"/>
        <w:rPr>
          <w:rFonts w:asciiTheme="minorHAnsi" w:eastAsiaTheme="minorEastAsia" w:hAnsiTheme="minorHAnsi"/>
          <w:noProof/>
          <w:color w:val="auto"/>
          <w:sz w:val="24"/>
        </w:rPr>
      </w:pPr>
      <w:hyperlink w:anchor="_Toc237648478" w:history="1">
        <w:r w:rsidRPr="00CD2BBA">
          <w:rPr>
            <w:rStyle w:val="Hyperlink"/>
            <w:noProof/>
          </w:rPr>
          <w:t>Article 21: Standoff Geometry and Naval Conduct</w:t>
        </w:r>
        <w:r>
          <w:rPr>
            <w:noProof/>
            <w:webHidden/>
          </w:rPr>
          <w:tab/>
        </w:r>
        <w:r>
          <w:rPr>
            <w:noProof/>
            <w:webHidden/>
          </w:rPr>
          <w:fldChar w:fldCharType="begin"/>
        </w:r>
        <w:r>
          <w:rPr>
            <w:noProof/>
            <w:webHidden/>
          </w:rPr>
          <w:instrText xml:space="preserve"> PAGEREF _Toc237648478 \h </w:instrText>
        </w:r>
        <w:r>
          <w:rPr>
            <w:noProof/>
            <w:webHidden/>
          </w:rPr>
        </w:r>
        <w:r>
          <w:rPr>
            <w:noProof/>
            <w:webHidden/>
          </w:rPr>
          <w:fldChar w:fldCharType="separate"/>
        </w:r>
        <w:r>
          <w:rPr>
            <w:noProof/>
            <w:webHidden/>
          </w:rPr>
          <w:t>21</w:t>
        </w:r>
        <w:r>
          <w:rPr>
            <w:noProof/>
            <w:webHidden/>
          </w:rPr>
          <w:fldChar w:fldCharType="end"/>
        </w:r>
      </w:hyperlink>
    </w:p>
    <w:p w14:paraId="6E8041E0" w14:textId="7D9E2655" w:rsidR="00D72D24" w:rsidRDefault="00D72D24">
      <w:pPr>
        <w:pStyle w:val="TOC2"/>
        <w:rPr>
          <w:rFonts w:asciiTheme="minorHAnsi" w:eastAsiaTheme="minorEastAsia" w:hAnsiTheme="minorHAnsi"/>
          <w:noProof/>
          <w:color w:val="auto"/>
          <w:sz w:val="24"/>
        </w:rPr>
      </w:pPr>
      <w:hyperlink w:anchor="_Toc237648479" w:history="1">
        <w:r w:rsidRPr="00CD2BBA">
          <w:rPr>
            <w:rStyle w:val="Hyperlink"/>
            <w:noProof/>
          </w:rPr>
          <w:t>Article 22: The Deconfliction Hotline Network</w:t>
        </w:r>
        <w:r>
          <w:rPr>
            <w:noProof/>
            <w:webHidden/>
          </w:rPr>
          <w:tab/>
        </w:r>
        <w:r>
          <w:rPr>
            <w:noProof/>
            <w:webHidden/>
          </w:rPr>
          <w:fldChar w:fldCharType="begin"/>
        </w:r>
        <w:r>
          <w:rPr>
            <w:noProof/>
            <w:webHidden/>
          </w:rPr>
          <w:instrText xml:space="preserve"> PAGEREF _Toc237648479 \h </w:instrText>
        </w:r>
        <w:r>
          <w:rPr>
            <w:noProof/>
            <w:webHidden/>
          </w:rPr>
        </w:r>
        <w:r>
          <w:rPr>
            <w:noProof/>
            <w:webHidden/>
          </w:rPr>
          <w:fldChar w:fldCharType="separate"/>
        </w:r>
        <w:r>
          <w:rPr>
            <w:noProof/>
            <w:webHidden/>
          </w:rPr>
          <w:t>22</w:t>
        </w:r>
        <w:r>
          <w:rPr>
            <w:noProof/>
            <w:webHidden/>
          </w:rPr>
          <w:fldChar w:fldCharType="end"/>
        </w:r>
      </w:hyperlink>
    </w:p>
    <w:p w14:paraId="496C1819" w14:textId="03F367E5" w:rsidR="00D72D24" w:rsidRDefault="00D72D24">
      <w:pPr>
        <w:pStyle w:val="TOC2"/>
        <w:rPr>
          <w:rFonts w:asciiTheme="minorHAnsi" w:eastAsiaTheme="minorEastAsia" w:hAnsiTheme="minorHAnsi"/>
          <w:noProof/>
          <w:color w:val="auto"/>
          <w:sz w:val="24"/>
        </w:rPr>
      </w:pPr>
      <w:hyperlink w:anchor="_Toc237648480" w:history="1">
        <w:r w:rsidRPr="00CD2BBA">
          <w:rPr>
            <w:rStyle w:val="Hyperlink"/>
            <w:noProof/>
          </w:rPr>
          <w:t>Article 23: The Incident Ladder and Crisis Levels</w:t>
        </w:r>
        <w:r>
          <w:rPr>
            <w:noProof/>
            <w:webHidden/>
          </w:rPr>
          <w:tab/>
        </w:r>
        <w:r>
          <w:rPr>
            <w:noProof/>
            <w:webHidden/>
          </w:rPr>
          <w:fldChar w:fldCharType="begin"/>
        </w:r>
        <w:r>
          <w:rPr>
            <w:noProof/>
            <w:webHidden/>
          </w:rPr>
          <w:instrText xml:space="preserve"> PAGEREF _Toc237648480 \h </w:instrText>
        </w:r>
        <w:r>
          <w:rPr>
            <w:noProof/>
            <w:webHidden/>
          </w:rPr>
        </w:r>
        <w:r>
          <w:rPr>
            <w:noProof/>
            <w:webHidden/>
          </w:rPr>
          <w:fldChar w:fldCharType="separate"/>
        </w:r>
        <w:r>
          <w:rPr>
            <w:noProof/>
            <w:webHidden/>
          </w:rPr>
          <w:t>22</w:t>
        </w:r>
        <w:r>
          <w:rPr>
            <w:noProof/>
            <w:webHidden/>
          </w:rPr>
          <w:fldChar w:fldCharType="end"/>
        </w:r>
      </w:hyperlink>
    </w:p>
    <w:p w14:paraId="52E55C4F" w14:textId="1CC5DB9D" w:rsidR="00D72D24" w:rsidRDefault="00D72D24">
      <w:pPr>
        <w:pStyle w:val="TOC2"/>
        <w:rPr>
          <w:rFonts w:asciiTheme="minorHAnsi" w:eastAsiaTheme="minorEastAsia" w:hAnsiTheme="minorHAnsi"/>
          <w:noProof/>
          <w:color w:val="auto"/>
          <w:sz w:val="24"/>
        </w:rPr>
      </w:pPr>
      <w:hyperlink w:anchor="_Toc237648481" w:history="1">
        <w:r w:rsidRPr="00CD2BBA">
          <w:rPr>
            <w:rStyle w:val="Hyperlink"/>
            <w:noProof/>
          </w:rPr>
          <w:t>Article 24: The False Flag and Attribution Protocol</w:t>
        </w:r>
        <w:r>
          <w:rPr>
            <w:noProof/>
            <w:webHidden/>
          </w:rPr>
          <w:tab/>
        </w:r>
        <w:r>
          <w:rPr>
            <w:noProof/>
            <w:webHidden/>
          </w:rPr>
          <w:fldChar w:fldCharType="begin"/>
        </w:r>
        <w:r>
          <w:rPr>
            <w:noProof/>
            <w:webHidden/>
          </w:rPr>
          <w:instrText xml:space="preserve"> PAGEREF _Toc237648481 \h </w:instrText>
        </w:r>
        <w:r>
          <w:rPr>
            <w:noProof/>
            <w:webHidden/>
          </w:rPr>
        </w:r>
        <w:r>
          <w:rPr>
            <w:noProof/>
            <w:webHidden/>
          </w:rPr>
          <w:fldChar w:fldCharType="separate"/>
        </w:r>
        <w:r>
          <w:rPr>
            <w:noProof/>
            <w:webHidden/>
          </w:rPr>
          <w:t>23</w:t>
        </w:r>
        <w:r>
          <w:rPr>
            <w:noProof/>
            <w:webHidden/>
          </w:rPr>
          <w:fldChar w:fldCharType="end"/>
        </w:r>
      </w:hyperlink>
    </w:p>
    <w:p w14:paraId="44132BC0" w14:textId="69014056" w:rsidR="00D72D24" w:rsidRDefault="00D72D24">
      <w:pPr>
        <w:pStyle w:val="TOC2"/>
        <w:rPr>
          <w:rFonts w:asciiTheme="minorHAnsi" w:eastAsiaTheme="minorEastAsia" w:hAnsiTheme="minorHAnsi"/>
          <w:noProof/>
          <w:color w:val="auto"/>
          <w:sz w:val="24"/>
        </w:rPr>
      </w:pPr>
      <w:hyperlink w:anchor="_Toc237648482" w:history="1">
        <w:r w:rsidRPr="00CD2BBA">
          <w:rPr>
            <w:rStyle w:val="Hyperlink"/>
            <w:noProof/>
          </w:rPr>
          <w:t>Article 25: The Mine Exclusion and the Joint Survey Sequence</w:t>
        </w:r>
        <w:r>
          <w:rPr>
            <w:noProof/>
            <w:webHidden/>
          </w:rPr>
          <w:tab/>
        </w:r>
        <w:r>
          <w:rPr>
            <w:noProof/>
            <w:webHidden/>
          </w:rPr>
          <w:fldChar w:fldCharType="begin"/>
        </w:r>
        <w:r>
          <w:rPr>
            <w:noProof/>
            <w:webHidden/>
          </w:rPr>
          <w:instrText xml:space="preserve"> PAGEREF _Toc237648482 \h </w:instrText>
        </w:r>
        <w:r>
          <w:rPr>
            <w:noProof/>
            <w:webHidden/>
          </w:rPr>
        </w:r>
        <w:r>
          <w:rPr>
            <w:noProof/>
            <w:webHidden/>
          </w:rPr>
          <w:fldChar w:fldCharType="separate"/>
        </w:r>
        <w:r>
          <w:rPr>
            <w:noProof/>
            <w:webHidden/>
          </w:rPr>
          <w:t>23</w:t>
        </w:r>
        <w:r>
          <w:rPr>
            <w:noProof/>
            <w:webHidden/>
          </w:rPr>
          <w:fldChar w:fldCharType="end"/>
        </w:r>
      </w:hyperlink>
    </w:p>
    <w:p w14:paraId="2E82318E" w14:textId="645F588A" w:rsidR="00D72D24" w:rsidRDefault="00D72D24">
      <w:pPr>
        <w:pStyle w:val="TOC1"/>
        <w:rPr>
          <w:rFonts w:asciiTheme="minorHAnsi" w:eastAsiaTheme="minorEastAsia" w:hAnsiTheme="minorHAnsi"/>
          <w:b w:val="0"/>
          <w:noProof/>
          <w:color w:val="auto"/>
          <w:sz w:val="24"/>
        </w:rPr>
      </w:pPr>
      <w:hyperlink w:anchor="_Toc237648483" w:history="1">
        <w:r w:rsidRPr="00CD2BBA">
          <w:rPr>
            <w:rStyle w:val="Hyperlink"/>
            <w:noProof/>
          </w:rPr>
          <w:t>PART V: THE GRADUATED LAYER ARCHITECTURE</w:t>
        </w:r>
        <w:r>
          <w:rPr>
            <w:noProof/>
            <w:webHidden/>
          </w:rPr>
          <w:tab/>
        </w:r>
        <w:r>
          <w:rPr>
            <w:noProof/>
            <w:webHidden/>
          </w:rPr>
          <w:fldChar w:fldCharType="begin"/>
        </w:r>
        <w:r>
          <w:rPr>
            <w:noProof/>
            <w:webHidden/>
          </w:rPr>
          <w:instrText xml:space="preserve"> PAGEREF _Toc237648483 \h </w:instrText>
        </w:r>
        <w:r>
          <w:rPr>
            <w:noProof/>
            <w:webHidden/>
          </w:rPr>
        </w:r>
        <w:r>
          <w:rPr>
            <w:noProof/>
            <w:webHidden/>
          </w:rPr>
          <w:fldChar w:fldCharType="separate"/>
        </w:r>
        <w:r>
          <w:rPr>
            <w:noProof/>
            <w:webHidden/>
          </w:rPr>
          <w:t>25</w:t>
        </w:r>
        <w:r>
          <w:rPr>
            <w:noProof/>
            <w:webHidden/>
          </w:rPr>
          <w:fldChar w:fldCharType="end"/>
        </w:r>
      </w:hyperlink>
    </w:p>
    <w:p w14:paraId="53B3CF07" w14:textId="4E6320EB" w:rsidR="00D72D24" w:rsidRDefault="00D72D24">
      <w:pPr>
        <w:pStyle w:val="TOC2"/>
        <w:rPr>
          <w:rFonts w:asciiTheme="minorHAnsi" w:eastAsiaTheme="minorEastAsia" w:hAnsiTheme="minorHAnsi"/>
          <w:noProof/>
          <w:color w:val="auto"/>
          <w:sz w:val="24"/>
        </w:rPr>
      </w:pPr>
      <w:hyperlink w:anchor="_Toc237648484" w:history="1">
        <w:r w:rsidRPr="00CD2BBA">
          <w:rPr>
            <w:rStyle w:val="Hyperlink"/>
            <w:noProof/>
          </w:rPr>
          <w:t>Article 26: The Five Blue Layers</w:t>
        </w:r>
        <w:r>
          <w:rPr>
            <w:noProof/>
            <w:webHidden/>
          </w:rPr>
          <w:tab/>
        </w:r>
        <w:r>
          <w:rPr>
            <w:noProof/>
            <w:webHidden/>
          </w:rPr>
          <w:fldChar w:fldCharType="begin"/>
        </w:r>
        <w:r>
          <w:rPr>
            <w:noProof/>
            <w:webHidden/>
          </w:rPr>
          <w:instrText xml:space="preserve"> PAGEREF _Toc237648484 \h </w:instrText>
        </w:r>
        <w:r>
          <w:rPr>
            <w:noProof/>
            <w:webHidden/>
          </w:rPr>
        </w:r>
        <w:r>
          <w:rPr>
            <w:noProof/>
            <w:webHidden/>
          </w:rPr>
          <w:fldChar w:fldCharType="separate"/>
        </w:r>
        <w:r>
          <w:rPr>
            <w:noProof/>
            <w:webHidden/>
          </w:rPr>
          <w:t>25</w:t>
        </w:r>
        <w:r>
          <w:rPr>
            <w:noProof/>
            <w:webHidden/>
          </w:rPr>
          <w:fldChar w:fldCharType="end"/>
        </w:r>
      </w:hyperlink>
    </w:p>
    <w:p w14:paraId="341A3375" w14:textId="3800FC3D" w:rsidR="00D72D24" w:rsidRDefault="00D72D24">
      <w:pPr>
        <w:pStyle w:val="TOC2"/>
        <w:rPr>
          <w:rFonts w:asciiTheme="minorHAnsi" w:eastAsiaTheme="minorEastAsia" w:hAnsiTheme="minorHAnsi"/>
          <w:noProof/>
          <w:color w:val="auto"/>
          <w:sz w:val="24"/>
        </w:rPr>
      </w:pPr>
      <w:hyperlink w:anchor="_Toc237648485" w:history="1">
        <w:r w:rsidRPr="00CD2BBA">
          <w:rPr>
            <w:rStyle w:val="Hyperlink"/>
            <w:noProof/>
          </w:rPr>
          <w:t>Article 27: Stability Gating and the Acceleration Clause</w:t>
        </w:r>
        <w:r>
          <w:rPr>
            <w:noProof/>
            <w:webHidden/>
          </w:rPr>
          <w:tab/>
        </w:r>
        <w:r>
          <w:rPr>
            <w:noProof/>
            <w:webHidden/>
          </w:rPr>
          <w:fldChar w:fldCharType="begin"/>
        </w:r>
        <w:r>
          <w:rPr>
            <w:noProof/>
            <w:webHidden/>
          </w:rPr>
          <w:instrText xml:space="preserve"> PAGEREF _Toc237648485 \h </w:instrText>
        </w:r>
        <w:r>
          <w:rPr>
            <w:noProof/>
            <w:webHidden/>
          </w:rPr>
        </w:r>
        <w:r>
          <w:rPr>
            <w:noProof/>
            <w:webHidden/>
          </w:rPr>
          <w:fldChar w:fldCharType="separate"/>
        </w:r>
        <w:r>
          <w:rPr>
            <w:noProof/>
            <w:webHidden/>
          </w:rPr>
          <w:t>25</w:t>
        </w:r>
        <w:r>
          <w:rPr>
            <w:noProof/>
            <w:webHidden/>
          </w:rPr>
          <w:fldChar w:fldCharType="end"/>
        </w:r>
      </w:hyperlink>
    </w:p>
    <w:p w14:paraId="6C34E944" w14:textId="6C287853" w:rsidR="00D72D24" w:rsidRDefault="00D72D24">
      <w:pPr>
        <w:pStyle w:val="TOC2"/>
        <w:rPr>
          <w:rFonts w:asciiTheme="minorHAnsi" w:eastAsiaTheme="minorEastAsia" w:hAnsiTheme="minorHAnsi"/>
          <w:noProof/>
          <w:color w:val="auto"/>
          <w:sz w:val="24"/>
        </w:rPr>
      </w:pPr>
      <w:hyperlink w:anchor="_Toc237648486" w:history="1">
        <w:r w:rsidRPr="00CD2BBA">
          <w:rPr>
            <w:rStyle w:val="Hyperlink"/>
            <w:noProof/>
          </w:rPr>
          <w:t>Article 28: The Pilot Audits</w:t>
        </w:r>
        <w:r>
          <w:rPr>
            <w:noProof/>
            <w:webHidden/>
          </w:rPr>
          <w:tab/>
        </w:r>
        <w:r>
          <w:rPr>
            <w:noProof/>
            <w:webHidden/>
          </w:rPr>
          <w:fldChar w:fldCharType="begin"/>
        </w:r>
        <w:r>
          <w:rPr>
            <w:noProof/>
            <w:webHidden/>
          </w:rPr>
          <w:instrText xml:space="preserve"> PAGEREF _Toc237648486 \h </w:instrText>
        </w:r>
        <w:r>
          <w:rPr>
            <w:noProof/>
            <w:webHidden/>
          </w:rPr>
        </w:r>
        <w:r>
          <w:rPr>
            <w:noProof/>
            <w:webHidden/>
          </w:rPr>
          <w:fldChar w:fldCharType="separate"/>
        </w:r>
        <w:r>
          <w:rPr>
            <w:noProof/>
            <w:webHidden/>
          </w:rPr>
          <w:t>26</w:t>
        </w:r>
        <w:r>
          <w:rPr>
            <w:noProof/>
            <w:webHidden/>
          </w:rPr>
          <w:fldChar w:fldCharType="end"/>
        </w:r>
      </w:hyperlink>
    </w:p>
    <w:p w14:paraId="44E5C6C5" w14:textId="0D81A661" w:rsidR="00D72D24" w:rsidRDefault="00D72D24">
      <w:pPr>
        <w:pStyle w:val="TOC1"/>
        <w:rPr>
          <w:rFonts w:asciiTheme="minorHAnsi" w:eastAsiaTheme="minorEastAsia" w:hAnsiTheme="minorHAnsi"/>
          <w:b w:val="0"/>
          <w:noProof/>
          <w:color w:val="auto"/>
          <w:sz w:val="24"/>
        </w:rPr>
      </w:pPr>
      <w:hyperlink w:anchor="_Toc237648487" w:history="1">
        <w:r w:rsidRPr="00CD2BBA">
          <w:rPr>
            <w:rStyle w:val="Hyperlink"/>
            <w:noProof/>
          </w:rPr>
          <w:t>PART VI: THE INSTITUTIONAL ARCHITECTURE</w:t>
        </w:r>
        <w:r>
          <w:rPr>
            <w:noProof/>
            <w:webHidden/>
          </w:rPr>
          <w:tab/>
        </w:r>
        <w:r>
          <w:rPr>
            <w:noProof/>
            <w:webHidden/>
          </w:rPr>
          <w:fldChar w:fldCharType="begin"/>
        </w:r>
        <w:r>
          <w:rPr>
            <w:noProof/>
            <w:webHidden/>
          </w:rPr>
          <w:instrText xml:space="preserve"> PAGEREF _Toc237648487 \h </w:instrText>
        </w:r>
        <w:r>
          <w:rPr>
            <w:noProof/>
            <w:webHidden/>
          </w:rPr>
        </w:r>
        <w:r>
          <w:rPr>
            <w:noProof/>
            <w:webHidden/>
          </w:rPr>
          <w:fldChar w:fldCharType="separate"/>
        </w:r>
        <w:r>
          <w:rPr>
            <w:noProof/>
            <w:webHidden/>
          </w:rPr>
          <w:t>27</w:t>
        </w:r>
        <w:r>
          <w:rPr>
            <w:noProof/>
            <w:webHidden/>
          </w:rPr>
          <w:fldChar w:fldCharType="end"/>
        </w:r>
      </w:hyperlink>
    </w:p>
    <w:p w14:paraId="3E075127" w14:textId="2BFDB844" w:rsidR="00D72D24" w:rsidRDefault="00D72D24">
      <w:pPr>
        <w:pStyle w:val="TOC2"/>
        <w:rPr>
          <w:rFonts w:asciiTheme="minorHAnsi" w:eastAsiaTheme="minorEastAsia" w:hAnsiTheme="minorHAnsi"/>
          <w:noProof/>
          <w:color w:val="auto"/>
          <w:sz w:val="24"/>
        </w:rPr>
      </w:pPr>
      <w:hyperlink w:anchor="_Toc237648488" w:history="1">
        <w:r w:rsidRPr="00CD2BBA">
          <w:rPr>
            <w:rStyle w:val="Hyperlink"/>
            <w:noProof/>
          </w:rPr>
          <w:t>Article 29: The Blue Passage Authority</w:t>
        </w:r>
        <w:r>
          <w:rPr>
            <w:noProof/>
            <w:webHidden/>
          </w:rPr>
          <w:tab/>
        </w:r>
        <w:r>
          <w:rPr>
            <w:noProof/>
            <w:webHidden/>
          </w:rPr>
          <w:fldChar w:fldCharType="begin"/>
        </w:r>
        <w:r>
          <w:rPr>
            <w:noProof/>
            <w:webHidden/>
          </w:rPr>
          <w:instrText xml:space="preserve"> PAGEREF _Toc237648488 \h </w:instrText>
        </w:r>
        <w:r>
          <w:rPr>
            <w:noProof/>
            <w:webHidden/>
          </w:rPr>
        </w:r>
        <w:r>
          <w:rPr>
            <w:noProof/>
            <w:webHidden/>
          </w:rPr>
          <w:fldChar w:fldCharType="separate"/>
        </w:r>
        <w:r>
          <w:rPr>
            <w:noProof/>
            <w:webHidden/>
          </w:rPr>
          <w:t>27</w:t>
        </w:r>
        <w:r>
          <w:rPr>
            <w:noProof/>
            <w:webHidden/>
          </w:rPr>
          <w:fldChar w:fldCharType="end"/>
        </w:r>
      </w:hyperlink>
    </w:p>
    <w:p w14:paraId="39C119FD" w14:textId="7DCB058A" w:rsidR="00D72D24" w:rsidRDefault="00D72D24">
      <w:pPr>
        <w:pStyle w:val="TOC2"/>
        <w:rPr>
          <w:rFonts w:asciiTheme="minorHAnsi" w:eastAsiaTheme="minorEastAsia" w:hAnsiTheme="minorHAnsi"/>
          <w:noProof/>
          <w:color w:val="auto"/>
          <w:sz w:val="24"/>
        </w:rPr>
      </w:pPr>
      <w:hyperlink w:anchor="_Toc237648489" w:history="1">
        <w:r w:rsidRPr="00CD2BBA">
          <w:rPr>
            <w:rStyle w:val="Hyperlink"/>
            <w:noProof/>
          </w:rPr>
          <w:t>Article 30: The Joint Watch Floor and the Mirror Floor</w:t>
        </w:r>
        <w:r>
          <w:rPr>
            <w:noProof/>
            <w:webHidden/>
          </w:rPr>
          <w:tab/>
        </w:r>
        <w:r>
          <w:rPr>
            <w:noProof/>
            <w:webHidden/>
          </w:rPr>
          <w:fldChar w:fldCharType="begin"/>
        </w:r>
        <w:r>
          <w:rPr>
            <w:noProof/>
            <w:webHidden/>
          </w:rPr>
          <w:instrText xml:space="preserve"> PAGEREF _Toc237648489 \h </w:instrText>
        </w:r>
        <w:r>
          <w:rPr>
            <w:noProof/>
            <w:webHidden/>
          </w:rPr>
        </w:r>
        <w:r>
          <w:rPr>
            <w:noProof/>
            <w:webHidden/>
          </w:rPr>
          <w:fldChar w:fldCharType="separate"/>
        </w:r>
        <w:r>
          <w:rPr>
            <w:noProof/>
            <w:webHidden/>
          </w:rPr>
          <w:t>27</w:t>
        </w:r>
        <w:r>
          <w:rPr>
            <w:noProof/>
            <w:webHidden/>
          </w:rPr>
          <w:fldChar w:fldCharType="end"/>
        </w:r>
      </w:hyperlink>
    </w:p>
    <w:p w14:paraId="400ECA10" w14:textId="5872B5B7" w:rsidR="00D72D24" w:rsidRDefault="00D72D24">
      <w:pPr>
        <w:pStyle w:val="TOC2"/>
        <w:rPr>
          <w:rFonts w:asciiTheme="minorHAnsi" w:eastAsiaTheme="minorEastAsia" w:hAnsiTheme="minorHAnsi"/>
          <w:noProof/>
          <w:color w:val="auto"/>
          <w:sz w:val="24"/>
        </w:rPr>
      </w:pPr>
      <w:hyperlink w:anchor="_Toc237648490" w:history="1">
        <w:r w:rsidRPr="00CD2BBA">
          <w:rPr>
            <w:rStyle w:val="Hyperlink"/>
            <w:noProof/>
          </w:rPr>
          <w:t>Article 31: The Transit Desk</w:t>
        </w:r>
        <w:r>
          <w:rPr>
            <w:noProof/>
            <w:webHidden/>
          </w:rPr>
          <w:tab/>
        </w:r>
        <w:r>
          <w:rPr>
            <w:noProof/>
            <w:webHidden/>
          </w:rPr>
          <w:fldChar w:fldCharType="begin"/>
        </w:r>
        <w:r>
          <w:rPr>
            <w:noProof/>
            <w:webHidden/>
          </w:rPr>
          <w:instrText xml:space="preserve"> PAGEREF _Toc237648490 \h </w:instrText>
        </w:r>
        <w:r>
          <w:rPr>
            <w:noProof/>
            <w:webHidden/>
          </w:rPr>
        </w:r>
        <w:r>
          <w:rPr>
            <w:noProof/>
            <w:webHidden/>
          </w:rPr>
          <w:fldChar w:fldCharType="separate"/>
        </w:r>
        <w:r>
          <w:rPr>
            <w:noProof/>
            <w:webHidden/>
          </w:rPr>
          <w:t>28</w:t>
        </w:r>
        <w:r>
          <w:rPr>
            <w:noProof/>
            <w:webHidden/>
          </w:rPr>
          <w:fldChar w:fldCharType="end"/>
        </w:r>
      </w:hyperlink>
    </w:p>
    <w:p w14:paraId="126AA8C6" w14:textId="20C11B9A" w:rsidR="00D72D24" w:rsidRDefault="00D72D24">
      <w:pPr>
        <w:pStyle w:val="TOC2"/>
        <w:rPr>
          <w:rFonts w:asciiTheme="minorHAnsi" w:eastAsiaTheme="minorEastAsia" w:hAnsiTheme="minorHAnsi"/>
          <w:noProof/>
          <w:color w:val="auto"/>
          <w:sz w:val="24"/>
        </w:rPr>
      </w:pPr>
      <w:hyperlink w:anchor="_Toc237648491" w:history="1">
        <w:r w:rsidRPr="00CD2BBA">
          <w:rPr>
            <w:rStyle w:val="Hyperlink"/>
            <w:noProof/>
          </w:rPr>
          <w:t>Article 32: The Neutral Watch Office</w:t>
        </w:r>
        <w:r>
          <w:rPr>
            <w:noProof/>
            <w:webHidden/>
          </w:rPr>
          <w:tab/>
        </w:r>
        <w:r>
          <w:rPr>
            <w:noProof/>
            <w:webHidden/>
          </w:rPr>
          <w:fldChar w:fldCharType="begin"/>
        </w:r>
        <w:r>
          <w:rPr>
            <w:noProof/>
            <w:webHidden/>
          </w:rPr>
          <w:instrText xml:space="preserve"> PAGEREF _Toc237648491 \h </w:instrText>
        </w:r>
        <w:r>
          <w:rPr>
            <w:noProof/>
            <w:webHidden/>
          </w:rPr>
        </w:r>
        <w:r>
          <w:rPr>
            <w:noProof/>
            <w:webHidden/>
          </w:rPr>
          <w:fldChar w:fldCharType="separate"/>
        </w:r>
        <w:r>
          <w:rPr>
            <w:noProof/>
            <w:webHidden/>
          </w:rPr>
          <w:t>28</w:t>
        </w:r>
        <w:r>
          <w:rPr>
            <w:noProof/>
            <w:webHidden/>
          </w:rPr>
          <w:fldChar w:fldCharType="end"/>
        </w:r>
      </w:hyperlink>
    </w:p>
    <w:p w14:paraId="20D9690E" w14:textId="33FFC13C" w:rsidR="00D72D24" w:rsidRDefault="00D72D24">
      <w:pPr>
        <w:pStyle w:val="TOC2"/>
        <w:rPr>
          <w:rFonts w:asciiTheme="minorHAnsi" w:eastAsiaTheme="minorEastAsia" w:hAnsiTheme="minorHAnsi"/>
          <w:noProof/>
          <w:color w:val="auto"/>
          <w:sz w:val="24"/>
        </w:rPr>
      </w:pPr>
      <w:hyperlink w:anchor="_Toc237648492" w:history="1">
        <w:r w:rsidRPr="00CD2BBA">
          <w:rPr>
            <w:rStyle w:val="Hyperlink"/>
            <w:noProof/>
          </w:rPr>
          <w:t>Article 33: The Council and Decision Rules</w:t>
        </w:r>
        <w:r>
          <w:rPr>
            <w:noProof/>
            <w:webHidden/>
          </w:rPr>
          <w:tab/>
        </w:r>
        <w:r>
          <w:rPr>
            <w:noProof/>
            <w:webHidden/>
          </w:rPr>
          <w:fldChar w:fldCharType="begin"/>
        </w:r>
        <w:r>
          <w:rPr>
            <w:noProof/>
            <w:webHidden/>
          </w:rPr>
          <w:instrText xml:space="preserve"> PAGEREF _Toc237648492 \h </w:instrText>
        </w:r>
        <w:r>
          <w:rPr>
            <w:noProof/>
            <w:webHidden/>
          </w:rPr>
        </w:r>
        <w:r>
          <w:rPr>
            <w:noProof/>
            <w:webHidden/>
          </w:rPr>
          <w:fldChar w:fldCharType="separate"/>
        </w:r>
        <w:r>
          <w:rPr>
            <w:noProof/>
            <w:webHidden/>
          </w:rPr>
          <w:t>28</w:t>
        </w:r>
        <w:r>
          <w:rPr>
            <w:noProof/>
            <w:webHidden/>
          </w:rPr>
          <w:fldChar w:fldCharType="end"/>
        </w:r>
      </w:hyperlink>
    </w:p>
    <w:p w14:paraId="4FA00F9B" w14:textId="53D6E80F" w:rsidR="00D72D24" w:rsidRDefault="00D72D24">
      <w:pPr>
        <w:pStyle w:val="TOC2"/>
        <w:rPr>
          <w:rFonts w:asciiTheme="minorHAnsi" w:eastAsiaTheme="minorEastAsia" w:hAnsiTheme="minorHAnsi"/>
          <w:noProof/>
          <w:color w:val="auto"/>
          <w:sz w:val="24"/>
        </w:rPr>
      </w:pPr>
      <w:hyperlink w:anchor="_Toc237648493" w:history="1">
        <w:r w:rsidRPr="00CD2BBA">
          <w:rPr>
            <w:rStyle w:val="Hyperlink"/>
            <w:noProof/>
          </w:rPr>
          <w:t>Article 34: Observers, Endorsing Stakeholders, Technical Participants, and Guarantors</w:t>
        </w:r>
        <w:r>
          <w:rPr>
            <w:noProof/>
            <w:webHidden/>
          </w:rPr>
          <w:tab/>
        </w:r>
        <w:r>
          <w:rPr>
            <w:noProof/>
            <w:webHidden/>
          </w:rPr>
          <w:fldChar w:fldCharType="begin"/>
        </w:r>
        <w:r>
          <w:rPr>
            <w:noProof/>
            <w:webHidden/>
          </w:rPr>
          <w:instrText xml:space="preserve"> PAGEREF _Toc237648493 \h </w:instrText>
        </w:r>
        <w:r>
          <w:rPr>
            <w:noProof/>
            <w:webHidden/>
          </w:rPr>
        </w:r>
        <w:r>
          <w:rPr>
            <w:noProof/>
            <w:webHidden/>
          </w:rPr>
          <w:fldChar w:fldCharType="separate"/>
        </w:r>
        <w:r>
          <w:rPr>
            <w:noProof/>
            <w:webHidden/>
          </w:rPr>
          <w:t>29</w:t>
        </w:r>
        <w:r>
          <w:rPr>
            <w:noProof/>
            <w:webHidden/>
          </w:rPr>
          <w:fldChar w:fldCharType="end"/>
        </w:r>
      </w:hyperlink>
    </w:p>
    <w:p w14:paraId="4A839F20" w14:textId="43F7926A" w:rsidR="00D72D24" w:rsidRDefault="00D72D24">
      <w:pPr>
        <w:pStyle w:val="TOC2"/>
        <w:rPr>
          <w:rFonts w:asciiTheme="minorHAnsi" w:eastAsiaTheme="minorEastAsia" w:hAnsiTheme="minorHAnsi"/>
          <w:noProof/>
          <w:color w:val="auto"/>
          <w:sz w:val="24"/>
        </w:rPr>
      </w:pPr>
      <w:hyperlink w:anchor="_Toc237648494" w:history="1">
        <w:r w:rsidRPr="00CD2BBA">
          <w:rPr>
            <w:rStyle w:val="Hyperlink"/>
            <w:noProof/>
          </w:rPr>
          <w:t>Article 35: The Secretariat</w:t>
        </w:r>
        <w:r>
          <w:rPr>
            <w:noProof/>
            <w:webHidden/>
          </w:rPr>
          <w:tab/>
        </w:r>
        <w:r>
          <w:rPr>
            <w:noProof/>
            <w:webHidden/>
          </w:rPr>
          <w:fldChar w:fldCharType="begin"/>
        </w:r>
        <w:r>
          <w:rPr>
            <w:noProof/>
            <w:webHidden/>
          </w:rPr>
          <w:instrText xml:space="preserve"> PAGEREF _Toc237648494 \h </w:instrText>
        </w:r>
        <w:r>
          <w:rPr>
            <w:noProof/>
            <w:webHidden/>
          </w:rPr>
        </w:r>
        <w:r>
          <w:rPr>
            <w:noProof/>
            <w:webHidden/>
          </w:rPr>
          <w:fldChar w:fldCharType="separate"/>
        </w:r>
        <w:r>
          <w:rPr>
            <w:noProof/>
            <w:webHidden/>
          </w:rPr>
          <w:t>29</w:t>
        </w:r>
        <w:r>
          <w:rPr>
            <w:noProof/>
            <w:webHidden/>
          </w:rPr>
          <w:fldChar w:fldCharType="end"/>
        </w:r>
      </w:hyperlink>
    </w:p>
    <w:p w14:paraId="367C6518" w14:textId="4B280FCC" w:rsidR="00D72D24" w:rsidRDefault="00D72D24">
      <w:pPr>
        <w:pStyle w:val="TOC2"/>
        <w:rPr>
          <w:rFonts w:asciiTheme="minorHAnsi" w:eastAsiaTheme="minorEastAsia" w:hAnsiTheme="minorHAnsi"/>
          <w:noProof/>
          <w:color w:val="auto"/>
          <w:sz w:val="24"/>
        </w:rPr>
      </w:pPr>
      <w:hyperlink w:anchor="_Toc237648495" w:history="1">
        <w:r w:rsidRPr="00CD2BBA">
          <w:rPr>
            <w:rStyle w:val="Hyperlink"/>
            <w:rFonts w:cs="Calibri"/>
            <w:noProof/>
          </w:rPr>
          <w:t>Article 36: The Paired-Lantern Observation Compact</w:t>
        </w:r>
        <w:r>
          <w:rPr>
            <w:noProof/>
            <w:webHidden/>
          </w:rPr>
          <w:tab/>
        </w:r>
        <w:r>
          <w:rPr>
            <w:noProof/>
            <w:webHidden/>
          </w:rPr>
          <w:fldChar w:fldCharType="begin"/>
        </w:r>
        <w:r>
          <w:rPr>
            <w:noProof/>
            <w:webHidden/>
          </w:rPr>
          <w:instrText xml:space="preserve"> PAGEREF _Toc237648495 \h </w:instrText>
        </w:r>
        <w:r>
          <w:rPr>
            <w:noProof/>
            <w:webHidden/>
          </w:rPr>
        </w:r>
        <w:r>
          <w:rPr>
            <w:noProof/>
            <w:webHidden/>
          </w:rPr>
          <w:fldChar w:fldCharType="separate"/>
        </w:r>
        <w:r>
          <w:rPr>
            <w:noProof/>
            <w:webHidden/>
          </w:rPr>
          <w:t>30</w:t>
        </w:r>
        <w:r>
          <w:rPr>
            <w:noProof/>
            <w:webHidden/>
          </w:rPr>
          <w:fldChar w:fldCharType="end"/>
        </w:r>
      </w:hyperlink>
    </w:p>
    <w:p w14:paraId="5D3F14B8" w14:textId="3168AD13" w:rsidR="00D72D24" w:rsidRDefault="00D72D24">
      <w:pPr>
        <w:pStyle w:val="TOC1"/>
        <w:rPr>
          <w:rFonts w:asciiTheme="minorHAnsi" w:eastAsiaTheme="minorEastAsia" w:hAnsiTheme="minorHAnsi"/>
          <w:b w:val="0"/>
          <w:noProof/>
          <w:color w:val="auto"/>
          <w:sz w:val="24"/>
        </w:rPr>
      </w:pPr>
      <w:hyperlink w:anchor="_Toc237648496" w:history="1">
        <w:r w:rsidRPr="00CD2BBA">
          <w:rPr>
            <w:rStyle w:val="Hyperlink"/>
            <w:rFonts w:cs="Calibri"/>
            <w:noProof/>
          </w:rPr>
          <w:t>PART VII: THE FINANCIAL ARCHITECTURE</w:t>
        </w:r>
        <w:r>
          <w:rPr>
            <w:noProof/>
            <w:webHidden/>
          </w:rPr>
          <w:tab/>
        </w:r>
        <w:r>
          <w:rPr>
            <w:noProof/>
            <w:webHidden/>
          </w:rPr>
          <w:fldChar w:fldCharType="begin"/>
        </w:r>
        <w:r>
          <w:rPr>
            <w:noProof/>
            <w:webHidden/>
          </w:rPr>
          <w:instrText xml:space="preserve"> PAGEREF _Toc237648496 \h </w:instrText>
        </w:r>
        <w:r>
          <w:rPr>
            <w:noProof/>
            <w:webHidden/>
          </w:rPr>
        </w:r>
        <w:r>
          <w:rPr>
            <w:noProof/>
            <w:webHidden/>
          </w:rPr>
          <w:fldChar w:fldCharType="separate"/>
        </w:r>
        <w:r>
          <w:rPr>
            <w:noProof/>
            <w:webHidden/>
          </w:rPr>
          <w:t>31</w:t>
        </w:r>
        <w:r>
          <w:rPr>
            <w:noProof/>
            <w:webHidden/>
          </w:rPr>
          <w:fldChar w:fldCharType="end"/>
        </w:r>
      </w:hyperlink>
    </w:p>
    <w:p w14:paraId="580AD03A" w14:textId="65BF7CE8" w:rsidR="00D72D24" w:rsidRDefault="00D72D24">
      <w:pPr>
        <w:pStyle w:val="TOC2"/>
        <w:rPr>
          <w:rFonts w:asciiTheme="minorHAnsi" w:eastAsiaTheme="minorEastAsia" w:hAnsiTheme="minorHAnsi"/>
          <w:noProof/>
          <w:color w:val="auto"/>
          <w:sz w:val="24"/>
        </w:rPr>
      </w:pPr>
      <w:hyperlink w:anchor="_Toc237648497" w:history="1">
        <w:r w:rsidRPr="00CD2BBA">
          <w:rPr>
            <w:rStyle w:val="Hyperlink"/>
            <w:rFonts w:cs="Calibri"/>
            <w:noProof/>
          </w:rPr>
          <w:t>Article 37: The Zero-Toll Rule</w:t>
        </w:r>
        <w:r>
          <w:rPr>
            <w:noProof/>
            <w:webHidden/>
          </w:rPr>
          <w:tab/>
        </w:r>
        <w:r>
          <w:rPr>
            <w:noProof/>
            <w:webHidden/>
          </w:rPr>
          <w:fldChar w:fldCharType="begin"/>
        </w:r>
        <w:r>
          <w:rPr>
            <w:noProof/>
            <w:webHidden/>
          </w:rPr>
          <w:instrText xml:space="preserve"> PAGEREF _Toc237648497 \h </w:instrText>
        </w:r>
        <w:r>
          <w:rPr>
            <w:noProof/>
            <w:webHidden/>
          </w:rPr>
        </w:r>
        <w:r>
          <w:rPr>
            <w:noProof/>
            <w:webHidden/>
          </w:rPr>
          <w:fldChar w:fldCharType="separate"/>
        </w:r>
        <w:r>
          <w:rPr>
            <w:noProof/>
            <w:webHidden/>
          </w:rPr>
          <w:t>31</w:t>
        </w:r>
        <w:r>
          <w:rPr>
            <w:noProof/>
            <w:webHidden/>
          </w:rPr>
          <w:fldChar w:fldCharType="end"/>
        </w:r>
      </w:hyperlink>
    </w:p>
    <w:p w14:paraId="31E324CD" w14:textId="55BE5604" w:rsidR="00D72D24" w:rsidRDefault="00D72D24">
      <w:pPr>
        <w:pStyle w:val="TOC2"/>
        <w:rPr>
          <w:rFonts w:asciiTheme="minorHAnsi" w:eastAsiaTheme="minorEastAsia" w:hAnsiTheme="minorHAnsi"/>
          <w:noProof/>
          <w:color w:val="auto"/>
          <w:sz w:val="24"/>
        </w:rPr>
      </w:pPr>
      <w:hyperlink w:anchor="_Toc237648498" w:history="1">
        <w:r w:rsidRPr="00CD2BBA">
          <w:rPr>
            <w:rStyle w:val="Hyperlink"/>
            <w:rFonts w:cs="Calibri"/>
            <w:noProof/>
          </w:rPr>
          <w:t>Article 38: The Service Distinction and the Blue Services Catalog</w:t>
        </w:r>
        <w:r>
          <w:rPr>
            <w:noProof/>
            <w:webHidden/>
          </w:rPr>
          <w:tab/>
        </w:r>
        <w:r>
          <w:rPr>
            <w:noProof/>
            <w:webHidden/>
          </w:rPr>
          <w:fldChar w:fldCharType="begin"/>
        </w:r>
        <w:r>
          <w:rPr>
            <w:noProof/>
            <w:webHidden/>
          </w:rPr>
          <w:instrText xml:space="preserve"> PAGEREF _Toc237648498 \h </w:instrText>
        </w:r>
        <w:r>
          <w:rPr>
            <w:noProof/>
            <w:webHidden/>
          </w:rPr>
        </w:r>
        <w:r>
          <w:rPr>
            <w:noProof/>
            <w:webHidden/>
          </w:rPr>
          <w:fldChar w:fldCharType="separate"/>
        </w:r>
        <w:r>
          <w:rPr>
            <w:noProof/>
            <w:webHidden/>
          </w:rPr>
          <w:t>31</w:t>
        </w:r>
        <w:r>
          <w:rPr>
            <w:noProof/>
            <w:webHidden/>
          </w:rPr>
          <w:fldChar w:fldCharType="end"/>
        </w:r>
      </w:hyperlink>
    </w:p>
    <w:p w14:paraId="72079D3E" w14:textId="6FE55CF3" w:rsidR="00D72D24" w:rsidRDefault="00D72D24">
      <w:pPr>
        <w:pStyle w:val="TOC2"/>
        <w:rPr>
          <w:rFonts w:asciiTheme="minorHAnsi" w:eastAsiaTheme="minorEastAsia" w:hAnsiTheme="minorHAnsi"/>
          <w:noProof/>
          <w:color w:val="auto"/>
          <w:sz w:val="24"/>
        </w:rPr>
      </w:pPr>
      <w:hyperlink w:anchor="_Toc237648499" w:history="1">
        <w:r w:rsidRPr="00CD2BBA">
          <w:rPr>
            <w:rStyle w:val="Hyperlink"/>
            <w:rFonts w:cs="Calibri"/>
            <w:noProof/>
          </w:rPr>
          <w:t>Article 39: The Hormuz Blue Services Fund</w:t>
        </w:r>
        <w:r>
          <w:rPr>
            <w:noProof/>
            <w:webHidden/>
          </w:rPr>
          <w:tab/>
        </w:r>
        <w:r>
          <w:rPr>
            <w:noProof/>
            <w:webHidden/>
          </w:rPr>
          <w:fldChar w:fldCharType="begin"/>
        </w:r>
        <w:r>
          <w:rPr>
            <w:noProof/>
            <w:webHidden/>
          </w:rPr>
          <w:instrText xml:space="preserve"> PAGEREF _Toc237648499 \h </w:instrText>
        </w:r>
        <w:r>
          <w:rPr>
            <w:noProof/>
            <w:webHidden/>
          </w:rPr>
        </w:r>
        <w:r>
          <w:rPr>
            <w:noProof/>
            <w:webHidden/>
          </w:rPr>
          <w:fldChar w:fldCharType="separate"/>
        </w:r>
        <w:r>
          <w:rPr>
            <w:noProof/>
            <w:webHidden/>
          </w:rPr>
          <w:t>32</w:t>
        </w:r>
        <w:r>
          <w:rPr>
            <w:noProof/>
            <w:webHidden/>
          </w:rPr>
          <w:fldChar w:fldCharType="end"/>
        </w:r>
      </w:hyperlink>
    </w:p>
    <w:p w14:paraId="29284C62" w14:textId="24EFDF73" w:rsidR="00D72D24" w:rsidRDefault="00D72D24">
      <w:pPr>
        <w:pStyle w:val="TOC2"/>
        <w:rPr>
          <w:rFonts w:asciiTheme="minorHAnsi" w:eastAsiaTheme="minorEastAsia" w:hAnsiTheme="minorHAnsi"/>
          <w:noProof/>
          <w:color w:val="auto"/>
          <w:sz w:val="24"/>
        </w:rPr>
      </w:pPr>
      <w:hyperlink w:anchor="_Toc237648500" w:history="1">
        <w:r w:rsidRPr="00CD2BBA">
          <w:rPr>
            <w:rStyle w:val="Hyperlink"/>
            <w:rFonts w:cs="Calibri"/>
            <w:noProof/>
          </w:rPr>
          <w:t>Article 40: The Tri-Channel Funding Architecture</w:t>
        </w:r>
        <w:r>
          <w:rPr>
            <w:noProof/>
            <w:webHidden/>
          </w:rPr>
          <w:tab/>
        </w:r>
        <w:r>
          <w:rPr>
            <w:noProof/>
            <w:webHidden/>
          </w:rPr>
          <w:fldChar w:fldCharType="begin"/>
        </w:r>
        <w:r>
          <w:rPr>
            <w:noProof/>
            <w:webHidden/>
          </w:rPr>
          <w:instrText xml:space="preserve"> PAGEREF _Toc237648500 \h </w:instrText>
        </w:r>
        <w:r>
          <w:rPr>
            <w:noProof/>
            <w:webHidden/>
          </w:rPr>
        </w:r>
        <w:r>
          <w:rPr>
            <w:noProof/>
            <w:webHidden/>
          </w:rPr>
          <w:fldChar w:fldCharType="separate"/>
        </w:r>
        <w:r>
          <w:rPr>
            <w:noProof/>
            <w:webHidden/>
          </w:rPr>
          <w:t>32</w:t>
        </w:r>
        <w:r>
          <w:rPr>
            <w:noProof/>
            <w:webHidden/>
          </w:rPr>
          <w:fldChar w:fldCharType="end"/>
        </w:r>
      </w:hyperlink>
    </w:p>
    <w:p w14:paraId="0A0724FF" w14:textId="602A109E" w:rsidR="00D72D24" w:rsidRDefault="00D72D24">
      <w:pPr>
        <w:pStyle w:val="TOC2"/>
        <w:rPr>
          <w:rFonts w:asciiTheme="minorHAnsi" w:eastAsiaTheme="minorEastAsia" w:hAnsiTheme="minorHAnsi"/>
          <w:noProof/>
          <w:color w:val="auto"/>
          <w:sz w:val="24"/>
        </w:rPr>
      </w:pPr>
      <w:hyperlink w:anchor="_Toc237648501" w:history="1">
        <w:r w:rsidRPr="00CD2BBA">
          <w:rPr>
            <w:rStyle w:val="Hyperlink"/>
            <w:rFonts w:cs="Calibri"/>
            <w:noProof/>
          </w:rPr>
          <w:t>Article 41: Anti-Circumvention and the Substance Test</w:t>
        </w:r>
        <w:r>
          <w:rPr>
            <w:noProof/>
            <w:webHidden/>
          </w:rPr>
          <w:tab/>
        </w:r>
        <w:r>
          <w:rPr>
            <w:noProof/>
            <w:webHidden/>
          </w:rPr>
          <w:fldChar w:fldCharType="begin"/>
        </w:r>
        <w:r>
          <w:rPr>
            <w:noProof/>
            <w:webHidden/>
          </w:rPr>
          <w:instrText xml:space="preserve"> PAGEREF _Toc237648501 \h </w:instrText>
        </w:r>
        <w:r>
          <w:rPr>
            <w:noProof/>
            <w:webHidden/>
          </w:rPr>
        </w:r>
        <w:r>
          <w:rPr>
            <w:noProof/>
            <w:webHidden/>
          </w:rPr>
          <w:fldChar w:fldCharType="separate"/>
        </w:r>
        <w:r>
          <w:rPr>
            <w:noProof/>
            <w:webHidden/>
          </w:rPr>
          <w:t>33</w:t>
        </w:r>
        <w:r>
          <w:rPr>
            <w:noProof/>
            <w:webHidden/>
          </w:rPr>
          <w:fldChar w:fldCharType="end"/>
        </w:r>
      </w:hyperlink>
    </w:p>
    <w:p w14:paraId="4F22F27F" w14:textId="66C7BC74" w:rsidR="00D72D24" w:rsidRDefault="00D72D24">
      <w:pPr>
        <w:pStyle w:val="TOC2"/>
        <w:rPr>
          <w:rFonts w:asciiTheme="minorHAnsi" w:eastAsiaTheme="minorEastAsia" w:hAnsiTheme="minorHAnsi"/>
          <w:noProof/>
          <w:color w:val="auto"/>
          <w:sz w:val="24"/>
        </w:rPr>
      </w:pPr>
      <w:hyperlink w:anchor="_Toc237648502" w:history="1">
        <w:r w:rsidRPr="00CD2BBA">
          <w:rPr>
            <w:rStyle w:val="Hyperlink"/>
            <w:rFonts w:cs="Calibri"/>
            <w:noProof/>
          </w:rPr>
          <w:t>Article 42: Audit and Cost Certainty</w:t>
        </w:r>
        <w:r>
          <w:rPr>
            <w:noProof/>
            <w:webHidden/>
          </w:rPr>
          <w:tab/>
        </w:r>
        <w:r>
          <w:rPr>
            <w:noProof/>
            <w:webHidden/>
          </w:rPr>
          <w:fldChar w:fldCharType="begin"/>
        </w:r>
        <w:r>
          <w:rPr>
            <w:noProof/>
            <w:webHidden/>
          </w:rPr>
          <w:instrText xml:space="preserve"> PAGEREF _Toc237648502 \h </w:instrText>
        </w:r>
        <w:r>
          <w:rPr>
            <w:noProof/>
            <w:webHidden/>
          </w:rPr>
        </w:r>
        <w:r>
          <w:rPr>
            <w:noProof/>
            <w:webHidden/>
          </w:rPr>
          <w:fldChar w:fldCharType="separate"/>
        </w:r>
        <w:r>
          <w:rPr>
            <w:noProof/>
            <w:webHidden/>
          </w:rPr>
          <w:t>33</w:t>
        </w:r>
        <w:r>
          <w:rPr>
            <w:noProof/>
            <w:webHidden/>
          </w:rPr>
          <w:fldChar w:fldCharType="end"/>
        </w:r>
      </w:hyperlink>
    </w:p>
    <w:p w14:paraId="0ABDE442" w14:textId="615479E9" w:rsidR="00D72D24" w:rsidRDefault="00D72D24">
      <w:pPr>
        <w:pStyle w:val="TOC1"/>
        <w:rPr>
          <w:rFonts w:asciiTheme="minorHAnsi" w:eastAsiaTheme="minorEastAsia" w:hAnsiTheme="minorHAnsi"/>
          <w:b w:val="0"/>
          <w:noProof/>
          <w:color w:val="auto"/>
          <w:sz w:val="24"/>
        </w:rPr>
      </w:pPr>
      <w:hyperlink w:anchor="_Toc237648503" w:history="1">
        <w:r w:rsidRPr="00CD2BBA">
          <w:rPr>
            <w:rStyle w:val="Hyperlink"/>
            <w:rFonts w:cs="Calibri"/>
            <w:noProof/>
          </w:rPr>
          <w:t>PART VIII: ECONOMIC NORMALIZATION AND THE PROSPERITY INSTRUMENTS</w:t>
        </w:r>
        <w:r>
          <w:rPr>
            <w:noProof/>
            <w:webHidden/>
          </w:rPr>
          <w:tab/>
        </w:r>
        <w:r>
          <w:rPr>
            <w:noProof/>
            <w:webHidden/>
          </w:rPr>
          <w:fldChar w:fldCharType="begin"/>
        </w:r>
        <w:r>
          <w:rPr>
            <w:noProof/>
            <w:webHidden/>
          </w:rPr>
          <w:instrText xml:space="preserve"> PAGEREF _Toc237648503 \h </w:instrText>
        </w:r>
        <w:r>
          <w:rPr>
            <w:noProof/>
            <w:webHidden/>
          </w:rPr>
        </w:r>
        <w:r>
          <w:rPr>
            <w:noProof/>
            <w:webHidden/>
          </w:rPr>
          <w:fldChar w:fldCharType="separate"/>
        </w:r>
        <w:r>
          <w:rPr>
            <w:noProof/>
            <w:webHidden/>
          </w:rPr>
          <w:t>34</w:t>
        </w:r>
        <w:r>
          <w:rPr>
            <w:noProof/>
            <w:webHidden/>
          </w:rPr>
          <w:fldChar w:fldCharType="end"/>
        </w:r>
      </w:hyperlink>
    </w:p>
    <w:p w14:paraId="31EA5D97" w14:textId="24D75D96" w:rsidR="00D72D24" w:rsidRDefault="00D72D24">
      <w:pPr>
        <w:pStyle w:val="TOC2"/>
        <w:rPr>
          <w:rFonts w:asciiTheme="minorHAnsi" w:eastAsiaTheme="minorEastAsia" w:hAnsiTheme="minorHAnsi"/>
          <w:noProof/>
          <w:color w:val="auto"/>
          <w:sz w:val="24"/>
        </w:rPr>
      </w:pPr>
      <w:hyperlink w:anchor="_Toc237648504" w:history="1">
        <w:r w:rsidRPr="00CD2BBA">
          <w:rPr>
            <w:rStyle w:val="Hyperlink"/>
            <w:rFonts w:cs="Calibri"/>
            <w:noProof/>
          </w:rPr>
          <w:t>Article 43: The Blue Flag Certification and the Premium Step-Down Engine</w:t>
        </w:r>
        <w:r>
          <w:rPr>
            <w:noProof/>
            <w:webHidden/>
          </w:rPr>
          <w:tab/>
        </w:r>
        <w:r>
          <w:rPr>
            <w:noProof/>
            <w:webHidden/>
          </w:rPr>
          <w:fldChar w:fldCharType="begin"/>
        </w:r>
        <w:r>
          <w:rPr>
            <w:noProof/>
            <w:webHidden/>
          </w:rPr>
          <w:instrText xml:space="preserve"> PAGEREF _Toc237648504 \h </w:instrText>
        </w:r>
        <w:r>
          <w:rPr>
            <w:noProof/>
            <w:webHidden/>
          </w:rPr>
        </w:r>
        <w:r>
          <w:rPr>
            <w:noProof/>
            <w:webHidden/>
          </w:rPr>
          <w:fldChar w:fldCharType="separate"/>
        </w:r>
        <w:r>
          <w:rPr>
            <w:noProof/>
            <w:webHidden/>
          </w:rPr>
          <w:t>34</w:t>
        </w:r>
        <w:r>
          <w:rPr>
            <w:noProof/>
            <w:webHidden/>
          </w:rPr>
          <w:fldChar w:fldCharType="end"/>
        </w:r>
      </w:hyperlink>
    </w:p>
    <w:p w14:paraId="07154ABE" w14:textId="04EBC5C6" w:rsidR="00D72D24" w:rsidRDefault="00D72D24">
      <w:pPr>
        <w:pStyle w:val="TOC2"/>
        <w:rPr>
          <w:rFonts w:asciiTheme="minorHAnsi" w:eastAsiaTheme="minorEastAsia" w:hAnsiTheme="minorHAnsi"/>
          <w:noProof/>
          <w:color w:val="auto"/>
          <w:sz w:val="24"/>
        </w:rPr>
      </w:pPr>
      <w:hyperlink w:anchor="_Toc237648505" w:history="1">
        <w:r w:rsidRPr="00CD2BBA">
          <w:rPr>
            <w:rStyle w:val="Hyperlink"/>
            <w:rFonts w:cs="Calibri"/>
            <w:noProof/>
          </w:rPr>
          <w:t>Article 44: The Compensation-Free Prosperity Window</w:t>
        </w:r>
        <w:r>
          <w:rPr>
            <w:noProof/>
            <w:webHidden/>
          </w:rPr>
          <w:tab/>
        </w:r>
        <w:r>
          <w:rPr>
            <w:noProof/>
            <w:webHidden/>
          </w:rPr>
          <w:fldChar w:fldCharType="begin"/>
        </w:r>
        <w:r>
          <w:rPr>
            <w:noProof/>
            <w:webHidden/>
          </w:rPr>
          <w:instrText xml:space="preserve"> PAGEREF _Toc237648505 \h </w:instrText>
        </w:r>
        <w:r>
          <w:rPr>
            <w:noProof/>
            <w:webHidden/>
          </w:rPr>
        </w:r>
        <w:r>
          <w:rPr>
            <w:noProof/>
            <w:webHidden/>
          </w:rPr>
          <w:fldChar w:fldCharType="separate"/>
        </w:r>
        <w:r>
          <w:rPr>
            <w:noProof/>
            <w:webHidden/>
          </w:rPr>
          <w:t>34</w:t>
        </w:r>
        <w:r>
          <w:rPr>
            <w:noProof/>
            <w:webHidden/>
          </w:rPr>
          <w:fldChar w:fldCharType="end"/>
        </w:r>
      </w:hyperlink>
    </w:p>
    <w:p w14:paraId="56E1092E" w14:textId="2A077007" w:rsidR="00D72D24" w:rsidRDefault="00D72D24">
      <w:pPr>
        <w:pStyle w:val="TOC2"/>
        <w:rPr>
          <w:rFonts w:asciiTheme="minorHAnsi" w:eastAsiaTheme="minorEastAsia" w:hAnsiTheme="minorHAnsi"/>
          <w:noProof/>
          <w:color w:val="auto"/>
          <w:sz w:val="24"/>
        </w:rPr>
      </w:pPr>
      <w:hyperlink w:anchor="_Toc237648506" w:history="1">
        <w:r w:rsidRPr="00CD2BBA">
          <w:rPr>
            <w:rStyle w:val="Hyperlink"/>
            <w:rFonts w:cs="Calibri"/>
            <w:noProof/>
          </w:rPr>
          <w:t>Article 45: The Hormuz Development Facility</w:t>
        </w:r>
        <w:r>
          <w:rPr>
            <w:noProof/>
            <w:webHidden/>
          </w:rPr>
          <w:tab/>
        </w:r>
        <w:r>
          <w:rPr>
            <w:noProof/>
            <w:webHidden/>
          </w:rPr>
          <w:fldChar w:fldCharType="begin"/>
        </w:r>
        <w:r>
          <w:rPr>
            <w:noProof/>
            <w:webHidden/>
          </w:rPr>
          <w:instrText xml:space="preserve"> PAGEREF _Toc237648506 \h </w:instrText>
        </w:r>
        <w:r>
          <w:rPr>
            <w:noProof/>
            <w:webHidden/>
          </w:rPr>
        </w:r>
        <w:r>
          <w:rPr>
            <w:noProof/>
            <w:webHidden/>
          </w:rPr>
          <w:fldChar w:fldCharType="separate"/>
        </w:r>
        <w:r>
          <w:rPr>
            <w:noProof/>
            <w:webHidden/>
          </w:rPr>
          <w:t>35</w:t>
        </w:r>
        <w:r>
          <w:rPr>
            <w:noProof/>
            <w:webHidden/>
          </w:rPr>
          <w:fldChar w:fldCharType="end"/>
        </w:r>
      </w:hyperlink>
    </w:p>
    <w:p w14:paraId="1229FF5B" w14:textId="095DA71C" w:rsidR="00D72D24" w:rsidRDefault="00D72D24">
      <w:pPr>
        <w:pStyle w:val="TOC2"/>
        <w:rPr>
          <w:rFonts w:asciiTheme="minorHAnsi" w:eastAsiaTheme="minorEastAsia" w:hAnsiTheme="minorHAnsi"/>
          <w:noProof/>
          <w:color w:val="auto"/>
          <w:sz w:val="24"/>
        </w:rPr>
      </w:pPr>
      <w:hyperlink w:anchor="_Toc237648507" w:history="1">
        <w:r w:rsidRPr="00CD2BBA">
          <w:rPr>
            <w:rStyle w:val="Hyperlink"/>
            <w:rFonts w:cs="Calibri"/>
            <w:noProof/>
          </w:rPr>
          <w:t>Article 46: Green Corridor Incentives</w:t>
        </w:r>
        <w:r>
          <w:rPr>
            <w:noProof/>
            <w:webHidden/>
          </w:rPr>
          <w:tab/>
        </w:r>
        <w:r>
          <w:rPr>
            <w:noProof/>
            <w:webHidden/>
          </w:rPr>
          <w:fldChar w:fldCharType="begin"/>
        </w:r>
        <w:r>
          <w:rPr>
            <w:noProof/>
            <w:webHidden/>
          </w:rPr>
          <w:instrText xml:space="preserve"> PAGEREF _Toc237648507 \h </w:instrText>
        </w:r>
        <w:r>
          <w:rPr>
            <w:noProof/>
            <w:webHidden/>
          </w:rPr>
        </w:r>
        <w:r>
          <w:rPr>
            <w:noProof/>
            <w:webHidden/>
          </w:rPr>
          <w:fldChar w:fldCharType="separate"/>
        </w:r>
        <w:r>
          <w:rPr>
            <w:noProof/>
            <w:webHidden/>
          </w:rPr>
          <w:t>36</w:t>
        </w:r>
        <w:r>
          <w:rPr>
            <w:noProof/>
            <w:webHidden/>
          </w:rPr>
          <w:fldChar w:fldCharType="end"/>
        </w:r>
      </w:hyperlink>
    </w:p>
    <w:p w14:paraId="70361122" w14:textId="0A8CFCCF" w:rsidR="00D72D24" w:rsidRDefault="00D72D24">
      <w:pPr>
        <w:pStyle w:val="TOC1"/>
        <w:rPr>
          <w:rFonts w:asciiTheme="minorHAnsi" w:eastAsiaTheme="minorEastAsia" w:hAnsiTheme="minorHAnsi"/>
          <w:b w:val="0"/>
          <w:noProof/>
          <w:color w:val="auto"/>
          <w:sz w:val="24"/>
        </w:rPr>
      </w:pPr>
      <w:hyperlink w:anchor="_Toc237648508" w:history="1">
        <w:r w:rsidRPr="00CD2BBA">
          <w:rPr>
            <w:rStyle w:val="Hyperlink"/>
            <w:rFonts w:cs="Calibri"/>
            <w:noProof/>
          </w:rPr>
          <w:t>PART IX: VERIFICATION AND THE COMPLIANCE ENGINE</w:t>
        </w:r>
        <w:r>
          <w:rPr>
            <w:noProof/>
            <w:webHidden/>
          </w:rPr>
          <w:tab/>
        </w:r>
        <w:r>
          <w:rPr>
            <w:noProof/>
            <w:webHidden/>
          </w:rPr>
          <w:fldChar w:fldCharType="begin"/>
        </w:r>
        <w:r>
          <w:rPr>
            <w:noProof/>
            <w:webHidden/>
          </w:rPr>
          <w:instrText xml:space="preserve"> PAGEREF _Toc237648508 \h </w:instrText>
        </w:r>
        <w:r>
          <w:rPr>
            <w:noProof/>
            <w:webHidden/>
          </w:rPr>
        </w:r>
        <w:r>
          <w:rPr>
            <w:noProof/>
            <w:webHidden/>
          </w:rPr>
          <w:fldChar w:fldCharType="separate"/>
        </w:r>
        <w:r>
          <w:rPr>
            <w:noProof/>
            <w:webHidden/>
          </w:rPr>
          <w:t>37</w:t>
        </w:r>
        <w:r>
          <w:rPr>
            <w:noProof/>
            <w:webHidden/>
          </w:rPr>
          <w:fldChar w:fldCharType="end"/>
        </w:r>
      </w:hyperlink>
    </w:p>
    <w:p w14:paraId="653C45B4" w14:textId="585046F4" w:rsidR="00D72D24" w:rsidRDefault="00D72D24">
      <w:pPr>
        <w:pStyle w:val="TOC2"/>
        <w:rPr>
          <w:rFonts w:asciiTheme="minorHAnsi" w:eastAsiaTheme="minorEastAsia" w:hAnsiTheme="minorHAnsi"/>
          <w:noProof/>
          <w:color w:val="auto"/>
          <w:sz w:val="24"/>
        </w:rPr>
      </w:pPr>
      <w:hyperlink w:anchor="_Toc237648509" w:history="1">
        <w:r w:rsidRPr="00CD2BBA">
          <w:rPr>
            <w:rStyle w:val="Hyperlink"/>
            <w:rFonts w:cs="Calibri"/>
            <w:noProof/>
          </w:rPr>
          <w:t>Article 47: The Cothrom Method, Blue Application</w:t>
        </w:r>
        <w:r>
          <w:rPr>
            <w:noProof/>
            <w:webHidden/>
          </w:rPr>
          <w:tab/>
        </w:r>
        <w:r>
          <w:rPr>
            <w:noProof/>
            <w:webHidden/>
          </w:rPr>
          <w:fldChar w:fldCharType="begin"/>
        </w:r>
        <w:r>
          <w:rPr>
            <w:noProof/>
            <w:webHidden/>
          </w:rPr>
          <w:instrText xml:space="preserve"> PAGEREF _Toc237648509 \h </w:instrText>
        </w:r>
        <w:r>
          <w:rPr>
            <w:noProof/>
            <w:webHidden/>
          </w:rPr>
        </w:r>
        <w:r>
          <w:rPr>
            <w:noProof/>
            <w:webHidden/>
          </w:rPr>
          <w:fldChar w:fldCharType="separate"/>
        </w:r>
        <w:r>
          <w:rPr>
            <w:noProof/>
            <w:webHidden/>
          </w:rPr>
          <w:t>37</w:t>
        </w:r>
        <w:r>
          <w:rPr>
            <w:noProof/>
            <w:webHidden/>
          </w:rPr>
          <w:fldChar w:fldCharType="end"/>
        </w:r>
      </w:hyperlink>
    </w:p>
    <w:p w14:paraId="544AEA13" w14:textId="264A3AF2" w:rsidR="00D72D24" w:rsidRDefault="00D72D24">
      <w:pPr>
        <w:pStyle w:val="TOC2"/>
        <w:rPr>
          <w:rFonts w:asciiTheme="minorHAnsi" w:eastAsiaTheme="minorEastAsia" w:hAnsiTheme="minorHAnsi"/>
          <w:noProof/>
          <w:color w:val="auto"/>
          <w:sz w:val="24"/>
        </w:rPr>
      </w:pPr>
      <w:hyperlink w:anchor="_Toc237648510" w:history="1">
        <w:r w:rsidRPr="00CD2BBA">
          <w:rPr>
            <w:rStyle w:val="Hyperlink"/>
            <w:rFonts w:cs="Calibri"/>
            <w:noProof/>
          </w:rPr>
          <w:t>Article 48: The Golden Record and the Shared Digital Registry</w:t>
        </w:r>
        <w:r>
          <w:rPr>
            <w:noProof/>
            <w:webHidden/>
          </w:rPr>
          <w:tab/>
        </w:r>
        <w:r>
          <w:rPr>
            <w:noProof/>
            <w:webHidden/>
          </w:rPr>
          <w:fldChar w:fldCharType="begin"/>
        </w:r>
        <w:r>
          <w:rPr>
            <w:noProof/>
            <w:webHidden/>
          </w:rPr>
          <w:instrText xml:space="preserve"> PAGEREF _Toc237648510 \h </w:instrText>
        </w:r>
        <w:r>
          <w:rPr>
            <w:noProof/>
            <w:webHidden/>
          </w:rPr>
        </w:r>
        <w:r>
          <w:rPr>
            <w:noProof/>
            <w:webHidden/>
          </w:rPr>
          <w:fldChar w:fldCharType="separate"/>
        </w:r>
        <w:r>
          <w:rPr>
            <w:noProof/>
            <w:webHidden/>
          </w:rPr>
          <w:t>37</w:t>
        </w:r>
        <w:r>
          <w:rPr>
            <w:noProof/>
            <w:webHidden/>
          </w:rPr>
          <w:fldChar w:fldCharType="end"/>
        </w:r>
      </w:hyperlink>
    </w:p>
    <w:p w14:paraId="5902B304" w14:textId="647249F2" w:rsidR="00D72D24" w:rsidRDefault="00D72D24">
      <w:pPr>
        <w:pStyle w:val="TOC2"/>
        <w:rPr>
          <w:rFonts w:asciiTheme="minorHAnsi" w:eastAsiaTheme="minorEastAsia" w:hAnsiTheme="minorHAnsi"/>
          <w:noProof/>
          <w:color w:val="auto"/>
          <w:sz w:val="24"/>
        </w:rPr>
      </w:pPr>
      <w:hyperlink w:anchor="_Toc237648511" w:history="1">
        <w:r w:rsidRPr="00CD2BBA">
          <w:rPr>
            <w:rStyle w:val="Hyperlink"/>
            <w:rFonts w:cs="Calibri"/>
            <w:noProof/>
          </w:rPr>
          <w:t>Article 49: The Anomaly Ladder</w:t>
        </w:r>
        <w:r>
          <w:rPr>
            <w:noProof/>
            <w:webHidden/>
          </w:rPr>
          <w:tab/>
        </w:r>
        <w:r>
          <w:rPr>
            <w:noProof/>
            <w:webHidden/>
          </w:rPr>
          <w:fldChar w:fldCharType="begin"/>
        </w:r>
        <w:r>
          <w:rPr>
            <w:noProof/>
            <w:webHidden/>
          </w:rPr>
          <w:instrText xml:space="preserve"> PAGEREF _Toc237648511 \h </w:instrText>
        </w:r>
        <w:r>
          <w:rPr>
            <w:noProof/>
            <w:webHidden/>
          </w:rPr>
        </w:r>
        <w:r>
          <w:rPr>
            <w:noProof/>
            <w:webHidden/>
          </w:rPr>
          <w:fldChar w:fldCharType="separate"/>
        </w:r>
        <w:r>
          <w:rPr>
            <w:noProof/>
            <w:webHidden/>
          </w:rPr>
          <w:t>38</w:t>
        </w:r>
        <w:r>
          <w:rPr>
            <w:noProof/>
            <w:webHidden/>
          </w:rPr>
          <w:fldChar w:fldCharType="end"/>
        </w:r>
      </w:hyperlink>
    </w:p>
    <w:p w14:paraId="579A91AB" w14:textId="7DA178BE" w:rsidR="00D72D24" w:rsidRDefault="00D72D24">
      <w:pPr>
        <w:pStyle w:val="TOC2"/>
        <w:rPr>
          <w:rFonts w:asciiTheme="minorHAnsi" w:eastAsiaTheme="minorEastAsia" w:hAnsiTheme="minorHAnsi"/>
          <w:noProof/>
          <w:color w:val="auto"/>
          <w:sz w:val="24"/>
        </w:rPr>
      </w:pPr>
      <w:hyperlink w:anchor="_Toc237648512" w:history="1">
        <w:r w:rsidRPr="00CD2BBA">
          <w:rPr>
            <w:rStyle w:val="Hyperlink"/>
            <w:rFonts w:cs="Calibri"/>
            <w:noProof/>
          </w:rPr>
          <w:t>Article 50: The Three-Tier Breach Classification</w:t>
        </w:r>
        <w:r>
          <w:rPr>
            <w:noProof/>
            <w:webHidden/>
          </w:rPr>
          <w:tab/>
        </w:r>
        <w:r>
          <w:rPr>
            <w:noProof/>
            <w:webHidden/>
          </w:rPr>
          <w:fldChar w:fldCharType="begin"/>
        </w:r>
        <w:r>
          <w:rPr>
            <w:noProof/>
            <w:webHidden/>
          </w:rPr>
          <w:instrText xml:space="preserve"> PAGEREF _Toc237648512 \h </w:instrText>
        </w:r>
        <w:r>
          <w:rPr>
            <w:noProof/>
            <w:webHidden/>
          </w:rPr>
        </w:r>
        <w:r>
          <w:rPr>
            <w:noProof/>
            <w:webHidden/>
          </w:rPr>
          <w:fldChar w:fldCharType="separate"/>
        </w:r>
        <w:r>
          <w:rPr>
            <w:noProof/>
            <w:webHidden/>
          </w:rPr>
          <w:t>39</w:t>
        </w:r>
        <w:r>
          <w:rPr>
            <w:noProof/>
            <w:webHidden/>
          </w:rPr>
          <w:fldChar w:fldCharType="end"/>
        </w:r>
      </w:hyperlink>
    </w:p>
    <w:p w14:paraId="5FD33891" w14:textId="03AC621D" w:rsidR="00D72D24" w:rsidRDefault="00D72D24">
      <w:pPr>
        <w:pStyle w:val="TOC2"/>
        <w:rPr>
          <w:rFonts w:asciiTheme="minorHAnsi" w:eastAsiaTheme="minorEastAsia" w:hAnsiTheme="minorHAnsi"/>
          <w:noProof/>
          <w:color w:val="auto"/>
          <w:sz w:val="24"/>
        </w:rPr>
      </w:pPr>
      <w:hyperlink w:anchor="_Toc237648513" w:history="1">
        <w:r w:rsidRPr="00CD2BBA">
          <w:rPr>
            <w:rStyle w:val="Hyperlink"/>
            <w:rFonts w:cs="Calibri"/>
            <w:noProof/>
          </w:rPr>
          <w:t>Article 51: The Step-Back and Earn-Back Engine</w:t>
        </w:r>
        <w:r>
          <w:rPr>
            <w:noProof/>
            <w:webHidden/>
          </w:rPr>
          <w:tab/>
        </w:r>
        <w:r>
          <w:rPr>
            <w:noProof/>
            <w:webHidden/>
          </w:rPr>
          <w:fldChar w:fldCharType="begin"/>
        </w:r>
        <w:r>
          <w:rPr>
            <w:noProof/>
            <w:webHidden/>
          </w:rPr>
          <w:instrText xml:space="preserve"> PAGEREF _Toc237648513 \h </w:instrText>
        </w:r>
        <w:r>
          <w:rPr>
            <w:noProof/>
            <w:webHidden/>
          </w:rPr>
        </w:r>
        <w:r>
          <w:rPr>
            <w:noProof/>
            <w:webHidden/>
          </w:rPr>
          <w:fldChar w:fldCharType="separate"/>
        </w:r>
        <w:r>
          <w:rPr>
            <w:noProof/>
            <w:webHidden/>
          </w:rPr>
          <w:t>39</w:t>
        </w:r>
        <w:r>
          <w:rPr>
            <w:noProof/>
            <w:webHidden/>
          </w:rPr>
          <w:fldChar w:fldCharType="end"/>
        </w:r>
      </w:hyperlink>
    </w:p>
    <w:p w14:paraId="452DFEA6" w14:textId="3B7A811E" w:rsidR="00D72D24" w:rsidRDefault="00D72D24">
      <w:pPr>
        <w:pStyle w:val="TOC2"/>
        <w:rPr>
          <w:rFonts w:asciiTheme="minorHAnsi" w:eastAsiaTheme="minorEastAsia" w:hAnsiTheme="minorHAnsi"/>
          <w:noProof/>
          <w:color w:val="auto"/>
          <w:sz w:val="24"/>
        </w:rPr>
      </w:pPr>
      <w:hyperlink w:anchor="_Toc237648514" w:history="1">
        <w:r w:rsidRPr="00CD2BBA">
          <w:rPr>
            <w:rStyle w:val="Hyperlink"/>
            <w:rFonts w:cs="Calibri"/>
            <w:noProof/>
          </w:rPr>
          <w:t>Article 52: The Forward Drift Archive and Goodwill Credits</w:t>
        </w:r>
        <w:r>
          <w:rPr>
            <w:noProof/>
            <w:webHidden/>
          </w:rPr>
          <w:tab/>
        </w:r>
        <w:r>
          <w:rPr>
            <w:noProof/>
            <w:webHidden/>
          </w:rPr>
          <w:fldChar w:fldCharType="begin"/>
        </w:r>
        <w:r>
          <w:rPr>
            <w:noProof/>
            <w:webHidden/>
          </w:rPr>
          <w:instrText xml:space="preserve"> PAGEREF _Toc237648514 \h </w:instrText>
        </w:r>
        <w:r>
          <w:rPr>
            <w:noProof/>
            <w:webHidden/>
          </w:rPr>
        </w:r>
        <w:r>
          <w:rPr>
            <w:noProof/>
            <w:webHidden/>
          </w:rPr>
          <w:fldChar w:fldCharType="separate"/>
        </w:r>
        <w:r>
          <w:rPr>
            <w:noProof/>
            <w:webHidden/>
          </w:rPr>
          <w:t>40</w:t>
        </w:r>
        <w:r>
          <w:rPr>
            <w:noProof/>
            <w:webHidden/>
          </w:rPr>
          <w:fldChar w:fldCharType="end"/>
        </w:r>
      </w:hyperlink>
    </w:p>
    <w:p w14:paraId="108EF655" w14:textId="66710B26" w:rsidR="00D72D24" w:rsidRDefault="00D72D24">
      <w:pPr>
        <w:pStyle w:val="TOC2"/>
        <w:rPr>
          <w:rFonts w:asciiTheme="minorHAnsi" w:eastAsiaTheme="minorEastAsia" w:hAnsiTheme="minorHAnsi"/>
          <w:noProof/>
          <w:color w:val="auto"/>
          <w:sz w:val="24"/>
        </w:rPr>
      </w:pPr>
      <w:hyperlink w:anchor="_Toc237648515" w:history="1">
        <w:r w:rsidRPr="00CD2BBA">
          <w:rPr>
            <w:rStyle w:val="Hyperlink"/>
            <w:rFonts w:cs="Calibri"/>
            <w:noProof/>
          </w:rPr>
          <w:t>Article 53: The Protective Architecture</w:t>
        </w:r>
        <w:r>
          <w:rPr>
            <w:noProof/>
            <w:webHidden/>
          </w:rPr>
          <w:tab/>
        </w:r>
        <w:r>
          <w:rPr>
            <w:noProof/>
            <w:webHidden/>
          </w:rPr>
          <w:fldChar w:fldCharType="begin"/>
        </w:r>
        <w:r>
          <w:rPr>
            <w:noProof/>
            <w:webHidden/>
          </w:rPr>
          <w:instrText xml:space="preserve"> PAGEREF _Toc237648515 \h </w:instrText>
        </w:r>
        <w:r>
          <w:rPr>
            <w:noProof/>
            <w:webHidden/>
          </w:rPr>
        </w:r>
        <w:r>
          <w:rPr>
            <w:noProof/>
            <w:webHidden/>
          </w:rPr>
          <w:fldChar w:fldCharType="separate"/>
        </w:r>
        <w:r>
          <w:rPr>
            <w:noProof/>
            <w:webHidden/>
          </w:rPr>
          <w:t>41</w:t>
        </w:r>
        <w:r>
          <w:rPr>
            <w:noProof/>
            <w:webHidden/>
          </w:rPr>
          <w:fldChar w:fldCharType="end"/>
        </w:r>
      </w:hyperlink>
    </w:p>
    <w:p w14:paraId="578CCE0E" w14:textId="4F1ED72B" w:rsidR="00D72D24" w:rsidRDefault="00D72D24">
      <w:pPr>
        <w:pStyle w:val="TOC1"/>
        <w:rPr>
          <w:rFonts w:asciiTheme="minorHAnsi" w:eastAsiaTheme="minorEastAsia" w:hAnsiTheme="minorHAnsi"/>
          <w:b w:val="0"/>
          <w:noProof/>
          <w:color w:val="auto"/>
          <w:sz w:val="24"/>
        </w:rPr>
      </w:pPr>
      <w:hyperlink w:anchor="_Toc237648516" w:history="1">
        <w:r w:rsidRPr="00CD2BBA">
          <w:rPr>
            <w:rStyle w:val="Hyperlink"/>
            <w:rFonts w:cs="Calibri"/>
            <w:noProof/>
          </w:rPr>
          <w:t>PART X: DISPUTES, CONTINUITY, AND THE OMBUDSMAN</w:t>
        </w:r>
        <w:r>
          <w:rPr>
            <w:noProof/>
            <w:webHidden/>
          </w:rPr>
          <w:tab/>
        </w:r>
        <w:r>
          <w:rPr>
            <w:noProof/>
            <w:webHidden/>
          </w:rPr>
          <w:fldChar w:fldCharType="begin"/>
        </w:r>
        <w:r>
          <w:rPr>
            <w:noProof/>
            <w:webHidden/>
          </w:rPr>
          <w:instrText xml:space="preserve"> PAGEREF _Toc237648516 \h </w:instrText>
        </w:r>
        <w:r>
          <w:rPr>
            <w:noProof/>
            <w:webHidden/>
          </w:rPr>
        </w:r>
        <w:r>
          <w:rPr>
            <w:noProof/>
            <w:webHidden/>
          </w:rPr>
          <w:fldChar w:fldCharType="separate"/>
        </w:r>
        <w:r>
          <w:rPr>
            <w:noProof/>
            <w:webHidden/>
          </w:rPr>
          <w:t>42</w:t>
        </w:r>
        <w:r>
          <w:rPr>
            <w:noProof/>
            <w:webHidden/>
          </w:rPr>
          <w:fldChar w:fldCharType="end"/>
        </w:r>
      </w:hyperlink>
    </w:p>
    <w:p w14:paraId="4FC9CB3F" w14:textId="19D8BE31" w:rsidR="00D72D24" w:rsidRDefault="00D72D24">
      <w:pPr>
        <w:pStyle w:val="TOC2"/>
        <w:rPr>
          <w:rFonts w:asciiTheme="minorHAnsi" w:eastAsiaTheme="minorEastAsia" w:hAnsiTheme="minorHAnsi"/>
          <w:noProof/>
          <w:color w:val="auto"/>
          <w:sz w:val="24"/>
        </w:rPr>
      </w:pPr>
      <w:hyperlink w:anchor="_Toc237648517" w:history="1">
        <w:r w:rsidRPr="00CD2BBA">
          <w:rPr>
            <w:rStyle w:val="Hyperlink"/>
            <w:rFonts w:cs="Calibri"/>
            <w:noProof/>
          </w:rPr>
          <w:t>Article 54: The Dispute Resolution Ladder</w:t>
        </w:r>
        <w:r>
          <w:rPr>
            <w:noProof/>
            <w:webHidden/>
          </w:rPr>
          <w:tab/>
        </w:r>
        <w:r>
          <w:rPr>
            <w:noProof/>
            <w:webHidden/>
          </w:rPr>
          <w:fldChar w:fldCharType="begin"/>
        </w:r>
        <w:r>
          <w:rPr>
            <w:noProof/>
            <w:webHidden/>
          </w:rPr>
          <w:instrText xml:space="preserve"> PAGEREF _Toc237648517 \h </w:instrText>
        </w:r>
        <w:r>
          <w:rPr>
            <w:noProof/>
            <w:webHidden/>
          </w:rPr>
        </w:r>
        <w:r>
          <w:rPr>
            <w:noProof/>
            <w:webHidden/>
          </w:rPr>
          <w:fldChar w:fldCharType="separate"/>
        </w:r>
        <w:r>
          <w:rPr>
            <w:noProof/>
            <w:webHidden/>
          </w:rPr>
          <w:t>42</w:t>
        </w:r>
        <w:r>
          <w:rPr>
            <w:noProof/>
            <w:webHidden/>
          </w:rPr>
          <w:fldChar w:fldCharType="end"/>
        </w:r>
      </w:hyperlink>
    </w:p>
    <w:p w14:paraId="0B8719C4" w14:textId="7C63633D" w:rsidR="00D72D24" w:rsidRDefault="00D72D24">
      <w:pPr>
        <w:pStyle w:val="TOC2"/>
        <w:rPr>
          <w:rFonts w:asciiTheme="minorHAnsi" w:eastAsiaTheme="minorEastAsia" w:hAnsiTheme="minorHAnsi"/>
          <w:noProof/>
          <w:color w:val="auto"/>
          <w:sz w:val="24"/>
        </w:rPr>
      </w:pPr>
      <w:hyperlink w:anchor="_Toc237648518" w:history="1">
        <w:r w:rsidRPr="00CD2BBA">
          <w:rPr>
            <w:rStyle w:val="Hyperlink"/>
            <w:rFonts w:cs="Calibri"/>
            <w:noProof/>
          </w:rPr>
          <w:t>Article 55: The Blue Passage Tribunal</w:t>
        </w:r>
        <w:r>
          <w:rPr>
            <w:noProof/>
            <w:webHidden/>
          </w:rPr>
          <w:tab/>
        </w:r>
        <w:r>
          <w:rPr>
            <w:noProof/>
            <w:webHidden/>
          </w:rPr>
          <w:fldChar w:fldCharType="begin"/>
        </w:r>
        <w:r>
          <w:rPr>
            <w:noProof/>
            <w:webHidden/>
          </w:rPr>
          <w:instrText xml:space="preserve"> PAGEREF _Toc237648518 \h </w:instrText>
        </w:r>
        <w:r>
          <w:rPr>
            <w:noProof/>
            <w:webHidden/>
          </w:rPr>
        </w:r>
        <w:r>
          <w:rPr>
            <w:noProof/>
            <w:webHidden/>
          </w:rPr>
          <w:fldChar w:fldCharType="separate"/>
        </w:r>
        <w:r>
          <w:rPr>
            <w:noProof/>
            <w:webHidden/>
          </w:rPr>
          <w:t>42</w:t>
        </w:r>
        <w:r>
          <w:rPr>
            <w:noProof/>
            <w:webHidden/>
          </w:rPr>
          <w:fldChar w:fldCharType="end"/>
        </w:r>
      </w:hyperlink>
    </w:p>
    <w:p w14:paraId="58F41A91" w14:textId="208128D9" w:rsidR="00D72D24" w:rsidRDefault="00D72D24">
      <w:pPr>
        <w:pStyle w:val="TOC2"/>
        <w:rPr>
          <w:rFonts w:asciiTheme="minorHAnsi" w:eastAsiaTheme="minorEastAsia" w:hAnsiTheme="minorHAnsi"/>
          <w:noProof/>
          <w:color w:val="auto"/>
          <w:sz w:val="24"/>
        </w:rPr>
      </w:pPr>
      <w:hyperlink w:anchor="_Toc237648519" w:history="1">
        <w:r w:rsidRPr="00CD2BBA">
          <w:rPr>
            <w:rStyle w:val="Hyperlink"/>
            <w:rFonts w:cs="Calibri"/>
            <w:noProof/>
          </w:rPr>
          <w:t>Article 56: The Ombudsman</w:t>
        </w:r>
        <w:r>
          <w:rPr>
            <w:noProof/>
            <w:webHidden/>
          </w:rPr>
          <w:tab/>
        </w:r>
        <w:r>
          <w:rPr>
            <w:noProof/>
            <w:webHidden/>
          </w:rPr>
          <w:fldChar w:fldCharType="begin"/>
        </w:r>
        <w:r>
          <w:rPr>
            <w:noProof/>
            <w:webHidden/>
          </w:rPr>
          <w:instrText xml:space="preserve"> PAGEREF _Toc237648519 \h </w:instrText>
        </w:r>
        <w:r>
          <w:rPr>
            <w:noProof/>
            <w:webHidden/>
          </w:rPr>
        </w:r>
        <w:r>
          <w:rPr>
            <w:noProof/>
            <w:webHidden/>
          </w:rPr>
          <w:fldChar w:fldCharType="separate"/>
        </w:r>
        <w:r>
          <w:rPr>
            <w:noProof/>
            <w:webHidden/>
          </w:rPr>
          <w:t>42</w:t>
        </w:r>
        <w:r>
          <w:rPr>
            <w:noProof/>
            <w:webHidden/>
          </w:rPr>
          <w:fldChar w:fldCharType="end"/>
        </w:r>
      </w:hyperlink>
    </w:p>
    <w:p w14:paraId="27AC0684" w14:textId="6ADFF02F" w:rsidR="00D72D24" w:rsidRDefault="00D72D24">
      <w:pPr>
        <w:pStyle w:val="TOC2"/>
        <w:rPr>
          <w:rFonts w:asciiTheme="minorHAnsi" w:eastAsiaTheme="minorEastAsia" w:hAnsiTheme="minorHAnsi"/>
          <w:noProof/>
          <w:color w:val="auto"/>
          <w:sz w:val="24"/>
        </w:rPr>
      </w:pPr>
      <w:hyperlink w:anchor="_Toc237648520" w:history="1">
        <w:r w:rsidRPr="00CD2BBA">
          <w:rPr>
            <w:rStyle w:val="Hyperlink"/>
            <w:rFonts w:cs="Calibri"/>
            <w:noProof/>
          </w:rPr>
          <w:t>Article 57: Default Continuity and Crisis Continuity</w:t>
        </w:r>
        <w:r>
          <w:rPr>
            <w:noProof/>
            <w:webHidden/>
          </w:rPr>
          <w:tab/>
        </w:r>
        <w:r>
          <w:rPr>
            <w:noProof/>
            <w:webHidden/>
          </w:rPr>
          <w:fldChar w:fldCharType="begin"/>
        </w:r>
        <w:r>
          <w:rPr>
            <w:noProof/>
            <w:webHidden/>
          </w:rPr>
          <w:instrText xml:space="preserve"> PAGEREF _Toc237648520 \h </w:instrText>
        </w:r>
        <w:r>
          <w:rPr>
            <w:noProof/>
            <w:webHidden/>
          </w:rPr>
        </w:r>
        <w:r>
          <w:rPr>
            <w:noProof/>
            <w:webHidden/>
          </w:rPr>
          <w:fldChar w:fldCharType="separate"/>
        </w:r>
        <w:r>
          <w:rPr>
            <w:noProof/>
            <w:webHidden/>
          </w:rPr>
          <w:t>43</w:t>
        </w:r>
        <w:r>
          <w:rPr>
            <w:noProof/>
            <w:webHidden/>
          </w:rPr>
          <w:fldChar w:fldCharType="end"/>
        </w:r>
      </w:hyperlink>
    </w:p>
    <w:p w14:paraId="0D82C7A1" w14:textId="38724B10" w:rsidR="00D72D24" w:rsidRDefault="00D72D24">
      <w:pPr>
        <w:pStyle w:val="TOC1"/>
        <w:rPr>
          <w:rFonts w:asciiTheme="minorHAnsi" w:eastAsiaTheme="minorEastAsia" w:hAnsiTheme="minorHAnsi"/>
          <w:b w:val="0"/>
          <w:noProof/>
          <w:color w:val="auto"/>
          <w:sz w:val="24"/>
        </w:rPr>
      </w:pPr>
      <w:hyperlink w:anchor="_Toc237648521" w:history="1">
        <w:r w:rsidRPr="00CD2BBA">
          <w:rPr>
            <w:rStyle w:val="Hyperlink"/>
            <w:rFonts w:cs="Calibri"/>
            <w:noProof/>
          </w:rPr>
          <w:t>PART XI: BRIDGES TO THE WIDER PEACE</w:t>
        </w:r>
        <w:r>
          <w:rPr>
            <w:noProof/>
            <w:webHidden/>
          </w:rPr>
          <w:tab/>
        </w:r>
        <w:r>
          <w:rPr>
            <w:noProof/>
            <w:webHidden/>
          </w:rPr>
          <w:fldChar w:fldCharType="begin"/>
        </w:r>
        <w:r>
          <w:rPr>
            <w:noProof/>
            <w:webHidden/>
          </w:rPr>
          <w:instrText xml:space="preserve"> PAGEREF _Toc237648521 \h </w:instrText>
        </w:r>
        <w:r>
          <w:rPr>
            <w:noProof/>
            <w:webHidden/>
          </w:rPr>
        </w:r>
        <w:r>
          <w:rPr>
            <w:noProof/>
            <w:webHidden/>
          </w:rPr>
          <w:fldChar w:fldCharType="separate"/>
        </w:r>
        <w:r>
          <w:rPr>
            <w:noProof/>
            <w:webHidden/>
          </w:rPr>
          <w:t>44</w:t>
        </w:r>
        <w:r>
          <w:rPr>
            <w:noProof/>
            <w:webHidden/>
          </w:rPr>
          <w:fldChar w:fldCharType="end"/>
        </w:r>
      </w:hyperlink>
    </w:p>
    <w:p w14:paraId="6D311E83" w14:textId="5814E1A5" w:rsidR="00D72D24" w:rsidRDefault="00D72D24">
      <w:pPr>
        <w:pStyle w:val="TOC2"/>
        <w:rPr>
          <w:rFonts w:asciiTheme="minorHAnsi" w:eastAsiaTheme="minorEastAsia" w:hAnsiTheme="minorHAnsi"/>
          <w:noProof/>
          <w:color w:val="auto"/>
          <w:sz w:val="24"/>
        </w:rPr>
      </w:pPr>
      <w:hyperlink w:anchor="_Toc237648522" w:history="1">
        <w:r w:rsidRPr="00CD2BBA">
          <w:rPr>
            <w:rStyle w:val="Hyperlink"/>
            <w:rFonts w:cs="Calibri"/>
            <w:noProof/>
          </w:rPr>
          <w:t>Article 58: The Intermediary Bridge</w:t>
        </w:r>
        <w:r>
          <w:rPr>
            <w:noProof/>
            <w:webHidden/>
          </w:rPr>
          <w:tab/>
        </w:r>
        <w:r>
          <w:rPr>
            <w:noProof/>
            <w:webHidden/>
          </w:rPr>
          <w:fldChar w:fldCharType="begin"/>
        </w:r>
        <w:r>
          <w:rPr>
            <w:noProof/>
            <w:webHidden/>
          </w:rPr>
          <w:instrText xml:space="preserve"> PAGEREF _Toc237648522 \h </w:instrText>
        </w:r>
        <w:r>
          <w:rPr>
            <w:noProof/>
            <w:webHidden/>
          </w:rPr>
        </w:r>
        <w:r>
          <w:rPr>
            <w:noProof/>
            <w:webHidden/>
          </w:rPr>
          <w:fldChar w:fldCharType="separate"/>
        </w:r>
        <w:r>
          <w:rPr>
            <w:noProof/>
            <w:webHidden/>
          </w:rPr>
          <w:t>44</w:t>
        </w:r>
        <w:r>
          <w:rPr>
            <w:noProof/>
            <w:webHidden/>
          </w:rPr>
          <w:fldChar w:fldCharType="end"/>
        </w:r>
      </w:hyperlink>
    </w:p>
    <w:p w14:paraId="106C7C2E" w14:textId="7EF3A581" w:rsidR="00D72D24" w:rsidRDefault="00D72D24">
      <w:pPr>
        <w:pStyle w:val="TOC2"/>
        <w:rPr>
          <w:rFonts w:asciiTheme="minorHAnsi" w:eastAsiaTheme="minorEastAsia" w:hAnsiTheme="minorHAnsi"/>
          <w:noProof/>
          <w:color w:val="auto"/>
          <w:sz w:val="24"/>
        </w:rPr>
      </w:pPr>
      <w:hyperlink w:anchor="_Toc237648523" w:history="1">
        <w:r w:rsidRPr="00CD2BBA">
          <w:rPr>
            <w:rStyle w:val="Hyperlink"/>
            <w:rFonts w:cs="Calibri"/>
            <w:noProof/>
          </w:rPr>
          <w:t>Article 59: The Twin-Signature Mirroring Protocol</w:t>
        </w:r>
        <w:r>
          <w:rPr>
            <w:noProof/>
            <w:webHidden/>
          </w:rPr>
          <w:tab/>
        </w:r>
        <w:r>
          <w:rPr>
            <w:noProof/>
            <w:webHidden/>
          </w:rPr>
          <w:fldChar w:fldCharType="begin"/>
        </w:r>
        <w:r>
          <w:rPr>
            <w:noProof/>
            <w:webHidden/>
          </w:rPr>
          <w:instrText xml:space="preserve"> PAGEREF _Toc237648523 \h </w:instrText>
        </w:r>
        <w:r>
          <w:rPr>
            <w:noProof/>
            <w:webHidden/>
          </w:rPr>
        </w:r>
        <w:r>
          <w:rPr>
            <w:noProof/>
            <w:webHidden/>
          </w:rPr>
          <w:fldChar w:fldCharType="separate"/>
        </w:r>
        <w:r>
          <w:rPr>
            <w:noProof/>
            <w:webHidden/>
          </w:rPr>
          <w:t>44</w:t>
        </w:r>
        <w:r>
          <w:rPr>
            <w:noProof/>
            <w:webHidden/>
          </w:rPr>
          <w:fldChar w:fldCharType="end"/>
        </w:r>
      </w:hyperlink>
    </w:p>
    <w:p w14:paraId="2CE4BC77" w14:textId="69C6804D" w:rsidR="00D72D24" w:rsidRDefault="00D72D24">
      <w:pPr>
        <w:pStyle w:val="TOC2"/>
        <w:rPr>
          <w:rFonts w:asciiTheme="minorHAnsi" w:eastAsiaTheme="minorEastAsia" w:hAnsiTheme="minorHAnsi"/>
          <w:noProof/>
          <w:color w:val="auto"/>
          <w:sz w:val="24"/>
        </w:rPr>
      </w:pPr>
      <w:hyperlink w:anchor="_Toc237648524" w:history="1">
        <w:r w:rsidRPr="00CD2BBA">
          <w:rPr>
            <w:rStyle w:val="Hyperlink"/>
            <w:rFonts w:cs="Calibri"/>
            <w:noProof/>
          </w:rPr>
          <w:t>Article 60: Interface with the Nuclear Track</w:t>
        </w:r>
        <w:r>
          <w:rPr>
            <w:noProof/>
            <w:webHidden/>
          </w:rPr>
          <w:tab/>
        </w:r>
        <w:r>
          <w:rPr>
            <w:noProof/>
            <w:webHidden/>
          </w:rPr>
          <w:fldChar w:fldCharType="begin"/>
        </w:r>
        <w:r>
          <w:rPr>
            <w:noProof/>
            <w:webHidden/>
          </w:rPr>
          <w:instrText xml:space="preserve"> PAGEREF _Toc237648524 \h </w:instrText>
        </w:r>
        <w:r>
          <w:rPr>
            <w:noProof/>
            <w:webHidden/>
          </w:rPr>
        </w:r>
        <w:r>
          <w:rPr>
            <w:noProof/>
            <w:webHidden/>
          </w:rPr>
          <w:fldChar w:fldCharType="separate"/>
        </w:r>
        <w:r>
          <w:rPr>
            <w:noProof/>
            <w:webHidden/>
          </w:rPr>
          <w:t>45</w:t>
        </w:r>
        <w:r>
          <w:rPr>
            <w:noProof/>
            <w:webHidden/>
          </w:rPr>
          <w:fldChar w:fldCharType="end"/>
        </w:r>
      </w:hyperlink>
    </w:p>
    <w:p w14:paraId="5E1EED35" w14:textId="2C5385E1" w:rsidR="00D72D24" w:rsidRDefault="00D72D24">
      <w:pPr>
        <w:pStyle w:val="TOC2"/>
        <w:rPr>
          <w:rFonts w:asciiTheme="minorHAnsi" w:eastAsiaTheme="minorEastAsia" w:hAnsiTheme="minorHAnsi"/>
          <w:noProof/>
          <w:color w:val="auto"/>
          <w:sz w:val="24"/>
        </w:rPr>
      </w:pPr>
      <w:hyperlink w:anchor="_Toc237648525" w:history="1">
        <w:r w:rsidRPr="00CD2BBA">
          <w:rPr>
            <w:rStyle w:val="Hyperlink"/>
            <w:rFonts w:cs="Calibri"/>
            <w:noProof/>
          </w:rPr>
          <w:t>Article 61: The United States Rebalancing Interface</w:t>
        </w:r>
        <w:r>
          <w:rPr>
            <w:noProof/>
            <w:webHidden/>
          </w:rPr>
          <w:tab/>
        </w:r>
        <w:r>
          <w:rPr>
            <w:noProof/>
            <w:webHidden/>
          </w:rPr>
          <w:fldChar w:fldCharType="begin"/>
        </w:r>
        <w:r>
          <w:rPr>
            <w:noProof/>
            <w:webHidden/>
          </w:rPr>
          <w:instrText xml:space="preserve"> PAGEREF _Toc237648525 \h </w:instrText>
        </w:r>
        <w:r>
          <w:rPr>
            <w:noProof/>
            <w:webHidden/>
          </w:rPr>
        </w:r>
        <w:r>
          <w:rPr>
            <w:noProof/>
            <w:webHidden/>
          </w:rPr>
          <w:fldChar w:fldCharType="separate"/>
        </w:r>
        <w:r>
          <w:rPr>
            <w:noProof/>
            <w:webHidden/>
          </w:rPr>
          <w:t>45</w:t>
        </w:r>
        <w:r>
          <w:rPr>
            <w:noProof/>
            <w:webHidden/>
          </w:rPr>
          <w:fldChar w:fldCharType="end"/>
        </w:r>
      </w:hyperlink>
    </w:p>
    <w:p w14:paraId="637EEB22" w14:textId="16B9D50B" w:rsidR="00D72D24" w:rsidRDefault="00D72D24">
      <w:pPr>
        <w:pStyle w:val="TOC1"/>
        <w:rPr>
          <w:rFonts w:asciiTheme="minorHAnsi" w:eastAsiaTheme="minorEastAsia" w:hAnsiTheme="minorHAnsi"/>
          <w:b w:val="0"/>
          <w:noProof/>
          <w:color w:val="auto"/>
          <w:sz w:val="24"/>
        </w:rPr>
      </w:pPr>
      <w:hyperlink w:anchor="_Toc237648526" w:history="1">
        <w:r w:rsidRPr="00CD2BBA">
          <w:rPr>
            <w:rStyle w:val="Hyperlink"/>
            <w:rFonts w:cs="Calibri"/>
            <w:noProof/>
          </w:rPr>
          <w:t>PART XII: TRANSPARENCY AND PUBLIC LEGITIMACY</w:t>
        </w:r>
        <w:r>
          <w:rPr>
            <w:noProof/>
            <w:webHidden/>
          </w:rPr>
          <w:tab/>
        </w:r>
        <w:r>
          <w:rPr>
            <w:noProof/>
            <w:webHidden/>
          </w:rPr>
          <w:fldChar w:fldCharType="begin"/>
        </w:r>
        <w:r>
          <w:rPr>
            <w:noProof/>
            <w:webHidden/>
          </w:rPr>
          <w:instrText xml:space="preserve"> PAGEREF _Toc237648526 \h </w:instrText>
        </w:r>
        <w:r>
          <w:rPr>
            <w:noProof/>
            <w:webHidden/>
          </w:rPr>
        </w:r>
        <w:r>
          <w:rPr>
            <w:noProof/>
            <w:webHidden/>
          </w:rPr>
          <w:fldChar w:fldCharType="separate"/>
        </w:r>
        <w:r>
          <w:rPr>
            <w:noProof/>
            <w:webHidden/>
          </w:rPr>
          <w:t>46</w:t>
        </w:r>
        <w:r>
          <w:rPr>
            <w:noProof/>
            <w:webHidden/>
          </w:rPr>
          <w:fldChar w:fldCharType="end"/>
        </w:r>
      </w:hyperlink>
    </w:p>
    <w:p w14:paraId="170F723D" w14:textId="07A2EF63" w:rsidR="00D72D24" w:rsidRDefault="00D72D24">
      <w:pPr>
        <w:pStyle w:val="TOC2"/>
        <w:rPr>
          <w:rFonts w:asciiTheme="minorHAnsi" w:eastAsiaTheme="minorEastAsia" w:hAnsiTheme="minorHAnsi"/>
          <w:noProof/>
          <w:color w:val="auto"/>
          <w:sz w:val="24"/>
        </w:rPr>
      </w:pPr>
      <w:hyperlink w:anchor="_Toc237648527" w:history="1">
        <w:r w:rsidRPr="00CD2BBA">
          <w:rPr>
            <w:rStyle w:val="Hyperlink"/>
            <w:rFonts w:cs="Calibri"/>
            <w:noProof/>
          </w:rPr>
          <w:t>Article 62: The Transparency Portals</w:t>
        </w:r>
        <w:r>
          <w:rPr>
            <w:noProof/>
            <w:webHidden/>
          </w:rPr>
          <w:tab/>
        </w:r>
        <w:r>
          <w:rPr>
            <w:noProof/>
            <w:webHidden/>
          </w:rPr>
          <w:fldChar w:fldCharType="begin"/>
        </w:r>
        <w:r>
          <w:rPr>
            <w:noProof/>
            <w:webHidden/>
          </w:rPr>
          <w:instrText xml:space="preserve"> PAGEREF _Toc237648527 \h </w:instrText>
        </w:r>
        <w:r>
          <w:rPr>
            <w:noProof/>
            <w:webHidden/>
          </w:rPr>
        </w:r>
        <w:r>
          <w:rPr>
            <w:noProof/>
            <w:webHidden/>
          </w:rPr>
          <w:fldChar w:fldCharType="separate"/>
        </w:r>
        <w:r>
          <w:rPr>
            <w:noProof/>
            <w:webHidden/>
          </w:rPr>
          <w:t>46</w:t>
        </w:r>
        <w:r>
          <w:rPr>
            <w:noProof/>
            <w:webHidden/>
          </w:rPr>
          <w:fldChar w:fldCharType="end"/>
        </w:r>
      </w:hyperlink>
    </w:p>
    <w:p w14:paraId="469E3D71" w14:textId="27CC0A95" w:rsidR="00D72D24" w:rsidRDefault="00D72D24">
      <w:pPr>
        <w:pStyle w:val="TOC2"/>
        <w:rPr>
          <w:rFonts w:asciiTheme="minorHAnsi" w:eastAsiaTheme="minorEastAsia" w:hAnsiTheme="minorHAnsi"/>
          <w:noProof/>
          <w:color w:val="auto"/>
          <w:sz w:val="24"/>
        </w:rPr>
      </w:pPr>
      <w:hyperlink w:anchor="_Toc237648528" w:history="1">
        <w:r w:rsidRPr="00CD2BBA">
          <w:rPr>
            <w:rStyle w:val="Hyperlink"/>
            <w:rFonts w:cs="Calibri"/>
            <w:noProof/>
          </w:rPr>
          <w:t>Article 63: Incident Reporting and Public Logs</w:t>
        </w:r>
        <w:r>
          <w:rPr>
            <w:noProof/>
            <w:webHidden/>
          </w:rPr>
          <w:tab/>
        </w:r>
        <w:r>
          <w:rPr>
            <w:noProof/>
            <w:webHidden/>
          </w:rPr>
          <w:fldChar w:fldCharType="begin"/>
        </w:r>
        <w:r>
          <w:rPr>
            <w:noProof/>
            <w:webHidden/>
          </w:rPr>
          <w:instrText xml:space="preserve"> PAGEREF _Toc237648528 \h </w:instrText>
        </w:r>
        <w:r>
          <w:rPr>
            <w:noProof/>
            <w:webHidden/>
          </w:rPr>
        </w:r>
        <w:r>
          <w:rPr>
            <w:noProof/>
            <w:webHidden/>
          </w:rPr>
          <w:fldChar w:fldCharType="separate"/>
        </w:r>
        <w:r>
          <w:rPr>
            <w:noProof/>
            <w:webHidden/>
          </w:rPr>
          <w:t>46</w:t>
        </w:r>
        <w:r>
          <w:rPr>
            <w:noProof/>
            <w:webHidden/>
          </w:rPr>
          <w:fldChar w:fldCharType="end"/>
        </w:r>
      </w:hyperlink>
    </w:p>
    <w:p w14:paraId="3FA7E321" w14:textId="061B0757" w:rsidR="00D72D24" w:rsidRDefault="00D72D24">
      <w:pPr>
        <w:pStyle w:val="TOC2"/>
        <w:rPr>
          <w:rFonts w:asciiTheme="minorHAnsi" w:eastAsiaTheme="minorEastAsia" w:hAnsiTheme="minorHAnsi"/>
          <w:noProof/>
          <w:color w:val="auto"/>
          <w:sz w:val="24"/>
        </w:rPr>
      </w:pPr>
      <w:hyperlink w:anchor="_Toc237648529" w:history="1">
        <w:r w:rsidRPr="00CD2BBA">
          <w:rPr>
            <w:rStyle w:val="Hyperlink"/>
            <w:rFonts w:cs="Calibri"/>
            <w:noProof/>
          </w:rPr>
          <w:t>Article 64: The Counter-Misinformation Protocol</w:t>
        </w:r>
        <w:r>
          <w:rPr>
            <w:noProof/>
            <w:webHidden/>
          </w:rPr>
          <w:tab/>
        </w:r>
        <w:r>
          <w:rPr>
            <w:noProof/>
            <w:webHidden/>
          </w:rPr>
          <w:fldChar w:fldCharType="begin"/>
        </w:r>
        <w:r>
          <w:rPr>
            <w:noProof/>
            <w:webHidden/>
          </w:rPr>
          <w:instrText xml:space="preserve"> PAGEREF _Toc237648529 \h </w:instrText>
        </w:r>
        <w:r>
          <w:rPr>
            <w:noProof/>
            <w:webHidden/>
          </w:rPr>
        </w:r>
        <w:r>
          <w:rPr>
            <w:noProof/>
            <w:webHidden/>
          </w:rPr>
          <w:fldChar w:fldCharType="separate"/>
        </w:r>
        <w:r>
          <w:rPr>
            <w:noProof/>
            <w:webHidden/>
          </w:rPr>
          <w:t>46</w:t>
        </w:r>
        <w:r>
          <w:rPr>
            <w:noProof/>
            <w:webHidden/>
          </w:rPr>
          <w:fldChar w:fldCharType="end"/>
        </w:r>
      </w:hyperlink>
    </w:p>
    <w:p w14:paraId="26C142FB" w14:textId="402584EB" w:rsidR="00D72D24" w:rsidRDefault="00D72D24">
      <w:pPr>
        <w:pStyle w:val="TOC2"/>
        <w:rPr>
          <w:rFonts w:asciiTheme="minorHAnsi" w:eastAsiaTheme="minorEastAsia" w:hAnsiTheme="minorHAnsi"/>
          <w:noProof/>
          <w:color w:val="auto"/>
          <w:sz w:val="24"/>
        </w:rPr>
      </w:pPr>
      <w:hyperlink w:anchor="_Toc237648530" w:history="1">
        <w:r w:rsidRPr="00CD2BBA">
          <w:rPr>
            <w:rStyle w:val="Hyperlink"/>
            <w:rFonts w:cs="Calibri"/>
            <w:noProof/>
          </w:rPr>
          <w:t>Article 65: Public Communication and Domestic Framing Autonomy</w:t>
        </w:r>
        <w:r>
          <w:rPr>
            <w:noProof/>
            <w:webHidden/>
          </w:rPr>
          <w:tab/>
        </w:r>
        <w:r>
          <w:rPr>
            <w:noProof/>
            <w:webHidden/>
          </w:rPr>
          <w:fldChar w:fldCharType="begin"/>
        </w:r>
        <w:r>
          <w:rPr>
            <w:noProof/>
            <w:webHidden/>
          </w:rPr>
          <w:instrText xml:space="preserve"> PAGEREF _Toc237648530 \h </w:instrText>
        </w:r>
        <w:r>
          <w:rPr>
            <w:noProof/>
            <w:webHidden/>
          </w:rPr>
        </w:r>
        <w:r>
          <w:rPr>
            <w:noProof/>
            <w:webHidden/>
          </w:rPr>
          <w:fldChar w:fldCharType="separate"/>
        </w:r>
        <w:r>
          <w:rPr>
            <w:noProof/>
            <w:webHidden/>
          </w:rPr>
          <w:t>47</w:t>
        </w:r>
        <w:r>
          <w:rPr>
            <w:noProof/>
            <w:webHidden/>
          </w:rPr>
          <w:fldChar w:fldCharType="end"/>
        </w:r>
      </w:hyperlink>
    </w:p>
    <w:p w14:paraId="5F33506D" w14:textId="2A66F560" w:rsidR="00D72D24" w:rsidRDefault="00D72D24">
      <w:pPr>
        <w:pStyle w:val="TOC1"/>
        <w:rPr>
          <w:rFonts w:asciiTheme="minorHAnsi" w:eastAsiaTheme="minorEastAsia" w:hAnsiTheme="minorHAnsi"/>
          <w:b w:val="0"/>
          <w:noProof/>
          <w:color w:val="auto"/>
          <w:sz w:val="24"/>
        </w:rPr>
      </w:pPr>
      <w:hyperlink w:anchor="_Toc237648531" w:history="1">
        <w:r w:rsidRPr="00CD2BBA">
          <w:rPr>
            <w:rStyle w:val="Hyperlink"/>
            <w:rFonts w:cs="Calibri"/>
            <w:noProof/>
          </w:rPr>
          <w:t>PART XIII: PARTICIPATION, DURATION, AND CONCLUDING CLAUSES</w:t>
        </w:r>
        <w:r>
          <w:rPr>
            <w:noProof/>
            <w:webHidden/>
          </w:rPr>
          <w:tab/>
        </w:r>
        <w:r>
          <w:rPr>
            <w:noProof/>
            <w:webHidden/>
          </w:rPr>
          <w:fldChar w:fldCharType="begin"/>
        </w:r>
        <w:r>
          <w:rPr>
            <w:noProof/>
            <w:webHidden/>
          </w:rPr>
          <w:instrText xml:space="preserve"> PAGEREF _Toc237648531 \h </w:instrText>
        </w:r>
        <w:r>
          <w:rPr>
            <w:noProof/>
            <w:webHidden/>
          </w:rPr>
        </w:r>
        <w:r>
          <w:rPr>
            <w:noProof/>
            <w:webHidden/>
          </w:rPr>
          <w:fldChar w:fldCharType="separate"/>
        </w:r>
        <w:r>
          <w:rPr>
            <w:noProof/>
            <w:webHidden/>
          </w:rPr>
          <w:t>48</w:t>
        </w:r>
        <w:r>
          <w:rPr>
            <w:noProof/>
            <w:webHidden/>
          </w:rPr>
          <w:fldChar w:fldCharType="end"/>
        </w:r>
      </w:hyperlink>
    </w:p>
    <w:p w14:paraId="4EA15D1C" w14:textId="17226D5D" w:rsidR="00D72D24" w:rsidRDefault="00D72D24">
      <w:pPr>
        <w:pStyle w:val="TOC2"/>
        <w:rPr>
          <w:rFonts w:asciiTheme="minorHAnsi" w:eastAsiaTheme="minorEastAsia" w:hAnsiTheme="minorHAnsi"/>
          <w:noProof/>
          <w:color w:val="auto"/>
          <w:sz w:val="24"/>
        </w:rPr>
      </w:pPr>
      <w:hyperlink w:anchor="_Toc237648532" w:history="1">
        <w:r w:rsidRPr="00CD2BBA">
          <w:rPr>
            <w:rStyle w:val="Hyperlink"/>
            <w:rFonts w:cs="Calibri"/>
            <w:noProof/>
          </w:rPr>
          <w:t>Article 66: Participation Tiers</w:t>
        </w:r>
        <w:r>
          <w:rPr>
            <w:noProof/>
            <w:webHidden/>
          </w:rPr>
          <w:tab/>
        </w:r>
        <w:r>
          <w:rPr>
            <w:noProof/>
            <w:webHidden/>
          </w:rPr>
          <w:fldChar w:fldCharType="begin"/>
        </w:r>
        <w:r>
          <w:rPr>
            <w:noProof/>
            <w:webHidden/>
          </w:rPr>
          <w:instrText xml:space="preserve"> PAGEREF _Toc237648532 \h </w:instrText>
        </w:r>
        <w:r>
          <w:rPr>
            <w:noProof/>
            <w:webHidden/>
          </w:rPr>
        </w:r>
        <w:r>
          <w:rPr>
            <w:noProof/>
            <w:webHidden/>
          </w:rPr>
          <w:fldChar w:fldCharType="separate"/>
        </w:r>
        <w:r>
          <w:rPr>
            <w:noProof/>
            <w:webHidden/>
          </w:rPr>
          <w:t>48</w:t>
        </w:r>
        <w:r>
          <w:rPr>
            <w:noProof/>
            <w:webHidden/>
          </w:rPr>
          <w:fldChar w:fldCharType="end"/>
        </w:r>
      </w:hyperlink>
    </w:p>
    <w:p w14:paraId="1F7DCA26" w14:textId="504B5E71" w:rsidR="00D72D24" w:rsidRDefault="00D72D24">
      <w:pPr>
        <w:pStyle w:val="TOC2"/>
        <w:rPr>
          <w:rFonts w:asciiTheme="minorHAnsi" w:eastAsiaTheme="minorEastAsia" w:hAnsiTheme="minorHAnsi"/>
          <w:noProof/>
          <w:color w:val="auto"/>
          <w:sz w:val="24"/>
        </w:rPr>
      </w:pPr>
      <w:hyperlink w:anchor="_Toc237648533" w:history="1">
        <w:r w:rsidRPr="00CD2BBA">
          <w:rPr>
            <w:rStyle w:val="Hyperlink"/>
            <w:rFonts w:cs="Calibri"/>
            <w:noProof/>
          </w:rPr>
          <w:t>Article 67: Accession</w:t>
        </w:r>
        <w:r>
          <w:rPr>
            <w:noProof/>
            <w:webHidden/>
          </w:rPr>
          <w:tab/>
        </w:r>
        <w:r>
          <w:rPr>
            <w:noProof/>
            <w:webHidden/>
          </w:rPr>
          <w:fldChar w:fldCharType="begin"/>
        </w:r>
        <w:r>
          <w:rPr>
            <w:noProof/>
            <w:webHidden/>
          </w:rPr>
          <w:instrText xml:space="preserve"> PAGEREF _Toc237648533 \h </w:instrText>
        </w:r>
        <w:r>
          <w:rPr>
            <w:noProof/>
            <w:webHidden/>
          </w:rPr>
        </w:r>
        <w:r>
          <w:rPr>
            <w:noProof/>
            <w:webHidden/>
          </w:rPr>
          <w:fldChar w:fldCharType="separate"/>
        </w:r>
        <w:r>
          <w:rPr>
            <w:noProof/>
            <w:webHidden/>
          </w:rPr>
          <w:t>48</w:t>
        </w:r>
        <w:r>
          <w:rPr>
            <w:noProof/>
            <w:webHidden/>
          </w:rPr>
          <w:fldChar w:fldCharType="end"/>
        </w:r>
      </w:hyperlink>
    </w:p>
    <w:p w14:paraId="37C0D884" w14:textId="327CEFEA" w:rsidR="00D72D24" w:rsidRDefault="00D72D24">
      <w:pPr>
        <w:pStyle w:val="TOC2"/>
        <w:rPr>
          <w:rFonts w:asciiTheme="minorHAnsi" w:eastAsiaTheme="minorEastAsia" w:hAnsiTheme="minorHAnsi"/>
          <w:noProof/>
          <w:color w:val="auto"/>
          <w:sz w:val="24"/>
        </w:rPr>
      </w:pPr>
      <w:hyperlink w:anchor="_Toc237648534" w:history="1">
        <w:r w:rsidRPr="00CD2BBA">
          <w:rPr>
            <w:rStyle w:val="Hyperlink"/>
            <w:rFonts w:cs="Calibri"/>
            <w:noProof/>
          </w:rPr>
          <w:t>Article 68: Duration, Review, and Renewal</w:t>
        </w:r>
        <w:r>
          <w:rPr>
            <w:noProof/>
            <w:webHidden/>
          </w:rPr>
          <w:tab/>
        </w:r>
        <w:r>
          <w:rPr>
            <w:noProof/>
            <w:webHidden/>
          </w:rPr>
          <w:fldChar w:fldCharType="begin"/>
        </w:r>
        <w:r>
          <w:rPr>
            <w:noProof/>
            <w:webHidden/>
          </w:rPr>
          <w:instrText xml:space="preserve"> PAGEREF _Toc237648534 \h </w:instrText>
        </w:r>
        <w:r>
          <w:rPr>
            <w:noProof/>
            <w:webHidden/>
          </w:rPr>
        </w:r>
        <w:r>
          <w:rPr>
            <w:noProof/>
            <w:webHidden/>
          </w:rPr>
          <w:fldChar w:fldCharType="separate"/>
        </w:r>
        <w:r>
          <w:rPr>
            <w:noProof/>
            <w:webHidden/>
          </w:rPr>
          <w:t>48</w:t>
        </w:r>
        <w:r>
          <w:rPr>
            <w:noProof/>
            <w:webHidden/>
          </w:rPr>
          <w:fldChar w:fldCharType="end"/>
        </w:r>
      </w:hyperlink>
    </w:p>
    <w:p w14:paraId="7C3F0914" w14:textId="48F609DA" w:rsidR="00D72D24" w:rsidRDefault="00D72D24">
      <w:pPr>
        <w:pStyle w:val="TOC2"/>
        <w:rPr>
          <w:rFonts w:asciiTheme="minorHAnsi" w:eastAsiaTheme="minorEastAsia" w:hAnsiTheme="minorHAnsi"/>
          <w:noProof/>
          <w:color w:val="auto"/>
          <w:sz w:val="24"/>
        </w:rPr>
      </w:pPr>
      <w:hyperlink w:anchor="_Toc237648535" w:history="1">
        <w:r w:rsidRPr="00CD2BBA">
          <w:rPr>
            <w:rStyle w:val="Hyperlink"/>
            <w:rFonts w:cs="Calibri"/>
            <w:noProof/>
          </w:rPr>
          <w:t>Article 69: Withdrawal</w:t>
        </w:r>
        <w:r>
          <w:rPr>
            <w:noProof/>
            <w:webHidden/>
          </w:rPr>
          <w:tab/>
        </w:r>
        <w:r>
          <w:rPr>
            <w:noProof/>
            <w:webHidden/>
          </w:rPr>
          <w:fldChar w:fldCharType="begin"/>
        </w:r>
        <w:r>
          <w:rPr>
            <w:noProof/>
            <w:webHidden/>
          </w:rPr>
          <w:instrText xml:space="preserve"> PAGEREF _Toc237648535 \h </w:instrText>
        </w:r>
        <w:r>
          <w:rPr>
            <w:noProof/>
            <w:webHidden/>
          </w:rPr>
        </w:r>
        <w:r>
          <w:rPr>
            <w:noProof/>
            <w:webHidden/>
          </w:rPr>
          <w:fldChar w:fldCharType="separate"/>
        </w:r>
        <w:r>
          <w:rPr>
            <w:noProof/>
            <w:webHidden/>
          </w:rPr>
          <w:t>49</w:t>
        </w:r>
        <w:r>
          <w:rPr>
            <w:noProof/>
            <w:webHidden/>
          </w:rPr>
          <w:fldChar w:fldCharType="end"/>
        </w:r>
      </w:hyperlink>
    </w:p>
    <w:p w14:paraId="194C4F43" w14:textId="5EC6285B" w:rsidR="00D72D24" w:rsidRDefault="00D72D24">
      <w:pPr>
        <w:pStyle w:val="TOC2"/>
        <w:rPr>
          <w:rFonts w:asciiTheme="minorHAnsi" w:eastAsiaTheme="minorEastAsia" w:hAnsiTheme="minorHAnsi"/>
          <w:noProof/>
          <w:color w:val="auto"/>
          <w:sz w:val="24"/>
        </w:rPr>
      </w:pPr>
      <w:hyperlink w:anchor="_Toc237648536" w:history="1">
        <w:r w:rsidRPr="00CD2BBA">
          <w:rPr>
            <w:rStyle w:val="Hyperlink"/>
            <w:rFonts w:cs="Calibri"/>
            <w:noProof/>
          </w:rPr>
          <w:t>Article 70: Amendment and Annex Updating</w:t>
        </w:r>
        <w:r>
          <w:rPr>
            <w:noProof/>
            <w:webHidden/>
          </w:rPr>
          <w:tab/>
        </w:r>
        <w:r>
          <w:rPr>
            <w:noProof/>
            <w:webHidden/>
          </w:rPr>
          <w:fldChar w:fldCharType="begin"/>
        </w:r>
        <w:r>
          <w:rPr>
            <w:noProof/>
            <w:webHidden/>
          </w:rPr>
          <w:instrText xml:space="preserve"> PAGEREF _Toc237648536 \h </w:instrText>
        </w:r>
        <w:r>
          <w:rPr>
            <w:noProof/>
            <w:webHidden/>
          </w:rPr>
        </w:r>
        <w:r>
          <w:rPr>
            <w:noProof/>
            <w:webHidden/>
          </w:rPr>
          <w:fldChar w:fldCharType="separate"/>
        </w:r>
        <w:r>
          <w:rPr>
            <w:noProof/>
            <w:webHidden/>
          </w:rPr>
          <w:t>49</w:t>
        </w:r>
        <w:r>
          <w:rPr>
            <w:noProof/>
            <w:webHidden/>
          </w:rPr>
          <w:fldChar w:fldCharType="end"/>
        </w:r>
      </w:hyperlink>
    </w:p>
    <w:p w14:paraId="1F896EB8" w14:textId="73B4CAC9" w:rsidR="00D72D24" w:rsidRDefault="00D72D24">
      <w:pPr>
        <w:pStyle w:val="TOC2"/>
        <w:rPr>
          <w:rFonts w:asciiTheme="minorHAnsi" w:eastAsiaTheme="minorEastAsia" w:hAnsiTheme="minorHAnsi"/>
          <w:noProof/>
          <w:color w:val="auto"/>
          <w:sz w:val="24"/>
        </w:rPr>
      </w:pPr>
      <w:hyperlink w:anchor="_Toc237648537" w:history="1">
        <w:r w:rsidRPr="00CD2BBA">
          <w:rPr>
            <w:rStyle w:val="Hyperlink"/>
            <w:rFonts w:cs="Calibri"/>
            <w:noProof/>
          </w:rPr>
          <w:t>Article 71: Concluding Clauses</w:t>
        </w:r>
        <w:r>
          <w:rPr>
            <w:noProof/>
            <w:webHidden/>
          </w:rPr>
          <w:tab/>
        </w:r>
        <w:r>
          <w:rPr>
            <w:noProof/>
            <w:webHidden/>
          </w:rPr>
          <w:fldChar w:fldCharType="begin"/>
        </w:r>
        <w:r>
          <w:rPr>
            <w:noProof/>
            <w:webHidden/>
          </w:rPr>
          <w:instrText xml:space="preserve"> PAGEREF _Toc237648537 \h </w:instrText>
        </w:r>
        <w:r>
          <w:rPr>
            <w:noProof/>
            <w:webHidden/>
          </w:rPr>
        </w:r>
        <w:r>
          <w:rPr>
            <w:noProof/>
            <w:webHidden/>
          </w:rPr>
          <w:fldChar w:fldCharType="separate"/>
        </w:r>
        <w:r>
          <w:rPr>
            <w:noProof/>
            <w:webHidden/>
          </w:rPr>
          <w:t>49</w:t>
        </w:r>
        <w:r>
          <w:rPr>
            <w:noProof/>
            <w:webHidden/>
          </w:rPr>
          <w:fldChar w:fldCharType="end"/>
        </w:r>
      </w:hyperlink>
    </w:p>
    <w:p w14:paraId="76695737" w14:textId="68F8333E" w:rsidR="00D72D24" w:rsidRDefault="00D72D24">
      <w:pPr>
        <w:pStyle w:val="TOC1"/>
        <w:rPr>
          <w:rFonts w:asciiTheme="minorHAnsi" w:eastAsiaTheme="minorEastAsia" w:hAnsiTheme="minorHAnsi"/>
          <w:b w:val="0"/>
          <w:noProof/>
          <w:color w:val="auto"/>
          <w:sz w:val="24"/>
        </w:rPr>
      </w:pPr>
      <w:hyperlink w:anchor="_Toc237648538" w:history="1">
        <w:r w:rsidRPr="00CD2BBA">
          <w:rPr>
            <w:rStyle w:val="Hyperlink"/>
            <w:rFonts w:cs="Calibri"/>
            <w:noProof/>
          </w:rPr>
          <w:t>PART XIV: ADAPTIVE RESILIENCE AND CONTINUOUS IMPROVEMENT</w:t>
        </w:r>
        <w:r>
          <w:rPr>
            <w:noProof/>
            <w:webHidden/>
          </w:rPr>
          <w:tab/>
        </w:r>
        <w:r>
          <w:rPr>
            <w:noProof/>
            <w:webHidden/>
          </w:rPr>
          <w:fldChar w:fldCharType="begin"/>
        </w:r>
        <w:r>
          <w:rPr>
            <w:noProof/>
            <w:webHidden/>
          </w:rPr>
          <w:instrText xml:space="preserve"> PAGEREF _Toc237648538 \h </w:instrText>
        </w:r>
        <w:r>
          <w:rPr>
            <w:noProof/>
            <w:webHidden/>
          </w:rPr>
        </w:r>
        <w:r>
          <w:rPr>
            <w:noProof/>
            <w:webHidden/>
          </w:rPr>
          <w:fldChar w:fldCharType="separate"/>
        </w:r>
        <w:r>
          <w:rPr>
            <w:noProof/>
            <w:webHidden/>
          </w:rPr>
          <w:t>51</w:t>
        </w:r>
        <w:r>
          <w:rPr>
            <w:noProof/>
            <w:webHidden/>
          </w:rPr>
          <w:fldChar w:fldCharType="end"/>
        </w:r>
      </w:hyperlink>
    </w:p>
    <w:p w14:paraId="4243D908" w14:textId="76DB9D34" w:rsidR="00D72D24" w:rsidRDefault="00D72D24">
      <w:pPr>
        <w:pStyle w:val="TOC2"/>
        <w:rPr>
          <w:rFonts w:asciiTheme="minorHAnsi" w:eastAsiaTheme="minorEastAsia" w:hAnsiTheme="minorHAnsi"/>
          <w:noProof/>
          <w:color w:val="auto"/>
          <w:sz w:val="24"/>
        </w:rPr>
      </w:pPr>
      <w:hyperlink w:anchor="_Toc237648539" w:history="1">
        <w:r w:rsidRPr="00CD2BBA">
          <w:rPr>
            <w:rStyle w:val="Hyperlink"/>
            <w:rFonts w:cs="Calibri"/>
            <w:noProof/>
          </w:rPr>
          <w:t>Article 72: The Crisis Override Clause</w:t>
        </w:r>
        <w:r>
          <w:rPr>
            <w:noProof/>
            <w:webHidden/>
          </w:rPr>
          <w:tab/>
        </w:r>
        <w:r>
          <w:rPr>
            <w:noProof/>
            <w:webHidden/>
          </w:rPr>
          <w:fldChar w:fldCharType="begin"/>
        </w:r>
        <w:r>
          <w:rPr>
            <w:noProof/>
            <w:webHidden/>
          </w:rPr>
          <w:instrText xml:space="preserve"> PAGEREF _Toc237648539 \h </w:instrText>
        </w:r>
        <w:r>
          <w:rPr>
            <w:noProof/>
            <w:webHidden/>
          </w:rPr>
        </w:r>
        <w:r>
          <w:rPr>
            <w:noProof/>
            <w:webHidden/>
          </w:rPr>
          <w:fldChar w:fldCharType="separate"/>
        </w:r>
        <w:r>
          <w:rPr>
            <w:noProof/>
            <w:webHidden/>
          </w:rPr>
          <w:t>51</w:t>
        </w:r>
        <w:r>
          <w:rPr>
            <w:noProof/>
            <w:webHidden/>
          </w:rPr>
          <w:fldChar w:fldCharType="end"/>
        </w:r>
      </w:hyperlink>
    </w:p>
    <w:p w14:paraId="3FE9F214" w14:textId="20D525EF" w:rsidR="00D72D24" w:rsidRDefault="00D72D24">
      <w:pPr>
        <w:pStyle w:val="TOC2"/>
        <w:rPr>
          <w:rFonts w:asciiTheme="minorHAnsi" w:eastAsiaTheme="minorEastAsia" w:hAnsiTheme="minorHAnsi"/>
          <w:noProof/>
          <w:color w:val="auto"/>
          <w:sz w:val="24"/>
        </w:rPr>
      </w:pPr>
      <w:hyperlink w:anchor="_Toc237648540" w:history="1">
        <w:r w:rsidRPr="00CD2BBA">
          <w:rPr>
            <w:rStyle w:val="Hyperlink"/>
            <w:rFonts w:cs="Calibri"/>
            <w:noProof/>
          </w:rPr>
          <w:t>Article 73: The Political Shock Absorber</w:t>
        </w:r>
        <w:r>
          <w:rPr>
            <w:noProof/>
            <w:webHidden/>
          </w:rPr>
          <w:tab/>
        </w:r>
        <w:r>
          <w:rPr>
            <w:noProof/>
            <w:webHidden/>
          </w:rPr>
          <w:fldChar w:fldCharType="begin"/>
        </w:r>
        <w:r>
          <w:rPr>
            <w:noProof/>
            <w:webHidden/>
          </w:rPr>
          <w:instrText xml:space="preserve"> PAGEREF _Toc237648540 \h </w:instrText>
        </w:r>
        <w:r>
          <w:rPr>
            <w:noProof/>
            <w:webHidden/>
          </w:rPr>
        </w:r>
        <w:r>
          <w:rPr>
            <w:noProof/>
            <w:webHidden/>
          </w:rPr>
          <w:fldChar w:fldCharType="separate"/>
        </w:r>
        <w:r>
          <w:rPr>
            <w:noProof/>
            <w:webHidden/>
          </w:rPr>
          <w:t>51</w:t>
        </w:r>
        <w:r>
          <w:rPr>
            <w:noProof/>
            <w:webHidden/>
          </w:rPr>
          <w:fldChar w:fldCharType="end"/>
        </w:r>
      </w:hyperlink>
    </w:p>
    <w:p w14:paraId="0CF8D1DE" w14:textId="6E713757" w:rsidR="00D72D24" w:rsidRDefault="00D72D24">
      <w:pPr>
        <w:pStyle w:val="TOC2"/>
        <w:rPr>
          <w:rFonts w:asciiTheme="minorHAnsi" w:eastAsiaTheme="minorEastAsia" w:hAnsiTheme="minorHAnsi"/>
          <w:noProof/>
          <w:color w:val="auto"/>
          <w:sz w:val="24"/>
        </w:rPr>
      </w:pPr>
      <w:hyperlink w:anchor="_Toc237648541" w:history="1">
        <w:r w:rsidRPr="00CD2BBA">
          <w:rPr>
            <w:rStyle w:val="Hyperlink"/>
            <w:rFonts w:cs="Calibri"/>
            <w:noProof/>
          </w:rPr>
          <w:t>Article 74: The Data Integrity Audit</w:t>
        </w:r>
        <w:r>
          <w:rPr>
            <w:noProof/>
            <w:webHidden/>
          </w:rPr>
          <w:tab/>
        </w:r>
        <w:r>
          <w:rPr>
            <w:noProof/>
            <w:webHidden/>
          </w:rPr>
          <w:fldChar w:fldCharType="begin"/>
        </w:r>
        <w:r>
          <w:rPr>
            <w:noProof/>
            <w:webHidden/>
          </w:rPr>
          <w:instrText xml:space="preserve"> PAGEREF _Toc237648541 \h </w:instrText>
        </w:r>
        <w:r>
          <w:rPr>
            <w:noProof/>
            <w:webHidden/>
          </w:rPr>
        </w:r>
        <w:r>
          <w:rPr>
            <w:noProof/>
            <w:webHidden/>
          </w:rPr>
          <w:fldChar w:fldCharType="separate"/>
        </w:r>
        <w:r>
          <w:rPr>
            <w:noProof/>
            <w:webHidden/>
          </w:rPr>
          <w:t>51</w:t>
        </w:r>
        <w:r>
          <w:rPr>
            <w:noProof/>
            <w:webHidden/>
          </w:rPr>
          <w:fldChar w:fldCharType="end"/>
        </w:r>
      </w:hyperlink>
    </w:p>
    <w:p w14:paraId="4097FB01" w14:textId="24120692" w:rsidR="00D72D24" w:rsidRDefault="00D72D24">
      <w:pPr>
        <w:pStyle w:val="TOC2"/>
        <w:rPr>
          <w:rFonts w:asciiTheme="minorHAnsi" w:eastAsiaTheme="minorEastAsia" w:hAnsiTheme="minorHAnsi"/>
          <w:noProof/>
          <w:color w:val="auto"/>
          <w:sz w:val="24"/>
        </w:rPr>
      </w:pPr>
      <w:hyperlink w:anchor="_Toc237648542" w:history="1">
        <w:r w:rsidRPr="00CD2BBA">
          <w:rPr>
            <w:rStyle w:val="Hyperlink"/>
            <w:rFonts w:cs="Calibri"/>
            <w:noProof/>
          </w:rPr>
          <w:t>Article 75: The Corridor Congestion Protocol</w:t>
        </w:r>
        <w:r>
          <w:rPr>
            <w:noProof/>
            <w:webHidden/>
          </w:rPr>
          <w:tab/>
        </w:r>
        <w:r>
          <w:rPr>
            <w:noProof/>
            <w:webHidden/>
          </w:rPr>
          <w:fldChar w:fldCharType="begin"/>
        </w:r>
        <w:r>
          <w:rPr>
            <w:noProof/>
            <w:webHidden/>
          </w:rPr>
          <w:instrText xml:space="preserve"> PAGEREF _Toc237648542 \h </w:instrText>
        </w:r>
        <w:r>
          <w:rPr>
            <w:noProof/>
            <w:webHidden/>
          </w:rPr>
        </w:r>
        <w:r>
          <w:rPr>
            <w:noProof/>
            <w:webHidden/>
          </w:rPr>
          <w:fldChar w:fldCharType="separate"/>
        </w:r>
        <w:r>
          <w:rPr>
            <w:noProof/>
            <w:webHidden/>
          </w:rPr>
          <w:t>52</w:t>
        </w:r>
        <w:r>
          <w:rPr>
            <w:noProof/>
            <w:webHidden/>
          </w:rPr>
          <w:fldChar w:fldCharType="end"/>
        </w:r>
      </w:hyperlink>
    </w:p>
    <w:p w14:paraId="21852889" w14:textId="3493243C" w:rsidR="00D72D24" w:rsidRDefault="00D72D24">
      <w:pPr>
        <w:pStyle w:val="TOC2"/>
        <w:rPr>
          <w:rFonts w:asciiTheme="minorHAnsi" w:eastAsiaTheme="minorEastAsia" w:hAnsiTheme="minorHAnsi"/>
          <w:noProof/>
          <w:color w:val="auto"/>
          <w:sz w:val="24"/>
        </w:rPr>
      </w:pPr>
      <w:hyperlink w:anchor="_Toc237648543" w:history="1">
        <w:r w:rsidRPr="00CD2BBA">
          <w:rPr>
            <w:rStyle w:val="Hyperlink"/>
            <w:rFonts w:cs="Calibri"/>
            <w:noProof/>
          </w:rPr>
          <w:t>Article 76: The Mariner Welfare Compact</w:t>
        </w:r>
        <w:r>
          <w:rPr>
            <w:noProof/>
            <w:webHidden/>
          </w:rPr>
          <w:tab/>
        </w:r>
        <w:r>
          <w:rPr>
            <w:noProof/>
            <w:webHidden/>
          </w:rPr>
          <w:fldChar w:fldCharType="begin"/>
        </w:r>
        <w:r>
          <w:rPr>
            <w:noProof/>
            <w:webHidden/>
          </w:rPr>
          <w:instrText xml:space="preserve"> PAGEREF _Toc237648543 \h </w:instrText>
        </w:r>
        <w:r>
          <w:rPr>
            <w:noProof/>
            <w:webHidden/>
          </w:rPr>
        </w:r>
        <w:r>
          <w:rPr>
            <w:noProof/>
            <w:webHidden/>
          </w:rPr>
          <w:fldChar w:fldCharType="separate"/>
        </w:r>
        <w:r>
          <w:rPr>
            <w:noProof/>
            <w:webHidden/>
          </w:rPr>
          <w:t>52</w:t>
        </w:r>
        <w:r>
          <w:rPr>
            <w:noProof/>
            <w:webHidden/>
          </w:rPr>
          <w:fldChar w:fldCharType="end"/>
        </w:r>
      </w:hyperlink>
    </w:p>
    <w:p w14:paraId="0C70DB13" w14:textId="7647704E" w:rsidR="00D72D24" w:rsidRDefault="00D72D24">
      <w:pPr>
        <w:pStyle w:val="TOC2"/>
        <w:rPr>
          <w:rFonts w:asciiTheme="minorHAnsi" w:eastAsiaTheme="minorEastAsia" w:hAnsiTheme="minorHAnsi"/>
          <w:noProof/>
          <w:color w:val="auto"/>
          <w:sz w:val="24"/>
        </w:rPr>
      </w:pPr>
      <w:hyperlink w:anchor="_Toc237648544" w:history="1">
        <w:r w:rsidRPr="00CD2BBA">
          <w:rPr>
            <w:rStyle w:val="Hyperlink"/>
            <w:rFonts w:cs="Calibri"/>
            <w:noProof/>
          </w:rPr>
          <w:t>Article 77: The Naval Miscommunication Kill-Switch</w:t>
        </w:r>
        <w:r>
          <w:rPr>
            <w:noProof/>
            <w:webHidden/>
          </w:rPr>
          <w:tab/>
        </w:r>
        <w:r>
          <w:rPr>
            <w:noProof/>
            <w:webHidden/>
          </w:rPr>
          <w:fldChar w:fldCharType="begin"/>
        </w:r>
        <w:r>
          <w:rPr>
            <w:noProof/>
            <w:webHidden/>
          </w:rPr>
          <w:instrText xml:space="preserve"> PAGEREF _Toc237648544 \h </w:instrText>
        </w:r>
        <w:r>
          <w:rPr>
            <w:noProof/>
            <w:webHidden/>
          </w:rPr>
        </w:r>
        <w:r>
          <w:rPr>
            <w:noProof/>
            <w:webHidden/>
          </w:rPr>
          <w:fldChar w:fldCharType="separate"/>
        </w:r>
        <w:r>
          <w:rPr>
            <w:noProof/>
            <w:webHidden/>
          </w:rPr>
          <w:t>53</w:t>
        </w:r>
        <w:r>
          <w:rPr>
            <w:noProof/>
            <w:webHidden/>
          </w:rPr>
          <w:fldChar w:fldCharType="end"/>
        </w:r>
      </w:hyperlink>
    </w:p>
    <w:p w14:paraId="6091306E" w14:textId="47541339" w:rsidR="00D72D24" w:rsidRDefault="00D72D24">
      <w:pPr>
        <w:pStyle w:val="TOC2"/>
        <w:rPr>
          <w:rFonts w:asciiTheme="minorHAnsi" w:eastAsiaTheme="minorEastAsia" w:hAnsiTheme="minorHAnsi"/>
          <w:noProof/>
          <w:color w:val="auto"/>
          <w:sz w:val="24"/>
        </w:rPr>
      </w:pPr>
      <w:hyperlink w:anchor="_Toc237648545" w:history="1">
        <w:r w:rsidRPr="00CD2BBA">
          <w:rPr>
            <w:rStyle w:val="Hyperlink"/>
            <w:rFonts w:cs="Calibri"/>
            <w:noProof/>
          </w:rPr>
          <w:t>Article 78: The Verification Balance Rule</w:t>
        </w:r>
        <w:r>
          <w:rPr>
            <w:noProof/>
            <w:webHidden/>
          </w:rPr>
          <w:tab/>
        </w:r>
        <w:r>
          <w:rPr>
            <w:noProof/>
            <w:webHidden/>
          </w:rPr>
          <w:fldChar w:fldCharType="begin"/>
        </w:r>
        <w:r>
          <w:rPr>
            <w:noProof/>
            <w:webHidden/>
          </w:rPr>
          <w:instrText xml:space="preserve"> PAGEREF _Toc237648545 \h </w:instrText>
        </w:r>
        <w:r>
          <w:rPr>
            <w:noProof/>
            <w:webHidden/>
          </w:rPr>
        </w:r>
        <w:r>
          <w:rPr>
            <w:noProof/>
            <w:webHidden/>
          </w:rPr>
          <w:fldChar w:fldCharType="separate"/>
        </w:r>
        <w:r>
          <w:rPr>
            <w:noProof/>
            <w:webHidden/>
          </w:rPr>
          <w:t>53</w:t>
        </w:r>
        <w:r>
          <w:rPr>
            <w:noProof/>
            <w:webHidden/>
          </w:rPr>
          <w:fldChar w:fldCharType="end"/>
        </w:r>
      </w:hyperlink>
    </w:p>
    <w:p w14:paraId="3CFBE592" w14:textId="60D713DD" w:rsidR="00D72D24" w:rsidRDefault="00D72D24">
      <w:pPr>
        <w:pStyle w:val="TOC2"/>
        <w:rPr>
          <w:rFonts w:asciiTheme="minorHAnsi" w:eastAsiaTheme="minorEastAsia" w:hAnsiTheme="minorHAnsi"/>
          <w:noProof/>
          <w:color w:val="auto"/>
          <w:sz w:val="24"/>
        </w:rPr>
      </w:pPr>
      <w:hyperlink w:anchor="_Toc237648546" w:history="1">
        <w:r w:rsidRPr="00CD2BBA">
          <w:rPr>
            <w:rStyle w:val="Hyperlink"/>
            <w:rFonts w:cs="Calibri"/>
            <w:noProof/>
          </w:rPr>
          <w:t>Article 79: The Transit Equity Clause</w:t>
        </w:r>
        <w:r>
          <w:rPr>
            <w:noProof/>
            <w:webHidden/>
          </w:rPr>
          <w:tab/>
        </w:r>
        <w:r>
          <w:rPr>
            <w:noProof/>
            <w:webHidden/>
          </w:rPr>
          <w:fldChar w:fldCharType="begin"/>
        </w:r>
        <w:r>
          <w:rPr>
            <w:noProof/>
            <w:webHidden/>
          </w:rPr>
          <w:instrText xml:space="preserve"> PAGEREF _Toc237648546 \h </w:instrText>
        </w:r>
        <w:r>
          <w:rPr>
            <w:noProof/>
            <w:webHidden/>
          </w:rPr>
        </w:r>
        <w:r>
          <w:rPr>
            <w:noProof/>
            <w:webHidden/>
          </w:rPr>
          <w:fldChar w:fldCharType="separate"/>
        </w:r>
        <w:r>
          <w:rPr>
            <w:noProof/>
            <w:webHidden/>
          </w:rPr>
          <w:t>54</w:t>
        </w:r>
        <w:r>
          <w:rPr>
            <w:noProof/>
            <w:webHidden/>
          </w:rPr>
          <w:fldChar w:fldCharType="end"/>
        </w:r>
      </w:hyperlink>
    </w:p>
    <w:p w14:paraId="26A2E450" w14:textId="4E624A50" w:rsidR="00D72D24" w:rsidRDefault="00D72D24">
      <w:pPr>
        <w:pStyle w:val="TOC2"/>
        <w:rPr>
          <w:rFonts w:asciiTheme="minorHAnsi" w:eastAsiaTheme="minorEastAsia" w:hAnsiTheme="minorHAnsi"/>
          <w:noProof/>
          <w:color w:val="auto"/>
          <w:sz w:val="24"/>
        </w:rPr>
      </w:pPr>
      <w:hyperlink w:anchor="_Toc237648547" w:history="1">
        <w:r w:rsidRPr="00CD2BBA">
          <w:rPr>
            <w:rStyle w:val="Hyperlink"/>
            <w:rFonts w:cs="Calibri"/>
            <w:noProof/>
          </w:rPr>
          <w:t>Article 80: The Blue Passage Training Academy</w:t>
        </w:r>
        <w:r>
          <w:rPr>
            <w:noProof/>
            <w:webHidden/>
          </w:rPr>
          <w:tab/>
        </w:r>
        <w:r>
          <w:rPr>
            <w:noProof/>
            <w:webHidden/>
          </w:rPr>
          <w:fldChar w:fldCharType="begin"/>
        </w:r>
        <w:r>
          <w:rPr>
            <w:noProof/>
            <w:webHidden/>
          </w:rPr>
          <w:instrText xml:space="preserve"> PAGEREF _Toc237648547 \h </w:instrText>
        </w:r>
        <w:r>
          <w:rPr>
            <w:noProof/>
            <w:webHidden/>
          </w:rPr>
        </w:r>
        <w:r>
          <w:rPr>
            <w:noProof/>
            <w:webHidden/>
          </w:rPr>
          <w:fldChar w:fldCharType="separate"/>
        </w:r>
        <w:r>
          <w:rPr>
            <w:noProof/>
            <w:webHidden/>
          </w:rPr>
          <w:t>54</w:t>
        </w:r>
        <w:r>
          <w:rPr>
            <w:noProof/>
            <w:webHidden/>
          </w:rPr>
          <w:fldChar w:fldCharType="end"/>
        </w:r>
      </w:hyperlink>
    </w:p>
    <w:p w14:paraId="521D9579" w14:textId="7334D9B1" w:rsidR="00D72D24" w:rsidRDefault="00D72D24">
      <w:pPr>
        <w:pStyle w:val="TOC2"/>
        <w:rPr>
          <w:rFonts w:asciiTheme="minorHAnsi" w:eastAsiaTheme="minorEastAsia" w:hAnsiTheme="minorHAnsi"/>
          <w:noProof/>
          <w:color w:val="auto"/>
          <w:sz w:val="24"/>
        </w:rPr>
      </w:pPr>
      <w:hyperlink w:anchor="_Toc237648548" w:history="1">
        <w:r w:rsidRPr="00CD2BBA">
          <w:rPr>
            <w:rStyle w:val="Hyperlink"/>
            <w:rFonts w:cs="Calibri"/>
            <w:noProof/>
          </w:rPr>
          <w:t>Article 81: The Five-Year Strategic Review</w:t>
        </w:r>
        <w:r>
          <w:rPr>
            <w:noProof/>
            <w:webHidden/>
          </w:rPr>
          <w:tab/>
        </w:r>
        <w:r>
          <w:rPr>
            <w:noProof/>
            <w:webHidden/>
          </w:rPr>
          <w:fldChar w:fldCharType="begin"/>
        </w:r>
        <w:r>
          <w:rPr>
            <w:noProof/>
            <w:webHidden/>
          </w:rPr>
          <w:instrText xml:space="preserve"> PAGEREF _Toc237648548 \h </w:instrText>
        </w:r>
        <w:r>
          <w:rPr>
            <w:noProof/>
            <w:webHidden/>
          </w:rPr>
        </w:r>
        <w:r>
          <w:rPr>
            <w:noProof/>
            <w:webHidden/>
          </w:rPr>
          <w:fldChar w:fldCharType="separate"/>
        </w:r>
        <w:r>
          <w:rPr>
            <w:noProof/>
            <w:webHidden/>
          </w:rPr>
          <w:t>54</w:t>
        </w:r>
        <w:r>
          <w:rPr>
            <w:noProof/>
            <w:webHidden/>
          </w:rPr>
          <w:fldChar w:fldCharType="end"/>
        </w:r>
      </w:hyperlink>
    </w:p>
    <w:p w14:paraId="53FC1693" w14:textId="363B73CD" w:rsidR="00D72D24" w:rsidRDefault="00D72D24">
      <w:pPr>
        <w:pStyle w:val="TOC2"/>
        <w:rPr>
          <w:rFonts w:asciiTheme="minorHAnsi" w:eastAsiaTheme="minorEastAsia" w:hAnsiTheme="minorHAnsi"/>
          <w:noProof/>
          <w:color w:val="auto"/>
          <w:sz w:val="24"/>
        </w:rPr>
      </w:pPr>
      <w:hyperlink w:anchor="_Toc237648549" w:history="1">
        <w:r w:rsidRPr="00CD2BBA">
          <w:rPr>
            <w:rStyle w:val="Hyperlink"/>
            <w:rFonts w:cs="Calibri"/>
            <w:noProof/>
          </w:rPr>
          <w:t>Article 82: The Reinsurance and Sanctions Interface</w:t>
        </w:r>
        <w:r>
          <w:rPr>
            <w:noProof/>
            <w:webHidden/>
          </w:rPr>
          <w:tab/>
        </w:r>
        <w:r>
          <w:rPr>
            <w:noProof/>
            <w:webHidden/>
          </w:rPr>
          <w:fldChar w:fldCharType="begin"/>
        </w:r>
        <w:r>
          <w:rPr>
            <w:noProof/>
            <w:webHidden/>
          </w:rPr>
          <w:instrText xml:space="preserve"> PAGEREF _Toc237648549 \h </w:instrText>
        </w:r>
        <w:r>
          <w:rPr>
            <w:noProof/>
            <w:webHidden/>
          </w:rPr>
        </w:r>
        <w:r>
          <w:rPr>
            <w:noProof/>
            <w:webHidden/>
          </w:rPr>
          <w:fldChar w:fldCharType="separate"/>
        </w:r>
        <w:r>
          <w:rPr>
            <w:noProof/>
            <w:webHidden/>
          </w:rPr>
          <w:t>55</w:t>
        </w:r>
        <w:r>
          <w:rPr>
            <w:noProof/>
            <w:webHidden/>
          </w:rPr>
          <w:fldChar w:fldCharType="end"/>
        </w:r>
      </w:hyperlink>
    </w:p>
    <w:p w14:paraId="08FAFA85" w14:textId="354199DA" w:rsidR="00D72D24" w:rsidRDefault="00D72D24">
      <w:pPr>
        <w:pStyle w:val="TOC1"/>
        <w:rPr>
          <w:rFonts w:asciiTheme="minorHAnsi" w:eastAsiaTheme="minorEastAsia" w:hAnsiTheme="minorHAnsi"/>
          <w:b w:val="0"/>
          <w:noProof/>
          <w:color w:val="auto"/>
          <w:sz w:val="24"/>
        </w:rPr>
      </w:pPr>
      <w:hyperlink w:anchor="_Toc237648550" w:history="1">
        <w:r w:rsidRPr="00CD2BBA">
          <w:rPr>
            <w:rStyle w:val="Hyperlink"/>
            <w:rFonts w:cs="Calibri"/>
            <w:noProof/>
          </w:rPr>
          <w:t>Execution and Mirrored Instruments</w:t>
        </w:r>
        <w:r>
          <w:rPr>
            <w:noProof/>
            <w:webHidden/>
          </w:rPr>
          <w:tab/>
        </w:r>
        <w:r>
          <w:rPr>
            <w:noProof/>
            <w:webHidden/>
          </w:rPr>
          <w:fldChar w:fldCharType="begin"/>
        </w:r>
        <w:r>
          <w:rPr>
            <w:noProof/>
            <w:webHidden/>
          </w:rPr>
          <w:instrText xml:space="preserve"> PAGEREF _Toc237648550 \h </w:instrText>
        </w:r>
        <w:r>
          <w:rPr>
            <w:noProof/>
            <w:webHidden/>
          </w:rPr>
        </w:r>
        <w:r>
          <w:rPr>
            <w:noProof/>
            <w:webHidden/>
          </w:rPr>
          <w:fldChar w:fldCharType="separate"/>
        </w:r>
        <w:r>
          <w:rPr>
            <w:noProof/>
            <w:webHidden/>
          </w:rPr>
          <w:t>56</w:t>
        </w:r>
        <w:r>
          <w:rPr>
            <w:noProof/>
            <w:webHidden/>
          </w:rPr>
          <w:fldChar w:fldCharType="end"/>
        </w:r>
      </w:hyperlink>
    </w:p>
    <w:p w14:paraId="1F69701F" w14:textId="1E19E77E" w:rsidR="00D72D24" w:rsidRDefault="00D72D24">
      <w:pPr>
        <w:pStyle w:val="TOC2"/>
        <w:rPr>
          <w:rFonts w:asciiTheme="minorHAnsi" w:eastAsiaTheme="minorEastAsia" w:hAnsiTheme="minorHAnsi"/>
          <w:noProof/>
          <w:color w:val="auto"/>
          <w:sz w:val="24"/>
        </w:rPr>
      </w:pPr>
      <w:hyperlink w:anchor="_Toc237648551" w:history="1">
        <w:r w:rsidRPr="00CD2BBA">
          <w:rPr>
            <w:rStyle w:val="Hyperlink"/>
            <w:rFonts w:cs="Calibri"/>
            <w:noProof/>
          </w:rPr>
          <w:t>The Coastal Instrument</w:t>
        </w:r>
        <w:r>
          <w:rPr>
            <w:noProof/>
            <w:webHidden/>
          </w:rPr>
          <w:tab/>
        </w:r>
        <w:r>
          <w:rPr>
            <w:noProof/>
            <w:webHidden/>
          </w:rPr>
          <w:fldChar w:fldCharType="begin"/>
        </w:r>
        <w:r>
          <w:rPr>
            <w:noProof/>
            <w:webHidden/>
          </w:rPr>
          <w:instrText xml:space="preserve"> PAGEREF _Toc237648551 \h </w:instrText>
        </w:r>
        <w:r>
          <w:rPr>
            <w:noProof/>
            <w:webHidden/>
          </w:rPr>
        </w:r>
        <w:r>
          <w:rPr>
            <w:noProof/>
            <w:webHidden/>
          </w:rPr>
          <w:fldChar w:fldCharType="separate"/>
        </w:r>
        <w:r>
          <w:rPr>
            <w:noProof/>
            <w:webHidden/>
          </w:rPr>
          <w:t>56</w:t>
        </w:r>
        <w:r>
          <w:rPr>
            <w:noProof/>
            <w:webHidden/>
          </w:rPr>
          <w:fldChar w:fldCharType="end"/>
        </w:r>
      </w:hyperlink>
    </w:p>
    <w:p w14:paraId="2AFF2AC2" w14:textId="4274B311" w:rsidR="00D72D24" w:rsidRDefault="00D72D24">
      <w:pPr>
        <w:pStyle w:val="TOC2"/>
        <w:rPr>
          <w:rFonts w:asciiTheme="minorHAnsi" w:eastAsiaTheme="minorEastAsia" w:hAnsiTheme="minorHAnsi"/>
          <w:noProof/>
          <w:color w:val="auto"/>
          <w:sz w:val="24"/>
        </w:rPr>
      </w:pPr>
      <w:hyperlink w:anchor="_Toc237648552" w:history="1">
        <w:r w:rsidRPr="00CD2BBA">
          <w:rPr>
            <w:rStyle w:val="Hyperlink"/>
            <w:rFonts w:cs="Calibri"/>
            <w:noProof/>
          </w:rPr>
          <w:t>The Endorsement Declarations</w:t>
        </w:r>
        <w:r>
          <w:rPr>
            <w:noProof/>
            <w:webHidden/>
          </w:rPr>
          <w:tab/>
        </w:r>
        <w:r>
          <w:rPr>
            <w:noProof/>
            <w:webHidden/>
          </w:rPr>
          <w:fldChar w:fldCharType="begin"/>
        </w:r>
        <w:r>
          <w:rPr>
            <w:noProof/>
            <w:webHidden/>
          </w:rPr>
          <w:instrText xml:space="preserve"> PAGEREF _Toc237648552 \h </w:instrText>
        </w:r>
        <w:r>
          <w:rPr>
            <w:noProof/>
            <w:webHidden/>
          </w:rPr>
        </w:r>
        <w:r>
          <w:rPr>
            <w:noProof/>
            <w:webHidden/>
          </w:rPr>
          <w:fldChar w:fldCharType="separate"/>
        </w:r>
        <w:r>
          <w:rPr>
            <w:noProof/>
            <w:webHidden/>
          </w:rPr>
          <w:t>56</w:t>
        </w:r>
        <w:r>
          <w:rPr>
            <w:noProof/>
            <w:webHidden/>
          </w:rPr>
          <w:fldChar w:fldCharType="end"/>
        </w:r>
      </w:hyperlink>
    </w:p>
    <w:p w14:paraId="1A18119F" w14:textId="1A9CAF1F" w:rsidR="00D72D24" w:rsidRDefault="00D72D24">
      <w:pPr>
        <w:pStyle w:val="TOC2"/>
        <w:rPr>
          <w:rFonts w:asciiTheme="minorHAnsi" w:eastAsiaTheme="minorEastAsia" w:hAnsiTheme="minorHAnsi"/>
          <w:noProof/>
          <w:color w:val="auto"/>
          <w:sz w:val="24"/>
        </w:rPr>
      </w:pPr>
      <w:hyperlink w:anchor="_Toc237648553" w:history="1">
        <w:r w:rsidRPr="00CD2BBA">
          <w:rPr>
            <w:rStyle w:val="Hyperlink"/>
            <w:rFonts w:cs="Calibri"/>
            <w:noProof/>
          </w:rPr>
          <w:t>The Observer Accessions</w:t>
        </w:r>
        <w:r>
          <w:rPr>
            <w:noProof/>
            <w:webHidden/>
          </w:rPr>
          <w:tab/>
        </w:r>
        <w:r>
          <w:rPr>
            <w:noProof/>
            <w:webHidden/>
          </w:rPr>
          <w:fldChar w:fldCharType="begin"/>
        </w:r>
        <w:r>
          <w:rPr>
            <w:noProof/>
            <w:webHidden/>
          </w:rPr>
          <w:instrText xml:space="preserve"> PAGEREF _Toc237648553 \h </w:instrText>
        </w:r>
        <w:r>
          <w:rPr>
            <w:noProof/>
            <w:webHidden/>
          </w:rPr>
        </w:r>
        <w:r>
          <w:rPr>
            <w:noProof/>
            <w:webHidden/>
          </w:rPr>
          <w:fldChar w:fldCharType="separate"/>
        </w:r>
        <w:r>
          <w:rPr>
            <w:noProof/>
            <w:webHidden/>
          </w:rPr>
          <w:t>56</w:t>
        </w:r>
        <w:r>
          <w:rPr>
            <w:noProof/>
            <w:webHidden/>
          </w:rPr>
          <w:fldChar w:fldCharType="end"/>
        </w:r>
      </w:hyperlink>
    </w:p>
    <w:p w14:paraId="2868BCA2" w14:textId="276DDB72" w:rsidR="00D72D24" w:rsidRDefault="00D72D24">
      <w:pPr>
        <w:pStyle w:val="TOC2"/>
        <w:rPr>
          <w:rFonts w:asciiTheme="minorHAnsi" w:eastAsiaTheme="minorEastAsia" w:hAnsiTheme="minorHAnsi"/>
          <w:noProof/>
          <w:color w:val="auto"/>
          <w:sz w:val="24"/>
        </w:rPr>
      </w:pPr>
      <w:hyperlink w:anchor="_Toc237648554" w:history="1">
        <w:r w:rsidRPr="00CD2BBA">
          <w:rPr>
            <w:rStyle w:val="Hyperlink"/>
            <w:rFonts w:cs="Calibri"/>
            <w:noProof/>
          </w:rPr>
          <w:t>Certificate of Mirrored Consent</w:t>
        </w:r>
        <w:r>
          <w:rPr>
            <w:noProof/>
            <w:webHidden/>
          </w:rPr>
          <w:tab/>
        </w:r>
        <w:r>
          <w:rPr>
            <w:noProof/>
            <w:webHidden/>
          </w:rPr>
          <w:fldChar w:fldCharType="begin"/>
        </w:r>
        <w:r>
          <w:rPr>
            <w:noProof/>
            <w:webHidden/>
          </w:rPr>
          <w:instrText xml:space="preserve"> PAGEREF _Toc237648554 \h </w:instrText>
        </w:r>
        <w:r>
          <w:rPr>
            <w:noProof/>
            <w:webHidden/>
          </w:rPr>
        </w:r>
        <w:r>
          <w:rPr>
            <w:noProof/>
            <w:webHidden/>
          </w:rPr>
          <w:fldChar w:fldCharType="separate"/>
        </w:r>
        <w:r>
          <w:rPr>
            <w:noProof/>
            <w:webHidden/>
          </w:rPr>
          <w:t>56</w:t>
        </w:r>
        <w:r>
          <w:rPr>
            <w:noProof/>
            <w:webHidden/>
          </w:rPr>
          <w:fldChar w:fldCharType="end"/>
        </w:r>
      </w:hyperlink>
    </w:p>
    <w:p w14:paraId="55194B59" w14:textId="58219AA9" w:rsidR="00D72D24" w:rsidRDefault="00D72D24">
      <w:pPr>
        <w:pStyle w:val="TOC1"/>
        <w:rPr>
          <w:rFonts w:asciiTheme="minorHAnsi" w:eastAsiaTheme="minorEastAsia" w:hAnsiTheme="minorHAnsi"/>
          <w:b w:val="0"/>
          <w:noProof/>
          <w:color w:val="auto"/>
          <w:sz w:val="24"/>
        </w:rPr>
      </w:pPr>
      <w:hyperlink w:anchor="_Toc237648555" w:history="1">
        <w:r w:rsidRPr="00CD2BBA">
          <w:rPr>
            <w:rStyle w:val="Hyperlink"/>
            <w:rFonts w:cs="Calibri"/>
            <w:noProof/>
          </w:rPr>
          <w:t>ANNEXES</w:t>
        </w:r>
        <w:r>
          <w:rPr>
            <w:noProof/>
            <w:webHidden/>
          </w:rPr>
          <w:tab/>
        </w:r>
        <w:r>
          <w:rPr>
            <w:noProof/>
            <w:webHidden/>
          </w:rPr>
          <w:fldChar w:fldCharType="begin"/>
        </w:r>
        <w:r>
          <w:rPr>
            <w:noProof/>
            <w:webHidden/>
          </w:rPr>
          <w:instrText xml:space="preserve"> PAGEREF _Toc237648555 \h </w:instrText>
        </w:r>
        <w:r>
          <w:rPr>
            <w:noProof/>
            <w:webHidden/>
          </w:rPr>
        </w:r>
        <w:r>
          <w:rPr>
            <w:noProof/>
            <w:webHidden/>
          </w:rPr>
          <w:fldChar w:fldCharType="separate"/>
        </w:r>
        <w:r>
          <w:rPr>
            <w:noProof/>
            <w:webHidden/>
          </w:rPr>
          <w:t>57</w:t>
        </w:r>
        <w:r>
          <w:rPr>
            <w:noProof/>
            <w:webHidden/>
          </w:rPr>
          <w:fldChar w:fldCharType="end"/>
        </w:r>
      </w:hyperlink>
    </w:p>
    <w:p w14:paraId="466C6D86" w14:textId="09E6F046" w:rsidR="00D72D24" w:rsidRDefault="00D72D24">
      <w:pPr>
        <w:pStyle w:val="TOC2"/>
        <w:rPr>
          <w:rFonts w:asciiTheme="minorHAnsi" w:eastAsiaTheme="minorEastAsia" w:hAnsiTheme="minorHAnsi"/>
          <w:noProof/>
          <w:color w:val="auto"/>
          <w:sz w:val="24"/>
        </w:rPr>
      </w:pPr>
      <w:hyperlink w:anchor="_Toc237648556" w:history="1">
        <w:r w:rsidRPr="00CD2BBA">
          <w:rPr>
            <w:rStyle w:val="Hyperlink"/>
            <w:rFonts w:cs="Calibri"/>
            <w:noProof/>
          </w:rPr>
          <w:t>Annex A: Corridor Geometry and Coordinates Registry</w:t>
        </w:r>
        <w:r>
          <w:rPr>
            <w:noProof/>
            <w:webHidden/>
          </w:rPr>
          <w:tab/>
        </w:r>
        <w:r>
          <w:rPr>
            <w:noProof/>
            <w:webHidden/>
          </w:rPr>
          <w:fldChar w:fldCharType="begin"/>
        </w:r>
        <w:r>
          <w:rPr>
            <w:noProof/>
            <w:webHidden/>
          </w:rPr>
          <w:instrText xml:space="preserve"> PAGEREF _Toc237648556 \h </w:instrText>
        </w:r>
        <w:r>
          <w:rPr>
            <w:noProof/>
            <w:webHidden/>
          </w:rPr>
        </w:r>
        <w:r>
          <w:rPr>
            <w:noProof/>
            <w:webHidden/>
          </w:rPr>
          <w:fldChar w:fldCharType="separate"/>
        </w:r>
        <w:r>
          <w:rPr>
            <w:noProof/>
            <w:webHidden/>
          </w:rPr>
          <w:t>57</w:t>
        </w:r>
        <w:r>
          <w:rPr>
            <w:noProof/>
            <w:webHidden/>
          </w:rPr>
          <w:fldChar w:fldCharType="end"/>
        </w:r>
      </w:hyperlink>
    </w:p>
    <w:p w14:paraId="48B27F80" w14:textId="3A2D0B38" w:rsidR="00D72D24" w:rsidRDefault="00D72D24">
      <w:pPr>
        <w:pStyle w:val="TOC2"/>
        <w:rPr>
          <w:rFonts w:asciiTheme="minorHAnsi" w:eastAsiaTheme="minorEastAsia" w:hAnsiTheme="minorHAnsi"/>
          <w:noProof/>
          <w:color w:val="auto"/>
          <w:sz w:val="24"/>
        </w:rPr>
      </w:pPr>
      <w:hyperlink w:anchor="_Toc237648557" w:history="1">
        <w:r w:rsidRPr="00CD2BBA">
          <w:rPr>
            <w:rStyle w:val="Hyperlink"/>
            <w:rFonts w:cs="Calibri"/>
            <w:noProof/>
          </w:rPr>
          <w:t>Annex B: Navigation Procedures and Filing Formats</w:t>
        </w:r>
        <w:r>
          <w:rPr>
            <w:noProof/>
            <w:webHidden/>
          </w:rPr>
          <w:tab/>
        </w:r>
        <w:r>
          <w:rPr>
            <w:noProof/>
            <w:webHidden/>
          </w:rPr>
          <w:fldChar w:fldCharType="begin"/>
        </w:r>
        <w:r>
          <w:rPr>
            <w:noProof/>
            <w:webHidden/>
          </w:rPr>
          <w:instrText xml:space="preserve"> PAGEREF _Toc237648557 \h </w:instrText>
        </w:r>
        <w:r>
          <w:rPr>
            <w:noProof/>
            <w:webHidden/>
          </w:rPr>
        </w:r>
        <w:r>
          <w:rPr>
            <w:noProof/>
            <w:webHidden/>
          </w:rPr>
          <w:fldChar w:fldCharType="separate"/>
        </w:r>
        <w:r>
          <w:rPr>
            <w:noProof/>
            <w:webHidden/>
          </w:rPr>
          <w:t>58</w:t>
        </w:r>
        <w:r>
          <w:rPr>
            <w:noProof/>
            <w:webHidden/>
          </w:rPr>
          <w:fldChar w:fldCharType="end"/>
        </w:r>
      </w:hyperlink>
    </w:p>
    <w:p w14:paraId="02D238D5" w14:textId="3CE940D5" w:rsidR="00D72D24" w:rsidRDefault="00D72D24">
      <w:pPr>
        <w:pStyle w:val="TOC2"/>
        <w:rPr>
          <w:rFonts w:asciiTheme="minorHAnsi" w:eastAsiaTheme="minorEastAsia" w:hAnsiTheme="minorHAnsi"/>
          <w:noProof/>
          <w:color w:val="auto"/>
          <w:sz w:val="24"/>
        </w:rPr>
      </w:pPr>
      <w:hyperlink w:anchor="_Toc237648558" w:history="1">
        <w:r w:rsidRPr="00CD2BBA">
          <w:rPr>
            <w:rStyle w:val="Hyperlink"/>
            <w:rFonts w:cs="Calibri"/>
            <w:noProof/>
          </w:rPr>
          <w:t>Annex C: The 72-Hour Blue Opening Schedule</w:t>
        </w:r>
        <w:r>
          <w:rPr>
            <w:noProof/>
            <w:webHidden/>
          </w:rPr>
          <w:tab/>
        </w:r>
        <w:r>
          <w:rPr>
            <w:noProof/>
            <w:webHidden/>
          </w:rPr>
          <w:fldChar w:fldCharType="begin"/>
        </w:r>
        <w:r>
          <w:rPr>
            <w:noProof/>
            <w:webHidden/>
          </w:rPr>
          <w:instrText xml:space="preserve"> PAGEREF _Toc237648558 \h </w:instrText>
        </w:r>
        <w:r>
          <w:rPr>
            <w:noProof/>
            <w:webHidden/>
          </w:rPr>
        </w:r>
        <w:r>
          <w:rPr>
            <w:noProof/>
            <w:webHidden/>
          </w:rPr>
          <w:fldChar w:fldCharType="separate"/>
        </w:r>
        <w:r>
          <w:rPr>
            <w:noProof/>
            <w:webHidden/>
          </w:rPr>
          <w:t>59</w:t>
        </w:r>
        <w:r>
          <w:rPr>
            <w:noProof/>
            <w:webHidden/>
          </w:rPr>
          <w:fldChar w:fldCharType="end"/>
        </w:r>
      </w:hyperlink>
    </w:p>
    <w:p w14:paraId="55DAE2FF" w14:textId="66700D39" w:rsidR="00D72D24" w:rsidRDefault="00D72D24">
      <w:pPr>
        <w:pStyle w:val="TOC2"/>
        <w:rPr>
          <w:rFonts w:asciiTheme="minorHAnsi" w:eastAsiaTheme="minorEastAsia" w:hAnsiTheme="minorHAnsi"/>
          <w:noProof/>
          <w:color w:val="auto"/>
          <w:sz w:val="24"/>
        </w:rPr>
      </w:pPr>
      <w:hyperlink w:anchor="_Toc237648559" w:history="1">
        <w:r w:rsidRPr="00CD2BBA">
          <w:rPr>
            <w:rStyle w:val="Hyperlink"/>
            <w:noProof/>
          </w:rPr>
          <w:t>Annex D: The Graduated Layer Gate Schedule and Master Timeline</w:t>
        </w:r>
        <w:r>
          <w:rPr>
            <w:noProof/>
            <w:webHidden/>
          </w:rPr>
          <w:tab/>
        </w:r>
        <w:r>
          <w:rPr>
            <w:noProof/>
            <w:webHidden/>
          </w:rPr>
          <w:fldChar w:fldCharType="begin"/>
        </w:r>
        <w:r>
          <w:rPr>
            <w:noProof/>
            <w:webHidden/>
          </w:rPr>
          <w:instrText xml:space="preserve"> PAGEREF _Toc237648559 \h </w:instrText>
        </w:r>
        <w:r>
          <w:rPr>
            <w:noProof/>
            <w:webHidden/>
          </w:rPr>
        </w:r>
        <w:r>
          <w:rPr>
            <w:noProof/>
            <w:webHidden/>
          </w:rPr>
          <w:fldChar w:fldCharType="separate"/>
        </w:r>
        <w:r>
          <w:rPr>
            <w:noProof/>
            <w:webHidden/>
          </w:rPr>
          <w:t>61</w:t>
        </w:r>
        <w:r>
          <w:rPr>
            <w:noProof/>
            <w:webHidden/>
          </w:rPr>
          <w:fldChar w:fldCharType="end"/>
        </w:r>
      </w:hyperlink>
    </w:p>
    <w:p w14:paraId="49434381" w14:textId="7A270BF5" w:rsidR="00D72D24" w:rsidRDefault="00D72D24">
      <w:pPr>
        <w:pStyle w:val="TOC2"/>
        <w:rPr>
          <w:rFonts w:asciiTheme="minorHAnsi" w:eastAsiaTheme="minorEastAsia" w:hAnsiTheme="minorHAnsi"/>
          <w:noProof/>
          <w:color w:val="auto"/>
          <w:sz w:val="24"/>
        </w:rPr>
      </w:pPr>
      <w:hyperlink w:anchor="_Toc237648560" w:history="1">
        <w:r w:rsidRPr="00CD2BBA">
          <w:rPr>
            <w:rStyle w:val="Hyperlink"/>
            <w:noProof/>
          </w:rPr>
          <w:t>Annex E: The Blue Services Rate Card and Catalog</w:t>
        </w:r>
        <w:r>
          <w:rPr>
            <w:noProof/>
            <w:webHidden/>
          </w:rPr>
          <w:tab/>
        </w:r>
        <w:r>
          <w:rPr>
            <w:noProof/>
            <w:webHidden/>
          </w:rPr>
          <w:fldChar w:fldCharType="begin"/>
        </w:r>
        <w:r>
          <w:rPr>
            <w:noProof/>
            <w:webHidden/>
          </w:rPr>
          <w:instrText xml:space="preserve"> PAGEREF _Toc237648560 \h </w:instrText>
        </w:r>
        <w:r>
          <w:rPr>
            <w:noProof/>
            <w:webHidden/>
          </w:rPr>
        </w:r>
        <w:r>
          <w:rPr>
            <w:noProof/>
            <w:webHidden/>
          </w:rPr>
          <w:fldChar w:fldCharType="separate"/>
        </w:r>
        <w:r>
          <w:rPr>
            <w:noProof/>
            <w:webHidden/>
          </w:rPr>
          <w:t>62</w:t>
        </w:r>
        <w:r>
          <w:rPr>
            <w:noProof/>
            <w:webHidden/>
          </w:rPr>
          <w:fldChar w:fldCharType="end"/>
        </w:r>
      </w:hyperlink>
    </w:p>
    <w:p w14:paraId="348187CD" w14:textId="4E4E5E6A" w:rsidR="00D72D24" w:rsidRDefault="00D72D24">
      <w:pPr>
        <w:pStyle w:val="TOC2"/>
        <w:rPr>
          <w:rFonts w:asciiTheme="minorHAnsi" w:eastAsiaTheme="minorEastAsia" w:hAnsiTheme="minorHAnsi"/>
          <w:noProof/>
          <w:color w:val="auto"/>
          <w:sz w:val="24"/>
        </w:rPr>
      </w:pPr>
      <w:hyperlink w:anchor="_Toc237648561" w:history="1">
        <w:r w:rsidRPr="00CD2BBA">
          <w:rPr>
            <w:rStyle w:val="Hyperlink"/>
            <w:rFonts w:cs="Calibri"/>
            <w:noProof/>
          </w:rPr>
          <w:t>Annex F: The Hormuz Blue Services Fund Charter</w:t>
        </w:r>
        <w:r>
          <w:rPr>
            <w:noProof/>
            <w:webHidden/>
          </w:rPr>
          <w:tab/>
        </w:r>
        <w:r>
          <w:rPr>
            <w:noProof/>
            <w:webHidden/>
          </w:rPr>
          <w:fldChar w:fldCharType="begin"/>
        </w:r>
        <w:r>
          <w:rPr>
            <w:noProof/>
            <w:webHidden/>
          </w:rPr>
          <w:instrText xml:space="preserve"> PAGEREF _Toc237648561 \h </w:instrText>
        </w:r>
        <w:r>
          <w:rPr>
            <w:noProof/>
            <w:webHidden/>
          </w:rPr>
        </w:r>
        <w:r>
          <w:rPr>
            <w:noProof/>
            <w:webHidden/>
          </w:rPr>
          <w:fldChar w:fldCharType="separate"/>
        </w:r>
        <w:r>
          <w:rPr>
            <w:noProof/>
            <w:webHidden/>
          </w:rPr>
          <w:t>64</w:t>
        </w:r>
        <w:r>
          <w:rPr>
            <w:noProof/>
            <w:webHidden/>
          </w:rPr>
          <w:fldChar w:fldCharType="end"/>
        </w:r>
      </w:hyperlink>
    </w:p>
    <w:p w14:paraId="68439870" w14:textId="317FE095" w:rsidR="00D72D24" w:rsidRDefault="00D72D24">
      <w:pPr>
        <w:pStyle w:val="TOC2"/>
        <w:rPr>
          <w:rFonts w:asciiTheme="minorHAnsi" w:eastAsiaTheme="minorEastAsia" w:hAnsiTheme="minorHAnsi"/>
          <w:noProof/>
          <w:color w:val="auto"/>
          <w:sz w:val="24"/>
        </w:rPr>
      </w:pPr>
      <w:hyperlink w:anchor="_Toc237648562" w:history="1">
        <w:r w:rsidRPr="00CD2BBA">
          <w:rPr>
            <w:rStyle w:val="Hyperlink"/>
            <w:rFonts w:cs="Calibri"/>
            <w:noProof/>
          </w:rPr>
          <w:t>Annex G: The Blue Flag Insurance Backstop Charter</w:t>
        </w:r>
        <w:r>
          <w:rPr>
            <w:noProof/>
            <w:webHidden/>
          </w:rPr>
          <w:tab/>
        </w:r>
        <w:r>
          <w:rPr>
            <w:noProof/>
            <w:webHidden/>
          </w:rPr>
          <w:fldChar w:fldCharType="begin"/>
        </w:r>
        <w:r>
          <w:rPr>
            <w:noProof/>
            <w:webHidden/>
          </w:rPr>
          <w:instrText xml:space="preserve"> PAGEREF _Toc237648562 \h </w:instrText>
        </w:r>
        <w:r>
          <w:rPr>
            <w:noProof/>
            <w:webHidden/>
          </w:rPr>
        </w:r>
        <w:r>
          <w:rPr>
            <w:noProof/>
            <w:webHidden/>
          </w:rPr>
          <w:fldChar w:fldCharType="separate"/>
        </w:r>
        <w:r>
          <w:rPr>
            <w:noProof/>
            <w:webHidden/>
          </w:rPr>
          <w:t>65</w:t>
        </w:r>
        <w:r>
          <w:rPr>
            <w:noProof/>
            <w:webHidden/>
          </w:rPr>
          <w:fldChar w:fldCharType="end"/>
        </w:r>
      </w:hyperlink>
    </w:p>
    <w:p w14:paraId="043C0025" w14:textId="1451A192" w:rsidR="00D72D24" w:rsidRDefault="00D72D24">
      <w:pPr>
        <w:pStyle w:val="TOC2"/>
        <w:rPr>
          <w:rFonts w:asciiTheme="minorHAnsi" w:eastAsiaTheme="minorEastAsia" w:hAnsiTheme="minorHAnsi"/>
          <w:noProof/>
          <w:color w:val="auto"/>
          <w:sz w:val="24"/>
        </w:rPr>
      </w:pPr>
      <w:hyperlink w:anchor="_Toc237648563" w:history="1">
        <w:r w:rsidRPr="00CD2BBA">
          <w:rPr>
            <w:rStyle w:val="Hyperlink"/>
            <w:rFonts w:cs="Calibri"/>
            <w:noProof/>
          </w:rPr>
          <w:t>Annex H: Communications and Hotline Protocols</w:t>
        </w:r>
        <w:r>
          <w:rPr>
            <w:noProof/>
            <w:webHidden/>
          </w:rPr>
          <w:tab/>
        </w:r>
        <w:r>
          <w:rPr>
            <w:noProof/>
            <w:webHidden/>
          </w:rPr>
          <w:fldChar w:fldCharType="begin"/>
        </w:r>
        <w:r>
          <w:rPr>
            <w:noProof/>
            <w:webHidden/>
          </w:rPr>
          <w:instrText xml:space="preserve"> PAGEREF _Toc237648563 \h </w:instrText>
        </w:r>
        <w:r>
          <w:rPr>
            <w:noProof/>
            <w:webHidden/>
          </w:rPr>
        </w:r>
        <w:r>
          <w:rPr>
            <w:noProof/>
            <w:webHidden/>
          </w:rPr>
          <w:fldChar w:fldCharType="separate"/>
        </w:r>
        <w:r>
          <w:rPr>
            <w:noProof/>
            <w:webHidden/>
          </w:rPr>
          <w:t>66</w:t>
        </w:r>
        <w:r>
          <w:rPr>
            <w:noProof/>
            <w:webHidden/>
          </w:rPr>
          <w:fldChar w:fldCharType="end"/>
        </w:r>
      </w:hyperlink>
    </w:p>
    <w:p w14:paraId="0CDE3DCC" w14:textId="7331BD5E" w:rsidR="00D72D24" w:rsidRDefault="00D72D24">
      <w:pPr>
        <w:pStyle w:val="TOC2"/>
        <w:rPr>
          <w:rFonts w:asciiTheme="minorHAnsi" w:eastAsiaTheme="minorEastAsia" w:hAnsiTheme="minorHAnsi"/>
          <w:noProof/>
          <w:color w:val="auto"/>
          <w:sz w:val="24"/>
        </w:rPr>
      </w:pPr>
      <w:hyperlink w:anchor="_Toc237648564" w:history="1">
        <w:r w:rsidRPr="00CD2BBA">
          <w:rPr>
            <w:rStyle w:val="Hyperlink"/>
            <w:rFonts w:cs="Calibri"/>
            <w:noProof/>
          </w:rPr>
          <w:t>Annex I: Crisis Protocol Checklists</w:t>
        </w:r>
        <w:r>
          <w:rPr>
            <w:noProof/>
            <w:webHidden/>
          </w:rPr>
          <w:tab/>
        </w:r>
        <w:r>
          <w:rPr>
            <w:noProof/>
            <w:webHidden/>
          </w:rPr>
          <w:fldChar w:fldCharType="begin"/>
        </w:r>
        <w:r>
          <w:rPr>
            <w:noProof/>
            <w:webHidden/>
          </w:rPr>
          <w:instrText xml:space="preserve"> PAGEREF _Toc237648564 \h </w:instrText>
        </w:r>
        <w:r>
          <w:rPr>
            <w:noProof/>
            <w:webHidden/>
          </w:rPr>
        </w:r>
        <w:r>
          <w:rPr>
            <w:noProof/>
            <w:webHidden/>
          </w:rPr>
          <w:fldChar w:fldCharType="separate"/>
        </w:r>
        <w:r>
          <w:rPr>
            <w:noProof/>
            <w:webHidden/>
          </w:rPr>
          <w:t>66</w:t>
        </w:r>
        <w:r>
          <w:rPr>
            <w:noProof/>
            <w:webHidden/>
          </w:rPr>
          <w:fldChar w:fldCharType="end"/>
        </w:r>
      </w:hyperlink>
    </w:p>
    <w:p w14:paraId="44F570FC" w14:textId="2530A3DD" w:rsidR="00D72D24" w:rsidRDefault="00D72D24">
      <w:pPr>
        <w:pStyle w:val="TOC2"/>
        <w:rPr>
          <w:rFonts w:asciiTheme="minorHAnsi" w:eastAsiaTheme="minorEastAsia" w:hAnsiTheme="minorHAnsi"/>
          <w:noProof/>
          <w:color w:val="auto"/>
          <w:sz w:val="24"/>
        </w:rPr>
      </w:pPr>
      <w:hyperlink w:anchor="_Toc237648565" w:history="1">
        <w:r w:rsidRPr="00CD2BBA">
          <w:rPr>
            <w:rStyle w:val="Hyperlink"/>
            <w:rFonts w:cs="Calibri"/>
            <w:noProof/>
          </w:rPr>
          <w:t>Annex J: The Cothrom Blue Verification Procedures</w:t>
        </w:r>
        <w:r>
          <w:rPr>
            <w:noProof/>
            <w:webHidden/>
          </w:rPr>
          <w:tab/>
        </w:r>
        <w:r>
          <w:rPr>
            <w:noProof/>
            <w:webHidden/>
          </w:rPr>
          <w:fldChar w:fldCharType="begin"/>
        </w:r>
        <w:r>
          <w:rPr>
            <w:noProof/>
            <w:webHidden/>
          </w:rPr>
          <w:instrText xml:space="preserve"> PAGEREF _Toc237648565 \h </w:instrText>
        </w:r>
        <w:r>
          <w:rPr>
            <w:noProof/>
            <w:webHidden/>
          </w:rPr>
        </w:r>
        <w:r>
          <w:rPr>
            <w:noProof/>
            <w:webHidden/>
          </w:rPr>
          <w:fldChar w:fldCharType="separate"/>
        </w:r>
        <w:r>
          <w:rPr>
            <w:noProof/>
            <w:webHidden/>
          </w:rPr>
          <w:t>67</w:t>
        </w:r>
        <w:r>
          <w:rPr>
            <w:noProof/>
            <w:webHidden/>
          </w:rPr>
          <w:fldChar w:fldCharType="end"/>
        </w:r>
      </w:hyperlink>
    </w:p>
    <w:p w14:paraId="16FC3E07" w14:textId="025E7B5E" w:rsidR="00D72D24" w:rsidRDefault="00D72D24">
      <w:pPr>
        <w:pStyle w:val="TOC2"/>
        <w:rPr>
          <w:rFonts w:asciiTheme="minorHAnsi" w:eastAsiaTheme="minorEastAsia" w:hAnsiTheme="minorHAnsi"/>
          <w:noProof/>
          <w:color w:val="auto"/>
          <w:sz w:val="24"/>
        </w:rPr>
      </w:pPr>
      <w:hyperlink w:anchor="_Toc237648566" w:history="1">
        <w:r w:rsidRPr="00CD2BBA">
          <w:rPr>
            <w:rStyle w:val="Hyperlink"/>
            <w:rFonts w:cs="Calibri"/>
            <w:noProof/>
          </w:rPr>
          <w:t>Annex K: The Mine Exclusion and Joint Survey Protocol</w:t>
        </w:r>
        <w:r>
          <w:rPr>
            <w:noProof/>
            <w:webHidden/>
          </w:rPr>
          <w:tab/>
        </w:r>
        <w:r>
          <w:rPr>
            <w:noProof/>
            <w:webHidden/>
          </w:rPr>
          <w:fldChar w:fldCharType="begin"/>
        </w:r>
        <w:r>
          <w:rPr>
            <w:noProof/>
            <w:webHidden/>
          </w:rPr>
          <w:instrText xml:space="preserve"> PAGEREF _Toc237648566 \h </w:instrText>
        </w:r>
        <w:r>
          <w:rPr>
            <w:noProof/>
            <w:webHidden/>
          </w:rPr>
        </w:r>
        <w:r>
          <w:rPr>
            <w:noProof/>
            <w:webHidden/>
          </w:rPr>
          <w:fldChar w:fldCharType="separate"/>
        </w:r>
        <w:r>
          <w:rPr>
            <w:noProof/>
            <w:webHidden/>
          </w:rPr>
          <w:t>69</w:t>
        </w:r>
        <w:r>
          <w:rPr>
            <w:noProof/>
            <w:webHidden/>
          </w:rPr>
          <w:fldChar w:fldCharType="end"/>
        </w:r>
      </w:hyperlink>
    </w:p>
    <w:p w14:paraId="65E45B26" w14:textId="4E51D3B5" w:rsidR="00D72D24" w:rsidRDefault="00D72D24">
      <w:pPr>
        <w:pStyle w:val="TOC2"/>
        <w:rPr>
          <w:rFonts w:asciiTheme="minorHAnsi" w:eastAsiaTheme="minorEastAsia" w:hAnsiTheme="minorHAnsi"/>
          <w:noProof/>
          <w:color w:val="auto"/>
          <w:sz w:val="24"/>
        </w:rPr>
      </w:pPr>
      <w:hyperlink w:anchor="_Toc237648567" w:history="1">
        <w:r w:rsidRPr="00CD2BBA">
          <w:rPr>
            <w:rStyle w:val="Hyperlink"/>
            <w:rFonts w:cs="Calibri"/>
            <w:noProof/>
          </w:rPr>
          <w:t>Annex L: The United States Transitional Security Umbrella Terms</w:t>
        </w:r>
        <w:r>
          <w:rPr>
            <w:noProof/>
            <w:webHidden/>
          </w:rPr>
          <w:tab/>
        </w:r>
        <w:r>
          <w:rPr>
            <w:noProof/>
            <w:webHidden/>
          </w:rPr>
          <w:fldChar w:fldCharType="begin"/>
        </w:r>
        <w:r>
          <w:rPr>
            <w:noProof/>
            <w:webHidden/>
          </w:rPr>
          <w:instrText xml:space="preserve"> PAGEREF _Toc237648567 \h </w:instrText>
        </w:r>
        <w:r>
          <w:rPr>
            <w:noProof/>
            <w:webHidden/>
          </w:rPr>
        </w:r>
        <w:r>
          <w:rPr>
            <w:noProof/>
            <w:webHidden/>
          </w:rPr>
          <w:fldChar w:fldCharType="separate"/>
        </w:r>
        <w:r>
          <w:rPr>
            <w:noProof/>
            <w:webHidden/>
          </w:rPr>
          <w:t>70</w:t>
        </w:r>
        <w:r>
          <w:rPr>
            <w:noProof/>
            <w:webHidden/>
          </w:rPr>
          <w:fldChar w:fldCharType="end"/>
        </w:r>
      </w:hyperlink>
    </w:p>
    <w:p w14:paraId="04899B06" w14:textId="3A7F8615" w:rsidR="00D72D24" w:rsidRDefault="00D72D24">
      <w:pPr>
        <w:pStyle w:val="TOC2"/>
        <w:rPr>
          <w:rFonts w:asciiTheme="minorHAnsi" w:eastAsiaTheme="minorEastAsia" w:hAnsiTheme="minorHAnsi"/>
          <w:noProof/>
          <w:color w:val="auto"/>
          <w:sz w:val="24"/>
        </w:rPr>
      </w:pPr>
      <w:hyperlink w:anchor="_Toc237648568" w:history="1">
        <w:r w:rsidRPr="00CD2BBA">
          <w:rPr>
            <w:rStyle w:val="Hyperlink"/>
            <w:rFonts w:cs="Calibri"/>
            <w:noProof/>
          </w:rPr>
          <w:t>Annex M: The Red Lines Register</w:t>
        </w:r>
        <w:r>
          <w:rPr>
            <w:noProof/>
            <w:webHidden/>
          </w:rPr>
          <w:tab/>
        </w:r>
        <w:r>
          <w:rPr>
            <w:noProof/>
            <w:webHidden/>
          </w:rPr>
          <w:fldChar w:fldCharType="begin"/>
        </w:r>
        <w:r>
          <w:rPr>
            <w:noProof/>
            <w:webHidden/>
          </w:rPr>
          <w:instrText xml:space="preserve"> PAGEREF _Toc237648568 \h </w:instrText>
        </w:r>
        <w:r>
          <w:rPr>
            <w:noProof/>
            <w:webHidden/>
          </w:rPr>
        </w:r>
        <w:r>
          <w:rPr>
            <w:noProof/>
            <w:webHidden/>
          </w:rPr>
          <w:fldChar w:fldCharType="separate"/>
        </w:r>
        <w:r>
          <w:rPr>
            <w:noProof/>
            <w:webHidden/>
          </w:rPr>
          <w:t>71</w:t>
        </w:r>
        <w:r>
          <w:rPr>
            <w:noProof/>
            <w:webHidden/>
          </w:rPr>
          <w:fldChar w:fldCharType="end"/>
        </w:r>
      </w:hyperlink>
    </w:p>
    <w:p w14:paraId="2E0CDCF8" w14:textId="5D8629E3" w:rsidR="00D72D24" w:rsidRDefault="00D72D24">
      <w:pPr>
        <w:pStyle w:val="TOC2"/>
        <w:rPr>
          <w:rFonts w:asciiTheme="minorHAnsi" w:eastAsiaTheme="minorEastAsia" w:hAnsiTheme="minorHAnsi"/>
          <w:noProof/>
          <w:color w:val="auto"/>
          <w:sz w:val="24"/>
        </w:rPr>
      </w:pPr>
      <w:hyperlink w:anchor="_Toc237648569" w:history="1">
        <w:r w:rsidRPr="00CD2BBA">
          <w:rPr>
            <w:rStyle w:val="Hyperlink"/>
            <w:rFonts w:cs="Calibri"/>
            <w:noProof/>
          </w:rPr>
          <w:t>Annex N: Standard Forms</w:t>
        </w:r>
        <w:r>
          <w:rPr>
            <w:noProof/>
            <w:webHidden/>
          </w:rPr>
          <w:tab/>
        </w:r>
        <w:r>
          <w:rPr>
            <w:noProof/>
            <w:webHidden/>
          </w:rPr>
          <w:fldChar w:fldCharType="begin"/>
        </w:r>
        <w:r>
          <w:rPr>
            <w:noProof/>
            <w:webHidden/>
          </w:rPr>
          <w:instrText xml:space="preserve"> PAGEREF _Toc237648569 \h </w:instrText>
        </w:r>
        <w:r>
          <w:rPr>
            <w:noProof/>
            <w:webHidden/>
          </w:rPr>
        </w:r>
        <w:r>
          <w:rPr>
            <w:noProof/>
            <w:webHidden/>
          </w:rPr>
          <w:fldChar w:fldCharType="separate"/>
        </w:r>
        <w:r>
          <w:rPr>
            <w:noProof/>
            <w:webHidden/>
          </w:rPr>
          <w:t>72</w:t>
        </w:r>
        <w:r>
          <w:rPr>
            <w:noProof/>
            <w:webHidden/>
          </w:rPr>
          <w:fldChar w:fldCharType="end"/>
        </w:r>
      </w:hyperlink>
    </w:p>
    <w:p w14:paraId="3E85DAE1" w14:textId="01A89945" w:rsidR="00D72D24" w:rsidRDefault="00D72D24">
      <w:pPr>
        <w:pStyle w:val="TOC2"/>
        <w:rPr>
          <w:rFonts w:asciiTheme="minorHAnsi" w:eastAsiaTheme="minorEastAsia" w:hAnsiTheme="minorHAnsi"/>
          <w:noProof/>
          <w:color w:val="auto"/>
          <w:sz w:val="24"/>
        </w:rPr>
      </w:pPr>
      <w:hyperlink w:anchor="_Toc237648570" w:history="1">
        <w:r w:rsidRPr="00CD2BBA">
          <w:rPr>
            <w:rStyle w:val="Hyperlink"/>
            <w:rFonts w:cs="Calibri"/>
            <w:noProof/>
          </w:rPr>
          <w:t>Annex O: Budget, Contributions, and Escrow Schedules</w:t>
        </w:r>
        <w:r>
          <w:rPr>
            <w:noProof/>
            <w:webHidden/>
          </w:rPr>
          <w:tab/>
        </w:r>
        <w:r>
          <w:rPr>
            <w:noProof/>
            <w:webHidden/>
          </w:rPr>
          <w:fldChar w:fldCharType="begin"/>
        </w:r>
        <w:r>
          <w:rPr>
            <w:noProof/>
            <w:webHidden/>
          </w:rPr>
          <w:instrText xml:space="preserve"> PAGEREF _Toc237648570 \h </w:instrText>
        </w:r>
        <w:r>
          <w:rPr>
            <w:noProof/>
            <w:webHidden/>
          </w:rPr>
        </w:r>
        <w:r>
          <w:rPr>
            <w:noProof/>
            <w:webHidden/>
          </w:rPr>
          <w:fldChar w:fldCharType="separate"/>
        </w:r>
        <w:r>
          <w:rPr>
            <w:noProof/>
            <w:webHidden/>
          </w:rPr>
          <w:t>73</w:t>
        </w:r>
        <w:r>
          <w:rPr>
            <w:noProof/>
            <w:webHidden/>
          </w:rPr>
          <w:fldChar w:fldCharType="end"/>
        </w:r>
      </w:hyperlink>
    </w:p>
    <w:p w14:paraId="302AB9D7" w14:textId="4C7C5BB8" w:rsidR="00D72D24" w:rsidRDefault="00D72D24">
      <w:pPr>
        <w:pStyle w:val="TOC2"/>
        <w:rPr>
          <w:rFonts w:asciiTheme="minorHAnsi" w:eastAsiaTheme="minorEastAsia" w:hAnsiTheme="minorHAnsi"/>
          <w:noProof/>
          <w:color w:val="auto"/>
          <w:sz w:val="24"/>
        </w:rPr>
      </w:pPr>
      <w:hyperlink w:anchor="_Toc237648571" w:history="1">
        <w:r w:rsidRPr="00CD2BBA">
          <w:rPr>
            <w:rStyle w:val="Hyperlink"/>
            <w:rFonts w:cs="Calibri"/>
            <w:noProof/>
          </w:rPr>
          <w:t>Annex P: The Prosperity Window and Development Facility Term Sheet</w:t>
        </w:r>
        <w:r>
          <w:rPr>
            <w:noProof/>
            <w:webHidden/>
          </w:rPr>
          <w:tab/>
        </w:r>
        <w:r>
          <w:rPr>
            <w:noProof/>
            <w:webHidden/>
          </w:rPr>
          <w:fldChar w:fldCharType="begin"/>
        </w:r>
        <w:r>
          <w:rPr>
            <w:noProof/>
            <w:webHidden/>
          </w:rPr>
          <w:instrText xml:space="preserve"> PAGEREF _Toc237648571 \h </w:instrText>
        </w:r>
        <w:r>
          <w:rPr>
            <w:noProof/>
            <w:webHidden/>
          </w:rPr>
        </w:r>
        <w:r>
          <w:rPr>
            <w:noProof/>
            <w:webHidden/>
          </w:rPr>
          <w:fldChar w:fldCharType="separate"/>
        </w:r>
        <w:r>
          <w:rPr>
            <w:noProof/>
            <w:webHidden/>
          </w:rPr>
          <w:t>74</w:t>
        </w:r>
        <w:r>
          <w:rPr>
            <w:noProof/>
            <w:webHidden/>
          </w:rPr>
          <w:fldChar w:fldCharType="end"/>
        </w:r>
      </w:hyperlink>
    </w:p>
    <w:p w14:paraId="7228273F" w14:textId="3B5A529E" w:rsidR="00D72D24" w:rsidRDefault="00D72D24">
      <w:pPr>
        <w:pStyle w:val="TOC2"/>
        <w:rPr>
          <w:rFonts w:asciiTheme="minorHAnsi" w:eastAsiaTheme="minorEastAsia" w:hAnsiTheme="minorHAnsi"/>
          <w:noProof/>
          <w:color w:val="auto"/>
          <w:sz w:val="24"/>
        </w:rPr>
      </w:pPr>
      <w:hyperlink w:anchor="_Toc237648572" w:history="1">
        <w:r w:rsidRPr="00CD2BBA">
          <w:rPr>
            <w:rStyle w:val="Hyperlink"/>
            <w:rFonts w:cs="Calibri"/>
            <w:noProof/>
          </w:rPr>
          <w:t>Annex Q: The Accession Protocol</w:t>
        </w:r>
        <w:r>
          <w:rPr>
            <w:noProof/>
            <w:webHidden/>
          </w:rPr>
          <w:tab/>
        </w:r>
        <w:r>
          <w:rPr>
            <w:noProof/>
            <w:webHidden/>
          </w:rPr>
          <w:fldChar w:fldCharType="begin"/>
        </w:r>
        <w:r>
          <w:rPr>
            <w:noProof/>
            <w:webHidden/>
          </w:rPr>
          <w:instrText xml:space="preserve"> PAGEREF _Toc237648572 \h </w:instrText>
        </w:r>
        <w:r>
          <w:rPr>
            <w:noProof/>
            <w:webHidden/>
          </w:rPr>
        </w:r>
        <w:r>
          <w:rPr>
            <w:noProof/>
            <w:webHidden/>
          </w:rPr>
          <w:fldChar w:fldCharType="separate"/>
        </w:r>
        <w:r>
          <w:rPr>
            <w:noProof/>
            <w:webHidden/>
          </w:rPr>
          <w:t>75</w:t>
        </w:r>
        <w:r>
          <w:rPr>
            <w:noProof/>
            <w:webHidden/>
          </w:rPr>
          <w:fldChar w:fldCharType="end"/>
        </w:r>
      </w:hyperlink>
    </w:p>
    <w:p w14:paraId="09769A4B" w14:textId="57D6D9FB" w:rsidR="00D72D24" w:rsidRDefault="00D72D24">
      <w:pPr>
        <w:pStyle w:val="TOC2"/>
        <w:rPr>
          <w:rFonts w:asciiTheme="minorHAnsi" w:eastAsiaTheme="minorEastAsia" w:hAnsiTheme="minorHAnsi"/>
          <w:noProof/>
          <w:color w:val="auto"/>
          <w:sz w:val="24"/>
        </w:rPr>
      </w:pPr>
      <w:hyperlink w:anchor="_Toc237648573" w:history="1">
        <w:r w:rsidRPr="00CD2BBA">
          <w:rPr>
            <w:rStyle w:val="Hyperlink"/>
            <w:rFonts w:cs="Calibri"/>
            <w:noProof/>
          </w:rPr>
          <w:t>Annex R: The Transparency Portal Data Infrastructure</w:t>
        </w:r>
        <w:r>
          <w:rPr>
            <w:noProof/>
            <w:webHidden/>
          </w:rPr>
          <w:tab/>
        </w:r>
        <w:r>
          <w:rPr>
            <w:noProof/>
            <w:webHidden/>
          </w:rPr>
          <w:fldChar w:fldCharType="begin"/>
        </w:r>
        <w:r>
          <w:rPr>
            <w:noProof/>
            <w:webHidden/>
          </w:rPr>
          <w:instrText xml:space="preserve"> PAGEREF _Toc237648573 \h </w:instrText>
        </w:r>
        <w:r>
          <w:rPr>
            <w:noProof/>
            <w:webHidden/>
          </w:rPr>
        </w:r>
        <w:r>
          <w:rPr>
            <w:noProof/>
            <w:webHidden/>
          </w:rPr>
          <w:fldChar w:fldCharType="separate"/>
        </w:r>
        <w:r>
          <w:rPr>
            <w:noProof/>
            <w:webHidden/>
          </w:rPr>
          <w:t>75</w:t>
        </w:r>
        <w:r>
          <w:rPr>
            <w:noProof/>
            <w:webHidden/>
          </w:rPr>
          <w:fldChar w:fldCharType="end"/>
        </w:r>
      </w:hyperlink>
    </w:p>
    <w:p w14:paraId="2609F335" w14:textId="7831657E" w:rsidR="00D72D24" w:rsidRDefault="00D72D24">
      <w:pPr>
        <w:pStyle w:val="TOC2"/>
        <w:rPr>
          <w:rFonts w:asciiTheme="minorHAnsi" w:eastAsiaTheme="minorEastAsia" w:hAnsiTheme="minorHAnsi"/>
          <w:noProof/>
          <w:color w:val="auto"/>
          <w:sz w:val="24"/>
        </w:rPr>
      </w:pPr>
      <w:hyperlink w:anchor="_Toc237648574" w:history="1">
        <w:r w:rsidRPr="00CD2BBA">
          <w:rPr>
            <w:rStyle w:val="Hyperlink"/>
            <w:rFonts w:cs="Calibri"/>
            <w:noProof/>
          </w:rPr>
          <w:t>Annex S: The Environmental Protection Protocol</w:t>
        </w:r>
        <w:r>
          <w:rPr>
            <w:noProof/>
            <w:webHidden/>
          </w:rPr>
          <w:tab/>
        </w:r>
        <w:r>
          <w:rPr>
            <w:noProof/>
            <w:webHidden/>
          </w:rPr>
          <w:fldChar w:fldCharType="begin"/>
        </w:r>
        <w:r>
          <w:rPr>
            <w:noProof/>
            <w:webHidden/>
          </w:rPr>
          <w:instrText xml:space="preserve"> PAGEREF _Toc237648574 \h </w:instrText>
        </w:r>
        <w:r>
          <w:rPr>
            <w:noProof/>
            <w:webHidden/>
          </w:rPr>
        </w:r>
        <w:r>
          <w:rPr>
            <w:noProof/>
            <w:webHidden/>
          </w:rPr>
          <w:fldChar w:fldCharType="separate"/>
        </w:r>
        <w:r>
          <w:rPr>
            <w:noProof/>
            <w:webHidden/>
          </w:rPr>
          <w:t>76</w:t>
        </w:r>
        <w:r>
          <w:rPr>
            <w:noProof/>
            <w:webHidden/>
          </w:rPr>
          <w:fldChar w:fldCharType="end"/>
        </w:r>
      </w:hyperlink>
    </w:p>
    <w:p w14:paraId="66C4086D" w14:textId="62E52E39" w:rsidR="00D72D24" w:rsidRDefault="00D72D24">
      <w:pPr>
        <w:pStyle w:val="TOC2"/>
        <w:rPr>
          <w:rFonts w:asciiTheme="minorHAnsi" w:eastAsiaTheme="minorEastAsia" w:hAnsiTheme="minorHAnsi"/>
          <w:noProof/>
          <w:color w:val="auto"/>
          <w:sz w:val="24"/>
        </w:rPr>
      </w:pPr>
      <w:hyperlink w:anchor="_Toc237648575" w:history="1">
        <w:r w:rsidRPr="00CD2BBA">
          <w:rPr>
            <w:rStyle w:val="Hyperlink"/>
            <w:rFonts w:cs="Calibri"/>
            <w:noProof/>
          </w:rPr>
          <w:t>Annex T: The Registry of Mirrored Consent</w:t>
        </w:r>
        <w:r>
          <w:rPr>
            <w:noProof/>
            <w:webHidden/>
          </w:rPr>
          <w:tab/>
        </w:r>
        <w:r>
          <w:rPr>
            <w:noProof/>
            <w:webHidden/>
          </w:rPr>
          <w:fldChar w:fldCharType="begin"/>
        </w:r>
        <w:r>
          <w:rPr>
            <w:noProof/>
            <w:webHidden/>
          </w:rPr>
          <w:instrText xml:space="preserve"> PAGEREF _Toc237648575 \h </w:instrText>
        </w:r>
        <w:r>
          <w:rPr>
            <w:noProof/>
            <w:webHidden/>
          </w:rPr>
        </w:r>
        <w:r>
          <w:rPr>
            <w:noProof/>
            <w:webHidden/>
          </w:rPr>
          <w:fldChar w:fldCharType="separate"/>
        </w:r>
        <w:r>
          <w:rPr>
            <w:noProof/>
            <w:webHidden/>
          </w:rPr>
          <w:t>77</w:t>
        </w:r>
        <w:r>
          <w:rPr>
            <w:noProof/>
            <w:webHidden/>
          </w:rPr>
          <w:fldChar w:fldCharType="end"/>
        </w:r>
      </w:hyperlink>
    </w:p>
    <w:p w14:paraId="09842514" w14:textId="4C32C12C" w:rsidR="00D72D24" w:rsidRDefault="00D72D24">
      <w:pPr>
        <w:pStyle w:val="TOC2"/>
        <w:rPr>
          <w:rFonts w:asciiTheme="minorHAnsi" w:eastAsiaTheme="minorEastAsia" w:hAnsiTheme="minorHAnsi"/>
          <w:noProof/>
          <w:color w:val="auto"/>
          <w:sz w:val="24"/>
        </w:rPr>
      </w:pPr>
      <w:hyperlink w:anchor="_Toc237648576" w:history="1">
        <w:r w:rsidRPr="00CD2BBA">
          <w:rPr>
            <w:rStyle w:val="Hyperlink"/>
            <w:rFonts w:cs="Calibri"/>
            <w:noProof/>
          </w:rPr>
          <w:t>Annex U: Definitions</w:t>
        </w:r>
        <w:r>
          <w:rPr>
            <w:noProof/>
            <w:webHidden/>
          </w:rPr>
          <w:tab/>
        </w:r>
        <w:r>
          <w:rPr>
            <w:noProof/>
            <w:webHidden/>
          </w:rPr>
          <w:fldChar w:fldCharType="begin"/>
        </w:r>
        <w:r>
          <w:rPr>
            <w:noProof/>
            <w:webHidden/>
          </w:rPr>
          <w:instrText xml:space="preserve"> PAGEREF _Toc237648576 \h </w:instrText>
        </w:r>
        <w:r>
          <w:rPr>
            <w:noProof/>
            <w:webHidden/>
          </w:rPr>
        </w:r>
        <w:r>
          <w:rPr>
            <w:noProof/>
            <w:webHidden/>
          </w:rPr>
          <w:fldChar w:fldCharType="separate"/>
        </w:r>
        <w:r>
          <w:rPr>
            <w:noProof/>
            <w:webHidden/>
          </w:rPr>
          <w:t>77</w:t>
        </w:r>
        <w:r>
          <w:rPr>
            <w:noProof/>
            <w:webHidden/>
          </w:rPr>
          <w:fldChar w:fldCharType="end"/>
        </w:r>
      </w:hyperlink>
    </w:p>
    <w:p w14:paraId="2D8F1DD3" w14:textId="22D13E5D" w:rsidR="00D72D24" w:rsidRDefault="00D72D24">
      <w:pPr>
        <w:pStyle w:val="TOC2"/>
        <w:rPr>
          <w:rFonts w:asciiTheme="minorHAnsi" w:eastAsiaTheme="minorEastAsia" w:hAnsiTheme="minorHAnsi"/>
          <w:noProof/>
          <w:color w:val="auto"/>
          <w:sz w:val="24"/>
        </w:rPr>
      </w:pPr>
      <w:hyperlink w:anchor="_Toc237648577" w:history="1">
        <w:r w:rsidRPr="00CD2BBA">
          <w:rPr>
            <w:rStyle w:val="Hyperlink"/>
            <w:rFonts w:cs="Calibri"/>
            <w:noProof/>
          </w:rPr>
          <w:t>Annex V: The Reinsurance and Guarantee Pool</w:t>
        </w:r>
        <w:r>
          <w:rPr>
            <w:noProof/>
            <w:webHidden/>
          </w:rPr>
          <w:tab/>
        </w:r>
        <w:r>
          <w:rPr>
            <w:noProof/>
            <w:webHidden/>
          </w:rPr>
          <w:fldChar w:fldCharType="begin"/>
        </w:r>
        <w:r>
          <w:rPr>
            <w:noProof/>
            <w:webHidden/>
          </w:rPr>
          <w:instrText xml:space="preserve"> PAGEREF _Toc237648577 \h </w:instrText>
        </w:r>
        <w:r>
          <w:rPr>
            <w:noProof/>
            <w:webHidden/>
          </w:rPr>
        </w:r>
        <w:r>
          <w:rPr>
            <w:noProof/>
            <w:webHidden/>
          </w:rPr>
          <w:fldChar w:fldCharType="separate"/>
        </w:r>
        <w:r>
          <w:rPr>
            <w:noProof/>
            <w:webHidden/>
          </w:rPr>
          <w:t>79</w:t>
        </w:r>
        <w:r>
          <w:rPr>
            <w:noProof/>
            <w:webHidden/>
          </w:rPr>
          <w:fldChar w:fldCharType="end"/>
        </w:r>
      </w:hyperlink>
    </w:p>
    <w:p w14:paraId="6677EBE9" w14:textId="7F97AC5F" w:rsidR="00D72D24" w:rsidRDefault="00D72D24">
      <w:pPr>
        <w:pStyle w:val="TOC2"/>
        <w:rPr>
          <w:rFonts w:asciiTheme="minorHAnsi" w:eastAsiaTheme="minorEastAsia" w:hAnsiTheme="minorHAnsi"/>
          <w:noProof/>
          <w:color w:val="auto"/>
          <w:sz w:val="24"/>
        </w:rPr>
      </w:pPr>
      <w:hyperlink w:anchor="_Toc237648578" w:history="1">
        <w:r w:rsidRPr="00CD2BBA">
          <w:rPr>
            <w:rStyle w:val="Hyperlink"/>
            <w:rFonts w:cs="Calibri"/>
            <w:noProof/>
          </w:rPr>
          <w:t>Annex W: The Sanctions Compatibility Protocol</w:t>
        </w:r>
        <w:r>
          <w:rPr>
            <w:noProof/>
            <w:webHidden/>
          </w:rPr>
          <w:tab/>
        </w:r>
        <w:r>
          <w:rPr>
            <w:noProof/>
            <w:webHidden/>
          </w:rPr>
          <w:fldChar w:fldCharType="begin"/>
        </w:r>
        <w:r>
          <w:rPr>
            <w:noProof/>
            <w:webHidden/>
          </w:rPr>
          <w:instrText xml:space="preserve"> PAGEREF _Toc237648578 \h </w:instrText>
        </w:r>
        <w:r>
          <w:rPr>
            <w:noProof/>
            <w:webHidden/>
          </w:rPr>
        </w:r>
        <w:r>
          <w:rPr>
            <w:noProof/>
            <w:webHidden/>
          </w:rPr>
          <w:fldChar w:fldCharType="separate"/>
        </w:r>
        <w:r>
          <w:rPr>
            <w:noProof/>
            <w:webHidden/>
          </w:rPr>
          <w:t>79</w:t>
        </w:r>
        <w:r>
          <w:rPr>
            <w:noProof/>
            <w:webHidden/>
          </w:rPr>
          <w:fldChar w:fldCharType="end"/>
        </w:r>
      </w:hyperlink>
    </w:p>
    <w:p w14:paraId="21A235B1" w14:textId="7C90E46E" w:rsidR="00D72D24" w:rsidRDefault="00D72D24">
      <w:pPr>
        <w:pStyle w:val="TOC2"/>
        <w:rPr>
          <w:rFonts w:asciiTheme="minorHAnsi" w:eastAsiaTheme="minorEastAsia" w:hAnsiTheme="minorHAnsi"/>
          <w:noProof/>
          <w:color w:val="auto"/>
          <w:sz w:val="24"/>
        </w:rPr>
      </w:pPr>
      <w:hyperlink w:anchor="_Toc237648579" w:history="1">
        <w:r w:rsidRPr="00CD2BBA">
          <w:rPr>
            <w:rStyle w:val="Hyperlink"/>
            <w:rFonts w:cs="Calibri"/>
            <w:noProof/>
          </w:rPr>
          <w:t>Annex X: The Public Narrative Toolkit</w:t>
        </w:r>
        <w:r>
          <w:rPr>
            <w:noProof/>
            <w:webHidden/>
          </w:rPr>
          <w:tab/>
        </w:r>
        <w:r>
          <w:rPr>
            <w:noProof/>
            <w:webHidden/>
          </w:rPr>
          <w:fldChar w:fldCharType="begin"/>
        </w:r>
        <w:r>
          <w:rPr>
            <w:noProof/>
            <w:webHidden/>
          </w:rPr>
          <w:instrText xml:space="preserve"> PAGEREF _Toc237648579 \h </w:instrText>
        </w:r>
        <w:r>
          <w:rPr>
            <w:noProof/>
            <w:webHidden/>
          </w:rPr>
        </w:r>
        <w:r>
          <w:rPr>
            <w:noProof/>
            <w:webHidden/>
          </w:rPr>
          <w:fldChar w:fldCharType="separate"/>
        </w:r>
        <w:r>
          <w:rPr>
            <w:noProof/>
            <w:webHidden/>
          </w:rPr>
          <w:t>80</w:t>
        </w:r>
        <w:r>
          <w:rPr>
            <w:noProof/>
            <w:webHidden/>
          </w:rPr>
          <w:fldChar w:fldCharType="end"/>
        </w:r>
      </w:hyperlink>
    </w:p>
    <w:p w14:paraId="66F29E4A" w14:textId="38DA9AE6" w:rsidR="00D72D24" w:rsidRDefault="00D72D24">
      <w:pPr>
        <w:pStyle w:val="TOC2"/>
        <w:rPr>
          <w:rFonts w:asciiTheme="minorHAnsi" w:eastAsiaTheme="minorEastAsia" w:hAnsiTheme="minorHAnsi"/>
          <w:noProof/>
          <w:color w:val="auto"/>
          <w:sz w:val="24"/>
        </w:rPr>
      </w:pPr>
      <w:hyperlink w:anchor="_Toc237648580" w:history="1">
        <w:r w:rsidRPr="00CD2BBA">
          <w:rPr>
            <w:rStyle w:val="Hyperlink"/>
            <w:rFonts w:cs="Calibri"/>
            <w:noProof/>
          </w:rPr>
          <w:t>Annex Y: The Green Pilot Corridor</w:t>
        </w:r>
        <w:r>
          <w:rPr>
            <w:noProof/>
            <w:webHidden/>
          </w:rPr>
          <w:tab/>
        </w:r>
        <w:r>
          <w:rPr>
            <w:noProof/>
            <w:webHidden/>
          </w:rPr>
          <w:fldChar w:fldCharType="begin"/>
        </w:r>
        <w:r>
          <w:rPr>
            <w:noProof/>
            <w:webHidden/>
          </w:rPr>
          <w:instrText xml:space="preserve"> PAGEREF _Toc237648580 \h </w:instrText>
        </w:r>
        <w:r>
          <w:rPr>
            <w:noProof/>
            <w:webHidden/>
          </w:rPr>
        </w:r>
        <w:r>
          <w:rPr>
            <w:noProof/>
            <w:webHidden/>
          </w:rPr>
          <w:fldChar w:fldCharType="separate"/>
        </w:r>
        <w:r>
          <w:rPr>
            <w:noProof/>
            <w:webHidden/>
          </w:rPr>
          <w:t>81</w:t>
        </w:r>
        <w:r>
          <w:rPr>
            <w:noProof/>
            <w:webHidden/>
          </w:rPr>
          <w:fldChar w:fldCharType="end"/>
        </w:r>
      </w:hyperlink>
    </w:p>
    <w:p w14:paraId="04AF78AB" w14:textId="6F67E2B2" w:rsidR="00D72D24" w:rsidRDefault="00D72D24">
      <w:pPr>
        <w:pStyle w:val="TOC2"/>
        <w:rPr>
          <w:rFonts w:asciiTheme="minorHAnsi" w:eastAsiaTheme="minorEastAsia" w:hAnsiTheme="minorHAnsi"/>
          <w:noProof/>
          <w:color w:val="auto"/>
          <w:sz w:val="24"/>
        </w:rPr>
      </w:pPr>
      <w:hyperlink w:anchor="_Toc237648581" w:history="1">
        <w:r w:rsidRPr="00CD2BBA">
          <w:rPr>
            <w:rStyle w:val="Hyperlink"/>
            <w:rFonts w:cs="Calibri"/>
            <w:noProof/>
          </w:rPr>
          <w:t>Annex Z: The Mine-Risk Early Warning Mesh</w:t>
        </w:r>
        <w:r>
          <w:rPr>
            <w:noProof/>
            <w:webHidden/>
          </w:rPr>
          <w:tab/>
        </w:r>
        <w:r>
          <w:rPr>
            <w:noProof/>
            <w:webHidden/>
          </w:rPr>
          <w:fldChar w:fldCharType="begin"/>
        </w:r>
        <w:r>
          <w:rPr>
            <w:noProof/>
            <w:webHidden/>
          </w:rPr>
          <w:instrText xml:space="preserve"> PAGEREF _Toc237648581 \h </w:instrText>
        </w:r>
        <w:r>
          <w:rPr>
            <w:noProof/>
            <w:webHidden/>
          </w:rPr>
        </w:r>
        <w:r>
          <w:rPr>
            <w:noProof/>
            <w:webHidden/>
          </w:rPr>
          <w:fldChar w:fldCharType="separate"/>
        </w:r>
        <w:r>
          <w:rPr>
            <w:noProof/>
            <w:webHidden/>
          </w:rPr>
          <w:t>81</w:t>
        </w:r>
        <w:r>
          <w:rPr>
            <w:noProof/>
            <w:webHidden/>
          </w:rPr>
          <w:fldChar w:fldCharType="end"/>
        </w:r>
      </w:hyperlink>
    </w:p>
    <w:p w14:paraId="6D19E4AC" w14:textId="5AB4EE4B" w:rsidR="0027270B" w:rsidRDefault="00000000">
      <w:r>
        <w:fldChar w:fldCharType="end"/>
      </w:r>
    </w:p>
    <w:p w14:paraId="156681F7" w14:textId="77777777" w:rsidR="0027270B" w:rsidRDefault="0027270B">
      <w:pPr>
        <w:sectPr w:rsidR="0027270B">
          <w:headerReference w:type="default" r:id="rId6"/>
          <w:footerReference w:type="default" r:id="rId7"/>
          <w:pgSz w:w="11906" w:h="16838"/>
          <w:pgMar w:top="1440" w:right="1440" w:bottom="1440" w:left="1440" w:header="720" w:footer="720" w:gutter="0"/>
          <w:cols w:space="720"/>
        </w:sectPr>
      </w:pPr>
    </w:p>
    <w:p w14:paraId="18948E5D" w14:textId="77777777" w:rsidR="0027270B" w:rsidRDefault="00000000">
      <w:pPr>
        <w:pStyle w:val="Heading1"/>
      </w:pPr>
      <w:bookmarkStart w:id="0" w:name="_Toc237648449"/>
      <w:r>
        <w:lastRenderedPageBreak/>
        <w:t>Document Control</w:t>
      </w:r>
      <w:bookmarkEnd w:id="0"/>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2758"/>
        <w:gridCol w:w="6428"/>
      </w:tblGrid>
      <w:tr w:rsidR="0027270B" w14:paraId="074C18D3" w14:textId="77777777">
        <w:tblPrEx>
          <w:tblCellMar>
            <w:top w:w="0" w:type="dxa"/>
            <w:bottom w:w="0" w:type="dxa"/>
          </w:tblCellMar>
        </w:tblPrEx>
        <w:trPr>
          <w:tblHeader/>
        </w:trPr>
        <w:tc>
          <w:tcPr>
            <w:tcW w:w="2800" w:type="dxa"/>
            <w:shd w:val="clear" w:color="auto" w:fill="E8EFF4"/>
            <w:tcMar>
              <w:top w:w="60" w:type="dxa"/>
              <w:left w:w="80" w:type="dxa"/>
              <w:bottom w:w="60" w:type="dxa"/>
              <w:right w:w="80" w:type="dxa"/>
            </w:tcMar>
          </w:tcPr>
          <w:p w14:paraId="16265104" w14:textId="77777777" w:rsidR="0027270B" w:rsidRDefault="00000000">
            <w:pPr>
              <w:spacing w:after="0" w:line="260" w:lineRule="auto"/>
            </w:pPr>
            <w:r>
              <w:rPr>
                <w:b/>
                <w:color w:val="1B3A5C"/>
                <w:sz w:val="20"/>
              </w:rPr>
              <w:t>Item</w:t>
            </w:r>
          </w:p>
        </w:tc>
        <w:tc>
          <w:tcPr>
            <w:tcW w:w="6560" w:type="dxa"/>
            <w:shd w:val="clear" w:color="auto" w:fill="E8EFF4"/>
            <w:tcMar>
              <w:top w:w="60" w:type="dxa"/>
              <w:left w:w="80" w:type="dxa"/>
              <w:bottom w:w="60" w:type="dxa"/>
              <w:right w:w="80" w:type="dxa"/>
            </w:tcMar>
          </w:tcPr>
          <w:p w14:paraId="56FEC804" w14:textId="77777777" w:rsidR="0027270B" w:rsidRDefault="00000000">
            <w:pPr>
              <w:spacing w:after="0" w:line="260" w:lineRule="auto"/>
            </w:pPr>
            <w:r>
              <w:rPr>
                <w:b/>
                <w:color w:val="1B3A5C"/>
                <w:sz w:val="20"/>
              </w:rPr>
              <w:t>Entry</w:t>
            </w:r>
          </w:p>
        </w:tc>
      </w:tr>
      <w:tr w:rsidR="0027270B" w14:paraId="05F70561" w14:textId="77777777">
        <w:tblPrEx>
          <w:tblCellMar>
            <w:top w:w="0" w:type="dxa"/>
            <w:bottom w:w="0" w:type="dxa"/>
          </w:tblCellMar>
        </w:tblPrEx>
        <w:tc>
          <w:tcPr>
            <w:tcW w:w="2800" w:type="dxa"/>
            <w:tcMar>
              <w:top w:w="50" w:type="dxa"/>
              <w:left w:w="80" w:type="dxa"/>
              <w:bottom w:w="50" w:type="dxa"/>
              <w:right w:w="80" w:type="dxa"/>
            </w:tcMar>
          </w:tcPr>
          <w:p w14:paraId="0D610230" w14:textId="77777777" w:rsidR="0027270B" w:rsidRDefault="00000000">
            <w:pPr>
              <w:spacing w:after="0" w:line="260" w:lineRule="auto"/>
            </w:pPr>
            <w:r>
              <w:rPr>
                <w:sz w:val="20"/>
              </w:rPr>
              <w:t>Instrument</w:t>
            </w:r>
          </w:p>
        </w:tc>
        <w:tc>
          <w:tcPr>
            <w:tcW w:w="6560" w:type="dxa"/>
            <w:tcMar>
              <w:top w:w="50" w:type="dxa"/>
              <w:left w:w="80" w:type="dxa"/>
              <w:bottom w:w="50" w:type="dxa"/>
              <w:right w:w="80" w:type="dxa"/>
            </w:tcMar>
          </w:tcPr>
          <w:p w14:paraId="5D9DB35E" w14:textId="77777777" w:rsidR="0027270B" w:rsidRDefault="00000000">
            <w:pPr>
              <w:spacing w:after="0" w:line="260" w:lineRule="auto"/>
            </w:pPr>
            <w:r>
              <w:rPr>
                <w:sz w:val="20"/>
              </w:rPr>
              <w:t>The Blue Passage Peace Accord (the Accord)</w:t>
            </w:r>
          </w:p>
        </w:tc>
      </w:tr>
      <w:tr w:rsidR="0027270B" w14:paraId="4CB8DD8C" w14:textId="77777777">
        <w:tblPrEx>
          <w:tblCellMar>
            <w:top w:w="0" w:type="dxa"/>
            <w:bottom w:w="0" w:type="dxa"/>
          </w:tblCellMar>
        </w:tblPrEx>
        <w:tc>
          <w:tcPr>
            <w:tcW w:w="2800" w:type="dxa"/>
            <w:tcMar>
              <w:top w:w="50" w:type="dxa"/>
              <w:left w:w="80" w:type="dxa"/>
              <w:bottom w:w="50" w:type="dxa"/>
              <w:right w:w="80" w:type="dxa"/>
            </w:tcMar>
          </w:tcPr>
          <w:p w14:paraId="709600C0" w14:textId="77777777" w:rsidR="0027270B" w:rsidRDefault="00000000">
            <w:pPr>
              <w:spacing w:after="0" w:line="260" w:lineRule="auto"/>
            </w:pPr>
            <w:r>
              <w:rPr>
                <w:sz w:val="20"/>
              </w:rPr>
              <w:t>Version</w:t>
            </w:r>
          </w:p>
        </w:tc>
        <w:tc>
          <w:tcPr>
            <w:tcW w:w="6560" w:type="dxa"/>
            <w:tcMar>
              <w:top w:w="50" w:type="dxa"/>
              <w:left w:w="80" w:type="dxa"/>
              <w:bottom w:w="50" w:type="dxa"/>
              <w:right w:w="80" w:type="dxa"/>
            </w:tcMar>
          </w:tcPr>
          <w:p w14:paraId="45A7AD87" w14:textId="77777777" w:rsidR="0027270B" w:rsidRDefault="00000000">
            <w:pPr>
              <w:spacing w:after="0" w:line="260" w:lineRule="auto"/>
            </w:pPr>
            <w:r>
              <w:rPr>
                <w:sz w:val="20"/>
              </w:rPr>
              <w:t>1.0</w:t>
            </w:r>
          </w:p>
        </w:tc>
      </w:tr>
      <w:tr w:rsidR="0027270B" w14:paraId="29EC24E3" w14:textId="77777777">
        <w:tblPrEx>
          <w:tblCellMar>
            <w:top w:w="0" w:type="dxa"/>
            <w:bottom w:w="0" w:type="dxa"/>
          </w:tblCellMar>
        </w:tblPrEx>
        <w:tc>
          <w:tcPr>
            <w:tcW w:w="2800" w:type="dxa"/>
            <w:tcMar>
              <w:top w:w="50" w:type="dxa"/>
              <w:left w:w="80" w:type="dxa"/>
              <w:bottom w:w="50" w:type="dxa"/>
              <w:right w:w="80" w:type="dxa"/>
            </w:tcMar>
          </w:tcPr>
          <w:p w14:paraId="6B1824F7" w14:textId="77777777" w:rsidR="0027270B" w:rsidRDefault="00000000">
            <w:pPr>
              <w:spacing w:after="0" w:line="260" w:lineRule="auto"/>
            </w:pPr>
            <w:r>
              <w:rPr>
                <w:sz w:val="20"/>
              </w:rPr>
              <w:t>Place and date of drawing up</w:t>
            </w:r>
          </w:p>
        </w:tc>
        <w:tc>
          <w:tcPr>
            <w:tcW w:w="6560" w:type="dxa"/>
            <w:tcMar>
              <w:top w:w="50" w:type="dxa"/>
              <w:left w:w="80" w:type="dxa"/>
              <w:bottom w:w="50" w:type="dxa"/>
              <w:right w:w="80" w:type="dxa"/>
            </w:tcMar>
          </w:tcPr>
          <w:p w14:paraId="184F0128" w14:textId="77777777" w:rsidR="0027270B" w:rsidRDefault="00000000">
            <w:pPr>
              <w:spacing w:after="0" w:line="260" w:lineRule="auto"/>
            </w:pPr>
            <w:r>
              <w:rPr>
                <w:sz w:val="20"/>
              </w:rPr>
              <w:t>Muscat, Sultanate of Oman, August 2026</w:t>
            </w:r>
          </w:p>
        </w:tc>
      </w:tr>
      <w:tr w:rsidR="0027270B" w14:paraId="4D3491D9" w14:textId="77777777">
        <w:tblPrEx>
          <w:tblCellMar>
            <w:top w:w="0" w:type="dxa"/>
            <w:bottom w:w="0" w:type="dxa"/>
          </w:tblCellMar>
        </w:tblPrEx>
        <w:tc>
          <w:tcPr>
            <w:tcW w:w="2800" w:type="dxa"/>
            <w:tcMar>
              <w:top w:w="50" w:type="dxa"/>
              <w:left w:w="80" w:type="dxa"/>
              <w:bottom w:w="50" w:type="dxa"/>
              <w:right w:w="80" w:type="dxa"/>
            </w:tcMar>
          </w:tcPr>
          <w:p w14:paraId="634FEBA2" w14:textId="77777777" w:rsidR="0027270B" w:rsidRDefault="00000000">
            <w:pPr>
              <w:spacing w:after="0" w:line="260" w:lineRule="auto"/>
            </w:pPr>
            <w:r>
              <w:rPr>
                <w:sz w:val="20"/>
              </w:rPr>
              <w:t>Coastal Principals</w:t>
            </w:r>
          </w:p>
        </w:tc>
        <w:tc>
          <w:tcPr>
            <w:tcW w:w="6560" w:type="dxa"/>
            <w:tcMar>
              <w:top w:w="50" w:type="dxa"/>
              <w:left w:w="80" w:type="dxa"/>
              <w:bottom w:w="50" w:type="dxa"/>
              <w:right w:w="80" w:type="dxa"/>
            </w:tcMar>
          </w:tcPr>
          <w:p w14:paraId="0C0F9785" w14:textId="77777777" w:rsidR="0027270B" w:rsidRDefault="00000000">
            <w:pPr>
              <w:spacing w:after="0" w:line="260" w:lineRule="auto"/>
            </w:pPr>
            <w:r>
              <w:rPr>
                <w:sz w:val="20"/>
              </w:rPr>
              <w:t>The Islamic Republic of Iran and the Sultanate of Oman</w:t>
            </w:r>
          </w:p>
        </w:tc>
      </w:tr>
      <w:tr w:rsidR="0027270B" w14:paraId="57C74CB1" w14:textId="77777777">
        <w:tblPrEx>
          <w:tblCellMar>
            <w:top w:w="0" w:type="dxa"/>
            <w:bottom w:w="0" w:type="dxa"/>
          </w:tblCellMar>
        </w:tblPrEx>
        <w:tc>
          <w:tcPr>
            <w:tcW w:w="2800" w:type="dxa"/>
            <w:tcMar>
              <w:top w:w="50" w:type="dxa"/>
              <w:left w:w="80" w:type="dxa"/>
              <w:bottom w:w="50" w:type="dxa"/>
              <w:right w:w="80" w:type="dxa"/>
            </w:tcMar>
          </w:tcPr>
          <w:p w14:paraId="74CC0513" w14:textId="77777777" w:rsidR="0027270B" w:rsidRDefault="00000000">
            <w:pPr>
              <w:spacing w:after="0" w:line="260" w:lineRule="auto"/>
            </w:pPr>
            <w:r>
              <w:rPr>
                <w:sz w:val="20"/>
              </w:rPr>
              <w:t>Mediator of Record</w:t>
            </w:r>
          </w:p>
        </w:tc>
        <w:tc>
          <w:tcPr>
            <w:tcW w:w="6560" w:type="dxa"/>
            <w:tcMar>
              <w:top w:w="50" w:type="dxa"/>
              <w:left w:w="80" w:type="dxa"/>
              <w:bottom w:w="50" w:type="dxa"/>
              <w:right w:w="80" w:type="dxa"/>
            </w:tcMar>
          </w:tcPr>
          <w:p w14:paraId="51EBA289" w14:textId="77777777" w:rsidR="0027270B" w:rsidRDefault="00000000">
            <w:pPr>
              <w:spacing w:after="0" w:line="260" w:lineRule="auto"/>
            </w:pPr>
            <w:r>
              <w:rPr>
                <w:sz w:val="20"/>
              </w:rPr>
              <w:t>The Sultanate of Oman</w:t>
            </w:r>
          </w:p>
        </w:tc>
      </w:tr>
      <w:tr w:rsidR="0027270B" w14:paraId="152EB3E1" w14:textId="77777777">
        <w:tblPrEx>
          <w:tblCellMar>
            <w:top w:w="0" w:type="dxa"/>
            <w:bottom w:w="0" w:type="dxa"/>
          </w:tblCellMar>
        </w:tblPrEx>
        <w:tc>
          <w:tcPr>
            <w:tcW w:w="2800" w:type="dxa"/>
            <w:tcMar>
              <w:top w:w="50" w:type="dxa"/>
              <w:left w:w="80" w:type="dxa"/>
              <w:bottom w:w="50" w:type="dxa"/>
              <w:right w:w="80" w:type="dxa"/>
            </w:tcMar>
          </w:tcPr>
          <w:p w14:paraId="13D603DC" w14:textId="77777777" w:rsidR="0027270B" w:rsidRDefault="00000000">
            <w:pPr>
              <w:spacing w:after="0" w:line="260" w:lineRule="auto"/>
            </w:pPr>
            <w:r>
              <w:rPr>
                <w:sz w:val="20"/>
              </w:rPr>
              <w:t>Depositary</w:t>
            </w:r>
          </w:p>
        </w:tc>
        <w:tc>
          <w:tcPr>
            <w:tcW w:w="6560" w:type="dxa"/>
            <w:tcMar>
              <w:top w:w="50" w:type="dxa"/>
              <w:left w:w="80" w:type="dxa"/>
              <w:bottom w:w="50" w:type="dxa"/>
              <w:right w:w="80" w:type="dxa"/>
            </w:tcMar>
          </w:tcPr>
          <w:p w14:paraId="145ED56F" w14:textId="77777777" w:rsidR="0027270B" w:rsidRDefault="00000000">
            <w:pPr>
              <w:spacing w:after="0" w:line="260" w:lineRule="auto"/>
            </w:pPr>
            <w:r>
              <w:rPr>
                <w:sz w:val="20"/>
              </w:rPr>
              <w:t>The Sultanate of Oman, seated in Muscat</w:t>
            </w:r>
          </w:p>
        </w:tc>
      </w:tr>
      <w:tr w:rsidR="0027270B" w14:paraId="053DBDB3" w14:textId="77777777">
        <w:tblPrEx>
          <w:tblCellMar>
            <w:top w:w="0" w:type="dxa"/>
            <w:bottom w:w="0" w:type="dxa"/>
          </w:tblCellMar>
        </w:tblPrEx>
        <w:tc>
          <w:tcPr>
            <w:tcW w:w="2800" w:type="dxa"/>
            <w:tcMar>
              <w:top w:w="50" w:type="dxa"/>
              <w:left w:w="80" w:type="dxa"/>
              <w:bottom w:w="50" w:type="dxa"/>
              <w:right w:w="80" w:type="dxa"/>
            </w:tcMar>
          </w:tcPr>
          <w:p w14:paraId="3BB78D30" w14:textId="77777777" w:rsidR="0027270B" w:rsidRDefault="00000000">
            <w:pPr>
              <w:spacing w:after="0" w:line="260" w:lineRule="auto"/>
            </w:pPr>
            <w:r>
              <w:rPr>
                <w:sz w:val="20"/>
              </w:rPr>
              <w:t>Authentic languages</w:t>
            </w:r>
          </w:p>
        </w:tc>
        <w:tc>
          <w:tcPr>
            <w:tcW w:w="6560" w:type="dxa"/>
            <w:tcMar>
              <w:top w:w="50" w:type="dxa"/>
              <w:left w:w="80" w:type="dxa"/>
              <w:bottom w:w="50" w:type="dxa"/>
              <w:right w:w="80" w:type="dxa"/>
            </w:tcMar>
          </w:tcPr>
          <w:p w14:paraId="0BB04B19" w14:textId="77777777" w:rsidR="0027270B" w:rsidRDefault="00000000">
            <w:pPr>
              <w:spacing w:after="0" w:line="260" w:lineRule="auto"/>
            </w:pPr>
            <w:r>
              <w:rPr>
                <w:sz w:val="20"/>
              </w:rPr>
              <w:t>Arabic, English, and Persian, each equally authentic</w:t>
            </w:r>
          </w:p>
        </w:tc>
      </w:tr>
      <w:tr w:rsidR="0027270B" w14:paraId="46412C3E" w14:textId="77777777">
        <w:tblPrEx>
          <w:tblCellMar>
            <w:top w:w="0" w:type="dxa"/>
            <w:bottom w:w="0" w:type="dxa"/>
          </w:tblCellMar>
        </w:tblPrEx>
        <w:tc>
          <w:tcPr>
            <w:tcW w:w="2800" w:type="dxa"/>
            <w:tcMar>
              <w:top w:w="50" w:type="dxa"/>
              <w:left w:w="80" w:type="dxa"/>
              <w:bottom w:w="50" w:type="dxa"/>
              <w:right w:w="80" w:type="dxa"/>
            </w:tcMar>
          </w:tcPr>
          <w:p w14:paraId="2CA337AC" w14:textId="77777777" w:rsidR="0027270B" w:rsidRDefault="00000000">
            <w:pPr>
              <w:spacing w:after="0" w:line="260" w:lineRule="auto"/>
            </w:pPr>
            <w:r>
              <w:rPr>
                <w:sz w:val="20"/>
              </w:rPr>
              <w:t>Registry</w:t>
            </w:r>
          </w:p>
        </w:tc>
        <w:tc>
          <w:tcPr>
            <w:tcW w:w="6560" w:type="dxa"/>
            <w:tcMar>
              <w:top w:w="50" w:type="dxa"/>
              <w:left w:w="80" w:type="dxa"/>
              <w:bottom w:w="50" w:type="dxa"/>
              <w:right w:w="80" w:type="dxa"/>
            </w:tcMar>
          </w:tcPr>
          <w:p w14:paraId="0C9B8B71" w14:textId="77777777" w:rsidR="0027270B" w:rsidRDefault="00000000">
            <w:pPr>
              <w:spacing w:after="0" w:line="260" w:lineRule="auto"/>
            </w:pPr>
            <w:r>
              <w:rPr>
                <w:sz w:val="20"/>
              </w:rPr>
              <w:t>The Registry of Mirrored Consent, held by the Depositary (Annex T)</w:t>
            </w:r>
          </w:p>
        </w:tc>
      </w:tr>
      <w:tr w:rsidR="0027270B" w14:paraId="658A283B" w14:textId="77777777">
        <w:tblPrEx>
          <w:tblCellMar>
            <w:top w:w="0" w:type="dxa"/>
            <w:bottom w:w="0" w:type="dxa"/>
          </w:tblCellMar>
        </w:tblPrEx>
        <w:tc>
          <w:tcPr>
            <w:tcW w:w="2800" w:type="dxa"/>
            <w:tcMar>
              <w:top w:w="50" w:type="dxa"/>
              <w:left w:w="80" w:type="dxa"/>
              <w:bottom w:w="50" w:type="dxa"/>
              <w:right w:w="80" w:type="dxa"/>
            </w:tcMar>
          </w:tcPr>
          <w:p w14:paraId="4D4B1739" w14:textId="77777777" w:rsidR="0027270B" w:rsidRDefault="00000000">
            <w:pPr>
              <w:spacing w:after="0" w:line="260" w:lineRule="auto"/>
            </w:pPr>
            <w:r>
              <w:rPr>
                <w:sz w:val="20"/>
              </w:rPr>
              <w:t>Entry into force</w:t>
            </w:r>
          </w:p>
        </w:tc>
        <w:tc>
          <w:tcPr>
            <w:tcW w:w="6560" w:type="dxa"/>
            <w:tcMar>
              <w:top w:w="50" w:type="dxa"/>
              <w:left w:w="80" w:type="dxa"/>
              <w:bottom w:w="50" w:type="dxa"/>
              <w:right w:w="80" w:type="dxa"/>
            </w:tcMar>
          </w:tcPr>
          <w:p w14:paraId="54C6B13C" w14:textId="77777777" w:rsidR="0027270B" w:rsidRDefault="00000000">
            <w:pPr>
              <w:spacing w:after="0" w:line="260" w:lineRule="auto"/>
            </w:pPr>
            <w:r>
              <w:rPr>
                <w:sz w:val="20"/>
              </w:rPr>
              <w:t>Upon deposit of the second Mirrored Instrument (Article 71)</w:t>
            </w:r>
          </w:p>
        </w:tc>
      </w:tr>
    </w:tbl>
    <w:p w14:paraId="00364CAF" w14:textId="77777777" w:rsidR="0027270B" w:rsidRDefault="0027270B"/>
    <w:p w14:paraId="3E28829B" w14:textId="77777777" w:rsidR="0027270B" w:rsidRDefault="00000000">
      <w:pPr>
        <w:pStyle w:val="Heading2"/>
      </w:pPr>
      <w:bookmarkStart w:id="1" w:name="_Toc237648450"/>
      <w:r>
        <w:t>Drafting Discipline Note</w:t>
      </w:r>
      <w:bookmarkEnd w:id="1"/>
    </w:p>
    <w:p w14:paraId="33275485" w14:textId="77777777" w:rsidR="0027270B" w:rsidRDefault="00000000">
      <w:r>
        <w:t>The drafters write this Accord in the active present tense. Every sentence names a subject that performs a direct action. Obligations appear as operational facts of the framework, not as commands directed at any sovereign. Prohibitions attach to the architecture of the Accord itself, so that no Participant reads its own conduct as a unilateral concession. Consequences activate automatically in real time, as features of the system, never as threats. This discipline preserves equal dignity among all Participants and removes hierarchical language from every clause.</w:t>
      </w:r>
    </w:p>
    <w:p w14:paraId="06E23CE0" w14:textId="77777777" w:rsidR="0027270B" w:rsidRDefault="00000000">
      <w:r>
        <w:t>Every instruction in this Accord passes the Five-Step Limit of Article 4: no operational procedure exceeds five steps, and every step names an owner, a trigger, and a deadline measured in hours or days. Where this Accord states a deadline, the deadline runs from the trigger event itself, not from any external authorization.</w:t>
      </w:r>
    </w:p>
    <w:p w14:paraId="30460696" w14:textId="77777777" w:rsidR="0027270B" w:rsidRDefault="00000000">
      <w:pPr>
        <w:pStyle w:val="Heading2"/>
      </w:pPr>
      <w:bookmarkStart w:id="2" w:name="_Toc237648451"/>
      <w:r>
        <w:t>How to Read This Accord</w:t>
      </w:r>
      <w:bookmarkEnd w:id="2"/>
    </w:p>
    <w:p w14:paraId="09777E97" w14:textId="77777777" w:rsidR="0027270B" w:rsidRDefault="00000000">
      <w:r>
        <w:t>The main text contains thirteen Parts and seventy-one Articles. The main text states the architecture: what exists, who performs which function, and what activates what. Twenty-one Annexes carry the operative detail: coordinates, schedules, rate cards, forms, checklists, and protocols. The main text stays stable; the Annexes absorb technical adjustment without reopening the Accord. Article 70 governs Annex updating.</w:t>
      </w:r>
    </w:p>
    <w:p w14:paraId="48400F04" w14:textId="77777777" w:rsidR="0027270B" w:rsidRDefault="00000000">
      <w:r>
        <w:t>A reader seeking the opening sequence reads Article 15 and Annex C. A reader seeking the fee system reads Articles 37 to 42 and Annexes E, F, and O. A reader seeking verification reads Articles 47 to 53 and Annex J. A reader seeking the red lines reads Article 7 and Annex M. The Accord rewards linear reading, but every Part stands alone.</w:t>
      </w:r>
    </w:p>
    <w:p w14:paraId="5C8CF414" w14:textId="77777777" w:rsidR="0027270B" w:rsidRDefault="00000000">
      <w:pPr>
        <w:pStyle w:val="Heading1"/>
      </w:pPr>
      <w:bookmarkStart w:id="3" w:name="_Toc237648452"/>
      <w:r>
        <w:lastRenderedPageBreak/>
        <w:t>Preamble: The Moment of August 2026</w:t>
      </w:r>
      <w:bookmarkEnd w:id="3"/>
    </w:p>
    <w:p w14:paraId="267C8520" w14:textId="77777777" w:rsidR="0027270B" w:rsidRDefault="00000000">
      <w:r>
        <w:t>The Parties to this Accord draw it up at a moment of extraordinary strain and extraordinary opportunity. Since 28 February 2026, armed conflict between the United States, Israel, and Iran has disrupted the Strait of Hormuz, the narrow waterway through which roughly one fifth of the world's traded oil and liquefied natural gas once flowed. Traffic has fallen from roughly one hundred thirty transits per day before the conflict to single digits. More than twenty thousand seafarers have waited at anchor or in limbo. More than two thousand commercial vessels have faced risk, delay, or denial. Insurance premiums have multiplied. Fuel prices, food prices, and freight costs have risen on every continent, pressing hardest on populations least able to absorb them.</w:t>
      </w:r>
    </w:p>
    <w:p w14:paraId="120BD8A5" w14:textId="77777777" w:rsidR="0027270B" w:rsidRDefault="00000000">
      <w:r>
        <w:t>The Parties recognize that the crisis of 2026 proves a structural truth: the Strait of Hormuz operates as a single point of failure for the world economy precisely because its governance has remained informal, bilateral in practice, and exposed to every political storm. The 1968 traffic separation scheme, adopted through the International Maritime Organization with the agreement of the region, created the ship routing system that split sailing corridors between Iranian and Omani waters. That scheme answered the needs of its century. This Accord answers the needs of the present one.</w:t>
      </w:r>
    </w:p>
    <w:p w14:paraId="6B82F85F" w14:textId="77777777" w:rsidR="0027270B" w:rsidRDefault="00000000">
      <w:r>
        <w:t>The Parties take note of the diplomatic situation as it stands in August 2026. Iran and Oman have agreed on a shipping route map for the strait and stand in the final stage of drafting a joint statement. An interim sixty-day arrangement under discussion among the United States, Iran, and Oman contemplates inbound traffic through a northern lane in Iranian waters, outbound traffic through a southern lane in Omani waters in coordination with Iran, no tolls during the interim period, and clearance of naval mines from the median lane within thirty days. Iran conditions reopening on the lifting of the United States naval blockade of Iranian ports, on compensation for damage, and on an end to threats. The United States conditions the lifting of the blockade on the restoration of commercial shipping without impediments, and rejects both unilateral control of the strait and any toll on passage. The Gulf Cooperation Council states demand freedom of navigation, transparency, and observer participation. This Accord accepts every one of these positions as a design input, and reconciles them through architecture rather than through concession.</w:t>
      </w:r>
    </w:p>
    <w:p w14:paraId="1A7F4AD3" w14:textId="77777777" w:rsidR="0027270B" w:rsidRDefault="00000000">
      <w:r>
        <w:t>The Parties therefore establish a cooperative, verified, and durable governance framework: one that opens the Strait within seventy-two hours of entry into force, keeps it open through graduated layers of institutional growth, charges no toll on passage under any name, reimburses genuine services at audited cost, verifies compliance through balanced human and technical means, quarantines the nuclear question in a separate track, and preserves the dignity, security, and lawful interests of every Participant.</w:t>
      </w:r>
    </w:p>
    <w:p w14:paraId="2066534D" w14:textId="77777777" w:rsidR="0027270B" w:rsidRDefault="00000000">
      <w:r>
        <w:t>The Accord embodies one conviction above all: the Strait of Hormuz prospers when it is boring. Predictability is the product. Boredom is the success metric. The Parties build this framework so that the Strait returns to the quiet condition of critical infrastructure that works, and stays out of the headlines.</w:t>
      </w:r>
    </w:p>
    <w:p w14:paraId="109671DD" w14:textId="77777777" w:rsidR="0027270B" w:rsidRDefault="00000000">
      <w:pPr>
        <w:pStyle w:val="Heading1"/>
      </w:pPr>
      <w:bookmarkStart w:id="4" w:name="_Toc237648453"/>
      <w:r>
        <w:lastRenderedPageBreak/>
        <w:t>The Blue Passage Declaration of Operating Principles</w:t>
      </w:r>
      <w:bookmarkEnd w:id="4"/>
    </w:p>
    <w:p w14:paraId="769AEA4C" w14:textId="77777777" w:rsidR="0027270B" w:rsidRDefault="00000000">
      <w:r>
        <w:t>The Parties proclaim the following principles as the unshakeable lines of this Accord. Every Article, Annex, procedure, and decision under this Accord conforms to these principles, and the Perimeter Test of Article 7 enforces them.</w:t>
      </w:r>
    </w:p>
    <w:tbl>
      <w:tblPr>
        <w:tblW w:w="5000" w:type="pct"/>
        <w:tblInd w:w="10" w:type="dxa"/>
        <w:tblBorders>
          <w:top w:val="single" w:sz="8" w:space="0" w:color="3E6B8F"/>
          <w:left w:val="single" w:sz="8" w:space="0" w:color="3E6B8F"/>
          <w:bottom w:val="single" w:sz="8" w:space="0" w:color="3E6B8F"/>
          <w:right w:val="single" w:sz="8" w:space="0" w:color="3E6B8F"/>
          <w:insideH w:val="nil"/>
          <w:insideV w:val="nil"/>
        </w:tblBorders>
        <w:tblCellMar>
          <w:left w:w="10" w:type="dxa"/>
          <w:right w:w="10" w:type="dxa"/>
        </w:tblCellMar>
        <w:tblLook w:val="04A0" w:firstRow="1" w:lastRow="0" w:firstColumn="1" w:lastColumn="0" w:noHBand="0" w:noVBand="1"/>
      </w:tblPr>
      <w:tblGrid>
        <w:gridCol w:w="9046"/>
      </w:tblGrid>
      <w:tr w:rsidR="0027270B" w14:paraId="46934FDB" w14:textId="77777777">
        <w:tblPrEx>
          <w:tblCellMar>
            <w:top w:w="0" w:type="dxa"/>
            <w:bottom w:w="0" w:type="dxa"/>
          </w:tblCellMar>
        </w:tblPrEx>
        <w:tc>
          <w:tcPr>
            <w:tcW w:w="9360" w:type="dxa"/>
            <w:shd w:val="clear" w:color="auto" w:fill="F2F6F9"/>
          </w:tcPr>
          <w:p w14:paraId="301B5C99" w14:textId="77777777" w:rsidR="0027270B" w:rsidRDefault="00000000">
            <w:pPr>
              <w:spacing w:before="120" w:after="80"/>
            </w:pPr>
            <w:r>
              <w:rPr>
                <w:b/>
                <w:color w:val="1B3A5C"/>
                <w:sz w:val="23"/>
              </w:rPr>
              <w:t>The Ten Blue Principles</w:t>
            </w:r>
          </w:p>
          <w:p w14:paraId="24BC1E25" w14:textId="77777777" w:rsidR="0027270B" w:rsidRDefault="00000000">
            <w:pPr>
              <w:spacing w:after="80"/>
            </w:pPr>
            <w:r>
              <w:t>1. The Strait stays open, always. No circumstance, dispute, or crisis suspends commercial transit.</w:t>
            </w:r>
          </w:p>
          <w:p w14:paraId="5FDD2CA2" w14:textId="77777777" w:rsidR="0027270B" w:rsidRDefault="00000000">
            <w:pPr>
              <w:spacing w:after="80"/>
            </w:pPr>
            <w:r>
              <w:t>2. Passage is free. The Zero-Toll Rule prohibits every charge that functions as a price of passage, under every name.</w:t>
            </w:r>
          </w:p>
          <w:p w14:paraId="43062FB9" w14:textId="77777777" w:rsidR="0027270B" w:rsidRDefault="00000000">
            <w:pPr>
              <w:spacing w:after="80"/>
            </w:pPr>
            <w:r>
              <w:t>3. Governance is shared. No single state controls the Strait. The Twin Key Rule pairs authority for every consequential action.</w:t>
            </w:r>
          </w:p>
          <w:p w14:paraId="5F61A31F" w14:textId="77777777" w:rsidR="0027270B" w:rsidRDefault="00000000">
            <w:pPr>
              <w:spacing w:after="80"/>
            </w:pPr>
            <w:r>
              <w:t>4. Notification replaces permission. Vessels file and proceed. Silence constitutes acknowledgment.</w:t>
            </w:r>
          </w:p>
          <w:p w14:paraId="3FBBD113" w14:textId="77777777" w:rsidR="0027270B" w:rsidRDefault="00000000">
            <w:pPr>
              <w:spacing w:after="80"/>
            </w:pPr>
            <w:r>
              <w:t>5. Verification is balanced, multinational, and human-anchored. Both sides invest, both sides verify, both sides recover.</w:t>
            </w:r>
          </w:p>
          <w:p w14:paraId="2350A690" w14:textId="77777777" w:rsidR="0027270B" w:rsidRDefault="00000000">
            <w:pPr>
              <w:spacing w:after="80"/>
            </w:pPr>
            <w:r>
              <w:t>6. The nuclear question lives outside this Accord. The Nuclear Firewall quarantines it in its own track.</w:t>
            </w:r>
          </w:p>
          <w:p w14:paraId="6812A1ED" w14:textId="77777777" w:rsidR="0027270B" w:rsidRDefault="00000000">
            <w:pPr>
              <w:spacing w:after="80"/>
            </w:pPr>
            <w:r>
              <w:t>7. Humanitarian cargo and seafarer welfare move first, under every condition, without exception.</w:t>
            </w:r>
          </w:p>
          <w:p w14:paraId="2DDAE31B" w14:textId="77777777" w:rsidR="0027270B" w:rsidRDefault="00000000">
            <w:pPr>
              <w:spacing w:after="80"/>
            </w:pPr>
            <w:r>
              <w:t>8. Synchronization beats sequencing disputes. Maritime steps and relief steps execute as single indivisible events.</w:t>
            </w:r>
          </w:p>
          <w:p w14:paraId="41474CC3" w14:textId="77777777" w:rsidR="0027270B" w:rsidRDefault="00000000">
            <w:pPr>
              <w:spacing w:after="80"/>
            </w:pPr>
            <w:r>
              <w:t>9. The framework breathes. It absorbs breaches through proportionate, reversible step-backs, never through collapse.</w:t>
            </w:r>
          </w:p>
          <w:p w14:paraId="6758B964" w14:textId="77777777" w:rsidR="0027270B" w:rsidRDefault="00000000">
            <w:pPr>
              <w:spacing w:after="80"/>
            </w:pPr>
            <w:r>
              <w:t>10. No sunset, no fade, no silent expiry. The Accord continues indefinitely and ends only by deliberate replacement or withdrawal.</w:t>
            </w:r>
          </w:p>
          <w:p w14:paraId="51CD2863" w14:textId="77777777" w:rsidR="0027270B" w:rsidRDefault="0027270B">
            <w:pPr>
              <w:spacing w:after="120"/>
            </w:pPr>
          </w:p>
        </w:tc>
      </w:tr>
    </w:tbl>
    <w:p w14:paraId="1C6B61FF" w14:textId="77777777" w:rsidR="0027270B" w:rsidRDefault="0027270B"/>
    <w:p w14:paraId="5E9B3A84" w14:textId="77777777" w:rsidR="0027270B" w:rsidRDefault="00000000">
      <w:pPr>
        <w:pStyle w:val="Heading1"/>
      </w:pPr>
      <w:bookmarkStart w:id="5" w:name="_Toc237648454"/>
      <w:r>
        <w:lastRenderedPageBreak/>
        <w:t>PART I: FOUNDATIONS</w:t>
      </w:r>
      <w:bookmarkEnd w:id="5"/>
    </w:p>
    <w:p w14:paraId="0420D3B7" w14:textId="77777777" w:rsidR="0027270B" w:rsidRDefault="00000000">
      <w:pPr>
        <w:pStyle w:val="Heading2"/>
      </w:pPr>
      <w:bookmarkStart w:id="6" w:name="_Toc237648455"/>
      <w:r>
        <w:t>Article 1: Purpose and Scope</w:t>
      </w:r>
      <w:bookmarkEnd w:id="6"/>
    </w:p>
    <w:p w14:paraId="7A66CD52" w14:textId="77777777" w:rsidR="0027270B" w:rsidRDefault="00000000">
      <w:r>
        <w:t>1.1 The Parties establish the Blue Passage framework to govern safe, open, transparent, and internationally compliant navigation through the Strait of Hormuz on a durable basis. The framework governs the Governance Area defined in Article 8, comprising the Northern Inbound Corridor, the Southern Outbound Corridor, and the Central Blue Buffer, together with designated Emergency Diversion Channels and Safe Anchorages.</w:t>
      </w:r>
    </w:p>
    <w:p w14:paraId="54DFCBAF" w14:textId="77777777" w:rsidR="0027270B" w:rsidRDefault="00000000">
      <w:r>
        <w:t>1.2 The framework performs the following functions: corridor traffic coordination, navigational safety, environmental monitoring and protection, search and rescue readiness, hazard and mine-risk response coordination, incident reporting, service administration and reimbursement, verification, compliance management, and dispute resolution.</w:t>
      </w:r>
    </w:p>
    <w:p w14:paraId="2895CD05" w14:textId="77777777" w:rsidR="0027270B" w:rsidRDefault="00000000">
      <w:r>
        <w:t>1.3 The framework excludes the following matters from its scope: the nuclear programs of any state, the military alliances of any state, the sanctions regimes of any state except as Article 39 requires for payment continuity, the territorial and maritime boundary claims of any state, and the internal political arrangements of any state.</w:t>
      </w:r>
    </w:p>
    <w:p w14:paraId="15E7077E" w14:textId="77777777" w:rsidR="0027270B" w:rsidRDefault="00000000">
      <w:r>
        <w:t>1.4 This Accord operates within international law, including the customary regime of transit passage through straits used for international navigation reflected in the United Nations Convention on the Law of the Sea. Nothing in this Accord suspends, conditions, or diminishes transit passage. The Accord organizes cooperation around transit passage; it never taxes it, licenses it, or gates it.</w:t>
      </w:r>
    </w:p>
    <w:p w14:paraId="5B173BF9" w14:textId="77777777" w:rsidR="0027270B" w:rsidRDefault="00000000">
      <w:pPr>
        <w:pStyle w:val="Heading2"/>
      </w:pPr>
      <w:bookmarkStart w:id="7" w:name="_Toc237648456"/>
      <w:r>
        <w:t>Article 2: Definitions and Interpretation</w:t>
      </w:r>
      <w:bookmarkEnd w:id="7"/>
    </w:p>
    <w:p w14:paraId="25649913" w14:textId="77777777" w:rsidR="0027270B" w:rsidRDefault="00000000">
      <w:r>
        <w:t>2.1 Annex U states the full glossary of this Accord. Core terms carry the following meanings throughout: Governance Area means the waters described in Article 8. Corridor means one of the three lanes defined in Article 9. Filing means the transit notification described in Article 12. Service means an item on the closed Blue Services Catalog in Annex E. Toll means any charge that functions as a price of passage, as the Substance Test of Article 41 determines. Blue Flag means the corridor certification tier described in Article 43. Mirrored Instrument means one of the parallel execution texts described in Article 59.</w:t>
      </w:r>
    </w:p>
    <w:p w14:paraId="1F512AAC" w14:textId="77777777" w:rsidR="0027270B" w:rsidRDefault="00000000">
      <w:r>
        <w:t>2.2 Interpretation follows four rules. First, the Ten Blue Principles control every interpretation. Second, the Red Lines Register controls every interpretation; an interpretation that crosses a registered line has no effect. Third, the Accord reads as a single indivisible text; no Party severs one obligation from another to escape performance. Fourth, ambiguities resolve in favor of openness, predictability, and the free movement of commercial traffic.</w:t>
      </w:r>
    </w:p>
    <w:p w14:paraId="07DEC7E1" w14:textId="77777777" w:rsidR="0027270B" w:rsidRDefault="00000000">
      <w:r>
        <w:t>2.3 Headings serve navigation only. The Annexes form an integral part of this Accord. References to days mean calendar days; references to hours mean elapsed hours from the named trigger, measured against Muscat time.</w:t>
      </w:r>
    </w:p>
    <w:p w14:paraId="08A6A97B" w14:textId="77777777" w:rsidR="0027270B" w:rsidRDefault="00000000">
      <w:pPr>
        <w:pStyle w:val="Heading2"/>
      </w:pPr>
      <w:bookmarkStart w:id="8" w:name="_Toc237648457"/>
      <w:r>
        <w:lastRenderedPageBreak/>
        <w:t>Article 3: The Operating Principles</w:t>
      </w:r>
      <w:bookmarkEnd w:id="8"/>
    </w:p>
    <w:p w14:paraId="7CC083A2" w14:textId="77777777" w:rsidR="0027270B" w:rsidRDefault="00000000">
      <w:r>
        <w:t>3.1 Cooperation, not cession. Governance under this Accord constitutes a cooperative function of the coastal states acting together with the international maritime community. Nothing in this Accord cedes, transfers, or pools sovereignty.</w:t>
      </w:r>
    </w:p>
    <w:p w14:paraId="0086E7A6" w14:textId="77777777" w:rsidR="0027270B" w:rsidRDefault="00000000">
      <w:r>
        <w:t>3.2 Shared authority. Every consequential action inside the Governance Area operates under the Twin Key Rule of Article 19: paired concurrence between Iran and Oman, with observer visibility for the Gulf Cooperation Council states and the Endorsing Stakeholders.</w:t>
      </w:r>
    </w:p>
    <w:p w14:paraId="52718047" w14:textId="77777777" w:rsidR="0027270B" w:rsidRDefault="00000000">
      <w:r>
        <w:t>3.3 Openness by default. Every corridor defaults to open. Closure, restriction, or conditioning of transit exists nowhere in this framework. The architecture contains no mechanism through which any Participant suspends commercial transit, and the Perimeter Test strikes any measure that attempts one.</w:t>
      </w:r>
    </w:p>
    <w:p w14:paraId="67530DBE" w14:textId="77777777" w:rsidR="0027270B" w:rsidRDefault="00000000">
      <w:r>
        <w:t>3.4 Simplicity and cost-effectiveness. The framework prefers existing institutions, existing data feeds, and existing legal instruments over new construction. It staffs leanly, automates reporting, and caps its own budget under Annex O.</w:t>
      </w:r>
    </w:p>
    <w:p w14:paraId="7843112E" w14:textId="77777777" w:rsidR="0027270B" w:rsidRDefault="00000000">
      <w:r>
        <w:t>3.5 Synchronization. The framework pairs every maritime milestone with its counterpart relief step so that both execute as one event. No Participant waits on another's good faith; the schedule moves both sides together.</w:t>
      </w:r>
    </w:p>
    <w:p w14:paraId="3FF705C6" w14:textId="77777777" w:rsidR="0027270B" w:rsidRDefault="00000000">
      <w:r>
        <w:t>3.6 Reversibility. Every pilot, every procedure, and every annex adjustment remains reviewable and reversible, so that no Participant ever stands trapped by an experiment that fails.</w:t>
      </w:r>
    </w:p>
    <w:p w14:paraId="02A564B6" w14:textId="77777777" w:rsidR="0027270B" w:rsidRDefault="00000000">
      <w:pPr>
        <w:pStyle w:val="Heading2"/>
      </w:pPr>
      <w:bookmarkStart w:id="9" w:name="_Toc237648458"/>
      <w:r>
        <w:t>Article 4: The Simplicity Rule and the Five-Step Limit</w:t>
      </w:r>
      <w:bookmarkEnd w:id="9"/>
    </w:p>
    <w:p w14:paraId="1E153D30" w14:textId="77777777" w:rsidR="0027270B" w:rsidRDefault="00000000">
      <w:r>
        <w:t>4.1 Every operational procedure under this Accord fits within five steps. Each step names an owner, a trigger, and a deadline. A procedure that exceeds five steps returns to the Secretariat for redesign before activation.</w:t>
      </w:r>
    </w:p>
    <w:p w14:paraId="2FD90E37" w14:textId="77777777" w:rsidR="0027270B" w:rsidRDefault="00000000">
      <w:r>
        <w:t>4.2 Every form under this Accord fits on one page. Annex N contains the complete set of standard forms, and Article 12's Filing carries no more than twelve fields.</w:t>
      </w:r>
    </w:p>
    <w:p w14:paraId="3503322B" w14:textId="77777777" w:rsidR="0027270B" w:rsidRDefault="00000000">
      <w:r>
        <w:t>4.3 Every instruction under this Accord uses plain language that a ship's master, a port operator, or an insurer reads once and understands. The Secretariat publishes the Accord and its Annexes in Arabic, English, and Persian, with informal translations into the working languages of the principal shipping nations.</w:t>
      </w:r>
    </w:p>
    <w:p w14:paraId="56A85B75" w14:textId="77777777" w:rsidR="0027270B" w:rsidRDefault="00000000">
      <w:r>
        <w:t>4.4 Cost discipline binds every organ of this Accord. Each organ operates inside the budget ceilings of Annex O, and the annual audit of Article 42 publishes every expenditure.</w:t>
      </w:r>
    </w:p>
    <w:p w14:paraId="13C98E6B" w14:textId="77777777" w:rsidR="0027270B" w:rsidRDefault="00000000">
      <w:pPr>
        <w:pStyle w:val="Heading2"/>
      </w:pPr>
      <w:bookmarkStart w:id="10" w:name="_Toc237648459"/>
      <w:r>
        <w:t>Article 5: Non-Prejudice and the Sovereignty Shield</w:t>
      </w:r>
      <w:bookmarkEnd w:id="10"/>
    </w:p>
    <w:p w14:paraId="36695C77" w14:textId="77777777" w:rsidR="0027270B" w:rsidRDefault="00000000">
      <w:r>
        <w:t>5.1 Nothing in this Accord, and no act performed under it, prejudices the position of any state regarding sovereignty, sovereign rights, jurisdiction, territorial or maritime boundaries, or the status of any island, rock, or water body. Corridor coordinates serve navigation exclusively. They draw no boundaries and imply no recognition.</w:t>
      </w:r>
    </w:p>
    <w:p w14:paraId="030D008D" w14:textId="77777777" w:rsidR="0027270B" w:rsidRDefault="00000000">
      <w:r>
        <w:lastRenderedPageBreak/>
        <w:t>5.2 Participation in any monitoring, data-sharing, verification, or co-location arrangement under this Accord carries no political or legal meaning beyond its technical function. Data is data. No political meaning attaches to its collection, transmission, or receipt.</w:t>
      </w:r>
    </w:p>
    <w:p w14:paraId="24DAC0FF" w14:textId="77777777" w:rsidR="0027270B" w:rsidRDefault="00000000">
      <w:r>
        <w:t>5.3 The Sovereignty Shield operates in both directions. Iran's coordination functions in the Northern Inbound Corridor, and Oman's coordination functions in the Southern Outbound Corridor, constitute service functions under this Accord. Neither constitutes a claim over the other's waters, and neither diminishes the international character of transit passage through the Strait.</w:t>
      </w:r>
    </w:p>
    <w:p w14:paraId="772AAAB6" w14:textId="77777777" w:rsidR="0027270B" w:rsidRDefault="00000000">
      <w:pPr>
        <w:pStyle w:val="Heading2"/>
      </w:pPr>
      <w:bookmarkStart w:id="11" w:name="_Toc237648460"/>
      <w:r>
        <w:t>Article 6: The Nuclear Firewall Protocol</w:t>
      </w:r>
      <w:bookmarkEnd w:id="11"/>
    </w:p>
    <w:p w14:paraId="3AE4022D" w14:textId="77777777" w:rsidR="0027270B" w:rsidRDefault="00000000">
      <w:r>
        <w:t>6.1 The nuclear question lives outside this Accord. This Accord contains no provision concerning enrichment, stockpiles, safeguards, missiles, or weapons programs, and no provision of this Accord conditions any right or obligation on the nuclear conduct of any state.</w:t>
      </w:r>
    </w:p>
    <w:p w14:paraId="58344E24" w14:textId="77777777" w:rsidR="0027270B" w:rsidRDefault="00000000">
      <w:r>
        <w:t>6.2 The Firewall operates automatically. A proposal, claim, dispute, or verification request that touches nuclear matters routes, upon registration in the Shared Digital Registry, to the separate nuclear track that the concerned states conduct outside this framework. The routing happens by procedure, not by decision, and no Participant blocks it, debates it, or delays it.</w:t>
      </w:r>
    </w:p>
    <w:p w14:paraId="69A69417" w14:textId="77777777" w:rsidR="0027270B" w:rsidRDefault="00000000">
      <w:r>
        <w:t>6.3 Data generated under this Accord serves this Accord. The framework architecture prohibits the use of Blue Passage verification data as evidence in any nuclear-track proceeding, and prohibits the use of nuclear-track data inside Blue Passage compliance proceedings. Each track protects the integrity of the other by keeping them apart.</w:t>
      </w:r>
    </w:p>
    <w:p w14:paraId="368C2E77" w14:textId="77777777" w:rsidR="0027270B" w:rsidRDefault="00000000">
      <w:r>
        <w:t>6.4 The status of the nuclear track never suspends, slows, or conditions this Accord. The Strait stays open, the corridors stay live, and the compliance engine keeps breathing, whatever happens in the nuclear track. This continuity rule is absolute and admits no exception.</w:t>
      </w:r>
    </w:p>
    <w:p w14:paraId="3ADF6B97" w14:textId="77777777" w:rsidR="0027270B" w:rsidRDefault="00000000">
      <w:r>
        <w:t>6.5 The Parties record, for the avoidance of doubt, that this Accord neither recognizes nor denies any position any state holds on nuclear matters. The Firewall protects the Strait from the nuclear dispute, and protects the nuclear dispute from the Strait.</w:t>
      </w:r>
    </w:p>
    <w:p w14:paraId="282F49F6" w14:textId="77777777" w:rsidR="0027270B" w:rsidRDefault="00000000">
      <w:pPr>
        <w:pStyle w:val="Heading2"/>
      </w:pPr>
      <w:bookmarkStart w:id="12" w:name="_Toc237648461"/>
      <w:r>
        <w:t>Article 7: The Red Lines Register and the Perimeter Test</w:t>
      </w:r>
      <w:bookmarkEnd w:id="12"/>
    </w:p>
    <w:p w14:paraId="39352E7F" w14:textId="77777777" w:rsidR="0027270B" w:rsidRDefault="00000000">
      <w:r>
        <w:t>7.1 Annex M contains the Red Lines Register: the formal record of every Participant's non-negotiable interests, stated as design inputs to this framework. Each entry names the holder of the line, the line itself, and the design consequence that protects it.</w:t>
      </w:r>
    </w:p>
    <w:p w14:paraId="48458698" w14:textId="77777777" w:rsidR="0027270B" w:rsidRDefault="00000000">
      <w:r>
        <w:t>7.2 The Perimeter Test screens every measure, procedure, decision, amendment, and annex update under this Accord. The test asks three questions: Does the measure touch a registered line? Does it cross the line? If it crosses, how does the measure redesign to protect the line while achieving its purpose? A measure that crosses a registered line and fails to redesign has no effect.</w:t>
      </w:r>
    </w:p>
    <w:p w14:paraId="2E49417F" w14:textId="77777777" w:rsidR="0027270B" w:rsidRDefault="00000000">
      <w:r>
        <w:t>7.3 The Register binds the architecture, not the holders. No Participant trades, bargains, or auctions a registered line. The Neutral Watch Office applies the Perimeter Test at the request of any Participant and publishes its reasoning on the Transparency Portal within seventy-two hours.</w:t>
      </w:r>
    </w:p>
    <w:p w14:paraId="4B627B87" w14:textId="77777777" w:rsidR="0027270B" w:rsidRDefault="00000000">
      <w:r>
        <w:lastRenderedPageBreak/>
        <w:t>7.4 The Register grows by consensus of the Council and never shrinks except with the written agreement of the line's holder. New Participants accede on the basis of the Register as it stands, and register their own lines at accession under Annex Q.</w:t>
      </w:r>
    </w:p>
    <w:p w14:paraId="1C29D472" w14:textId="77777777" w:rsidR="0027270B" w:rsidRDefault="00000000">
      <w:pPr>
        <w:pStyle w:val="Heading1"/>
      </w:pPr>
      <w:bookmarkStart w:id="13" w:name="_Toc237648462"/>
      <w:r>
        <w:lastRenderedPageBreak/>
        <w:t>PART II: THE BLUE CORRIDOR SYSTEM</w:t>
      </w:r>
      <w:bookmarkEnd w:id="13"/>
    </w:p>
    <w:p w14:paraId="0BC7CA32" w14:textId="77777777" w:rsidR="0027270B" w:rsidRDefault="00000000">
      <w:pPr>
        <w:pStyle w:val="Heading2"/>
      </w:pPr>
      <w:bookmarkStart w:id="14" w:name="_Toc237648463"/>
      <w:r>
        <w:t>Article 8: The Governance Area</w:t>
      </w:r>
      <w:bookmarkEnd w:id="14"/>
    </w:p>
    <w:p w14:paraId="0AA49D29" w14:textId="77777777" w:rsidR="0027270B" w:rsidRDefault="00000000">
      <w:r>
        <w:t>8.1 The Governance Area comprises the waters of the Strait of Hormuz and its immediate approaches, bounded indicatively by the polygon stated in Annex A. The polygon follows the geography of the strait between the Islamic Republic of Iran and the Musandam Peninsula of the Sultanate of Oman, spanning roughly twenty-one nautical miles at its narrowest point.</w:t>
      </w:r>
    </w:p>
    <w:p w14:paraId="682DDBD3" w14:textId="77777777" w:rsidR="0027270B" w:rsidRDefault="00000000">
      <w:r>
        <w:t>8.2 The Governance Area polygon serves navigation exclusively. It defines where this Accord's cooperation functions operate. It draws no boundary, fixes no limit, and prejudges no claim, in accordance with the Sovereignty Shield of Article 5.</w:t>
      </w:r>
    </w:p>
    <w:p w14:paraId="425714C1" w14:textId="77777777" w:rsidR="0027270B" w:rsidRDefault="00000000">
      <w:r>
        <w:t>8.3 The Depositary registers the polygon and all corridor coordinates with the International Maritime Organization and the International Hydrographic Organization upon entry into force, and publishes them in full on the Transparency Portal. The coordinates currently under provisional use appear in Annex A and take effect at Blue Opening; the Parties update them through the Annex procedure of Article 70 as the joint Iran-Oman route map finalizes, without reopening this Accord.</w:t>
      </w:r>
    </w:p>
    <w:p w14:paraId="21C4078F" w14:textId="77777777" w:rsidR="0027270B" w:rsidRDefault="00000000">
      <w:pPr>
        <w:pStyle w:val="Heading2"/>
      </w:pPr>
      <w:bookmarkStart w:id="15" w:name="_Toc237648464"/>
      <w:r>
        <w:t>Article 9: The Three Blue Corridors</w:t>
      </w:r>
      <w:bookmarkEnd w:id="15"/>
    </w:p>
    <w:p w14:paraId="7862AB73" w14:textId="77777777" w:rsidR="0027270B" w:rsidRDefault="00000000">
      <w:r>
        <w:t>9.1 The Governance Area operates a three-corridor system: Inbound, Buffer, Outbound. The geometry follows the route map agreed between Iran and Oman in August 2026 and the interim arrangement under discussion with the United States: inbound traffic to the Gulf moves through a northern lane in Iranian waters; outbound traffic to the Arabian Sea moves through a southern lane in Omani waters in coordination with Iran; the median lane undergoes joint survey and mine clearance and then carries two-way traffic under the permanent arrangement of this Accord.</w:t>
      </w:r>
    </w:p>
    <w:p w14:paraId="7C5844F3" w14:textId="77777777" w:rsidR="0027270B" w:rsidRDefault="00000000">
      <w:pPr>
        <w:spacing w:after="100"/>
        <w:ind w:left="480" w:hanging="480"/>
      </w:pPr>
      <w:r>
        <w:rPr>
          <w:b/>
          <w:color w:val="3E6B8F"/>
        </w:rPr>
        <w:t xml:space="preserve">9.2  </w:t>
      </w:r>
      <w:r>
        <w:t>The Northern Inbound Corridor. All commercial traffic bound for the Gulf transits this corridor. Iran performs the coordination functions: traffic management, navigational safety, aids to navigation, environmental monitoring, and Filing acknowledgment under Article 12. Coordination is a service function. It never becomes a permission function, an inspection function, or a denial function.</w:t>
      </w:r>
    </w:p>
    <w:p w14:paraId="615A06F3" w14:textId="77777777" w:rsidR="0027270B" w:rsidRDefault="00000000">
      <w:pPr>
        <w:spacing w:after="100"/>
        <w:ind w:left="480" w:hanging="480"/>
      </w:pPr>
      <w:r>
        <w:rPr>
          <w:b/>
          <w:color w:val="3E6B8F"/>
        </w:rPr>
        <w:t xml:space="preserve">9.3  </w:t>
      </w:r>
      <w:r>
        <w:t>The Southern Outbound Corridor. All commercial traffic departing the Gulf transits this corridor. Oman performs the coordination functions on the same terms. Iran receives full mirror visibility of outbound traffic through the Shared Digital Registry, and holds no intervention function over outbound traffic except the narrow safety functions of Article 13 and the emergency diversion function of Article 10.</w:t>
      </w:r>
    </w:p>
    <w:p w14:paraId="55C98F0A" w14:textId="77777777" w:rsidR="0027270B" w:rsidRDefault="00000000">
      <w:pPr>
        <w:spacing w:after="100"/>
        <w:ind w:left="480" w:hanging="480"/>
      </w:pPr>
      <w:r>
        <w:rPr>
          <w:b/>
          <w:color w:val="3E6B8F"/>
        </w:rPr>
        <w:t xml:space="preserve">9.4  </w:t>
      </w:r>
      <w:r>
        <w:t>The Central Blue Buffer. The median lane between the corridors operates as a neutral separation and safety zone. It carries emergency diversion, search and rescue routing, naval deconfliction routing, and hazard avoidance. The Joint Survey Sequence of Article 25 and Annex K clears the Buffer of mines and hazards within thirty days of Blue Opening. Upon certification by the Neutral Watch Office, the Central Blue Buffer opens as a two-way medium-draft lane under joint Iran-Oman coordination, completing the permanent three-lane architecture.</w:t>
      </w:r>
    </w:p>
    <w:p w14:paraId="308148A7" w14:textId="77777777" w:rsidR="0027270B" w:rsidRDefault="00000000">
      <w:r>
        <w:lastRenderedPageBreak/>
        <w:t>9.5 Lane discipline is directional and absolute for commercial traffic: Gulf-bound vessels use the Northern Inbound Corridor; Gulf-departing vessels use the Southern Outbound Corridor; the Central Blue Buffer serves emergency and certified two-way traffic. Naval and state vessels transit under Article 18 and Annex L. Small craft and fishing vessels use the inshore zones outside the corridors, as Annex A maps.</w:t>
      </w:r>
    </w:p>
    <w:p w14:paraId="6ACCF639" w14:textId="77777777" w:rsidR="0027270B" w:rsidRDefault="00000000">
      <w:r>
        <w:t>9.6 Corridor geometry updates through Annex A by the procedure of Article 70. No Participant alters routing unilaterally; every geometry change carries Twin Key concurrence and observer notice of not less than thirty days, except emergency deviations under Article 10, which take immediate effect and expire within seventy-two hours.</w:t>
      </w:r>
    </w:p>
    <w:p w14:paraId="540ED474" w14:textId="77777777" w:rsidR="0027270B" w:rsidRDefault="00000000">
      <w:pPr>
        <w:pStyle w:val="Heading2"/>
      </w:pPr>
      <w:bookmarkStart w:id="16" w:name="_Toc237648465"/>
      <w:r>
        <w:t>Article 10: Emergency Diversion Channels and Safe Anchorages</w:t>
      </w:r>
      <w:bookmarkEnd w:id="16"/>
    </w:p>
    <w:p w14:paraId="57F947C5" w14:textId="77777777" w:rsidR="0027270B" w:rsidRDefault="00000000">
      <w:r>
        <w:t>10.1 Annex A designates two Emergency Diversion Channels flanking the corridors and two Safe Anchorages: the Khasab Roads anchorage on the Omani side and the Bandar Abbas Outer Roads anchorage on the Iranian side. Both anchorages operate under the absolute non-interdiction protocol of Article 13.</w:t>
      </w:r>
    </w:p>
    <w:p w14:paraId="11434469" w14:textId="77777777" w:rsidR="0027270B" w:rsidRDefault="00000000">
      <w:r>
        <w:t>10.2 A vessel in distress, a vessel avoiding a hazard, a vessel under medical emergency, and a vessel responding to a mine-risk alert diverts immediately into the nearest Emergency Diversion Channel or Safe Anchorage without filing, without fee, and without any form of clearance. Safety of life overrides every procedure of this Accord.</w:t>
      </w:r>
    </w:p>
    <w:p w14:paraId="5CA41C93" w14:textId="77777777" w:rsidR="0027270B" w:rsidRDefault="00000000">
      <w:r>
        <w:t>10.3 The corridor coordinator of the affected lane logs every diversion in the Shared Digital Registry within one hour, with position, reason, and disposition. The Neutral Watch Office reviews diversion logs weekly and publishes a monthly diversion digest.</w:t>
      </w:r>
    </w:p>
    <w:p w14:paraId="1EE92898" w14:textId="77777777" w:rsidR="0027270B" w:rsidRDefault="00000000">
      <w:pPr>
        <w:pStyle w:val="Heading2"/>
      </w:pPr>
      <w:bookmarkStart w:id="17" w:name="_Toc237648466"/>
      <w:r>
        <w:t>Article 11: Vessel Classification</w:t>
      </w:r>
      <w:bookmarkEnd w:id="17"/>
    </w:p>
    <w:p w14:paraId="71C705FD" w14:textId="77777777" w:rsidR="0027270B" w:rsidRDefault="00000000">
      <w:r>
        <w:t>11.1 The framework distinguishes five classes: commercial cargo vessels, passenger vessels, humanitarian vessels, state and naval vessels, and small craft. Treatment differs by class, never by flag, never by cargo origin or destination, and never by the nationality of crew or owner.</w:t>
      </w:r>
    </w:p>
    <w:p w14:paraId="7B3DB2A4" w14:textId="77777777" w:rsidR="0027270B" w:rsidRDefault="00000000">
      <w:r>
        <w:t>11.2 Humanitarian vessels carrying food, medicine, medical equipment, or relief supplies hold absolute priority. They file under the same one-page form, receive acknowledgment immediately upon filing, and transit ahead of every queue. Article 14 states the Humanitarian Bridge in full.</w:t>
      </w:r>
    </w:p>
    <w:p w14:paraId="08FB47F9" w14:textId="77777777" w:rsidR="0027270B" w:rsidRDefault="00000000">
      <w:r>
        <w:t>11.3 State and naval vessels transit under the notification discipline of Article 18. Their sovereign immunity stands untouched. Their transit follows the same corridor geometry as commercial traffic, and the framework architecture prohibits interference with their lawful transit by any actor.</w:t>
      </w:r>
    </w:p>
    <w:p w14:paraId="2B04E1D1" w14:textId="77777777" w:rsidR="0027270B" w:rsidRDefault="00000000">
      <w:pPr>
        <w:pStyle w:val="Heading2"/>
      </w:pPr>
      <w:bookmarkStart w:id="18" w:name="_Toc237648467"/>
      <w:r>
        <w:t>Article 12: The Notification Protocol (File and Acknowledge)</w:t>
      </w:r>
      <w:bookmarkEnd w:id="18"/>
    </w:p>
    <w:p w14:paraId="7557D7E7" w14:textId="77777777" w:rsidR="0027270B" w:rsidRDefault="00000000">
      <w:r>
        <w:t>12.1 Transit through the Governance Area operates on notification, never permission. Each transiting vessel files a single Transit Filing through the Blue Passage portal, by satellite message, or by agent at the port of origin. The Filing carries no more than twelve fields: vessel identity, flag, class, dimensions and draft, cargo category, last port, next port, intended corridor, intended window, agent contact, hazardous material declaration, and master certification. Annex N contains the form.</w:t>
      </w:r>
    </w:p>
    <w:p w14:paraId="4602B5F9" w14:textId="77777777" w:rsidR="0027270B" w:rsidRDefault="00000000">
      <w:r>
        <w:lastRenderedPageBreak/>
        <w:t>12.2 The corridor coordinator acknowledges each Filing within sixty minutes of receipt. Silence beyond sixty minutes constitutes acknowledgment automatically. The Shared Digital Registry timestamps every Filing and every acknowledgment, and the timestamp settles every dispute about timing.</w:t>
      </w:r>
    </w:p>
    <w:p w14:paraId="710BF170" w14:textId="77777777" w:rsidR="0027270B" w:rsidRDefault="00000000">
      <w:r>
        <w:t>12.3 No condition, delay, inspection demand, or denial attaches to a Filing or its acknowledgment. The framework architecture prohibits the conversion of notification into permission by any means: no approval vocabulary, no routing refusal, no queue manipulation, no fee condition. A Filing that contains errors proceeds, and the coordinator corrects the record in consultation with the master during transit.</w:t>
      </w:r>
    </w:p>
    <w:p w14:paraId="723A49AC" w14:textId="77777777" w:rsidR="0027270B" w:rsidRDefault="00000000">
      <w:r>
        <w:t>12.4 Filings open seventy-two hours before intended transit and remain valid for forty-eight hours after the filed window. A vessel that misses its window refiles with one action. Port-of-origin processing under Annex B lets agents file on a vessel's behalf at departure, so that paperwork never touches the transit itself.</w:t>
      </w:r>
    </w:p>
    <w:p w14:paraId="41295295" w14:textId="77777777" w:rsidR="0027270B" w:rsidRDefault="00000000">
      <w:pPr>
        <w:pStyle w:val="Heading2"/>
      </w:pPr>
      <w:bookmarkStart w:id="19" w:name="_Toc237648468"/>
      <w:r>
        <w:t>Article 13: The Absolute Non-Interdiction Protocol</w:t>
      </w:r>
      <w:bookmarkEnd w:id="19"/>
    </w:p>
    <w:p w14:paraId="6951E4C9" w14:textId="77777777" w:rsidR="0027270B" w:rsidRDefault="00000000">
      <w:r>
        <w:t>13.1 Commercial transit inside the Governance Area operates under an absolute non-interdiction protocol. The framework architecture prohibits every form of boarding, diversion, seizure, detention, inspection, harassment, or delay of commercial vessels in the corridors, the anchorages, and the diversion channels, by any actor, under any pretext.</w:t>
      </w:r>
    </w:p>
    <w:p w14:paraId="05C2D7E0" w14:textId="77777777" w:rsidR="0027270B" w:rsidRDefault="00000000">
      <w:r>
        <w:t>13.2 The protocol admits exactly three exceptions, each narrow and evidence-bound: rescue of persons in distress; response to an active pollution event threatening the marine environment; and response to a vessel that poses an immediate, objectively verifiable danger to navigation. Each exception executes under the Twin Key Rule of Article 19, documents itself in the Shared Digital Registry within one hour, and terminates within seventy-two hours unless the Council extends it by consensus minus the directly affected Participant.</w:t>
      </w:r>
    </w:p>
    <w:p w14:paraId="1EE07296" w14:textId="77777777" w:rsidR="0027270B" w:rsidRDefault="00000000">
      <w:r>
        <w:t>13.3 The protocol binds state and non-state actors alike. Any interdiction event, by any actor, triggers the False Flag and Attribution Protocol of Article 24 before any compliance consequence attaches. The compliance engine of Part IX addresses violations through economic and diplomatic step-backs, never through force.</w:t>
      </w:r>
    </w:p>
    <w:p w14:paraId="23989F8A" w14:textId="77777777" w:rsidR="0027270B" w:rsidRDefault="00000000">
      <w:r>
        <w:t>13.4 Vessels of every flag, including vessels of states in dispute with any Participant, transit on identical terms. The framework architecture prohibits discriminatory treatment by flag, ownership, cargo, crew nationality, insurer, or port of call.</w:t>
      </w:r>
    </w:p>
    <w:p w14:paraId="312D29B4" w14:textId="77777777" w:rsidR="0027270B" w:rsidRDefault="00000000">
      <w:pPr>
        <w:pStyle w:val="Heading2"/>
      </w:pPr>
      <w:bookmarkStart w:id="20" w:name="_Toc237648469"/>
      <w:r>
        <w:t>Article 14: The Humanitarian Bridge and the Mariner First Bridge</w:t>
      </w:r>
      <w:bookmarkEnd w:id="20"/>
    </w:p>
    <w:p w14:paraId="2CA5BD8D" w14:textId="77777777" w:rsidR="0027270B" w:rsidRDefault="00000000">
      <w:r>
        <w:t>14.1 The Humanitarian Bridge moves food, medicine, medical equipment, and relief cargo first, always, under every condition. Humanitarian Filings certify within one hour through the priority lane of the Blue Passage portal, transit ahead of every queue, and pay no service charge of any kind. The Humanitarian Firewall of Article 53 protects every humanitarian flow from every compliance consequence, dispute, and fee, without exception and without suspension.</w:t>
      </w:r>
    </w:p>
    <w:p w14:paraId="6D6597EC" w14:textId="77777777" w:rsidR="0027270B" w:rsidRDefault="00000000">
      <w:r>
        <w:t>14.2 The Mariner First Bridge answers the crisis of stranded seafarers that the 2026 conflict created. It operates as a standing mechanism, not an emergency improvisation, and it discharges three functions.</w:t>
      </w:r>
    </w:p>
    <w:p w14:paraId="6D82206F" w14:textId="77777777" w:rsidR="0027270B" w:rsidRDefault="00000000">
      <w:pPr>
        <w:spacing w:after="100"/>
        <w:ind w:left="480" w:hanging="480"/>
      </w:pPr>
      <w:r>
        <w:rPr>
          <w:b/>
          <w:color w:val="3E6B8F"/>
        </w:rPr>
        <w:lastRenderedPageBreak/>
        <w:t xml:space="preserve">14.2.1  </w:t>
      </w:r>
      <w:r>
        <w:t>Crew-change corridor. Crew-change movements to and from vessels in the Governance Area and the Safe Anchorages proceed on seventy-two-hour advance lists filed by ship managers, with coordinated launch windows from Khasab and Bandar Abbas. The corridor coordinators synchronize the windows daily at the 08:00 Muscat coordination call.</w:t>
      </w:r>
    </w:p>
    <w:p w14:paraId="34232B26" w14:textId="77777777" w:rsidR="0027270B" w:rsidRDefault="00000000">
      <w:pPr>
        <w:spacing w:after="100"/>
        <w:ind w:left="480" w:hanging="480"/>
      </w:pPr>
      <w:r>
        <w:rPr>
          <w:b/>
          <w:color w:val="3E6B8F"/>
        </w:rPr>
        <w:t xml:space="preserve">14.2.2  </w:t>
      </w:r>
      <w:r>
        <w:t>Repatriation bridge. Seafarers whose contracts expired during the disruption, or whose vessels stand detained, abandoned, or immobilized, receive repatriation coordination through the Seafarer Desk of the Transit Desk, working with the International Maritime Organization's emergency evacuation framework, flag states, and the airports of Muscat and Bandar Abbas. The Seafarer Desk logs every case, assigns every case an owner, and closes every case within fourteen days.</w:t>
      </w:r>
    </w:p>
    <w:p w14:paraId="443B2F24" w14:textId="77777777" w:rsidR="0027270B" w:rsidRDefault="00000000">
      <w:pPr>
        <w:spacing w:after="100"/>
        <w:ind w:left="480" w:hanging="480"/>
      </w:pPr>
      <w:r>
        <w:rPr>
          <w:b/>
          <w:color w:val="3E6B8F"/>
        </w:rPr>
        <w:t xml:space="preserve">14.2.3  </w:t>
      </w:r>
      <w:r>
        <w:t>Seafarer Welfare Fund. The Fund, capitalized under Annex O at one percent of the Insurance Channel plus voluntary contributions, finances emergency crew welfare: provisions, medical care, communications home, and repatriation costs where a shipowner defaults. The Ombudsman of Article 56 holds a standing warrant over the Fund for abandoned-crew cases, and draws on it without further approval, reporting each draw to the Council within seventy-two hours.</w:t>
      </w:r>
    </w:p>
    <w:p w14:paraId="2D8C45DB" w14:textId="77777777" w:rsidR="0027270B" w:rsidRDefault="00000000">
      <w:r>
        <w:t>14.3 No provision of this Accord conditions seafarer welfare on any political event. The Mariner First Bridge operates from Blue Opening and never closes.</w:t>
      </w:r>
    </w:p>
    <w:p w14:paraId="7960AADC" w14:textId="77777777" w:rsidR="0027270B" w:rsidRDefault="00000000">
      <w:pPr>
        <w:pStyle w:val="Heading1"/>
      </w:pPr>
      <w:bookmarkStart w:id="21" w:name="_Toc237648470"/>
      <w:r>
        <w:lastRenderedPageBreak/>
        <w:t>PART III: THE 72-HOUR BLUE OPENING</w:t>
      </w:r>
      <w:bookmarkEnd w:id="21"/>
    </w:p>
    <w:p w14:paraId="0C87C4FE" w14:textId="77777777" w:rsidR="0027270B" w:rsidRDefault="00000000">
      <w:pPr>
        <w:pStyle w:val="Heading2"/>
      </w:pPr>
      <w:bookmarkStart w:id="22" w:name="_Toc237648471"/>
      <w:r>
        <w:t>Article 15: The Blue Opening Protocol (BOP-72)</w:t>
      </w:r>
      <w:bookmarkEnd w:id="22"/>
    </w:p>
    <w:p w14:paraId="4F9CFC8B" w14:textId="77777777" w:rsidR="0027270B" w:rsidRDefault="00000000">
      <w:r>
        <w:t>15.1 The Strait opens within seventy-two hours of entry into force. The Blue Opening Protocol executes the opening as a single, self-executing, hour-gated sequence. Each gate activates on schedule from the Depositary's registration of the second Mirrored Instrument, without further decision, vote, or negotiation. Annex C states the complete hour-by-hour schedule.</w:t>
      </w:r>
    </w:p>
    <w:p w14:paraId="54914A25" w14:textId="77777777" w:rsidR="0027270B" w:rsidRDefault="00000000">
      <w:pPr>
        <w:spacing w:after="100"/>
        <w:ind w:left="480" w:hanging="480"/>
      </w:pPr>
      <w:r>
        <w:rPr>
          <w:b/>
          <w:color w:val="3E6B8F"/>
        </w:rPr>
        <w:t xml:space="preserve">15.2  </w:t>
      </w:r>
      <w:r>
        <w:t>Gate Zero (Hour 0). Entry into force. The Standstill activates: every military and enforcement posture inside and around the Governance Area freezes at its Hour-0 position. The Deconfliction Hotline Network goes live. The Transparency Portals go live. The Depositary publishes the registered corridor guidance.</w:t>
      </w:r>
    </w:p>
    <w:p w14:paraId="64D64BA0" w14:textId="77777777" w:rsidR="0027270B" w:rsidRDefault="00000000">
      <w:pPr>
        <w:spacing w:after="100"/>
        <w:ind w:left="480" w:hanging="480"/>
      </w:pPr>
      <w:r>
        <w:rPr>
          <w:b/>
          <w:color w:val="3E6B8F"/>
        </w:rPr>
        <w:t xml:space="preserve">15.3  </w:t>
      </w:r>
      <w:r>
        <w:t>Gate One (Hour 6). The Humanitarian Bridge and the Mariner First Bridge open. Provisional corridor guidance publishes to every flag state, every major shipping line, every Protection and Indemnity club, and every war-risk insurer. The Blue Beacon service begins broadcasting corridor guidance on the automatic identification system channels.</w:t>
      </w:r>
    </w:p>
    <w:p w14:paraId="0C201F55" w14:textId="77777777" w:rsidR="0027270B" w:rsidRDefault="00000000">
      <w:pPr>
        <w:spacing w:after="100"/>
        <w:ind w:left="480" w:hanging="480"/>
      </w:pPr>
      <w:r>
        <w:rPr>
          <w:b/>
          <w:color w:val="3E6B8F"/>
        </w:rPr>
        <w:t xml:space="preserve">15.4  </w:t>
      </w:r>
      <w:r>
        <w:t>Gate Two (Hour 12). The Joint Watch Floor convenes in Khasab and the Mirror Floor convenes in Bandar Abbas, each staffed under Article 30. The Shared Digital Registry begins continuous logging. The first Blue Convoy windows publish under the Blue Convoy Clock of Article 16.</w:t>
      </w:r>
    </w:p>
    <w:p w14:paraId="475EAA10" w14:textId="77777777" w:rsidR="0027270B" w:rsidRDefault="00000000">
      <w:pPr>
        <w:spacing w:after="100"/>
        <w:ind w:left="480" w:hanging="480"/>
      </w:pPr>
      <w:r>
        <w:rPr>
          <w:b/>
          <w:color w:val="3E6B8F"/>
        </w:rPr>
        <w:t xml:space="preserve">15.5  </w:t>
      </w:r>
      <w:r>
        <w:t>Gate Three (Hour 24). The Southern Outbound Corridor activates under Omani coordination. The first escorted outbound convoy transits under the United States Transitional Security Umbrella of Article 20. In synchronization, the same hour, the United States lifts its interdiction of commercial traffic to and from Iranian ports, step one of the Synchronized Relief Track of Article 17. Maritime step and relief step execute as one indivisible event.</w:t>
      </w:r>
    </w:p>
    <w:p w14:paraId="15AF0BC5" w14:textId="77777777" w:rsidR="0027270B" w:rsidRDefault="00000000">
      <w:pPr>
        <w:spacing w:after="100"/>
        <w:ind w:left="480" w:hanging="480"/>
      </w:pPr>
      <w:r>
        <w:rPr>
          <w:b/>
          <w:color w:val="3E6B8F"/>
        </w:rPr>
        <w:t xml:space="preserve">15.6  </w:t>
      </w:r>
      <w:r>
        <w:t>Gate Four (Hour 36). The Northern Inbound Corridor activates under Iranian coordination. The first inbound convoy transits. File-and-acknowledge operations begin under Article 12 for all commercial traffic.</w:t>
      </w:r>
    </w:p>
    <w:p w14:paraId="776343E1" w14:textId="77777777" w:rsidR="0027270B" w:rsidRDefault="00000000">
      <w:pPr>
        <w:spacing w:after="100"/>
        <w:ind w:left="480" w:hanging="480"/>
      </w:pPr>
      <w:r>
        <w:rPr>
          <w:b/>
          <w:color w:val="3E6B8F"/>
        </w:rPr>
        <w:t xml:space="preserve">15.7  </w:t>
      </w:r>
      <w:r>
        <w:t>Gate Five (Hour 48). The Central Blue Buffer activates for emergency routing and separation. The Joint Survey Group deploys to begin the mine survey of the median lane under Article 25. Insurers receive provisional Blue Flag certification data under Article 43.</w:t>
      </w:r>
    </w:p>
    <w:p w14:paraId="362FFB3C" w14:textId="77777777" w:rsidR="0027270B" w:rsidRDefault="00000000">
      <w:pPr>
        <w:spacing w:after="100"/>
        <w:ind w:left="480" w:hanging="480"/>
      </w:pPr>
      <w:r>
        <w:rPr>
          <w:b/>
          <w:color w:val="3E6B8F"/>
        </w:rPr>
        <w:t xml:space="preserve">15.8  </w:t>
      </w:r>
      <w:r>
        <w:t>Gate Six (Hour 60). The first synchronized convoy pair completes full two-way transit. The Incident Desk begins twenty-four-hour operation. The Corridor Emergency Override procedure of Article 23 stands armed.</w:t>
      </w:r>
    </w:p>
    <w:p w14:paraId="69C6073C" w14:textId="77777777" w:rsidR="0027270B" w:rsidRDefault="00000000">
      <w:pPr>
        <w:spacing w:after="100"/>
        <w:ind w:left="480" w:hanging="480"/>
      </w:pPr>
      <w:r>
        <w:rPr>
          <w:b/>
          <w:color w:val="3E6B8F"/>
        </w:rPr>
        <w:t xml:space="preserve">15.9  </w:t>
      </w:r>
      <w:r>
        <w:t>Gate Seven (Hour 72). The Neutral Watch Office certifies the Blue Opening. The Depositary declares the Strait open under this Accord in Arabic, English, and Persian, and notifies the International Maritime Organization, the International Hydrographic Organization, and every flag state. Layer Zero (Visibility) and Layer One (Routing) lock under the Forward Drift Archive of Article 52. The opening is complete, and it does not reverse.</w:t>
      </w:r>
    </w:p>
    <w:p w14:paraId="6D106BDA" w14:textId="77777777" w:rsidR="0027270B" w:rsidRDefault="00000000">
      <w:r>
        <w:lastRenderedPageBreak/>
        <w:t>15.10 Every gate contains pre-staged activation packets: drafted notices, pre-positioned personnel rosters, pre-tested data links, and pre-signed procedural instructions, prepared under Annex C before signature. The opening succeeds because nothing at Hour 0 remains undecided.</w:t>
      </w:r>
    </w:p>
    <w:p w14:paraId="2A0668FB" w14:textId="77777777" w:rsidR="0027270B" w:rsidRDefault="00000000">
      <w:r>
        <w:t>15.11 A gate that encounters a technical obstruction proceeds to its fallback packet within the same hour. The schedule never waits. The Neutral Watch Office logs every fallback activation and reports it to the Council within twenty-four hours. No political event pauses the gates; Article 6 and Article 57 quarantine politics from the schedule.</w:t>
      </w:r>
    </w:p>
    <w:p w14:paraId="52F6367B" w14:textId="77777777" w:rsidR="0027270B" w:rsidRDefault="00000000">
      <w:pPr>
        <w:pStyle w:val="Heading2"/>
      </w:pPr>
      <w:bookmarkStart w:id="23" w:name="_Toc237648472"/>
      <w:r>
        <w:t>Article 16: The Blue Convoy Clock</w:t>
      </w:r>
      <w:bookmarkEnd w:id="23"/>
    </w:p>
    <w:p w14:paraId="4A94E998" w14:textId="77777777" w:rsidR="0027270B" w:rsidRDefault="00000000">
      <w:r>
        <w:t>16.1 During Phase One, from Blue Opening until the Day-30 Stability Audit under Article 28, commercial traffic moves in published convoy windows. The Blue Convoy Clock works like a railway timetable: predictable, published, and boring. The Transit Desk publishes the clock fourteen days in advance on the Transparency Portal, in two outbound and two inbound windows daily, with window length calibrated to traffic volume.</w:t>
      </w:r>
    </w:p>
    <w:p w14:paraId="4DD24F0C" w14:textId="77777777" w:rsidR="0027270B" w:rsidRDefault="00000000">
      <w:r>
        <w:t>16.2 Each convoy transits under the escort arrangements of the United States Transitional Security Umbrella (Article 20 and Annex L), with corridor coordinators managing spacing, speed, and sequencing. Convoy participation is a service, not a condition: a vessel that files and prefers independent transit proceeds independently, in its corridor, outside the convoy window, under the same non-interdiction protection.</w:t>
      </w:r>
    </w:p>
    <w:p w14:paraId="182F6F9B" w14:textId="77777777" w:rsidR="0027270B" w:rsidRDefault="00000000">
      <w:r>
        <w:t>16.3 The clock steps down automatically as stability metrics improve. After the Day-30 audit certifies the corridor system, convoy windows halve. After the Day-60 audit certifies full operating capability, the convoy system sunsets into the advisory schedule of Annex B, and free-flow transit resumes as the default. Escort density follows the same step-down ladder; the architecture pairs proof with relaxation, never the reverse.</w:t>
      </w:r>
    </w:p>
    <w:p w14:paraId="6ED94487" w14:textId="77777777" w:rsidR="0027270B" w:rsidRDefault="00000000">
      <w:r>
        <w:t>16.4 The Blue Convoy Clock never gates passage. A closed convoy window delays no vessel; it merely schedules escort availability. The corridor stays open around the clock, every day, under every condition.</w:t>
      </w:r>
    </w:p>
    <w:p w14:paraId="2026EA3A" w14:textId="77777777" w:rsidR="0027270B" w:rsidRDefault="00000000">
      <w:pPr>
        <w:pStyle w:val="Heading2"/>
      </w:pPr>
      <w:bookmarkStart w:id="24" w:name="_Toc237648473"/>
      <w:r>
        <w:t>Article 17: The Synchronized Relief Track</w:t>
      </w:r>
      <w:bookmarkEnd w:id="24"/>
    </w:p>
    <w:p w14:paraId="0FF47E3A" w14:textId="77777777" w:rsidR="0027270B" w:rsidRDefault="00000000">
      <w:r>
        <w:t>17.1 The Synchronized Relief Track pairs every maritime milestone of this Accord with its counterpart step by the other side, so that the two execute as one indivisible event. Synchronization abolishes the who-moves-first dispute that collapsed earlier arrangements: neither side waits, neither side leads, both sides move together.</w:t>
      </w:r>
    </w:p>
    <w:p w14:paraId="319B31AA" w14:textId="77777777" w:rsidR="0027270B" w:rsidRDefault="00000000">
      <w:r>
        <w:t>17.2 The Track contains four synchronized pairings, stated in full in Annex D. Pair One (Hour 24): Southern Corridor activation pairs with the first blockade drawdown step, the lifting of United States interdiction of commercial traffic to and from Iranian ports. Pair Two (Day 14): the first Stability Audit pairs with normalized port-call treatment for commercial vessels of all flags at Iranian and Omani ports. Pair Three (Day 30): certification of the cleared median lane pairs with the completion of the blockade drawdown for commercial traffic. Pair Four (Day 60): activation of Layer Two stewardship functions pairs with the international confirmation of unimpeded commercial access to and from the Governance Area.</w:t>
      </w:r>
    </w:p>
    <w:p w14:paraId="29CD223F" w14:textId="77777777" w:rsidR="0027270B" w:rsidRDefault="00000000">
      <w:r>
        <w:lastRenderedPageBreak/>
        <w:t>17.3 Each pairing executes through the Registry of Mirrored Consent of Article 59: the maritime organ and the relief organ deposit their certifications with the Depositary in advance, and the Depositary releases both certifications simultaneously at the scheduled hour. Both halves of every pairing therefore execute together, always, with no window in which one side has performed and the other has not.</w:t>
      </w:r>
    </w:p>
    <w:p w14:paraId="3DA79C69" w14:textId="77777777" w:rsidR="0027270B" w:rsidRDefault="00000000">
      <w:r>
        <w:t>17.4 The Track governs maritime and navigation matters only. Sanctions, frozen assets, and nuclear matters live outside this Accord under the Nuclear Firewall of Article 6, and no pairing touches them. The Track stays deliberately narrow so that it stays deliverable.</w:t>
      </w:r>
    </w:p>
    <w:p w14:paraId="62283398" w14:textId="77777777" w:rsidR="0027270B" w:rsidRDefault="00000000">
      <w:pPr>
        <w:pStyle w:val="Heading1"/>
      </w:pPr>
      <w:bookmarkStart w:id="25" w:name="_Toc237648474"/>
      <w:r>
        <w:lastRenderedPageBreak/>
        <w:t>PART IV: SECURITY AND DECONFLICTION</w:t>
      </w:r>
      <w:bookmarkEnd w:id="25"/>
    </w:p>
    <w:p w14:paraId="3B504B0D" w14:textId="77777777" w:rsidR="0027270B" w:rsidRDefault="00000000">
      <w:pPr>
        <w:pStyle w:val="Heading2"/>
      </w:pPr>
      <w:bookmarkStart w:id="26" w:name="_Toc237648475"/>
      <w:r>
        <w:t>Article 18: Functional Allocation of Security Tasks</w:t>
      </w:r>
      <w:bookmarkEnd w:id="26"/>
    </w:p>
    <w:p w14:paraId="125BFCBB" w14:textId="77777777" w:rsidR="0027270B" w:rsidRDefault="00000000">
      <w:r>
        <w:t>18.1 Security inside the Governance Area operates as a set of functions, not as sovereign claims. The framework allocates functions to named performers, pairs the consequential ones under the Twin Key Rule, and forbids every performer from exceeding its allocation. The question is never who controls the Strait; the question is always who performs which task, under which pairing, with which observers watching.</w:t>
      </w:r>
    </w:p>
    <w:p w14:paraId="6DFB3E97" w14:textId="77777777" w:rsidR="0027270B" w:rsidRDefault="00000000">
      <w:r>
        <w:t>18.2 The allocation table stands as follows. Iran performs inbound traffic coordination, inbound aids to navigation, inbound environmental monitoring, and co-lead search and rescue in the northern zone. Oman performs outbound traffic coordination, outbound aids to navigation, outbound environmental monitoring, co-lead search and rescue in the southern zone, and hosting of the Joint Watch Floor. Joint Iran-Oman teams perform Buffer administration, hazard response, and the Joint Survey Sequence. The United States, during Phase One only and under Annex L, performs convoy escort and overwatch functions outside the corridors' territorial coordination layer. The Neutral Watch Office performs verification functions under Part IX. No performer directs another; every performer reports through the Shared Digital Registry.</w:t>
      </w:r>
    </w:p>
    <w:p w14:paraId="5A9D0A95" w14:textId="77777777" w:rsidR="0027270B" w:rsidRDefault="00000000">
      <w:r>
        <w:t>18.3 State and naval vessels of every state, including the United States, transit the Strait under the customary regime of transit passage. The framework affirms this transit as a matter of architecture, not of grace. Naval transits notify the Deconfliction Hotline Network four hours in advance, follow corridor geometry, and observe the standoff geometry of Article 21. Notification serves deconfliction exclusively; it never functions as permission, and silence never operates as denial.</w:t>
      </w:r>
    </w:p>
    <w:p w14:paraId="55ABED57" w14:textId="77777777" w:rsidR="0027270B" w:rsidRDefault="00000000">
      <w:r>
        <w:t>18.4 The framework architecture excludes kinetic enforcement mechanisms. No organ of this Accord commands, requests, or executes military action. Security incidents route to the Incident Ladder of Article 23 and the compliance engine of Part IX. The separation between this framework's economic-diplomatic instruments and the military decisions of states is absolute and non-waivable.</w:t>
      </w:r>
    </w:p>
    <w:p w14:paraId="3FBCFC12" w14:textId="77777777" w:rsidR="0027270B" w:rsidRDefault="00000000">
      <w:pPr>
        <w:pStyle w:val="Heading2"/>
      </w:pPr>
      <w:bookmarkStart w:id="27" w:name="_Toc237648476"/>
      <w:r>
        <w:t>Article 19: The Twin Key Rule</w:t>
      </w:r>
      <w:bookmarkEnd w:id="27"/>
    </w:p>
    <w:p w14:paraId="501F13BB" w14:textId="77777777" w:rsidR="0027270B" w:rsidRDefault="00000000">
      <w:r>
        <w:t>19.1 The Twin Key Rule pairs authority for every consequential action inside the Governance Area, so that no single state acts alone. Consequential actions comprise: interdiction-exception activation under Article 13, corridor geometry change, Buffer conversion, suspension of any service, emergency deviation extension, and any measure affecting the whole Governance Area.</w:t>
      </w:r>
    </w:p>
    <w:p w14:paraId="5344DAED" w14:textId="77777777" w:rsidR="0027270B" w:rsidRDefault="00000000">
      <w:r>
        <w:t>19.2 The pairings operate as follows. Inbound-zone consequential actions pair Iran and Oman. Outbound-zone consequential actions pair Oman and the standing GCC observer on duty at the Joint Watch Floor. Buffer-zone and Governance-Area-wide consequential actions pair Iran, Oman, and the Neutral Watch Office duty officer. Each pairing requires concurrence within sixty minutes of proposal; the Shared Digital Registry logs every proposal, every concurrence, and every refusal with reasons.</w:t>
      </w:r>
    </w:p>
    <w:p w14:paraId="138FA8D1" w14:textId="77777777" w:rsidR="0027270B" w:rsidRDefault="00000000">
      <w:r>
        <w:lastRenderedPageBreak/>
        <w:t>19.3 The Rule contains no pocket veto and no deadlock. A pairing that fails to concur within sixty minutes escalates automatically to the directors of the two corridor coordinators, who confer within two hours. A pairing that still fails routes to the Emergency Council procedure of Article 23, Level Four, within twenty-four hours. Pending resolution, the status quo ante continues, and the Strait stays open.</w:t>
      </w:r>
    </w:p>
    <w:p w14:paraId="094C10ED" w14:textId="77777777" w:rsidR="0027270B" w:rsidRDefault="00000000">
      <w:r>
        <w:t>19.4 Silence in a pairing never operates as concurrence for consequential actions. Concurrence is active, recorded, and attributable. This rule protects every Participant from decisions taken in its name without its hand.</w:t>
      </w:r>
    </w:p>
    <w:p w14:paraId="46321403" w14:textId="77777777" w:rsidR="0027270B" w:rsidRDefault="00000000">
      <w:pPr>
        <w:pStyle w:val="Heading2"/>
      </w:pPr>
      <w:bookmarkStart w:id="28" w:name="_Toc237648477"/>
      <w:r>
        <w:t>Article 20: The United States Transitional Security Umbrella</w:t>
      </w:r>
      <w:bookmarkEnd w:id="28"/>
    </w:p>
    <w:p w14:paraId="0A368E9C" w14:textId="77777777" w:rsidR="0027270B" w:rsidRDefault="00000000">
      <w:r>
        <w:t>20.1 Phase One of this Accord operates under a United States Transitional Security Umbrella. The Umbrella answers three facts of August 2026: commercial operators and insurers trust United States escort; the ceasefire between the United States and Iran needs a visible security guarantee; and the region needs time to grow its own standing patrol rotation. The Umbrella is transitional by design, bounded by Annex L, and steps down on proof, not on politics.</w:t>
      </w:r>
    </w:p>
    <w:p w14:paraId="6A09B024" w14:textId="77777777" w:rsidR="0027270B" w:rsidRDefault="00000000">
      <w:r>
        <w:t>20.2 Under the Umbrella, the United States performs the following functions, and only the following functions: escort of published Blue Convoys on the high-seas approaches and through the corridors; overwatch and early warning through its existing surveillance assets, feeding the Shared Digital Registry; immediate response support to vessels in distress; and participation in the Deconfliction Hotline Network. The Umbrella operates in support of the corridor coordinators, never in command of them, and never inside their coordination decisions.</w:t>
      </w:r>
    </w:p>
    <w:p w14:paraId="10B73B22" w14:textId="77777777" w:rsidR="0027270B" w:rsidRDefault="00000000">
      <w:r>
        <w:t>20.3 The Umbrella carries four boundaries, each absolute. First, no interdiction: United States forces under the Umbrella execute no boarding, diversion, or inspection of commercial vessels, and the framework architecture prohibits the Umbrella from converting escort into control. Second, no blockade function: the Umbrella coexists only with the Synchronized Relief Track of Article 17, and the blockade drawdown proceeds on schedule regardless of escort operations. Third, no shore presence: the Umbrella deploys no personnel or equipment on the territory of any coastal state. Fourth, no permanence: the Umbrella sunsets under the step-down ladder of Annex L as the Integrated Patrol Rotation of the coastal states and their partners certifies readiness.</w:t>
      </w:r>
    </w:p>
    <w:p w14:paraId="606449F6" w14:textId="77777777" w:rsidR="0027270B" w:rsidRDefault="00000000">
      <w:r>
        <w:t>20.4 The step-down ladder binds both proof and relaxation. After the Day-30 Stability Audit certifies corridor performance, escort density halves. After the Day-60 audit certifies full operating capability, the Umbrella converts to on-call overwatch. After the Day-90 Consolidation Audit, the Umbrella sunsets, and maritime security rests with the Integrated Patrol Rotation under Article 26, Layer Four. Every step follows the audit metrics; none follows negotiation.</w:t>
      </w:r>
    </w:p>
    <w:p w14:paraId="02764E91" w14:textId="77777777" w:rsidR="0027270B" w:rsidRDefault="00000000">
      <w:r>
        <w:t>20.5 Umbrella operations feed the Shared Digital Registry in real time, on the same terms as every other performer. The GCC observers, the Neutral Watch Office, and the corridor coordinators see the same picture the Umbrella sees. Transparency is the price of trust, and the Umbrella pays it in full.</w:t>
      </w:r>
    </w:p>
    <w:p w14:paraId="0FB0CF3F" w14:textId="77777777" w:rsidR="0027270B" w:rsidRDefault="00000000">
      <w:pPr>
        <w:pStyle w:val="Heading2"/>
      </w:pPr>
      <w:bookmarkStart w:id="29" w:name="_Toc237648478"/>
      <w:r>
        <w:t>Article 21: Standoff Geometry and Naval Conduct</w:t>
      </w:r>
      <w:bookmarkEnd w:id="29"/>
    </w:p>
    <w:p w14:paraId="0D0B4AB5" w14:textId="77777777" w:rsidR="0027270B" w:rsidRDefault="00000000">
      <w:r>
        <w:t xml:space="preserve">21.1 Standoff geometry keeps military actors apart and military actors away from commercial traffic. Inside the Governance Area, naval vessels of different states maintain not less than two nautical miles of </w:t>
      </w:r>
      <w:r>
        <w:lastRenderedPageBreak/>
        <w:t>separation unless the Deconfliction Hotline Network agrees otherwise in advance. Naval vessels maintain not less than one nautical mile from commercial vessels in transit, and escort vessels observe the convoy spacing tables of Annex L.</w:t>
      </w:r>
    </w:p>
    <w:p w14:paraId="053DA952" w14:textId="77777777" w:rsidR="0027270B" w:rsidRDefault="00000000">
      <w:r>
        <w:t>21.2 Naval conduct inside the Governance Area follows four standing rules. No close-in maneuvering toward commercial traffic. No targeting behavior, illumination, or weapons-direction toward any vessel. No live-fire activity of any kind. Four-hour advance notification of exercises within fifty nautical miles of the Governance Area, posted to the Shared Digital Registry.</w:t>
      </w:r>
    </w:p>
    <w:p w14:paraId="29955EAC" w14:textId="77777777" w:rsidR="0027270B" w:rsidRDefault="00000000">
      <w:r>
        <w:t>21.3 A breach of standoff geometry triggers the Incident Ladder of Article 23 at Level One: bridge-to-bridge resolution on the spot, logged within one hour. Geometry breaches never justify unilateral escalation by any actor; they trigger procedure, and procedure de-escalates.</w:t>
      </w:r>
    </w:p>
    <w:p w14:paraId="625DA295" w14:textId="77777777" w:rsidR="0027270B" w:rsidRDefault="00000000">
      <w:pPr>
        <w:pStyle w:val="Heading2"/>
      </w:pPr>
      <w:bookmarkStart w:id="30" w:name="_Toc237648479"/>
      <w:r>
        <w:t>Article 22: The Deconfliction Hotline Network</w:t>
      </w:r>
      <w:bookmarkEnd w:id="30"/>
    </w:p>
    <w:p w14:paraId="3D330D83" w14:textId="77777777" w:rsidR="0027270B" w:rsidRDefault="00000000">
      <w:r>
        <w:t>22.1 The Deconfliction Hotline Network is a multi-node ring connecting the Iranian Navy and Revolutionary Guard maritime headquarters, the Royal Navy of Oman, the Joint Watch Floor, the United States Fifth Fleet, the GCC observer desk, and the Neutral Watch Office. Each node maintains a dedicated voice line, a dedicated data line, and a satellite fallback, staffed continuously.</w:t>
      </w:r>
    </w:p>
    <w:p w14:paraId="6A9A3D31" w14:textId="77777777" w:rsidR="0027270B" w:rsidRDefault="00000000">
      <w:r>
        <w:t>22.2 The Network answers every call within fifteen minutes, at every hour, every day. The Duty Officer of the Joint Watch Floor tests every line at 00:00 and 12:00 Muscat time daily and logs the results in the Shared Digital Registry. A node that fails two consecutive tests activates its satellite fallback and reports repair status within six hours.</w:t>
      </w:r>
    </w:p>
    <w:p w14:paraId="3A2A8281" w14:textId="77777777" w:rsidR="0027270B" w:rsidRDefault="00000000">
      <w:r>
        <w:t>22.3 The Network carries three traffic classes: routine coordination, incident response, and crisis consultation. Annex H states the protocols, call signs, languages, and recording rules. Every call logs to the Shared Digital Registry with timestamp and participants; transcripts of incident and crisis calls publish on the Transparency Portal within seventy-two hours, with operational-security redactions agreed by both corridor coordinators.</w:t>
      </w:r>
    </w:p>
    <w:p w14:paraId="0BDD5274" w14:textId="77777777" w:rsidR="0027270B" w:rsidRDefault="00000000">
      <w:r>
        <w:t>22.4 The Hotline Network operates independently of every dispute. No Participant suspends, degrades, or conditions hotline operations for any reason. The hotline is the framework's heartbeat, and the framework architecture protects it from every compliance consequence, dispute, and political event.</w:t>
      </w:r>
    </w:p>
    <w:p w14:paraId="44B0D979" w14:textId="77777777" w:rsidR="0027270B" w:rsidRDefault="00000000">
      <w:pPr>
        <w:pStyle w:val="Heading2"/>
      </w:pPr>
      <w:bookmarkStart w:id="31" w:name="_Toc237648480"/>
      <w:r>
        <w:t>Article 23: The Incident Ladder and Crisis Levels</w:t>
      </w:r>
      <w:bookmarkEnd w:id="31"/>
    </w:p>
    <w:p w14:paraId="4F93CCAD" w14:textId="77777777" w:rsidR="0027270B" w:rsidRDefault="00000000">
      <w:r>
        <w:t>23.1 Every incident inside the Governance Area climbs a pre-defined ladder, and every rung has an owner, a deadline, and an exit. The ladder de-escalates by design: each rung exists to resolve the incident before the next rung engages.</w:t>
      </w:r>
    </w:p>
    <w:p w14:paraId="741FDAE4" w14:textId="77777777" w:rsidR="0027270B" w:rsidRDefault="00000000">
      <w:pPr>
        <w:spacing w:after="100"/>
        <w:ind w:left="480" w:hanging="480"/>
      </w:pPr>
      <w:r>
        <w:rPr>
          <w:b/>
          <w:color w:val="3E6B8F"/>
        </w:rPr>
        <w:t xml:space="preserve">23.2  </w:t>
      </w:r>
      <w:r>
        <w:t>Level One, bridge-to-bridge. The masters and officers on the spot resolve the matter directly, with corridor-coordinator support on call. Deadline: resolution or logging within one hour.</w:t>
      </w:r>
    </w:p>
    <w:p w14:paraId="051D5910" w14:textId="77777777" w:rsidR="0027270B" w:rsidRDefault="00000000">
      <w:pPr>
        <w:spacing w:after="100"/>
        <w:ind w:left="480" w:hanging="480"/>
      </w:pPr>
      <w:r>
        <w:rPr>
          <w:b/>
          <w:color w:val="3E6B8F"/>
        </w:rPr>
        <w:t xml:space="preserve">23.3  </w:t>
      </w:r>
      <w:r>
        <w:t>Level Two, hotline exchange. The affected nodes of the Deconfliction Hotline Network exchange positions and intentions on a dedicated line. Deadline: exchange within thirty minutes of escalation, resolution target two hours.</w:t>
      </w:r>
    </w:p>
    <w:p w14:paraId="51EE7495" w14:textId="77777777" w:rsidR="0027270B" w:rsidRDefault="00000000">
      <w:pPr>
        <w:spacing w:after="100"/>
        <w:ind w:left="480" w:hanging="480"/>
      </w:pPr>
      <w:r>
        <w:rPr>
          <w:b/>
          <w:color w:val="3E6B8F"/>
        </w:rPr>
        <w:lastRenderedPageBreak/>
        <w:t xml:space="preserve">23.4  </w:t>
      </w:r>
      <w:r>
        <w:t>Level Three, director call. The directors of the corridor coordinators and, where military vessels are involved, the naval liaison officers of the affected states confer. Deadline: call within two hours, resolution target twelve hours.</w:t>
      </w:r>
    </w:p>
    <w:p w14:paraId="43FB53B1" w14:textId="77777777" w:rsidR="0027270B" w:rsidRDefault="00000000">
      <w:pPr>
        <w:spacing w:after="100"/>
        <w:ind w:left="480" w:hanging="480"/>
      </w:pPr>
      <w:r>
        <w:rPr>
          <w:b/>
          <w:color w:val="3E6B8F"/>
        </w:rPr>
        <w:t xml:space="preserve">23.5  </w:t>
      </w:r>
      <w:r>
        <w:t>Level Four, Emergency Council. The Council convenes an emergency session, in person at the Joint Watch Floor or by secure video. Deadline: session within twenty-four hours. The Emergency Council issues binding operational guidance for the incident, under the consensus-minus-the-affected-Participant rule.</w:t>
      </w:r>
    </w:p>
    <w:p w14:paraId="1BC685CB" w14:textId="77777777" w:rsidR="0027270B" w:rsidRDefault="00000000">
      <w:r>
        <w:t>23.6 Five crisis levels govern the framework's posture: Watch, Alert, Crisis, Severe Crisis, and Maximum. Entry into each level above Watch requires the concurrence stated in Annex I; each level carries a defined duration and a defined exit; and no level suspends commercial transit, the Humanitarian Bridge, or the hotline. The Corridor Emergency Override, invocable by any two Council members, freezes new military activity inside the Governance Area for seventy-two hours while the ladder runs. The Override pauses motion; it never closes the Strait.</w:t>
      </w:r>
    </w:p>
    <w:p w14:paraId="2A078414" w14:textId="77777777" w:rsidR="0027270B" w:rsidRDefault="00000000">
      <w:pPr>
        <w:pStyle w:val="Heading2"/>
      </w:pPr>
      <w:bookmarkStart w:id="32" w:name="_Toc237648481"/>
      <w:r>
        <w:t>Article 24: The False Flag and Attribution Protocol</w:t>
      </w:r>
      <w:bookmarkEnd w:id="32"/>
    </w:p>
    <w:p w14:paraId="7D62CA1B" w14:textId="77777777" w:rsidR="0027270B" w:rsidRDefault="00000000">
      <w:r>
        <w:t>24.1 Incidents of unknown origin, including attacks, explosions, interference, and spoofing, trigger the False Flag and Attribution Protocol before any compliance consequence attaches. The Protocol protects the framework from manipulation by third parties and protects every Participant from punishment for another's act.</w:t>
      </w:r>
    </w:p>
    <w:p w14:paraId="51F05BA7" w14:textId="77777777" w:rsidR="0027270B" w:rsidRDefault="00000000">
      <w:r>
        <w:t>24.2 The Protocol runs fourteen days. The Joint Watch Cell secures telemetry, radar tracks, automatic identification system records, satellite imagery, and physical evidence under chain of custody. A three-expert forensic panel, drawn from the Expert Pool of Article 47, examines the evidence and classifies the event into one of four categories: confirmed attribution, probable attribution, inconclusive, or manufactured event. The classification, with its evidence summary, enters the Shared Digital Registry and binds the compliance engine's response.</w:t>
      </w:r>
    </w:p>
    <w:p w14:paraId="0CF8FA9A" w14:textId="77777777" w:rsidR="0027270B" w:rsidRDefault="00000000">
      <w:r>
        <w:t>24.3 During the Protocol's run, a forty-eight-hour attribution-deferral window applies to every penalty: no compliance consequence activates against any Participant until the panel classifies the event. Rogue actors and manufactured events fall outside bilateral penalties entirely. The framework presumes good faith, demands evidence, and punishes only proven conduct.</w:t>
      </w:r>
    </w:p>
    <w:p w14:paraId="46B28CC2" w14:textId="77777777" w:rsidR="0027270B" w:rsidRDefault="00000000">
      <w:r>
        <w:t>24.4 An event classified as manufactured activates its own track: the Council convenes within forty-eight hours, the forensic record publishes in full, and the framework treats the manipulation attempt itself as the compliance event, attributed to whichever actor the evidence supports, including actors outside this Accord.</w:t>
      </w:r>
    </w:p>
    <w:p w14:paraId="4ACECBC3" w14:textId="77777777" w:rsidR="0027270B" w:rsidRDefault="00000000">
      <w:pPr>
        <w:pStyle w:val="Heading2"/>
      </w:pPr>
      <w:bookmarkStart w:id="33" w:name="_Toc237648482"/>
      <w:r>
        <w:t>Article 25: The Mine Exclusion and the Joint Survey Sequence</w:t>
      </w:r>
      <w:bookmarkEnd w:id="33"/>
    </w:p>
    <w:p w14:paraId="7A6BD725" w14:textId="77777777" w:rsidR="0027270B" w:rsidRDefault="00000000">
      <w:r>
        <w:t>25.1 Mines have no place in the Governance Area. The framework architecture classifies any emplacement of a naval mine inside the Governance Area as an Architectural Breach under Article 50, the highest tier of the compliance engine. This classification binds every actor, state or non-state, without exception.</w:t>
      </w:r>
    </w:p>
    <w:p w14:paraId="1629A872" w14:textId="77777777" w:rsidR="0027270B" w:rsidRDefault="00000000">
      <w:r>
        <w:lastRenderedPageBreak/>
        <w:t>25.2 The Joint Survey Sequence clears the median lane within thirty days of Blue Opening, matching the timeline under discussion in the August 2026 interim arrangement. The Sequence runs under Annex K: a Joint Survey Group of Iranian, Omani, and international mine-countermeasure specialists, coordinated through the Joint Watch Floor, with technical participation from the United Nations Mine Action Service and survey support from the International Hydrographic Organization.</w:t>
      </w:r>
    </w:p>
    <w:p w14:paraId="572FD695" w14:textId="77777777" w:rsidR="0027270B" w:rsidRDefault="00000000">
      <w:r>
        <w:t>25.3 The Sequence proceeds in three sweeps. Sweep One, days one to ten, surveys and maps the median lane. Sweep Two, days ten to twenty, clears identified hazards under paired supervision. Sweep Three, days twenty to thirty, verifies clearance and certifies the lane. The Neutral Watch Office observes every sweep, and the Shared Digital Registry logs every contact, every disposal, and every certification.</w:t>
      </w:r>
    </w:p>
    <w:p w14:paraId="614802AB" w14:textId="77777777" w:rsidR="0027270B" w:rsidRDefault="00000000">
      <w:r>
        <w:t>25.4 Upon certification, the Central Blue Buffer converts under Article 9.4 into a two-way medium-draft lane. Until certification, the Buffer serves emergency routing only, and the published corridor guidance marks it accordingly. Mine-risk alerts anywhere in the Governance Area trigger the Anomaly Response Playbook of Article 49: immediate broadcast, immediate diversion routing, and survey response within twenty-four hours.</w:t>
      </w:r>
    </w:p>
    <w:p w14:paraId="229B5395" w14:textId="77777777" w:rsidR="0027270B" w:rsidRDefault="00000000">
      <w:pPr>
        <w:pStyle w:val="Heading1"/>
      </w:pPr>
      <w:bookmarkStart w:id="34" w:name="_Toc237648483"/>
      <w:r>
        <w:lastRenderedPageBreak/>
        <w:t>PART V: THE GRADUATED LAYER ARCHITECTURE</w:t>
      </w:r>
      <w:bookmarkEnd w:id="34"/>
    </w:p>
    <w:p w14:paraId="3BE23F77" w14:textId="77777777" w:rsidR="0027270B" w:rsidRDefault="00000000">
      <w:pPr>
        <w:pStyle w:val="Heading2"/>
      </w:pPr>
      <w:bookmarkStart w:id="35" w:name="_Toc237648484"/>
      <w:r>
        <w:t>Article 26: The Five Blue Layers</w:t>
      </w:r>
      <w:bookmarkEnd w:id="35"/>
    </w:p>
    <w:p w14:paraId="71A984E1" w14:textId="77777777" w:rsidR="0027270B" w:rsidRDefault="00000000">
      <w:r>
        <w:t>26.1 The framework grows in five graduated layers, each building on the proven stability of the one before. Graduation follows the precedent of every successfully stabilized international strait: conflict-minimization, capability alignment, trust-building, regional buy-in, and risk gating. No layer leaps ahead of the stability beneath it, and the accelerated timeline of Article 27 compresses the intervals without ever skipping a gate.</w:t>
      </w:r>
    </w:p>
    <w:p w14:paraId="0F5BA4FA" w14:textId="77777777" w:rsidR="0027270B" w:rsidRDefault="00000000">
      <w:pPr>
        <w:spacing w:after="100"/>
        <w:ind w:left="480" w:hanging="480"/>
      </w:pPr>
      <w:r>
        <w:rPr>
          <w:b/>
          <w:color w:val="3E6B8F"/>
        </w:rPr>
        <w:t xml:space="preserve">26.2  </w:t>
      </w:r>
      <w:r>
        <w:t>Layer Zero, Visibility. Data pooling without authority change: fused radar and automatic identification system picture, shared weather and hazard bulletins, incident pings, and the Shared Digital Registry. Layer Zero activates at Blue Opening and locks at Hour 72.</w:t>
      </w:r>
    </w:p>
    <w:p w14:paraId="49D4BA66" w14:textId="77777777" w:rsidR="0027270B" w:rsidRDefault="00000000">
      <w:pPr>
        <w:spacing w:after="100"/>
        <w:ind w:left="480" w:hanging="480"/>
      </w:pPr>
      <w:r>
        <w:rPr>
          <w:b/>
          <w:color w:val="3E6B8F"/>
        </w:rPr>
        <w:t xml:space="preserve">26.3  </w:t>
      </w:r>
      <w:r>
        <w:t>Layer One, Routing. The three Blue Corridors live under file-and-acknowledge, the Blue Convoy Clock runs, the Hotline Network operates, and the corridor coordinators perform their functions. Layer One activates at Blue Opening and locks at Hour 72.</w:t>
      </w:r>
    </w:p>
    <w:p w14:paraId="00FFC203" w14:textId="77777777" w:rsidR="0027270B" w:rsidRDefault="00000000">
      <w:pPr>
        <w:spacing w:after="100"/>
        <w:ind w:left="480" w:hanging="480"/>
      </w:pPr>
      <w:r>
        <w:rPr>
          <w:b/>
          <w:color w:val="3E6B8F"/>
        </w:rPr>
        <w:t xml:space="preserve">26.4  </w:t>
      </w:r>
      <w:r>
        <w:t>Layer Two, Stewardship. The Blue Services Catalog activates at the end of the sixty-day interim toll-free period, the Hormuz Blue Services Fund begins operations, the Blue Flag certification and premium step-down engine runs, and environmental and welfare services reach full operation. Layer Two activates at Day 60.</w:t>
      </w:r>
    </w:p>
    <w:p w14:paraId="6EC2903B" w14:textId="77777777" w:rsidR="0027270B" w:rsidRDefault="00000000">
      <w:pPr>
        <w:spacing w:after="100"/>
        <w:ind w:left="480" w:hanging="480"/>
      </w:pPr>
      <w:r>
        <w:rPr>
          <w:b/>
          <w:color w:val="3E6B8F"/>
        </w:rPr>
        <w:t xml:space="preserve">26.5  </w:t>
      </w:r>
      <w:r>
        <w:t>Layer Three, Oversight. The full Cothrom Blue verification architecture reaches continuous operation: service claims and adversarial review, the compliance engine, the audit cycle, and the Transparency Portals at full data depth. Layer Three activates at Day 45 in preparation and reaches full operation at Day 60.</w:t>
      </w:r>
    </w:p>
    <w:p w14:paraId="3924088B" w14:textId="77777777" w:rsidR="0027270B" w:rsidRDefault="00000000">
      <w:pPr>
        <w:spacing w:after="100"/>
        <w:ind w:left="480" w:hanging="480"/>
      </w:pPr>
      <w:r>
        <w:rPr>
          <w:b/>
          <w:color w:val="3E6B8F"/>
        </w:rPr>
        <w:t xml:space="preserve">26.6  </w:t>
      </w:r>
      <w:r>
        <w:t>Layer Four, Charter. The Integrated Patrol Rotation of the coastal states and their partners assumes maritime security as the Transitional Security Umbrella sunsets, the permanent institutions reach full staffing, the median lane operates as a certified two-way lane, and the Accord enters permanent standing. Layer Four locks at the Day-90 Consolidation Audit.</w:t>
      </w:r>
    </w:p>
    <w:p w14:paraId="36688B19" w14:textId="77777777" w:rsidR="0027270B" w:rsidRDefault="00000000">
      <w:r>
        <w:t>26.7 Each layer, once locked, locks permanently under the Forward Drift Archive of Article 52. Setbacks affect tempo, never ground. A dispute in Layer Three never reopens Layer One. The Strait, once open under this Accord, stays open.</w:t>
      </w:r>
    </w:p>
    <w:p w14:paraId="63AD0650" w14:textId="77777777" w:rsidR="0027270B" w:rsidRDefault="00000000">
      <w:pPr>
        <w:pStyle w:val="Heading2"/>
      </w:pPr>
      <w:bookmarkStart w:id="36" w:name="_Toc237648485"/>
      <w:r>
        <w:t>Article 27: Stability Gating and the Acceleration Clause</w:t>
      </w:r>
      <w:bookmarkEnd w:id="36"/>
    </w:p>
    <w:p w14:paraId="7FD808CB" w14:textId="77777777" w:rsidR="0027270B" w:rsidRDefault="00000000">
      <w:r>
        <w:t>27.1 Every layer transition passes through a stability gate. A gate opens when the Neutral Watch Office certifies, on the metrics of Annex D, that the current layer operates inside its stability bands: incident rates, corridor adherence, hotline performance, data quality, and dispute velocity. Gate metrics measure performance, never politics, and the certification standard never changes with circumstance.</w:t>
      </w:r>
    </w:p>
    <w:p w14:paraId="1DD65CDE" w14:textId="77777777" w:rsidR="0027270B" w:rsidRDefault="00000000">
      <w:r>
        <w:t xml:space="preserve">27.2 The master timeline runs: Blue Opening at Hour 72; Gate One, first Stability Audit, at Day 14; Gate Two, median-lane clearance certification, at Day 30; Gate Three, Layer Three preparation, at Day 45; Gate </w:t>
      </w:r>
      <w:r>
        <w:lastRenderedPageBreak/>
        <w:t>Four, Layer Two activation and end of the interim toll-free period, at Day 60; Gate Five, Consolidation Audit and Layer Four lock, at Day 90. Annex D states every gate, every metric, and every owner.</w:t>
      </w:r>
    </w:p>
    <w:p w14:paraId="43B573B6" w14:textId="77777777" w:rsidR="0027270B" w:rsidRDefault="00000000">
      <w:r>
        <w:t>27.3 The Emergency Acceleration Clause compresses the schedule by up to fifty percent when the Joint Watch Floor and the Neutral Watch Office jointly certify that every stability metric for the affected gates already performs inside its band for seven consecutive days. Compression never relaxes a metric; it only removes waiting time. Acceleration is self-executing on joint certification and needs no vote.</w:t>
      </w:r>
    </w:p>
    <w:p w14:paraId="2324D666" w14:textId="77777777" w:rsidR="0027270B" w:rsidRDefault="00000000">
      <w:r>
        <w:t>27.4 The timeline never trades proof for haste. Where a metric fails, the gate holds, the framework continues operating at its current layer, and the failed metric enters a fourteen-day remediation sprint with published daily progress. The Strait stays open throughout, because openness locked at Hour 72 and never re-locks.</w:t>
      </w:r>
    </w:p>
    <w:p w14:paraId="5741D341" w14:textId="77777777" w:rsidR="0027270B" w:rsidRDefault="00000000">
      <w:pPr>
        <w:pStyle w:val="Heading2"/>
      </w:pPr>
      <w:bookmarkStart w:id="37" w:name="_Toc237648486"/>
      <w:r>
        <w:t>Article 28: The Pilot Audits</w:t>
      </w:r>
      <w:bookmarkEnd w:id="37"/>
    </w:p>
    <w:p w14:paraId="13525A67" w14:textId="77777777" w:rsidR="0027270B" w:rsidRDefault="00000000">
      <w:r>
        <w:t>28.1 Two Stability Audits and one Consolidation Audit measure the framework's health across five domains: navigation and corridor adherence; security and deconfliction; monitoring and data integrity; finance and service delivery; and environment and welfare. Annex D states the full metric set, the measurement method, and the stability band for every metric.</w:t>
      </w:r>
    </w:p>
    <w:p w14:paraId="5962E993" w14:textId="77777777" w:rsidR="0027270B" w:rsidRDefault="00000000">
      <w:r>
        <w:t>28.2 The Day-14 Stability Audit measures the opening: convoy performance, filing latency, acknowledgment compliance, hotline answer times, and incident counts. The Day-30 Stability Audit measures the system: median-lane clearance, corridor adherence, diversion handling, insurer confidence indicators, and dispute velocity. The Day-90 Consolidation Audit measures permanence: every metric at full operating load for thirty consecutive days.</w:t>
      </w:r>
    </w:p>
    <w:p w14:paraId="42A7832B" w14:textId="77777777" w:rsidR="0027270B" w:rsidRDefault="00000000">
      <w:r>
        <w:t>28.3 The Neutral Watch Office conducts every audit with paired multinational observer teams under Article 36, publishes every audit in full on the Transparency Portal within seventy-two hours of completion, and presents every audit to the Council with a plain-language summary. Audit findings feed the compliance engine as evidence, never as accusation.</w:t>
      </w:r>
    </w:p>
    <w:p w14:paraId="2F5FEF80" w14:textId="77777777" w:rsidR="0027270B" w:rsidRDefault="00000000">
      <w:r>
        <w:t>28.4 An audit that finds a metric outside its band triggers remediation, not blame: the responsible organ files a remediation plan within seven days, executes it within fourteen, and the metric re-measures at the end of the sprint. The framework treats every failed metric as an engineering problem, and engineers it back inside the band.</w:t>
      </w:r>
    </w:p>
    <w:p w14:paraId="0E73C40A" w14:textId="77777777" w:rsidR="0027270B" w:rsidRDefault="00000000">
      <w:pPr>
        <w:pStyle w:val="Heading1"/>
      </w:pPr>
      <w:bookmarkStart w:id="38" w:name="_Toc237648487"/>
      <w:r>
        <w:lastRenderedPageBreak/>
        <w:t>PART VI: THE INSTITUTIONAL ARCHITECTURE</w:t>
      </w:r>
      <w:bookmarkEnd w:id="38"/>
    </w:p>
    <w:p w14:paraId="0A347280" w14:textId="77777777" w:rsidR="0027270B" w:rsidRDefault="00000000">
      <w:pPr>
        <w:pStyle w:val="Heading2"/>
      </w:pPr>
      <w:bookmarkStart w:id="39" w:name="_Toc237648488"/>
      <w:r>
        <w:t>Article 29: The Blue Passage Authority</w:t>
      </w:r>
      <w:bookmarkEnd w:id="39"/>
    </w:p>
    <w:p w14:paraId="19195B30" w14:textId="77777777" w:rsidR="0027270B" w:rsidRDefault="00000000">
      <w:r>
        <w:t>29.1 The Parties establish the Blue Passage Authority as the standing institution of this Accord. The Authority holds international legal personality in the measure each Participant's law allows, operates under this Accord and its Annexes, and performs the coordination, verification, financial, and transparency functions the Accord assigns. The Authority owns no enforcement arm, commands no force, and holds no power over any Participant's sovereign decisions.</w:t>
      </w:r>
    </w:p>
    <w:p w14:paraId="7CCC0D3C" w14:textId="77777777" w:rsidR="0027270B" w:rsidRDefault="00000000">
      <w:r>
        <w:t>29.2 The Authority comprises five organs: the Council, the Secretariat, the Joint Watch Floor with its Mirror Floor, the Transit Desk, and the Neutral Watch Office. Article 33 governs the Council; Article 35 governs the Secretariat; Article 30 governs the Watch Floors; Article 31 governs the Transit Desk; Article 32 governs the Neutral Watch Office.</w:t>
      </w:r>
    </w:p>
    <w:p w14:paraId="3B24BDF8" w14:textId="77777777" w:rsidR="0027270B" w:rsidRDefault="00000000">
      <w:r>
        <w:t>29.3 The Authority seats itself in Muscat, Sultanate of Oman, with the Mirror Floor in Bandar Abbas, Islamic Republic of Iran. The seat choice honors Oman's role as Mediator of Record and trusted anchor, and the mirror honors the coastal partnership at the heart of this Accord. Each site enjoys the inviolability its functions deserve, and each Participant's law extends to the Authority the privileges and immunities its operations require.</w:t>
      </w:r>
    </w:p>
    <w:p w14:paraId="0B98A0A6" w14:textId="77777777" w:rsidR="0027270B" w:rsidRDefault="00000000">
      <w:r>
        <w:t>29.4 The Authority staffs lean. Annex O caps the establishment at levels the budget proves sustainable: the framework prefers automation, shared national seconds, and remote participation over headcount. Every post publishes on the Transparency Portal with its job description and its cost.</w:t>
      </w:r>
    </w:p>
    <w:p w14:paraId="7957B3B4" w14:textId="77777777" w:rsidR="0027270B" w:rsidRDefault="00000000">
      <w:pPr>
        <w:pStyle w:val="Heading2"/>
      </w:pPr>
      <w:bookmarkStart w:id="40" w:name="_Toc237648489"/>
      <w:r>
        <w:t>Article 30: The Joint Watch Floor and the Mirror Floor</w:t>
      </w:r>
      <w:bookmarkEnd w:id="40"/>
    </w:p>
    <w:p w14:paraId="3495F175" w14:textId="77777777" w:rsidR="0027270B" w:rsidRDefault="00000000">
      <w:r>
        <w:t>30.1 The Joint Watch Floor in Khasab, on Oman's Musandam Peninsula overlooking the Strait, serves as the operational heart of the framework. It hosts the fused radar and automatic identification system picture, the Shared Digital Registry's primary node, the Deconfliction Hotline Network's central desk, and the duty stations of both corridor coordinators. The Mirror Floor in Bandar Abbas holds identical systems, identical data, and identical authority, so that either floor operates the framework alone if the other degrades.</w:t>
      </w:r>
    </w:p>
    <w:p w14:paraId="775CF316" w14:textId="77777777" w:rsidR="0027270B" w:rsidRDefault="00000000">
      <w:r>
        <w:t>30.2 The two floors synchronize continuously. Every log entry, every alert, every filing, and every acknowledgment replicates to both floors within sixty seconds, with a one-hour failover guarantee. The data identicality rule is absolute: no floor sees a picture the other does not see, and no Participant receives a feed the other does not receive.</w:t>
      </w:r>
    </w:p>
    <w:p w14:paraId="43E68E2D" w14:textId="77777777" w:rsidR="0027270B" w:rsidRDefault="00000000">
      <w:r>
        <w:t>30.3 Each floor staffs around the clock with paired national teams: Iranian and Omani watch officers on every shift, plus the standing GCC observer and the Neutral Watch Office duty officer. Shift rosters publish monthly. The paired-staffing rule means no watch ever stands under one flag alone.</w:t>
      </w:r>
    </w:p>
    <w:p w14:paraId="7EE91F7F" w14:textId="77777777" w:rsidR="0027270B" w:rsidRDefault="00000000">
      <w:pPr>
        <w:pStyle w:val="Heading2"/>
      </w:pPr>
      <w:bookmarkStart w:id="41" w:name="_Toc237648490"/>
      <w:r>
        <w:lastRenderedPageBreak/>
        <w:t>Article 31: The Transit Desk</w:t>
      </w:r>
      <w:bookmarkEnd w:id="41"/>
    </w:p>
    <w:p w14:paraId="506A5275" w14:textId="77777777" w:rsidR="0027270B" w:rsidRDefault="00000000">
      <w:r>
        <w:t>31.1 The Transit Desk runs the daily business of the Strait: Filings and acknowledgments under Article 12, the Blue Convoy Clock under Article 16, diversion logging under Article 10, service scheduling under the Blue Services Catalog, and the Seafarer Desk under Article 14. The Transit Desk operates from the Joint Watch Floor with a mirror team in Bandar Abbas.</w:t>
      </w:r>
    </w:p>
    <w:p w14:paraId="19EA2E25" w14:textId="77777777" w:rsidR="0027270B" w:rsidRDefault="00000000">
      <w:r>
        <w:t>31.2 The Transit Desk publishes a one-page Daily Strait Note every day at 06:00 Muscat time: convoy windows, weather and hazard summary, service availability, incident log summary, and any active advisories. The Note goes to every filing agent, every shipping line subscriber, every insurer subscriber, and every Participant, and posts to the Transparency Portal.</w:t>
      </w:r>
    </w:p>
    <w:p w14:paraId="47F8FA89" w14:textId="77777777" w:rsidR="0027270B" w:rsidRDefault="00000000">
      <w:r>
        <w:t>31.3 The Transit Desk holds no discretion over passage. It schedules, coordinates, informs, and records. It never approves, never denies, and never conditions. Its service standard is speed: ninety-five percent of Filings acknowledged within fifteen minutes, and every Filing within sixty.</w:t>
      </w:r>
    </w:p>
    <w:p w14:paraId="35B04358" w14:textId="77777777" w:rsidR="0027270B" w:rsidRDefault="00000000">
      <w:pPr>
        <w:pStyle w:val="Heading2"/>
      </w:pPr>
      <w:bookmarkStart w:id="42" w:name="_Toc237648491"/>
      <w:r>
        <w:t>Article 32: The Neutral Watch Office</w:t>
      </w:r>
      <w:bookmarkEnd w:id="42"/>
    </w:p>
    <w:p w14:paraId="46145E2F" w14:textId="77777777" w:rsidR="0027270B" w:rsidRDefault="00000000">
      <w:r>
        <w:t>32.1 The Neutral Watch Office is the framework's independent verification and audit body. It conducts the Cothrom Blue verification procedures of Part IX, observes every Twin Key pairing, applies the Perimeter Test of Article 7, conducts the audits of Article 28, and certifies the gates of Article 27. Its findings bind the compliance engine's classification of events, and its certifications release the schedule's locks.</w:t>
      </w:r>
    </w:p>
    <w:p w14:paraId="166E1B66" w14:textId="77777777" w:rsidR="0027270B" w:rsidRDefault="00000000">
      <w:r>
        <w:t>32.2 The Office staffs from nationals of states that hold no coastal position in the Strait, drawn from the accredited pools of Article 47: Switzerland as pool coordinator, plus technical experts from maritime and neutral states under Annex J. Its Director serves a non-renewable five-year term, appointed by Council consensus, and answers to this Accord alone. No Participant tasks, directs, or instructs the Office, and the Office's Intelligence Integrity Protocol bars political tasking of any kind: sources are named, custody is logged, and findings follow evidence.</w:t>
      </w:r>
    </w:p>
    <w:p w14:paraId="191DE83B" w14:textId="77777777" w:rsidR="0027270B" w:rsidRDefault="00000000">
      <w:r>
        <w:t>32.3 The Office's budget stands outside every step-back: Article 51 protects verification funding from every compliance consequence, so that no dispute ever blinds the framework. The Office publishes an annual independence statement, listing every contact with every Participant's political organs.</w:t>
      </w:r>
    </w:p>
    <w:p w14:paraId="2B62E08C" w14:textId="77777777" w:rsidR="0027270B" w:rsidRDefault="00000000">
      <w:pPr>
        <w:pStyle w:val="Heading2"/>
      </w:pPr>
      <w:bookmarkStart w:id="43" w:name="_Toc237648492"/>
      <w:r>
        <w:t>Article 33: The Council and Decision Rules</w:t>
      </w:r>
      <w:bookmarkEnd w:id="43"/>
    </w:p>
    <w:p w14:paraId="0B4D2EC8" w14:textId="77777777" w:rsidR="0027270B" w:rsidRDefault="00000000">
      <w:r>
        <w:t>33.1 The Council is the framework's political organ. Its membership: the Coastal Principals, Iran and Oman, holding the Twin Key; the GCC Observer Members, Bahrain, Kuwait, Qatar, Saudi Arabia, and the United Arab Emirates, seated as observers with full speaking rights and monitoring access; Iraq as Observer Member; the Endorsing Stakeholders, including the United States, seated under Article 34; and the Technical Participants seated under Article 34 without vote.</w:t>
      </w:r>
    </w:p>
    <w:p w14:paraId="2B0872EB" w14:textId="77777777" w:rsidR="0027270B" w:rsidRDefault="00000000">
      <w:r>
        <w:t>33.2 The Council meets monthly in ordinary session, alternating between Muscat and Bandar Abbas, and in emergency session under Article 23.5. The Chair rotates annually between the Coastal Principals, beginning with Oman. Every session publishes its agenda seventy-two hours in advance and its decisions within twenty-four hours after.</w:t>
      </w:r>
    </w:p>
    <w:p w14:paraId="7E2D670D" w14:textId="77777777" w:rsidR="0027270B" w:rsidRDefault="00000000">
      <w:r>
        <w:lastRenderedPageBreak/>
        <w:t>33.3 Decision rules grade by consequence. Ordinary decisions pass by consensus of the Coastal Principals with no sustained objection from any Observer Member; silence for seventy-two hours after circulation counts as non-objection, and the framework contains no pocket veto. Substantive decisions, including budget, rate card, and annex updates, pass by consensus minus one: every Participant concurring except at most one, with the affected Participant's vote excluded where the decision concerns that Participant's conduct. Corridor-altering decisions require the Twin Key: active concurrence of both Coastal Principals. Critical decisions under Article 70 require a two-thirds supermajority of the Council including both Coastal Principals.</w:t>
      </w:r>
    </w:p>
    <w:p w14:paraId="2ED75B14" w14:textId="77777777" w:rsidR="0027270B" w:rsidRDefault="00000000">
      <w:r>
        <w:t>33.4 The Council's decisions bind the framework's organs. They bind no Participant's sovereign functions outside this Accord. The Council governs the framework; it governs no state.</w:t>
      </w:r>
    </w:p>
    <w:p w14:paraId="16CDE3C3" w14:textId="77777777" w:rsidR="0027270B" w:rsidRDefault="00000000">
      <w:pPr>
        <w:pStyle w:val="Heading2"/>
      </w:pPr>
      <w:bookmarkStart w:id="44" w:name="_Toc237648493"/>
      <w:r>
        <w:t>Article 34: Observers, Endorsing Stakeholders, Technical Participants, and Guarantors</w:t>
      </w:r>
      <w:bookmarkEnd w:id="44"/>
    </w:p>
    <w:p w14:paraId="73A76CFA" w14:textId="77777777" w:rsidR="0027270B" w:rsidRDefault="00000000">
      <w:r>
        <w:t>34.1 Observer Members receive the full fused picture, attend the Council with speaking rights, seat observers at the Joint Watch Floor, and join audits and reviews. Observer status carries no vote and no coordination function; it carries complete transparency, which this framework treats as the stronger power.</w:t>
      </w:r>
    </w:p>
    <w:p w14:paraId="790CBB69" w14:textId="77777777" w:rsidR="0027270B" w:rsidRDefault="00000000">
      <w:r>
        <w:t>34.2 Endorsing Stakeholders are states whose participation strengthens the framework without placing them in command of it. The United States sits as an Endorsing Stakeholder: it receives the fused picture and observer access to monitoring and deconfliction channels, performs the Transitional Security Umbrella functions of Article 20 during Phase One, and holds neither vote nor coordination function. The role is bounded by design: verification, monitoring, deconfliction, and escort during the transition, nothing more. Other major user states, including China, India, Japan, the Republic of Korea, and the European Union and its member states, accede as Endorsing Stakeholders under Annex Q on the same bounded terms.</w:t>
      </w:r>
    </w:p>
    <w:p w14:paraId="787EB070" w14:textId="77777777" w:rsidR="0027270B" w:rsidRDefault="00000000">
      <w:r>
        <w:t>34.3 Technical Participants contribute expertise without political standing: the International Maritime Organization, the International Hydrographic Organization, the United Nations Mine Action Service, the International Chamber of Shipping, and the Protection and Indemnity clubs' nominated liaison. Technical Participants advise, observe, and certify within their mandates; they hold no vote.</w:t>
      </w:r>
    </w:p>
    <w:p w14:paraId="2F43BE49" w14:textId="77777777" w:rsidR="0027270B" w:rsidRDefault="00000000">
      <w:r>
        <w:t>34.4 Guarantors are states that lend their good offices to the framework's durability: the People's Republic of China and the Russian Federation, joined by the Swiss Confederation in its distinct capacity as Financial Custodian under Article 39. The Guarantor Matrix convenes only when the compliance engine refers a matter under Article 50 or Article 53, and its function is political judgment and good offices, never command. Pakistan anchors the political track of the Intermediary Bridge of Article 58, and Qatar anchors its financial track; both sit with the Council in their bridge capacities.</w:t>
      </w:r>
    </w:p>
    <w:p w14:paraId="54E7CB43" w14:textId="77777777" w:rsidR="0027270B" w:rsidRDefault="00000000">
      <w:r>
        <w:t>34.5 Every role under this Article comes with the same standing rule: transparency flows to all, authority stays paired, and no seat converts into leverage over passage.</w:t>
      </w:r>
    </w:p>
    <w:p w14:paraId="5B6DB3E3" w14:textId="77777777" w:rsidR="0027270B" w:rsidRDefault="00000000">
      <w:pPr>
        <w:pStyle w:val="Heading2"/>
      </w:pPr>
      <w:bookmarkStart w:id="45" w:name="_Toc237648494"/>
      <w:r>
        <w:t>Article 35: The Secretariat</w:t>
      </w:r>
      <w:bookmarkEnd w:id="45"/>
    </w:p>
    <w:p w14:paraId="1A9AF08C" w14:textId="77777777" w:rsidR="0027270B" w:rsidRDefault="00000000">
      <w:r>
        <w:t xml:space="preserve">35.1 The Secretariat serves the framework's memory and continuity. It maintains the Shared Digital Registry, the Transparency Portals, the document archive, the language services, and the meeting </w:t>
      </w:r>
      <w:r>
        <w:lastRenderedPageBreak/>
        <w:t>machinery of every organ. Its Director serves under Council appointment by consensus, with a staff drawn from the Participants on balanced nomination.</w:t>
      </w:r>
    </w:p>
    <w:p w14:paraId="450ADF9C" w14:textId="77777777" w:rsidR="0027270B" w:rsidRDefault="00000000">
      <w:r>
        <w:rPr>
          <w:rFonts w:cs="Calibri"/>
          <w:szCs w:val="21"/>
        </w:rPr>
        <w:t>35.2 The Secretariat runs the standing daily coordination call at 08:00 Muscat time, connecting the corridor coordinators, the Transit Desk, the Joint Watch Floor duty officers, and the Neutral Watch Office. Each desk files a one-page status note before the call; stalled items escalate to the Council within forty-eight hours. The call and the notes keep the framework's pulse visible and its blockages brief.</w:t>
      </w:r>
    </w:p>
    <w:p w14:paraId="4D3138B7" w14:textId="77777777" w:rsidR="0027270B" w:rsidRDefault="00000000">
      <w:r>
        <w:rPr>
          <w:rFonts w:cs="Calibri"/>
          <w:szCs w:val="21"/>
        </w:rPr>
        <w:t>35.3 The Secretariat never decides. It records, publishes, translates, convenes, and reminds. Continuity is its product: the framework survives elections, crises, and personnel changes because the Secretariat holds the institutional memory that politics cannot.</w:t>
      </w:r>
    </w:p>
    <w:p w14:paraId="7459A489" w14:textId="77777777" w:rsidR="0027270B" w:rsidRDefault="00000000">
      <w:pPr>
        <w:pStyle w:val="Heading2"/>
      </w:pPr>
      <w:bookmarkStart w:id="46" w:name="_Toc237648495"/>
      <w:r>
        <w:rPr>
          <w:rFonts w:cs="Calibri"/>
          <w:szCs w:val="25"/>
        </w:rPr>
        <w:t>Article 36: The Paired-Lantern Observation Compact</w:t>
      </w:r>
      <w:bookmarkEnd w:id="46"/>
    </w:p>
    <w:p w14:paraId="2E0A16BA" w14:textId="77777777" w:rsidR="0027270B" w:rsidRDefault="00000000">
      <w:r>
        <w:rPr>
          <w:rFonts w:cs="Calibri"/>
          <w:szCs w:val="21"/>
        </w:rPr>
        <w:t>36.1 The Paired-Lantern Observation Compact places each side's observers inside the other's operations, so that watching runs in both directions at all times. Under the Compact, Iranian observers stand duty on Omani coordination platforms and at the Khasab floor, and Omani observers stand duty on Iranian coordination platforms and at the Bandar Abbas Mirror Floor, in matched pairs, on twenty-four-hour rotations, with identical access to the systems they observe.</w:t>
      </w:r>
    </w:p>
    <w:p w14:paraId="5416BA41" w14:textId="77777777" w:rsidR="0027270B" w:rsidRDefault="00000000">
      <w:r>
        <w:rPr>
          <w:rFonts w:cs="Calibri"/>
          <w:szCs w:val="21"/>
        </w:rPr>
        <w:t>36.2 Each lantern pair observes, logs, and reports. The pairs hold no command function and no coordination function; they hold the mirror. Their logs feed the Shared Digital Registry directly, and neither coordinator filters, delays, or edits them. Each lantern sees what the other lantern sees, and every Participant sees what the lanterns log.</w:t>
      </w:r>
    </w:p>
    <w:p w14:paraId="06F443E8" w14:textId="77777777" w:rsidR="0027270B" w:rsidRDefault="00000000">
      <w:r>
        <w:rPr>
          <w:rFonts w:cs="Calibri"/>
          <w:szCs w:val="21"/>
        </w:rPr>
        <w:t>36.3 The Compact extends to audits, surveys, and inspections: every Neutral Watch Office activity inside the Governance Area runs with a lantern pair embarked or embedded, so that verification itself operates under mutual observation. Verification without mutual observation breeds suspicion; the Compact engineers suspicion out of the system.</w:t>
      </w:r>
    </w:p>
    <w:p w14:paraId="63DDCB29" w14:textId="77777777" w:rsidR="0027270B" w:rsidRDefault="00000000">
      <w:r>
        <w:rPr>
          <w:rFonts w:cs="Calibri"/>
          <w:szCs w:val="21"/>
        </w:rPr>
        <w:t>36.4 Lantern personnel enjoy the inviolability of their function. The framework architecture prohibits interference with, intimidation of, or retaliation against lantern personnel by any Participant, and classifies any such act as a Tier Two compliance event under Article 50. The lantern that watches freely is the framework's cheapest security guarantee.</w:t>
      </w:r>
    </w:p>
    <w:p w14:paraId="4EC7C05B" w14:textId="77777777" w:rsidR="0027270B" w:rsidRDefault="00000000">
      <w:pPr>
        <w:pStyle w:val="Heading1"/>
      </w:pPr>
      <w:bookmarkStart w:id="47" w:name="_Toc237648496"/>
      <w:r>
        <w:rPr>
          <w:rFonts w:cs="Calibri"/>
          <w:szCs w:val="30"/>
        </w:rPr>
        <w:lastRenderedPageBreak/>
        <w:t>PART VII: THE FINANCIAL ARCHITECTURE</w:t>
      </w:r>
      <w:bookmarkEnd w:id="47"/>
    </w:p>
    <w:p w14:paraId="602B4271" w14:textId="77777777" w:rsidR="0027270B" w:rsidRDefault="00000000">
      <w:pPr>
        <w:pStyle w:val="Heading2"/>
      </w:pPr>
      <w:bookmarkStart w:id="48" w:name="_Toc237648497"/>
      <w:r>
        <w:rPr>
          <w:rFonts w:cs="Calibri"/>
          <w:szCs w:val="25"/>
        </w:rPr>
        <w:t>Article 37: The Zero-Toll Rule</w:t>
      </w:r>
      <w:bookmarkEnd w:id="48"/>
    </w:p>
    <w:p w14:paraId="76A0CBA7" w14:textId="77777777" w:rsidR="0027270B" w:rsidRDefault="00000000">
      <w:r>
        <w:rPr>
          <w:rFonts w:cs="Calibri"/>
          <w:szCs w:val="21"/>
        </w:rPr>
        <w:t>37.1 The Zero-Toll Rule is absolute. The framework architecture prohibits every charge, levy, fee, duty, toll, or payment of any kind that functions as a condition or price of passage through the Governance Area, under every name, in every currency, through every channel, at every time. No Participant imposes one, no organ of this Accord collects one, and no private actor acting under this Accord's systems demands one.</w:t>
      </w:r>
    </w:p>
    <w:p w14:paraId="11B1C75F" w14:textId="77777777" w:rsidR="0027270B" w:rsidRDefault="00000000">
      <w:r>
        <w:rPr>
          <w:rFonts w:cs="Calibri"/>
          <w:szCs w:val="21"/>
        </w:rPr>
        <w:t>37.2 The Rule binds every flow state: peace, tension, crisis, dispute, and transition. It survives every compliance event, because Article 51 never touches it. It survives every amendment, because Article 70 classifies it as critical. It binds successors, because accession under Annex Q accepts it as a precondition.</w:t>
      </w:r>
    </w:p>
    <w:p w14:paraId="6C3A4B2B" w14:textId="77777777" w:rsidR="0027270B" w:rsidRDefault="00000000">
      <w:r>
        <w:rPr>
          <w:rFonts w:cs="Calibri"/>
          <w:szCs w:val="21"/>
        </w:rPr>
        <w:t>37.3 The sixty-day interim period from Blue Opening operates entirely charge-free: no tolls, no service charges, no contributions of any kind attach to transit. From Day 60, the Service Distinction of Article 38 governs. The interim period matches the arrangement under discussion among the United States, Iran, and Oman in August 2026, and this Accord makes the principle permanent.</w:t>
      </w:r>
    </w:p>
    <w:p w14:paraId="1362B1A7" w14:textId="77777777" w:rsidR="0027270B" w:rsidRDefault="00000000">
      <w:r>
        <w:rPr>
          <w:rFonts w:cs="Calibri"/>
          <w:szCs w:val="21"/>
        </w:rPr>
        <w:t>37.4 The Rule protects the world's other straits as much as this one. It creates no precedent for charging passage anywhere, and every Participant, insurer, and operator relies on that protection. Passage is free. Services carry reimbursement. The two never merge.</w:t>
      </w:r>
    </w:p>
    <w:p w14:paraId="4C45FF0D" w14:textId="77777777" w:rsidR="0027270B" w:rsidRDefault="00000000">
      <w:pPr>
        <w:pStyle w:val="Heading2"/>
      </w:pPr>
      <w:bookmarkStart w:id="49" w:name="_Toc237648498"/>
      <w:r>
        <w:rPr>
          <w:rFonts w:cs="Calibri"/>
          <w:szCs w:val="25"/>
        </w:rPr>
        <w:t>Article 38: The Service Distinction and the Blue Services Catalog</w:t>
      </w:r>
      <w:bookmarkEnd w:id="49"/>
    </w:p>
    <w:p w14:paraId="34567615" w14:textId="77777777" w:rsidR="0027270B" w:rsidRDefault="00000000">
      <w:r>
        <w:rPr>
          <w:rFonts w:cs="Calibri"/>
          <w:szCs w:val="21"/>
        </w:rPr>
        <w:t>38.1 The Service Distinction separates passage from services. Passage is free under Article 37. A service is a specific, genuine, verifiable act that a vessel or operator requests or consumes: traffic coordination beyond baseline, pilotage, towage, environmental monitoring beyond baseline, search and rescue readiness allocation, emergency response, data products, and welfare services. Services carry reimbursement at audited cost, never at market rent, never at political price.</w:t>
      </w:r>
    </w:p>
    <w:p w14:paraId="73FCCDBB" w14:textId="77777777" w:rsidR="0027270B" w:rsidRDefault="00000000">
      <w:r>
        <w:rPr>
          <w:rFonts w:cs="Calibri"/>
          <w:szCs w:val="21"/>
        </w:rPr>
        <w:t>38.2 The Blue Services Catalog in Annex E states the complete, closed list of chargeable services. The list is closed: no organ adds a service except through the annex-update procedure of Article 70 with Twin Key concurrence, and the Perimeter Test screens every proposed addition against the Zero-Toll Rule before adoption. Every service on the Catalog carries a published rate, a cost basis, an evidence standard, and a delivery record.</w:t>
      </w:r>
    </w:p>
    <w:p w14:paraId="446D716D" w14:textId="77777777" w:rsidR="0027270B" w:rsidRDefault="00000000">
      <w:r>
        <w:rPr>
          <w:rFonts w:cs="Calibri"/>
          <w:szCs w:val="21"/>
        </w:rPr>
        <w:t>38.3 Every service operates on request or consumption, never on transit. A vessel that transits without requesting or consuming a Catalog service pays nothing, to anyone, ever. Baseline coordination, the Filing, the acknowledgment, the corridor guidance, the Blue Beacon, and the non-interdiction protection of Article 13 cost nothing today and cost nothing forever.</w:t>
      </w:r>
    </w:p>
    <w:p w14:paraId="35A52B0E" w14:textId="77777777" w:rsidR="0027270B" w:rsidRDefault="00000000">
      <w:r>
        <w:rPr>
          <w:rFonts w:cs="Calibri"/>
          <w:szCs w:val="21"/>
        </w:rPr>
        <w:t>38.4 Reimbursement flows through the Hormuz Blue Services Fund of Article 39 under the Cothrom Blue claims procedure of Article 47: the service provider files a claim with evidence; the golden record confirms delivery; the Fund reimburses at the Catalog rate. Claims, confirmations, challenges, and reimbursements all log in the Shared Digital Registry and publish in aggregate on the Transparency Portal.</w:t>
      </w:r>
    </w:p>
    <w:p w14:paraId="1C71845E" w14:textId="77777777" w:rsidR="0027270B" w:rsidRDefault="00000000">
      <w:r>
        <w:rPr>
          <w:rFonts w:cs="Calibri"/>
          <w:szCs w:val="21"/>
        </w:rPr>
        <w:lastRenderedPageBreak/>
        <w:t>38.5 Heavy users hold cost certainty: the Heavy-User Cap of Annex E limits any single operator's aggregate annual service reimbursements to a published ceiling, so the largest tanker and gas fleets plan with confidence. The Green Discount of Article 46 reduces service reimbursements by up to twenty percent for vessels meeting the emissions standards of Annex S.</w:t>
      </w:r>
    </w:p>
    <w:p w14:paraId="49EFBA2D" w14:textId="77777777" w:rsidR="0027270B" w:rsidRDefault="00000000">
      <w:pPr>
        <w:pStyle w:val="Heading2"/>
      </w:pPr>
      <w:bookmarkStart w:id="50" w:name="_Toc237648499"/>
      <w:r>
        <w:rPr>
          <w:rFonts w:cs="Calibri"/>
          <w:szCs w:val="25"/>
        </w:rPr>
        <w:t>Article 39: The Hormuz Blue Services Fund</w:t>
      </w:r>
      <w:bookmarkEnd w:id="50"/>
    </w:p>
    <w:p w14:paraId="0CC63AC0" w14:textId="77777777" w:rsidR="0027270B" w:rsidRDefault="00000000">
      <w:r>
        <w:rPr>
          <w:rFonts w:cs="Calibri"/>
          <w:szCs w:val="21"/>
        </w:rPr>
        <w:t>39.1 The Hormuz Blue Services Fund holds, channels, and disburses every payment under this Accord. The Fund operates under dual custody: the operating escrow sits in Muscat under Omani administration, and the custodial account sits in Zurich under the Swiss Confederation as Financial Custodian. Disbursement above the thresholds of Annex O requires both custodians' countersignature, so that no single hand moves the money.</w:t>
      </w:r>
    </w:p>
    <w:p w14:paraId="2BC88888" w14:textId="77777777" w:rsidR="0027270B" w:rsidRDefault="00000000">
      <w:r>
        <w:rPr>
          <w:rFonts w:cs="Calibri"/>
          <w:szCs w:val="21"/>
        </w:rPr>
        <w:t>39.2 The Fund's board balances its representation: two seats for the Coastal Principals, one seat for the GCC Observer Members, one seat for the Endorsing Stakeholders, one seat for the contributing industry, and the Financial Custodian as chair without policy vote. The board approves budgets, rates within the Catalog bands, and audit appointments. It publishes quarterly accounts and an annual audited statement in full.</w:t>
      </w:r>
    </w:p>
    <w:p w14:paraId="472A8666" w14:textId="77777777" w:rsidR="0027270B" w:rsidRDefault="00000000">
      <w:r>
        <w:rPr>
          <w:rFonts w:cs="Calibri"/>
          <w:szCs w:val="21"/>
        </w:rPr>
        <w:t>39.3 The Fund routes every payment through sanctions-compatible channels. The custodial structure, the service-claim evidence standard, and the published rate card give every payment a lawful, documented, auditable character that financial regulators in every major jurisdiction verify directly. The Fund maintains standing compliance opinions from external counsel in three jurisdictions, refreshes them annually, and publishes their conclusions. Payment continuity never depends on the political weather between any two states.</w:t>
      </w:r>
    </w:p>
    <w:p w14:paraId="4572CB59" w14:textId="77777777" w:rsidR="0027270B" w:rsidRDefault="00000000">
      <w:r>
        <w:rPr>
          <w:rFonts w:cs="Calibri"/>
          <w:szCs w:val="21"/>
        </w:rPr>
        <w:t>39.4 The Fund never holds a surplus beyond its reserve ceiling. Revenue above the ceiling flows to the purposes of Article 40's channels: safety infrastructure, environmental protection, the Seafarer Welfare Fund, and premium support under Article 43. Money in this framework serves the Strait; it never accumulates as leverage.</w:t>
      </w:r>
    </w:p>
    <w:p w14:paraId="5FEFFC6F" w14:textId="77777777" w:rsidR="0027270B" w:rsidRDefault="00000000">
      <w:pPr>
        <w:pStyle w:val="Heading2"/>
      </w:pPr>
      <w:bookmarkStart w:id="51" w:name="_Toc237648500"/>
      <w:r>
        <w:rPr>
          <w:rFonts w:cs="Calibri"/>
          <w:szCs w:val="25"/>
        </w:rPr>
        <w:t>Article 40: The Tri-Channel Funding Architecture</w:t>
      </w:r>
      <w:bookmarkEnd w:id="51"/>
    </w:p>
    <w:p w14:paraId="14B405C5" w14:textId="77777777" w:rsidR="0027270B" w:rsidRDefault="00000000">
      <w:r>
        <w:rPr>
          <w:rFonts w:cs="Calibri"/>
          <w:szCs w:val="21"/>
        </w:rPr>
        <w:t>40.1 The framework funds itself through three channels, kept deliberately separate so that no channel's politics contaminates another. The architecture draws on the cooperative fund tradition of the Strait of Malacca, where coastal-state services are sustained by the users and friends of the strait rather than by charges on passage.</w:t>
      </w:r>
    </w:p>
    <w:p w14:paraId="594E0911" w14:textId="77777777" w:rsidR="0027270B" w:rsidRDefault="00000000">
      <w:pPr>
        <w:spacing w:after="100"/>
        <w:ind w:left="480" w:hanging="480"/>
      </w:pPr>
      <w:r>
        <w:rPr>
          <w:rFonts w:cs="Calibri"/>
          <w:b/>
          <w:color w:val="3E6B8F"/>
          <w:szCs w:val="21"/>
        </w:rPr>
        <w:t xml:space="preserve">40.2  </w:t>
      </w:r>
      <w:r>
        <w:rPr>
          <w:rFonts w:cs="Calibri"/>
          <w:szCs w:val="21"/>
        </w:rPr>
        <w:t>The Insurance Channel, sixty percent. A risk-based facility under Article 43 and Annex G: vessels transiting the Governance Area carry corridor coverage priced by Blue Flag tier, and a defined fraction of that premium flows to the Fund. Ships pay insurers; insurers pay the Fund; the Fund pays for safety. The charge attaches to risk, never to passage, and shrinks as safety improves, which is the point.</w:t>
      </w:r>
    </w:p>
    <w:p w14:paraId="21BEBB5A" w14:textId="77777777" w:rsidR="0027270B" w:rsidRDefault="00000000">
      <w:pPr>
        <w:spacing w:after="100"/>
        <w:ind w:left="480" w:hanging="480"/>
      </w:pPr>
      <w:r>
        <w:rPr>
          <w:rFonts w:cs="Calibri"/>
          <w:b/>
          <w:color w:val="3E6B8F"/>
          <w:szCs w:val="21"/>
        </w:rPr>
        <w:t xml:space="preserve">40.3  </w:t>
      </w:r>
      <w:r>
        <w:rPr>
          <w:rFonts w:cs="Calibri"/>
          <w:szCs w:val="21"/>
        </w:rPr>
        <w:t xml:space="preserve">The Port and Commercial Channel, twenty-five percent. Ports, terminals, and energy offtakers that benefit from the Strait's throughput contribute in proportion to their Hormuz-related volumes, </w:t>
      </w:r>
      <w:r>
        <w:rPr>
          <w:rFonts w:cs="Calibri"/>
          <w:szCs w:val="21"/>
        </w:rPr>
        <w:lastRenderedPageBreak/>
        <w:t>under contribution agreements at the port of origin, processed with ordinary port documentation far from the transit itself. Annex O states the contribution formula and the ceiling.</w:t>
      </w:r>
    </w:p>
    <w:p w14:paraId="2D262DEF" w14:textId="77777777" w:rsidR="0027270B" w:rsidRDefault="00000000">
      <w:pPr>
        <w:spacing w:after="100"/>
        <w:ind w:left="480" w:hanging="480"/>
      </w:pPr>
      <w:r>
        <w:rPr>
          <w:rFonts w:cs="Calibri"/>
          <w:b/>
          <w:color w:val="3E6B8F"/>
          <w:szCs w:val="21"/>
        </w:rPr>
        <w:t xml:space="preserve">40.4  </w:t>
      </w:r>
      <w:r>
        <w:rPr>
          <w:rFonts w:cs="Calibri"/>
          <w:szCs w:val="21"/>
        </w:rPr>
        <w:t>The Sovereign Channel, fifteen percent. Standing contributions from states that choose to underwrite the framework as a public good: the Coastal Principals, the GCC states, the Endorsing Stakeholders, and the Guarantors, on the indicative shares of Annex O. Contributions are commitments to stability, not payments for passage, and no vessel ever sees them.</w:t>
      </w:r>
    </w:p>
    <w:p w14:paraId="2CBCF32E" w14:textId="77777777" w:rsidR="0027270B" w:rsidRDefault="00000000">
      <w:r>
        <w:rPr>
          <w:rFonts w:cs="Calibri"/>
          <w:szCs w:val="21"/>
        </w:rPr>
        <w:t>40.5 The channels converge in the Fund and diverge in law. Each channel has its own instrument, its own audit line, and its own continuity protection, so that a dispute in one channel never starves the framework. The design tolerates politics; that is why it survives them.</w:t>
      </w:r>
    </w:p>
    <w:p w14:paraId="67C9FEE1" w14:textId="77777777" w:rsidR="0027270B" w:rsidRDefault="00000000">
      <w:pPr>
        <w:pStyle w:val="Heading2"/>
      </w:pPr>
      <w:bookmarkStart w:id="52" w:name="_Toc237648501"/>
      <w:r>
        <w:rPr>
          <w:rFonts w:cs="Calibri"/>
          <w:szCs w:val="25"/>
        </w:rPr>
        <w:t>Article 41: Anti-Circumvention and the Substance Test</w:t>
      </w:r>
      <w:bookmarkEnd w:id="52"/>
    </w:p>
    <w:p w14:paraId="4B43EF67" w14:textId="77777777" w:rsidR="0027270B" w:rsidRDefault="00000000">
      <w:r>
        <w:rPr>
          <w:rFonts w:cs="Calibri"/>
          <w:szCs w:val="21"/>
        </w:rPr>
        <w:t>41.1 The Substance Test protects the Zero-Toll Rule from creative relabeling. The test asks one question of every payment, in whatever form, under whatever name: does this payment function as a condition or price of passage? Function decides, not label, not timing, not channel, not payer.</w:t>
      </w:r>
    </w:p>
    <w:p w14:paraId="08443151" w14:textId="77777777" w:rsidR="0027270B" w:rsidRDefault="00000000">
      <w:r>
        <w:rPr>
          <w:rFonts w:cs="Calibri"/>
          <w:szCs w:val="21"/>
        </w:rPr>
        <w:t>41.2 A payment fails the test, and classifies as a prohibited toll, when any of the following holds: transit depends on it; refusal delays or denies transit; it scales with transits rather than with services consumed; it prices above audited cost for the service it names; or its structure exists to route value to a coastal state as a condition of the strait staying open. The Neutral Watch Office applies the test at any Participant's request, publishes its reasoning within seventy-two hours, and its classification binds the Fund and the compliance engine.</w:t>
      </w:r>
    </w:p>
    <w:p w14:paraId="3B249D4F" w14:textId="77777777" w:rsidR="0027270B" w:rsidRDefault="00000000">
      <w:r>
        <w:rPr>
          <w:rFonts w:cs="Calibri"/>
          <w:szCs w:val="21"/>
        </w:rPr>
        <w:t>41.3 A charge that fails the test strikes automatically: the Fund refuses it, the Shared Digital Registry logs it, and the compliance engine classifies the imposition under Article 50. No Participant cures a failed charge by renaming it, rerouting it, or collecting it through a third party. Substance governs, always.</w:t>
      </w:r>
    </w:p>
    <w:p w14:paraId="06B3B1F9" w14:textId="77777777" w:rsidR="0027270B" w:rsidRDefault="00000000">
      <w:r>
        <w:rPr>
          <w:rFonts w:cs="Calibri"/>
          <w:szCs w:val="21"/>
        </w:rPr>
        <w:t>41.4 The test protects legitimate commerce equally: genuine port dues, pilotage fees, towage charges, and insurance premiums at market, for services genuinely requested and rendered, pass the test and continue undisturbed. The framework taxes nothing on passage and disturbs nothing honest.</w:t>
      </w:r>
    </w:p>
    <w:p w14:paraId="36BF61DE" w14:textId="77777777" w:rsidR="0027270B" w:rsidRDefault="00000000">
      <w:pPr>
        <w:pStyle w:val="Heading2"/>
      </w:pPr>
      <w:bookmarkStart w:id="53" w:name="_Toc237648502"/>
      <w:r>
        <w:rPr>
          <w:rFonts w:cs="Calibri"/>
          <w:szCs w:val="25"/>
        </w:rPr>
        <w:t>Article 42: Audit and Cost Certainty</w:t>
      </w:r>
      <w:bookmarkEnd w:id="53"/>
    </w:p>
    <w:p w14:paraId="671A5544" w14:textId="77777777" w:rsidR="0027270B" w:rsidRDefault="00000000">
      <w:r>
        <w:rPr>
          <w:rFonts w:cs="Calibri"/>
          <w:szCs w:val="21"/>
        </w:rPr>
        <w:t>42.1 The Fund undergoes a full independent audit annually, conducted by an international firm appointed by the board from a shortlist the Neutral Watch Office vets, rotating every three years. The audit publishes in full: every channel's inflows, every disbursement, every claim paid, every rate's cost basis, and every custodian movement.</w:t>
      </w:r>
    </w:p>
    <w:p w14:paraId="784606D0" w14:textId="77777777" w:rsidR="0027270B" w:rsidRDefault="00000000">
      <w:r>
        <w:rPr>
          <w:rFonts w:cs="Calibri"/>
          <w:szCs w:val="21"/>
        </w:rPr>
        <w:t>42.2 Quarterly, the Fund publishes a one-page Cost Certainty Note: aggregate reimbursements per service, per corridor, and per operator class, with the Heavy-User Cap utilization and Green Discount uptake. Operators plan on these notes; the framework treats predictability as a deliverable.</w:t>
      </w:r>
    </w:p>
    <w:p w14:paraId="31805618" w14:textId="77777777" w:rsidR="0027270B" w:rsidRDefault="00000000">
      <w:r>
        <w:rPr>
          <w:rFonts w:cs="Calibri"/>
          <w:szCs w:val="21"/>
        </w:rPr>
        <w:t>42.3 The rate card moves slowly by design. Rate changes require the board's proposal, the Neutral Watch Office's cost-basis verification, sixty days' public notice, and Twin Key concurrence. No rate changes retroactively, and no rate changes more than once per year. The framework prices like infrastructure.</w:t>
      </w:r>
    </w:p>
    <w:p w14:paraId="2373AC5D" w14:textId="77777777" w:rsidR="0027270B" w:rsidRDefault="00000000">
      <w:pPr>
        <w:pStyle w:val="Heading1"/>
      </w:pPr>
      <w:bookmarkStart w:id="54" w:name="_Toc237648503"/>
      <w:r>
        <w:rPr>
          <w:rFonts w:cs="Calibri"/>
          <w:szCs w:val="30"/>
        </w:rPr>
        <w:lastRenderedPageBreak/>
        <w:t>PART VIII: ECONOMIC NORMALIZATION AND THE PROSPERITY INSTRUMENTS</w:t>
      </w:r>
      <w:bookmarkEnd w:id="54"/>
    </w:p>
    <w:p w14:paraId="27A836DD" w14:textId="77777777" w:rsidR="0027270B" w:rsidRDefault="00000000">
      <w:pPr>
        <w:pStyle w:val="Heading2"/>
      </w:pPr>
      <w:bookmarkStart w:id="55" w:name="_Toc237648504"/>
      <w:r>
        <w:rPr>
          <w:rFonts w:cs="Calibri"/>
          <w:szCs w:val="25"/>
        </w:rPr>
        <w:t>Article 43: The Blue Flag Certification and the Premium Step-Down Engine</w:t>
      </w:r>
      <w:bookmarkEnd w:id="55"/>
    </w:p>
    <w:p w14:paraId="7B4D9645" w14:textId="77777777" w:rsidR="0027270B" w:rsidRDefault="00000000">
      <w:r>
        <w:rPr>
          <w:rFonts w:cs="Calibri"/>
          <w:szCs w:val="21"/>
        </w:rPr>
        <w:t>43.1 The Blue Flag is the framework's public, tamper-evident certification of corridor safety, issued in three tiers: Blue Flag One for provisional operations, Blue Flag Two for audited operations, and Blue Flag Three for consolidated operations. The Neutral Watch Office assigns the tier from the audit metrics of Annex D, publishes it on the Transparency Portal, and re-issues it after every audit and after every material event. The flag is data, not diplomacy: it moves when the metrics move.</w:t>
      </w:r>
    </w:p>
    <w:p w14:paraId="6A8ADB09" w14:textId="77777777" w:rsidR="0027270B" w:rsidRDefault="00000000">
      <w:r>
        <w:rPr>
          <w:rFonts w:cs="Calibri"/>
          <w:szCs w:val="21"/>
        </w:rPr>
        <w:t>43.2 The Premium Step-Down Engine couples the Blue Flag to war-risk insurance pricing. Annex G states the schedule: each tier corresponds to a defined premium band for corridor coverage, and each tier upgrade steps premiums down automatically on the next renewal date after certification. Blue Flag One prices as transition risk; Blue Flag Two halves the transitional loading; Blue Flag Three returns pricing to ordinary international-strait levels. Safety improvements convert into money, visibly and automatically, for every operator and every cargo owner.</w:t>
      </w:r>
    </w:p>
    <w:p w14:paraId="6C01DFC7" w14:textId="77777777" w:rsidR="0027270B" w:rsidRDefault="00000000">
      <w:r>
        <w:rPr>
          <w:rFonts w:cs="Calibri"/>
          <w:szCs w:val="21"/>
        </w:rPr>
        <w:t>43.3 The Hormuz Insurance Backstop stands behind the Engine during the transition. The Backstop, chartered in Annex G, combines commercial war-risk capacity with political-risk insurance and guarantee instruments from national and multilateral providers, including the United States International Development Finance Corporation and peer institutions, on commercial terms. The Backstop guarantees capacity, not profits: it ensures that cover exists at the Blue Flag price while private capacity rebuilds confidence, and it winds down automatically as Blue Flag Three stabilizes and private markets resume full pricing.</w:t>
      </w:r>
    </w:p>
    <w:p w14:paraId="1EF2CAA2" w14:textId="77777777" w:rsidR="0027270B" w:rsidRDefault="00000000">
      <w:r>
        <w:rPr>
          <w:rFonts w:cs="Calibri"/>
          <w:szCs w:val="21"/>
        </w:rPr>
        <w:t>43.4 The Engine rewards performance and only performance. No Participant negotiates premiums, and no government sets them; the metrics set them through the tier. The Strait's safety becomes a financial asset the whole world prices, which gives every Participant a standing economic interest in keeping the metrics green.</w:t>
      </w:r>
    </w:p>
    <w:p w14:paraId="63546DB5" w14:textId="77777777" w:rsidR="0027270B" w:rsidRDefault="00000000">
      <w:pPr>
        <w:pStyle w:val="Heading2"/>
      </w:pPr>
      <w:bookmarkStart w:id="56" w:name="_Toc237648505"/>
      <w:r>
        <w:rPr>
          <w:rFonts w:cs="Calibri"/>
          <w:szCs w:val="25"/>
        </w:rPr>
        <w:t>Article 44: The Compensation-Free Prosperity Window</w:t>
      </w:r>
      <w:bookmarkEnd w:id="56"/>
    </w:p>
    <w:p w14:paraId="3901B62F" w14:textId="77777777" w:rsidR="0027270B" w:rsidRDefault="00000000">
      <w:r>
        <w:rPr>
          <w:rFonts w:cs="Calibri"/>
          <w:szCs w:val="21"/>
        </w:rPr>
        <w:t>44.1 Iran has stated, in the August 2026 negotiations, that reopening the Strait depends in part on compensation for damage suffered in the conflict. This Accord answers that position without any payment that any other Participant's politics forbids, and without money changing hands between adversaries: through the Compensation-Free Prosperity Window, a project-based reconstruction and development mechanism that delivers verified value to damaged coastal and maritime communities while transferring no funds between the United States and Iran.</w:t>
      </w:r>
    </w:p>
    <w:p w14:paraId="11B70577" w14:textId="77777777" w:rsidR="0027270B" w:rsidRDefault="00000000">
      <w:r>
        <w:rPr>
          <w:rFonts w:cs="Calibri"/>
          <w:szCs w:val="21"/>
        </w:rPr>
        <w:t xml:space="preserve">44.2 The Window finances specific, verified, civilian maritime-infrastructure projects in the Strait region: port and anchorage rehabilitation, navigation aids, environmental remediation, desalination and water-security works, search and rescue facilities, and fishing-fleet recovery. Annex P states the project list, the </w:t>
      </w:r>
      <w:r>
        <w:rPr>
          <w:rFonts w:cs="Calibri"/>
          <w:szCs w:val="21"/>
        </w:rPr>
        <w:lastRenderedPageBreak/>
        <w:t>eligibility rules, and the verification standard. Every project serves civilians, every project sits outside any military purpose, and every project passes the Perimeter Test before listing.</w:t>
      </w:r>
    </w:p>
    <w:p w14:paraId="35595849" w14:textId="77777777" w:rsidR="0027270B" w:rsidRDefault="00000000">
      <w:r>
        <w:rPr>
          <w:rFonts w:cs="Calibri"/>
          <w:szCs w:val="21"/>
        </w:rPr>
        <w:t>44.3 The Window pays contractors, never governments. Funding flows from contributing states and institutions, including Gulf facilities, European institutions, and multilateral lenders, through the Financial Custodian directly to audited contractors against certified milestones. No funds pass to or through any sanctioned entity; the Window's compliance architecture, maintained by the Financial Custodian with external counsel, keeps every flow inside every contributor's law. Contributors contribute development; Iran's coastal communities receive reconstruction; the mechanism transfers no cash between the adversaries whose relations it helps repair.</w:t>
      </w:r>
    </w:p>
    <w:p w14:paraId="3F9CA8E2" w14:textId="77777777" w:rsidR="0027270B" w:rsidRDefault="00000000">
      <w:r>
        <w:rPr>
          <w:rFonts w:cs="Calibri"/>
          <w:szCs w:val="21"/>
        </w:rPr>
        <w:t>44.4 The Window acknowledges without adjudicating. Listing a project acknowledges damage and need; it assigns no legal responsibility, creates no precedent, and settles no claim. States that contribute do so as investment in regional stability; states that host projects accept them as recovery, not as verdict. The Window converts a poisoned word, compensation, into a productive fact: rebuilt harbors, clean water, and working boats.</w:t>
      </w:r>
    </w:p>
    <w:p w14:paraId="7807C110" w14:textId="77777777" w:rsidR="0027270B" w:rsidRDefault="00000000">
      <w:r>
        <w:rPr>
          <w:rFonts w:cs="Calibri"/>
          <w:szCs w:val="21"/>
        </w:rPr>
        <w:t>44.5 The Window operates for five years from Blue Opening, with its pipeline published on the Transparency Portal: every project, every milestone, every payment, every audit. Its success metric is concrete, literally: certified works in service, counted quarterly.</w:t>
      </w:r>
    </w:p>
    <w:p w14:paraId="5C867048" w14:textId="77777777" w:rsidR="0027270B" w:rsidRDefault="00000000">
      <w:pPr>
        <w:pStyle w:val="Heading2"/>
      </w:pPr>
      <w:bookmarkStart w:id="57" w:name="_Toc237648506"/>
      <w:r>
        <w:rPr>
          <w:rFonts w:cs="Calibri"/>
          <w:szCs w:val="25"/>
        </w:rPr>
        <w:t>Article 45: The Hormuz Development Facility</w:t>
      </w:r>
      <w:bookmarkEnd w:id="57"/>
    </w:p>
    <w:p w14:paraId="2C8E6288" w14:textId="77777777" w:rsidR="0027270B" w:rsidRDefault="00000000">
      <w:r>
        <w:rPr>
          <w:rFonts w:cs="Calibri"/>
          <w:szCs w:val="21"/>
        </w:rPr>
        <w:t>45.1 The Hormuz Development Facility is the framework's standing investment-for-transit instrument. It channels long-term investment into the coastal economies of the Strait region, on commercial and concessional terms, in exchange for nothing but the stability this Accord already creates. The Facility exists because durable peace pays for itself when investors see it.</w:t>
      </w:r>
    </w:p>
    <w:p w14:paraId="6D66D638" w14:textId="77777777" w:rsidR="0027270B" w:rsidRDefault="00000000">
      <w:r>
        <w:rPr>
          <w:rFonts w:cs="Calibri"/>
          <w:szCs w:val="21"/>
        </w:rPr>
        <w:t>45.2 The Facility finances ports, logistics zones, ship-repair capacity, renewable-energy installations, desalination, and maritime-training academies across the Strait region, with project eligibility and procurement rules in Annex P. Its capital comes from Gulf development funds, sovereign investors, multilateral development banks, and private infrastructure capital, mobilized under the Financial Custodian's structuring.</w:t>
      </w:r>
    </w:p>
    <w:p w14:paraId="1D3501E1" w14:textId="77777777" w:rsidR="0027270B" w:rsidRDefault="00000000">
      <w:r>
        <w:rPr>
          <w:rFonts w:cs="Calibri"/>
          <w:szCs w:val="21"/>
        </w:rPr>
        <w:t>45.3 The Facility follows three disciplines. Commercial discipline: projects stand on their own economics, so no Participant's treasury carries another's development. Balance discipline: investment flows to both coasts of the Strait in measured proportion, so development itself becomes a shared interest rather than a zero-sum contest. Firewall discipline: Facility investments comply with every contributor's sanctions law, and the Facility touches no sector its contributors' law forbids.</w:t>
      </w:r>
    </w:p>
    <w:p w14:paraId="1595DEFF" w14:textId="77777777" w:rsidR="0027270B" w:rsidRDefault="00000000">
      <w:r>
        <w:rPr>
          <w:rFonts w:cs="Calibri"/>
          <w:szCs w:val="21"/>
        </w:rPr>
        <w:t>45.4 For the United States, the Facility offers stability without subsidy: American institutions participate where their law allows, American firms compete for contracts on open procurement, and the burden of Gulf security investment shifts visibly toward the region's own capital. For Iran, the Facility offers development without political condition: projects proceed on eligibility and verification, never on ideological alignment. For the Gulf states, the Facility offers a stake in their neighbors' stability, which is the cheapest security they ever buy.</w:t>
      </w:r>
    </w:p>
    <w:p w14:paraId="31989057" w14:textId="77777777" w:rsidR="0027270B" w:rsidRDefault="00000000">
      <w:pPr>
        <w:pStyle w:val="Heading2"/>
      </w:pPr>
      <w:bookmarkStart w:id="58" w:name="_Toc237648507"/>
      <w:r>
        <w:rPr>
          <w:rFonts w:cs="Calibri"/>
          <w:szCs w:val="25"/>
        </w:rPr>
        <w:lastRenderedPageBreak/>
        <w:t>Article 46: Green Corridor Incentives</w:t>
      </w:r>
      <w:bookmarkEnd w:id="58"/>
    </w:p>
    <w:p w14:paraId="44E619D2" w14:textId="77777777" w:rsidR="0027270B" w:rsidRDefault="00000000">
      <w:r>
        <w:rPr>
          <w:rFonts w:cs="Calibri"/>
          <w:szCs w:val="21"/>
        </w:rPr>
        <w:t>46.1 The Green Corridor program rewards cleaner shipping through the Strait. Vessels meeting the emissions standards of Annex S receive the Green Discount of up to twenty percent on Catalog service reimbursements, priority allocation of convoy windows during congestion, and publication on the Green Corridor honor roll of the Transparency Portal.</w:t>
      </w:r>
    </w:p>
    <w:p w14:paraId="4A795A51" w14:textId="77777777" w:rsidR="0027270B" w:rsidRDefault="00000000">
      <w:r>
        <w:rPr>
          <w:rFonts w:cs="Calibri"/>
          <w:szCs w:val="21"/>
        </w:rPr>
        <w:t>46.2 The program dedicates a share of the Insurance Channel, fixed in Annex O, to marine environmental projects: spill-response capacity, ballast-water management, whale-ship strike mitigation in the approaches, and habitat monitoring around the Musandam and the Iranian islands. Environmental performance feeds the Blue Flag metrics, so a cleaner Strait is literally a cheaper Strait.</w:t>
      </w:r>
    </w:p>
    <w:p w14:paraId="2C8AA4C7" w14:textId="77777777" w:rsidR="0027270B" w:rsidRDefault="00000000">
      <w:r>
        <w:rPr>
          <w:rFonts w:cs="Calibri"/>
          <w:szCs w:val="21"/>
        </w:rPr>
        <w:t>46.3 The program invites, never compels. Its incentives run on discounts and recognition, and its standards follow International Maritime Organization instruments, so that no operator faces a bespoke regional rulebook. The Strait becomes a place where the greenest operators earn the best terms, and the market does the rest.</w:t>
      </w:r>
    </w:p>
    <w:p w14:paraId="5DE0277B" w14:textId="77777777" w:rsidR="0027270B" w:rsidRDefault="00000000">
      <w:pPr>
        <w:pStyle w:val="Heading1"/>
      </w:pPr>
      <w:bookmarkStart w:id="59" w:name="_Toc237648508"/>
      <w:r>
        <w:rPr>
          <w:rFonts w:cs="Calibri"/>
          <w:szCs w:val="30"/>
        </w:rPr>
        <w:lastRenderedPageBreak/>
        <w:t>PART IX: VERIFICATION AND THE COMPLIANCE ENGINE</w:t>
      </w:r>
      <w:bookmarkEnd w:id="59"/>
    </w:p>
    <w:p w14:paraId="7B577491" w14:textId="77777777" w:rsidR="0027270B" w:rsidRDefault="00000000">
      <w:pPr>
        <w:pStyle w:val="Heading2"/>
      </w:pPr>
      <w:bookmarkStart w:id="60" w:name="_Toc237648509"/>
      <w:r>
        <w:rPr>
          <w:rFonts w:cs="Calibri"/>
          <w:szCs w:val="25"/>
        </w:rPr>
        <w:t>Article 47: The Cothrom Method, Blue Application</w:t>
      </w:r>
      <w:bookmarkEnd w:id="60"/>
    </w:p>
    <w:p w14:paraId="651FEB8A" w14:textId="77777777" w:rsidR="0027270B" w:rsidRDefault="00000000">
      <w:r>
        <w:rPr>
          <w:rFonts w:cs="Calibri"/>
          <w:szCs w:val="21"/>
        </w:rPr>
        <w:t>47.1 Verification under this Accord follows the Cothrom Method, in its maritime application, developed in Annex J. Cothrom means equal: equal stakes, equal scrutiny, equal protection, equal opportunity to recover. The method treats verification not as surveillance but as a reciprocal architecture in which both coastal states invest, both verify, and both recover. It rejects snapback. Snapback kills agreements: it converts every minor infraction into an existential crisis and rewards escalation over remediation. This framework breathes instead.</w:t>
      </w:r>
    </w:p>
    <w:p w14:paraId="149BF98F" w14:textId="77777777" w:rsidR="0027270B" w:rsidRDefault="00000000">
      <w:r>
        <w:rPr>
          <w:rFonts w:cs="Calibri"/>
          <w:szCs w:val="21"/>
        </w:rPr>
        <w:t>47.2 The method rests on the golden record: the unalterable, cryptographically sealed data stream that both Coastal Principals, the Joint Watch Floor, the Umbrella's feeds, and the corridor systems contribute to continuously, logged in the Shared Digital Registry with chain of custody. Every claim, every certification, every audit, and every compliance classification tests itself against the golden record. Data is data; no political meaning attaches to it; and no Party modifies, deletes, or redacts it.</w:t>
      </w:r>
    </w:p>
    <w:p w14:paraId="3EC1900E" w14:textId="77777777" w:rsidR="0027270B" w:rsidRDefault="00000000">
      <w:r>
        <w:rPr>
          <w:rFonts w:cs="Calibri"/>
          <w:szCs w:val="21"/>
        </w:rPr>
        <w:t>47.3 Verification is human-anchored. Automated systems flag anomalies and assemble evidence; named, trained, multinational human observers, operating in paired format under the Paired-Lantern Observation Compact, certify every fact that carries a consequence. Artificial intelligence informs; humans decide. An annual human-in-the-loop audit verifies that no automated system makes autonomous penalty decisions, and the Joint Watch Cell recalibrates any system the audit finds wanting, within thirty days.</w:t>
      </w:r>
    </w:p>
    <w:p w14:paraId="22C05044" w14:textId="77777777" w:rsidR="0027270B" w:rsidRDefault="00000000">
      <w:r>
        <w:rPr>
          <w:rFonts w:cs="Calibri"/>
          <w:szCs w:val="21"/>
        </w:rPr>
        <w:t>47.4 A standing Expert Pool supports the method: five neutral technical experts accredited by the Financial Custodian before Blue Opening, covering telemetry and sensors, maritime traffic systems, regional operations, data forensics, and a rotating seat for a state outside this framework. The pool provides the forensic panels of Article 24, the second opinions of Annex J, and the technical determinations of the escalation chain. No expert holds the nationality of any Coastal Principal.</w:t>
      </w:r>
    </w:p>
    <w:p w14:paraId="46D3F8C0" w14:textId="77777777" w:rsidR="0027270B" w:rsidRDefault="00000000">
      <w:r>
        <w:rPr>
          <w:rFonts w:cs="Calibri"/>
          <w:szCs w:val="21"/>
        </w:rPr>
        <w:t>47.5 The method's twelve operating principles, stated in full in Annex J, govern every verification act under this Accord: proportionality governs everything; human judgment sits above automation; earn-back is always available; humanitarian flows are sacred; modules fire independently; cooling-off prevents heat-of-moment escalation; monitoring gaps trigger automatic protection; partial success survives; military escalation is structurally decoupled; the framework presumes good faith; data carries no political meaning; and verification is reciprocal.</w:t>
      </w:r>
    </w:p>
    <w:p w14:paraId="4CFAB27E" w14:textId="77777777" w:rsidR="0027270B" w:rsidRDefault="00000000">
      <w:pPr>
        <w:pStyle w:val="Heading2"/>
      </w:pPr>
      <w:bookmarkStart w:id="61" w:name="_Toc237648510"/>
      <w:r>
        <w:rPr>
          <w:rFonts w:cs="Calibri"/>
          <w:szCs w:val="25"/>
        </w:rPr>
        <w:t>Article 48: The Golden Record and the Shared Digital Registry</w:t>
      </w:r>
      <w:bookmarkEnd w:id="61"/>
    </w:p>
    <w:p w14:paraId="489E7652" w14:textId="77777777" w:rsidR="0027270B" w:rsidRDefault="00000000">
      <w:r>
        <w:rPr>
          <w:rFonts w:cs="Calibri"/>
          <w:szCs w:val="21"/>
        </w:rPr>
        <w:t>48.1 The Shared Digital Registry is the framework's single source of truth. It logs every Filing, acknowledgment, track, alert, claim, challenge, certification, decision, hotline call summary, and audit, with timestamps and cryptographic chain of custody. It operates from the Joint Watch Floor and the Mirror Floor simultaneously, with data identicality guaranteed under Article 30.2 and a retention period of not less than five years.</w:t>
      </w:r>
    </w:p>
    <w:p w14:paraId="022E0CDF" w14:textId="77777777" w:rsidR="0027270B" w:rsidRDefault="00000000">
      <w:r>
        <w:rPr>
          <w:rFonts w:cs="Calibri"/>
          <w:szCs w:val="21"/>
        </w:rPr>
        <w:lastRenderedPageBreak/>
        <w:t>48.2 Registry data meets five standards. Simultaneous: every feed reaches both Coastal Principals with identical latency, and neither receives earlier, preferential, or exclusive data. Unalterable: no Party modifies, deletes, or redacts logged data. Transparent: every Participant accesses the Registry through the secure portal on equal terms. Non-attributable: data collection serves technical verification only and constitutes recognition of no legal position. Auditable: either Coastal Principal requests an independent forensic audit of any data segment, completed within thirty days by an auditor the Financial Custodian selects from the Expert Pool.</w:t>
      </w:r>
    </w:p>
    <w:p w14:paraId="3BB07BC3" w14:textId="77777777" w:rsidR="0027270B" w:rsidRDefault="00000000">
      <w:r>
        <w:rPr>
          <w:rFonts w:cs="Calibri"/>
          <w:szCs w:val="21"/>
        </w:rPr>
        <w:t>48.3 Data quality is a compliance matter. Each contributing system maintains signal-to-noise and format standards stated in Annex J. Three or more consecutive formatting alerts or signal violations within seventy-two hours constitute a persistent data quality failure, which the compliance engine treats as a breach of the simultaneity and transparency standards. A third-party commercial telemetry provider, under contract to the Financial Custodian, activates automatically as tie-breaker whenever the two primary feeds conflict.</w:t>
      </w:r>
    </w:p>
    <w:p w14:paraId="7C88BCE2" w14:textId="77777777" w:rsidR="0027270B" w:rsidRDefault="00000000">
      <w:r>
        <w:rPr>
          <w:rFonts w:cs="Calibri"/>
          <w:szCs w:val="21"/>
        </w:rPr>
        <w:t>48.4 A monitoring gap triggers automatic protection: where verification-relevant telemetry stays unavailable for forty-eight consecutive hours, and the Technical Working Group certifies the gap is not equipment failure or maintenance, the framework benefits linked to the affected facility suspend automatically and restore immediately upon certified restoration. This automatic rule carries no human override, and it is the only consequence in this Accord that activates without executive consultation, because a blind framework is a danger to everyone in it.</w:t>
      </w:r>
    </w:p>
    <w:p w14:paraId="24C3212A" w14:textId="77777777" w:rsidR="0027270B" w:rsidRDefault="00000000">
      <w:pPr>
        <w:pStyle w:val="Heading2"/>
      </w:pPr>
      <w:bookmarkStart w:id="62" w:name="_Toc237648511"/>
      <w:r>
        <w:rPr>
          <w:rFonts w:cs="Calibri"/>
          <w:szCs w:val="25"/>
        </w:rPr>
        <w:t>Article 49: The Anomaly Ladder</w:t>
      </w:r>
      <w:bookmarkEnd w:id="62"/>
    </w:p>
    <w:p w14:paraId="6CDC13DC" w14:textId="77777777" w:rsidR="0027270B" w:rsidRDefault="00000000">
      <w:r>
        <w:rPr>
          <w:rFonts w:cs="Calibri"/>
          <w:szCs w:val="21"/>
        </w:rPr>
        <w:t>49.1 Not every anomaly is a compliance event. The anomaly ladder filters noise from signal, so that enforcement attention lands only where evidence warrants it. Annex J states the full thresholds; the ladder runs as follows.</w:t>
      </w:r>
    </w:p>
    <w:p w14:paraId="51F2C353" w14:textId="77777777" w:rsidR="0027270B" w:rsidRDefault="00000000">
      <w:pPr>
        <w:spacing w:after="100"/>
        <w:ind w:left="480" w:hanging="480"/>
      </w:pPr>
      <w:r>
        <w:rPr>
          <w:rFonts w:cs="Calibri"/>
          <w:b/>
          <w:color w:val="3E6B8F"/>
          <w:szCs w:val="21"/>
        </w:rPr>
        <w:t xml:space="preserve">49.2  </w:t>
      </w:r>
      <w:r>
        <w:rPr>
          <w:rFonts w:cs="Calibri"/>
          <w:szCs w:val="21"/>
        </w:rPr>
        <w:t>Level One, informational. Sensor maintenance, scheduled downtime, minor transmission interruption. No notification, no action, logged only.</w:t>
      </w:r>
    </w:p>
    <w:p w14:paraId="693C3046" w14:textId="77777777" w:rsidR="0027270B" w:rsidRDefault="00000000">
      <w:pPr>
        <w:spacing w:after="100"/>
        <w:ind w:left="480" w:hanging="480"/>
      </w:pPr>
      <w:r>
        <w:rPr>
          <w:rFonts w:cs="Calibri"/>
          <w:b/>
          <w:color w:val="3E6B8F"/>
          <w:szCs w:val="21"/>
        </w:rPr>
        <w:t xml:space="preserve">49.3  </w:t>
      </w:r>
      <w:r>
        <w:rPr>
          <w:rFonts w:cs="Calibri"/>
          <w:szCs w:val="21"/>
        </w:rPr>
        <w:t>Level Two, technical review. Unscheduled downtime under four hours, or a single anomalous reading without pattern. The Joint Watch Cell reviews within seven days. No penalty attaches.</w:t>
      </w:r>
    </w:p>
    <w:p w14:paraId="4514E790" w14:textId="77777777" w:rsidR="0027270B" w:rsidRDefault="00000000">
      <w:pPr>
        <w:spacing w:after="100"/>
        <w:ind w:left="480" w:hanging="480"/>
      </w:pPr>
      <w:r>
        <w:rPr>
          <w:rFonts w:cs="Calibri"/>
          <w:b/>
          <w:color w:val="3E6B8F"/>
          <w:szCs w:val="21"/>
        </w:rPr>
        <w:t xml:space="preserve">49.4  </w:t>
      </w:r>
      <w:r>
        <w:rPr>
          <w:rFonts w:cs="Calibri"/>
          <w:szCs w:val="21"/>
        </w:rPr>
        <w:t>Level Three, compliance review. Unscheduled downtime over four hours, or a pattern of anomalous readings. Enhanced inspection within seventy-two hours; unresolved after fourteen days, Tier One classification applies under Article 50.</w:t>
      </w:r>
    </w:p>
    <w:p w14:paraId="4E045C00" w14:textId="77777777" w:rsidR="0027270B" w:rsidRDefault="00000000">
      <w:pPr>
        <w:spacing w:after="100"/>
        <w:ind w:left="480" w:hanging="480"/>
      </w:pPr>
      <w:r>
        <w:rPr>
          <w:rFonts w:cs="Calibri"/>
          <w:b/>
          <w:color w:val="3E6B8F"/>
          <w:szCs w:val="21"/>
        </w:rPr>
        <w:t xml:space="preserve">49.5  </w:t>
      </w:r>
      <w:r>
        <w:rPr>
          <w:rFonts w:cs="Calibri"/>
          <w:szCs w:val="21"/>
        </w:rPr>
        <w:t>Level Four, breach indicator. Evidence of tampering, deliberate disablement, or material diversion. Tier Two consideration engages; the Joint Watch Cell convenes within twenty-four hours; executive consultation occurs before any penalty activates.</w:t>
      </w:r>
    </w:p>
    <w:p w14:paraId="184A39EE" w14:textId="77777777" w:rsidR="0027270B" w:rsidRDefault="00000000">
      <w:r>
        <w:rPr>
          <w:rFonts w:cs="Calibri"/>
          <w:szCs w:val="21"/>
        </w:rPr>
        <w:t>49.6 The Anomaly Response Playbook binds both Coastal Principals from signature: automated notice to both within five minutes of a Level Three or Four alert; pre-vetted stand-down of forces near the alert location until the Chief Technical Officer confirms resolution; and an emergency video conference of technical representatives within thirty minutes. Neither Principal deviates from the Playbook without written mutual agreement.</w:t>
      </w:r>
    </w:p>
    <w:p w14:paraId="729D0F56" w14:textId="77777777" w:rsidR="0027270B" w:rsidRDefault="00000000">
      <w:r>
        <w:rPr>
          <w:rFonts w:cs="Calibri"/>
          <w:szCs w:val="21"/>
        </w:rPr>
        <w:lastRenderedPageBreak/>
        <w:t>49.7 Data fidelity disputes climb a binding, time-bound chain: the Chief Technical Officer's preliminary finding within twenty-four hours; the Technical Working Group's corroboration report within three days; and a three-expert panel's binding determination within five days, final and unappealable. A technical dispute freezes operational responses to the disputed event for twenty-four hours, and the freeze lifts automatically on resolution.</w:t>
      </w:r>
    </w:p>
    <w:p w14:paraId="0E625912" w14:textId="77777777" w:rsidR="0027270B" w:rsidRDefault="00000000">
      <w:pPr>
        <w:pStyle w:val="Heading2"/>
      </w:pPr>
      <w:bookmarkStart w:id="63" w:name="_Toc237648512"/>
      <w:r>
        <w:rPr>
          <w:rFonts w:cs="Calibri"/>
          <w:szCs w:val="25"/>
        </w:rPr>
        <w:t>Article 50: The Three-Tier Breach Classification</w:t>
      </w:r>
      <w:bookmarkEnd w:id="63"/>
    </w:p>
    <w:p w14:paraId="6DFFC0B5" w14:textId="77777777" w:rsidR="0027270B" w:rsidRDefault="00000000">
      <w:r>
        <w:rPr>
          <w:rFonts w:cs="Calibri"/>
          <w:szCs w:val="21"/>
        </w:rPr>
        <w:t>50.1 Every compliance event under this Accord sorts into one of three tiers, by severity, intent, and material impact. Classification determines response, and the Neutral Watch Office classifies on evidence, with the affected Participant heard before classification completes.</w:t>
      </w:r>
    </w:p>
    <w:p w14:paraId="0790D04D" w14:textId="77777777" w:rsidR="0027270B" w:rsidRDefault="00000000">
      <w:pPr>
        <w:spacing w:after="100"/>
        <w:ind w:left="480" w:hanging="480"/>
      </w:pPr>
      <w:r>
        <w:rPr>
          <w:rFonts w:cs="Calibri"/>
          <w:b/>
          <w:color w:val="3E6B8F"/>
          <w:szCs w:val="21"/>
        </w:rPr>
        <w:t xml:space="preserve">50.2  </w:t>
      </w:r>
      <w:r>
        <w:rPr>
          <w:rFonts w:cs="Calibri"/>
          <w:szCs w:val="21"/>
        </w:rPr>
        <w:t>Tier One, Technical Drift. Minor deviations: readings marginally outside agreed bands, reporting delays of forty-eight hours or less with documented cause, minor data interruptions with explanation. Response: no benefit reduction, technical assistance within seventy-two hours, an engineering resolution window of fourteen days, confidential handling, no public disclosure. Tier One events resolve independently and never accumulate toward Tier Two.</w:t>
      </w:r>
    </w:p>
    <w:p w14:paraId="5993C6DA" w14:textId="77777777" w:rsidR="0027270B" w:rsidRDefault="00000000">
      <w:pPr>
        <w:spacing w:after="100"/>
        <w:ind w:left="480" w:hanging="480"/>
      </w:pPr>
      <w:r>
        <w:rPr>
          <w:rFonts w:cs="Calibri"/>
          <w:b/>
          <w:color w:val="3E6B8F"/>
          <w:szCs w:val="21"/>
        </w:rPr>
        <w:t xml:space="preserve">50.3  </w:t>
      </w:r>
      <w:r>
        <w:rPr>
          <w:rFonts w:cs="Calibri"/>
          <w:szCs w:val="21"/>
        </w:rPr>
        <w:t>Tier Two, Material Strain. Patterns or negligence: readings outside bands beyond margin, obstruction of verification access beyond seventy-two hours, unscheduled sensor downtime without cause, systematic data anomalies, interference with lantern personnel, service-charge practices failing the Substance Test at first instance. Response: graduated reduction of non-humanitarian framework benefits, from ten percent in the first week to twenty-five percent after thirty days, with a thirty-day remediation window, Joint Watch Cell convening within twenty-four hours, and executive consultation before any penalty activates. Humanitarian flows, hotline operations, and verification funding never reduce.</w:t>
      </w:r>
    </w:p>
    <w:p w14:paraId="154091D5" w14:textId="77777777" w:rsidR="0027270B" w:rsidRDefault="00000000">
      <w:pPr>
        <w:spacing w:after="100"/>
        <w:ind w:left="480" w:hanging="480"/>
      </w:pPr>
      <w:r>
        <w:rPr>
          <w:rFonts w:cs="Calibri"/>
          <w:b/>
          <w:color w:val="3E6B8F"/>
          <w:szCs w:val="21"/>
        </w:rPr>
        <w:t xml:space="preserve">50.4  </w:t>
      </w:r>
      <w:r>
        <w:rPr>
          <w:rFonts w:cs="Calibri"/>
          <w:szCs w:val="21"/>
        </w:rPr>
        <w:t>Tier Three, Architectural Breach. Deliberate hostile violation of the framework's foundations: mine emplacement in the Governance Area, interdiction of commercial transit, imposition of a toll, deliberate falsification of the golden record, physical attack on verification personnel or facilities, or a systematic Tier Two pattern demonstrating institutional bad faith. Response: graduated reduction from twenty-five to fifty percent of non-humanitarian benefits by remediation speed, a ninety-day remediation window, Guarantor Matrix convening within forty-eight hours, and earn-back requiring ninety consecutive days of clean compliance plus clean certification plus majority confirmation of the Council.</w:t>
      </w:r>
    </w:p>
    <w:p w14:paraId="69275CC9" w14:textId="77777777" w:rsidR="0027270B" w:rsidRDefault="00000000">
      <w:r>
        <w:rPr>
          <w:rFonts w:cs="Calibri"/>
          <w:szCs w:val="21"/>
        </w:rPr>
        <w:t>50.5 Classification follows evidence, never accusation. The False Flag and Attribution Protocol of Article 24 runs before any classification grounded in an incident of unknown origin. A Participant that disagrees with its classification invokes the dispute ladder of Article 54, and the classification's consequences pause for the forty-eight-hour cooling-off of Article 53 while the ladder engages.</w:t>
      </w:r>
    </w:p>
    <w:p w14:paraId="261F8501" w14:textId="77777777" w:rsidR="0027270B" w:rsidRDefault="00000000">
      <w:pPr>
        <w:pStyle w:val="Heading2"/>
      </w:pPr>
      <w:bookmarkStart w:id="64" w:name="_Toc237648513"/>
      <w:r>
        <w:rPr>
          <w:rFonts w:cs="Calibri"/>
          <w:szCs w:val="25"/>
        </w:rPr>
        <w:t>Article 51: The Step-Back and Earn-Back Engine</w:t>
      </w:r>
      <w:bookmarkEnd w:id="64"/>
    </w:p>
    <w:p w14:paraId="223E461D" w14:textId="77777777" w:rsidR="0027270B" w:rsidRDefault="00000000">
      <w:r>
        <w:rPr>
          <w:rFonts w:cs="Calibri"/>
          <w:szCs w:val="21"/>
        </w:rPr>
        <w:t xml:space="preserve">51.1 The step-back engine replaces snapback with proportion. When a tier classification stands, benefits pause in a fixed sequence, and restore through a guaranteed pathway. The penalty fits the violation: penalty equals base tier penalty, multiplied by duration multiplier, multiplied by remediation factor, as </w:t>
      </w:r>
      <w:r>
        <w:rPr>
          <w:rFonts w:cs="Calibri"/>
          <w:szCs w:val="21"/>
        </w:rPr>
        <w:lastRenderedPageBreak/>
        <w:t>Annex J states. A breach corrected within twenty-four hours costs a fraction of one left to expire; full remediation halves every penalty.</w:t>
      </w:r>
    </w:p>
    <w:p w14:paraId="4A149CB4" w14:textId="77777777" w:rsidR="0027270B" w:rsidRDefault="00000000">
      <w:r>
        <w:rPr>
          <w:rFonts w:cs="Calibri"/>
          <w:szCs w:val="21"/>
        </w:rPr>
        <w:t>51.2 Step-back affects benefits in this exact sequence: first, discretionary measures, bonus funds, and over-compliance credits; second, commercial financial benefits, expanded access, and trade facilitation under this Accord; third, core relief pairings under the Synchronized Relief Track; last, and only in contemplation of law, core constraints and verification obligations. Never affected, under any tier, at any time: humanitarian tranches and the Mariner First Bridge, the Deconfliction Hotline Network, escrowed funds already released, verification funding, and the Zero-Toll Rule. The framework punishes conduct by adjusting privileges; it never blinds itself, starves the vulnerable, or taxes passage.</w:t>
      </w:r>
    </w:p>
    <w:p w14:paraId="13CC7AE3" w14:textId="77777777" w:rsidR="0027270B" w:rsidRDefault="00000000">
      <w:r>
        <w:rPr>
          <w:rFonts w:cs="Calibri"/>
          <w:szCs w:val="21"/>
        </w:rPr>
        <w:t>51.3 Earn-back is a structural right, not a privilege. Every step-back carries an automatic, defined earn-back route. Tier One: resolution within fourteen days restores full status automatically. Tier Two: fourteen days of clean compliance after remediation restores full benefits, with over-compliance credits compressing the period to a minimum of eleven days. Tier Three: ninety days of sustained clean compliance, staged as intensive, standard, and reduced monitoring, restores full benefits on clean certification and majority confirmation, compressible to sixty-eight days. Earn-back never requires admission of guilt, payment of damages, political concession, or renegotiation of the underlying commitment. It requires verified compliance, and nothing else.</w:t>
      </w:r>
    </w:p>
    <w:p w14:paraId="2693139C" w14:textId="77777777" w:rsidR="0027270B" w:rsidRDefault="00000000">
      <w:r>
        <w:rPr>
          <w:rFonts w:cs="Calibri"/>
          <w:szCs w:val="21"/>
        </w:rPr>
        <w:t>51.4 Modules fire independently. A step-back applies only within the module where the violation occurred: a verification violation touches verification-related benefits, not unrelated access. Cross-module spillover requires a two-thirds certification, under the consensus-minus-the-affected-Participant rule, that the violation directly and materially undermines another module. No single unresolved module invalidates the rest of the framework; partial success survives, and the Strait stays open.</w:t>
      </w:r>
    </w:p>
    <w:p w14:paraId="73640389" w14:textId="77777777" w:rsidR="0027270B" w:rsidRDefault="00000000">
      <w:r>
        <w:rPr>
          <w:rFonts w:cs="Calibri"/>
          <w:szCs w:val="21"/>
        </w:rPr>
        <w:t>51.5 The framework contains a Good Faith Reset for the participant caught in a negative spiral: a Participant whose compliance score falls to the floor defined in Annex J invokes one reset per phase, on written acknowledgment of errors and a seven-day enhanced-cooperation commitment. The reset is a safety valve, not a free pass; it restores the chance to comply, never the freedom to breach.</w:t>
      </w:r>
    </w:p>
    <w:p w14:paraId="5EE8A3FE" w14:textId="77777777" w:rsidR="0027270B" w:rsidRDefault="00000000">
      <w:pPr>
        <w:pStyle w:val="Heading2"/>
      </w:pPr>
      <w:bookmarkStart w:id="65" w:name="_Toc237648514"/>
      <w:r>
        <w:rPr>
          <w:rFonts w:cs="Calibri"/>
          <w:szCs w:val="25"/>
        </w:rPr>
        <w:t>Article 52: The Forward Drift Archive and Goodwill Credits</w:t>
      </w:r>
      <w:bookmarkEnd w:id="65"/>
    </w:p>
    <w:p w14:paraId="1DE81F9E" w14:textId="77777777" w:rsidR="0027270B" w:rsidRDefault="00000000">
      <w:r>
        <w:rPr>
          <w:rFonts w:cs="Calibri"/>
          <w:szCs w:val="21"/>
        </w:rPr>
        <w:t>52.1 The Forward Drift Archive locks every verified structural gain permanently. Blue Opening, corridor activation, median-lane clearance, Layer locks, audit certifications, and every synchronized relief pairing enter the Archive upon verification, and lock after sixty days without reversal and without specific objection. Locked gains do not unlock: a future dispute, government change, or crisis touches tempo, never ground. The Strait, once open under this Accord, stays open, because the Archive remembers what politics forgets.</w:t>
      </w:r>
    </w:p>
    <w:p w14:paraId="6D11A9CB" w14:textId="77777777" w:rsidR="0027270B" w:rsidRDefault="00000000">
      <w:r>
        <w:rPr>
          <w:rFonts w:cs="Calibri"/>
          <w:szCs w:val="21"/>
        </w:rPr>
        <w:t>52.2 The Archive doubles as the framework's institutional memory of crises and responses: every verified incident, every ladder run, every remediation, and every lesson enters the same record, so the framework learns in public and never repeats a failure it has already paid for.</w:t>
      </w:r>
    </w:p>
    <w:p w14:paraId="59ABAFD4" w14:textId="77777777" w:rsidR="0027270B" w:rsidRDefault="00000000">
      <w:r>
        <w:rPr>
          <w:rFonts w:cs="Calibri"/>
          <w:szCs w:val="21"/>
        </w:rPr>
        <w:t xml:space="preserve">52.3 Goodwill Credits reward over-compliance. A Participant that completes milestones ahead of schedule, over-delivers on data quality, or over-performs on audit metrics accrues credits, redeemable for accelerated earn-back, compressed monitoring periods, and priority in Facility procurement under Article </w:t>
      </w:r>
      <w:r>
        <w:rPr>
          <w:rFonts w:cs="Calibri"/>
          <w:szCs w:val="21"/>
        </w:rPr>
        <w:lastRenderedPageBreak/>
        <w:t>45. Credits expire after thirty-six months. The framework pays for good behavior in the only currency that matters to states: earned, visible, bankable trust.</w:t>
      </w:r>
    </w:p>
    <w:p w14:paraId="2A854530" w14:textId="77777777" w:rsidR="0027270B" w:rsidRDefault="00000000">
      <w:pPr>
        <w:pStyle w:val="Heading2"/>
      </w:pPr>
      <w:bookmarkStart w:id="66" w:name="_Toc237648515"/>
      <w:r>
        <w:rPr>
          <w:rFonts w:cs="Calibri"/>
          <w:szCs w:val="25"/>
        </w:rPr>
        <w:t>Article 53: The Protective Architecture</w:t>
      </w:r>
      <w:bookmarkEnd w:id="66"/>
    </w:p>
    <w:p w14:paraId="55BC0EDD" w14:textId="77777777" w:rsidR="0027270B" w:rsidRDefault="00000000">
      <w:r>
        <w:rPr>
          <w:rFonts w:cs="Calibri"/>
          <w:szCs w:val="21"/>
        </w:rPr>
        <w:t>53.1 The forty-eight-hour cooling-off rule. Before any step-back penalty activates, senior officials of the affected Participants confer directly, the Financial Custodian or Mediator of Record proposes de-escalation measures, and no penalties accrue. Mutual agreement extends the pause to seventy-two hours. Heat-of-moment reactions have no standing in this framework.</w:t>
      </w:r>
    </w:p>
    <w:p w14:paraId="2A93189E" w14:textId="77777777" w:rsidR="0027270B" w:rsidRDefault="00000000">
      <w:r>
        <w:rPr>
          <w:rFonts w:cs="Calibri"/>
          <w:szCs w:val="21"/>
        </w:rPr>
        <w:t>53.2 Consensus minus one. For every Tier Two or Tier Three determination, cross-module spillover certification, and gaming-pattern finding, the Participant whose conduct is under examination loses its vote, and every other oversight member concurs. If concurrence fails, the matter refers automatically to the Guarantor Matrix for political judgment, with the framework continuing at its current state meanwhile.</w:t>
      </w:r>
    </w:p>
    <w:p w14:paraId="68242130" w14:textId="77777777" w:rsidR="0027270B" w:rsidRDefault="00000000">
      <w:r>
        <w:rPr>
          <w:rFonts w:cs="Calibri"/>
          <w:szCs w:val="21"/>
        </w:rPr>
        <w:t>53.3 Temporary Operational Suspension. A Participant facing domestic crisis, leadership transition, or regional spillover invokes suspension for up to fourteen days per invocation, three invocations per year. Suspension freezes new obligations while preserving verification custody, the hotline, humanitarian corridors, and escrowed funds. Suspension is a safety valve, never a breach, and it pauses the step-back clock in both directions.</w:t>
      </w:r>
    </w:p>
    <w:p w14:paraId="4D1A2CB1" w14:textId="77777777" w:rsidR="0027270B" w:rsidRDefault="00000000">
      <w:r>
        <w:rPr>
          <w:rFonts w:cs="Calibri"/>
          <w:szCs w:val="21"/>
        </w:rPr>
        <w:t>53.4 The no-military-escalation clause. No compliance dispute, tier classification, step-back, or suspension under this Accord authorizes, triggers, or justifies military force by any state. The compliance engine is economic and diplomatic, exclusively. Military decisions belong to governments under their own constitutional procedures, entirely outside this framework. This separation is absolute and non-waivable.</w:t>
      </w:r>
    </w:p>
    <w:p w14:paraId="00315E9E" w14:textId="77777777" w:rsidR="0027270B" w:rsidRDefault="00000000">
      <w:r>
        <w:rPr>
          <w:rFonts w:cs="Calibri"/>
          <w:szCs w:val="21"/>
        </w:rPr>
        <w:t>53.5 The Humanitarian Firewall. No tier consequence, sanction, dispute, fee, or suspension under this Accord touches food, medicine, medical equipment, relief cargo, seafarer welfare, or safety-of-life operations. The Firewall prevails over every other provision of this Accord, admits no exception, and suspends for no reason. It is the first clause the framework obeys and the last it ever yields.</w:t>
      </w:r>
    </w:p>
    <w:p w14:paraId="01077E7D" w14:textId="77777777" w:rsidR="0027270B" w:rsidRDefault="00000000">
      <w:pPr>
        <w:pStyle w:val="Heading1"/>
      </w:pPr>
      <w:bookmarkStart w:id="67" w:name="_Toc237648516"/>
      <w:r>
        <w:rPr>
          <w:rFonts w:cs="Calibri"/>
          <w:szCs w:val="30"/>
        </w:rPr>
        <w:lastRenderedPageBreak/>
        <w:t>PART X: DISPUTES, CONTINUITY, AND THE OMBUDSMAN</w:t>
      </w:r>
      <w:bookmarkEnd w:id="67"/>
    </w:p>
    <w:p w14:paraId="178C1F89" w14:textId="77777777" w:rsidR="0027270B" w:rsidRDefault="00000000">
      <w:pPr>
        <w:pStyle w:val="Heading2"/>
      </w:pPr>
      <w:bookmarkStart w:id="68" w:name="_Toc237648517"/>
      <w:r>
        <w:rPr>
          <w:rFonts w:cs="Calibri"/>
          <w:szCs w:val="25"/>
        </w:rPr>
        <w:t>Article 54: The Dispute Resolution Ladder</w:t>
      </w:r>
      <w:bookmarkEnd w:id="68"/>
    </w:p>
    <w:p w14:paraId="75A28D5D" w14:textId="77777777" w:rsidR="0027270B" w:rsidRDefault="00000000">
      <w:r>
        <w:rPr>
          <w:rFonts w:cs="Calibri"/>
          <w:szCs w:val="21"/>
        </w:rPr>
        <w:t>54.1 Disputes under this Accord climb a three-band ladder, each band with its own clock. Micro disputes, operational and technical, resolve at the Joint Watch Floor within fourteen days: the duty officers confer, the golden record speaks, and the Shared Digital Registry logs the outcome. Meso disputes, involving interpretation of this Accord or its Annexes, go to a standing mediation panel under the Mediator of Record, which convenes within twenty-one days and reports within forty-five. Macro disputes, involving the framework's architecture, tier classifications above Tier One, or matters the mediation panel cannot close, go to the Blue Passage Tribunal under Article 55, with a one-hundred-twenty-day track from filing to award.</w:t>
      </w:r>
    </w:p>
    <w:p w14:paraId="78162FF4" w14:textId="77777777" w:rsidR="0027270B" w:rsidRDefault="00000000">
      <w:r>
        <w:rPr>
          <w:rFonts w:cs="Calibri"/>
          <w:szCs w:val="21"/>
        </w:rPr>
        <w:t>54.2 Every band preserves operations. A dispute never suspends transit, services, the hotline, or the Humanitarian Bridge. The disputed measure continues at its status quo ante pending resolution, except where the Neutral Watch Office certifies that continuation creates immediate danger to life or environment, in which case the safest available configuration applies pending resolution.</w:t>
      </w:r>
    </w:p>
    <w:p w14:paraId="063A978F" w14:textId="77777777" w:rsidR="0027270B" w:rsidRDefault="00000000">
      <w:r>
        <w:rPr>
          <w:rFonts w:cs="Calibri"/>
          <w:szCs w:val="21"/>
        </w:rPr>
        <w:t>54.3 Every Participant holds standing to invoke the ladder. Operators, insurers, and seafarers reach it through the Ombudsman of Article 56, so that the people the framework serves never wait for a state to speak for them.</w:t>
      </w:r>
    </w:p>
    <w:p w14:paraId="10D4FC6E" w14:textId="77777777" w:rsidR="0027270B" w:rsidRDefault="00000000">
      <w:pPr>
        <w:pStyle w:val="Heading2"/>
      </w:pPr>
      <w:bookmarkStart w:id="69" w:name="_Toc237648518"/>
      <w:r>
        <w:rPr>
          <w:rFonts w:cs="Calibri"/>
          <w:szCs w:val="25"/>
        </w:rPr>
        <w:t>Article 55: The Blue Passage Tribunal</w:t>
      </w:r>
      <w:bookmarkEnd w:id="69"/>
    </w:p>
    <w:p w14:paraId="55E4B345" w14:textId="77777777" w:rsidR="0027270B" w:rsidRDefault="00000000">
      <w:r>
        <w:rPr>
          <w:rFonts w:cs="Calibri"/>
          <w:szCs w:val="21"/>
        </w:rPr>
        <w:t>55.1 The Blue Passage Tribunal decides macro disputes. It comprises five judges of recognized competence in the law of the sea, maritime law, or international dispute resolution, serving staggered ten-year terms, appointed by Council consensus from nominations open to every Participant. No two judges share a nationality, and no judge holds the nationality of a Coastal Principal in a case that Principal contests; recusal and replacement rules appear in Annex J's procedural schedule.</w:t>
      </w:r>
    </w:p>
    <w:p w14:paraId="41BE3775" w14:textId="77777777" w:rsidR="0027270B" w:rsidRDefault="00000000">
      <w:r>
        <w:rPr>
          <w:rFonts w:cs="Calibri"/>
          <w:szCs w:val="21"/>
        </w:rPr>
        <w:t>55.2 The Tribunal applies this Accord, its Annexes, and international law. Its awards bind the Participants to the dispute, publish in full except for certified operational-security redactions, and execute through the framework's own instruments: registry entries, Fund adjustments, and compliance classifications. The Tribunal commands no force and orders no sovereign act outside this Accord; its power is the power of a fair judgment every Participant has promised, in advance, to honor.</w:t>
      </w:r>
    </w:p>
    <w:p w14:paraId="396251BB" w14:textId="77777777" w:rsidR="0027270B" w:rsidRDefault="00000000">
      <w:r>
        <w:rPr>
          <w:rFonts w:cs="Calibri"/>
          <w:szCs w:val="21"/>
        </w:rPr>
        <w:t>55.3 The Tribunal sits in Muscat and hears by secure video as standard. Filing fees follow Annex O's sliding scale, and the Ombudsman's cases file free. The Tribunal reports annually to the Council on its docket, its timing, and the systemic lessons its cases reveal.</w:t>
      </w:r>
    </w:p>
    <w:p w14:paraId="0BE63EB1" w14:textId="77777777" w:rsidR="0027270B" w:rsidRDefault="00000000">
      <w:pPr>
        <w:pStyle w:val="Heading2"/>
      </w:pPr>
      <w:bookmarkStart w:id="70" w:name="_Toc237648519"/>
      <w:r>
        <w:rPr>
          <w:rFonts w:cs="Calibri"/>
          <w:szCs w:val="25"/>
        </w:rPr>
        <w:t>Article 56: The Ombudsman</w:t>
      </w:r>
      <w:bookmarkEnd w:id="70"/>
    </w:p>
    <w:p w14:paraId="1AFFB1EB" w14:textId="77777777" w:rsidR="0027270B" w:rsidRDefault="00000000">
      <w:r>
        <w:rPr>
          <w:rFonts w:cs="Calibri"/>
          <w:szCs w:val="21"/>
        </w:rPr>
        <w:t>56.1 The Ombudsman protects the people the framework touches: masters, crews, operators, agents, insurers, fishers, and coastal communities. Any of them petitions the Ombudsman about any act or omission under this Accord, in any of the three languages, on a one-page form, at no cost.</w:t>
      </w:r>
    </w:p>
    <w:p w14:paraId="5E593EE3" w14:textId="77777777" w:rsidR="0027270B" w:rsidRDefault="00000000">
      <w:r>
        <w:rPr>
          <w:rFonts w:cs="Calibri"/>
          <w:szCs w:val="21"/>
        </w:rPr>
        <w:lastRenderedPageBreak/>
        <w:t>56.2 The Ombudsman holds warrant power: access to every organ, every log, every floor, and every official, within seventy-two hours of demand. The Ombudsman investigates, mediates, and reports; where a petition reveals a systemic failure, the Ombudsman carries it directly to the Council and publishes it on the Transparency Portal. For abandoned-crew cases, the Ombudsman draws on the Seafarer Welfare Fund under Article 14 without further approval, reporting each draw within seventy-two hours.</w:t>
      </w:r>
    </w:p>
    <w:p w14:paraId="20CE8559" w14:textId="77777777" w:rsidR="0027270B" w:rsidRDefault="00000000">
      <w:r>
        <w:rPr>
          <w:rFonts w:cs="Calibri"/>
          <w:szCs w:val="21"/>
        </w:rPr>
        <w:t>56.3 The Ombudsman serves a non-renewable six-year term, appointed by Council consensus from outside the region, and answers to this Accord alone. The office exists because frameworks fail quietly when the only voices they hear are governments; the Ombudsman guarantees the Strait's smallest stakeholders a channel as strong as its largest.</w:t>
      </w:r>
    </w:p>
    <w:p w14:paraId="2DDE7CFA" w14:textId="77777777" w:rsidR="0027270B" w:rsidRDefault="00000000">
      <w:pPr>
        <w:pStyle w:val="Heading2"/>
      </w:pPr>
      <w:bookmarkStart w:id="71" w:name="_Toc237648520"/>
      <w:r>
        <w:rPr>
          <w:rFonts w:cs="Calibri"/>
          <w:szCs w:val="25"/>
        </w:rPr>
        <w:t>Article 57: Default Continuity and Crisis Continuity</w:t>
      </w:r>
      <w:bookmarkEnd w:id="71"/>
    </w:p>
    <w:p w14:paraId="4B6D4DE6" w14:textId="77777777" w:rsidR="0027270B" w:rsidRDefault="00000000">
      <w:r>
        <w:rPr>
          <w:rFonts w:cs="Calibri"/>
          <w:szCs w:val="21"/>
        </w:rPr>
        <w:t>57.1 The framework's default state is operation. Every system, every corridor, every desk, and every protocol runs unless this Accord affirmatively changes it. Silence, stalemate, vacancy, and dispute never produce shutdown: where a decision stalls, the status quo ante continues; where a post falls vacant, the deputy serves; where a node fails, its mirror carries the load.</w:t>
      </w:r>
    </w:p>
    <w:p w14:paraId="3B524A8B" w14:textId="77777777" w:rsidR="0027270B" w:rsidRDefault="00000000">
      <w:r>
        <w:rPr>
          <w:rFonts w:cs="Calibri"/>
          <w:szCs w:val="21"/>
        </w:rPr>
        <w:t>57.2 Crisis continuity protects the framework through political storms. During any dispute between any Participants, during any regional crisis, and during any suspension under Article 53.3, the following continue without interruption: corridor operations, file-and-acknowledge, the hotline, the Humanitarian Bridge, the Mariner First Bridge, verification custody of the golden record, and Fund operations under existing budgets. The framework quarantines its life-support systems from every conflict, including conflicts among its own members.</w:t>
      </w:r>
    </w:p>
    <w:p w14:paraId="5F02961A" w14:textId="77777777" w:rsidR="0027270B" w:rsidRDefault="00000000">
      <w:r>
        <w:rPr>
          <w:rFonts w:cs="Calibri"/>
          <w:szCs w:val="21"/>
        </w:rPr>
        <w:t>57.3 If the framework's political organs ever fall dormant, the operational organs continue on their standing instructions for one hundred eighty days, during which the Depositary convenes a reconstitution conference. Dormancy pauses decisions; it never pauses the Strait. The architecture assumes that politics fail from time to time, and routes around the failure in advance.</w:t>
      </w:r>
    </w:p>
    <w:p w14:paraId="01455AF6" w14:textId="77777777" w:rsidR="0027270B" w:rsidRDefault="00000000">
      <w:pPr>
        <w:pStyle w:val="Heading1"/>
      </w:pPr>
      <w:bookmarkStart w:id="72" w:name="_Toc237648521"/>
      <w:r>
        <w:rPr>
          <w:rFonts w:cs="Calibri"/>
          <w:szCs w:val="30"/>
        </w:rPr>
        <w:lastRenderedPageBreak/>
        <w:t>PART XI: BRIDGES TO THE WIDER PEACE</w:t>
      </w:r>
      <w:bookmarkEnd w:id="72"/>
    </w:p>
    <w:p w14:paraId="5CBF37FA" w14:textId="77777777" w:rsidR="0027270B" w:rsidRDefault="00000000">
      <w:pPr>
        <w:pStyle w:val="Heading2"/>
      </w:pPr>
      <w:bookmarkStart w:id="73" w:name="_Toc237648522"/>
      <w:r>
        <w:rPr>
          <w:rFonts w:cs="Calibri"/>
          <w:szCs w:val="25"/>
        </w:rPr>
        <w:t>Article 58: The Intermediary Bridge</w:t>
      </w:r>
      <w:bookmarkEnd w:id="73"/>
    </w:p>
    <w:p w14:paraId="2ED35CE5" w14:textId="77777777" w:rsidR="0027270B" w:rsidRDefault="00000000">
      <w:r>
        <w:rPr>
          <w:rFonts w:cs="Calibri"/>
          <w:szCs w:val="21"/>
        </w:rPr>
        <w:t>58.1 This Accord requires no direct contact between any two Participants whose relations do not allow it. Every obligation under this Accord executes through intermediaries where direct contact is absent, and the framework treats indirect execution as full execution, identical in legal effect and identical in dignity.</w:t>
      </w:r>
    </w:p>
    <w:p w14:paraId="7D9F91C8" w14:textId="77777777" w:rsidR="0027270B" w:rsidRDefault="00000000">
      <w:r>
        <w:rPr>
          <w:rFonts w:cs="Calibri"/>
          <w:szCs w:val="21"/>
        </w:rPr>
        <w:t>58.2 The Bridge runs on three standing channels. The Sultanate of Oman serves as Mediator of Record for the operational track: corridor coordination, verification liaison, and the daily business of the Strait. The Islamic Republic of Pakistan anchors the political track: high-level messages, schedule coordination, and the linkage to the wider peace process whose interim understandings this Accord builds upon. The State of Qatar anchors the financial track: contribution coordination, Facility mobilization, and the interface with Gulf financial institutions.</w:t>
      </w:r>
    </w:p>
    <w:p w14:paraId="6DA8A8A1" w14:textId="77777777" w:rsidR="0027270B" w:rsidRDefault="00000000">
      <w:r>
        <w:rPr>
          <w:rFonts w:cs="Calibri"/>
          <w:szCs w:val="21"/>
        </w:rPr>
        <w:t>58.3 Every indirect exchange logs in the Registry of Mirrored Consent with full text, timestamp, and channel. The Registry carries the authoritative record of the Bridge, and the Depositary certifies extracts to any Participant on request. An exchange that bypasses the Registry has no framework effect until it registers.</w:t>
      </w:r>
    </w:p>
    <w:p w14:paraId="7A5A15CE" w14:textId="77777777" w:rsidR="0027270B" w:rsidRDefault="00000000">
      <w:r>
        <w:rPr>
          <w:rFonts w:cs="Calibri"/>
          <w:szCs w:val="21"/>
        </w:rPr>
        <w:t>58.4 The Bridge carries messages, not dependence. Each channel holder serves at the framework's invitation and under its transparency rules; no channel holder acquires authority over any Participant's decisions, and any channel transfers to another holder by Council consensus if a holder's service ends. The Bridge exists so that silence between adversaries never becomes a failure of the Strait.</w:t>
      </w:r>
    </w:p>
    <w:p w14:paraId="6D0380A3" w14:textId="77777777" w:rsidR="0027270B" w:rsidRDefault="00000000">
      <w:pPr>
        <w:pStyle w:val="Heading2"/>
      </w:pPr>
      <w:bookmarkStart w:id="74" w:name="_Toc237648523"/>
      <w:r>
        <w:rPr>
          <w:rFonts w:cs="Calibri"/>
          <w:szCs w:val="25"/>
        </w:rPr>
        <w:t>Article 59: The Twin-Signature Mirroring Protocol</w:t>
      </w:r>
      <w:bookmarkEnd w:id="74"/>
    </w:p>
    <w:p w14:paraId="3A6AD058" w14:textId="77777777" w:rsidR="0027270B" w:rsidRDefault="00000000">
      <w:r>
        <w:rPr>
          <w:rFonts w:cs="Calibri"/>
          <w:szCs w:val="21"/>
        </w:rPr>
        <w:t>59.1 This Accord executes through mirrored instruments, so that no Participant ever signs a page its adversary also signs, while every Participant binds itself to the identical text. The Protocol answers a simple diplomatic fact of August 2026: the parties to the wider conflict do not negotiate or sign directly with each other, and the Strait cannot wait for that to change.</w:t>
      </w:r>
    </w:p>
    <w:p w14:paraId="2EC7A5CC" w14:textId="77777777" w:rsidR="0027270B" w:rsidRDefault="00000000">
      <w:r>
        <w:rPr>
          <w:rFonts w:cs="Calibri"/>
          <w:szCs w:val="21"/>
        </w:rPr>
        <w:t>59.2 The execution set comprises: the Coastal Instrument, signed by Iran and Oman; the Endorsement Declarations, executed severally by the Endorsing Stakeholders, including the United States; the Observer Accessions, executed by the GCC Observer Members and Iraq; and the Technical Adhesions of the Technical Participants. Each instrument incorporates this Accord and its Annexes by reference, verbatim, without reservation except as the instrument itself states.</w:t>
      </w:r>
    </w:p>
    <w:p w14:paraId="3C30572E" w14:textId="77777777" w:rsidR="0027270B" w:rsidRDefault="00000000">
      <w:r>
        <w:rPr>
          <w:rFonts w:cs="Calibri"/>
          <w:szCs w:val="21"/>
        </w:rPr>
        <w:t>59.3 The Depositary holds the Registry of Mirrored Consent. The Registry records each instrument's deposit, certifies the identity of the texts, and issues the Certificate of Mirrored Consent that marks entry into force: the moment the Coastal Instrument and at least one Endorsement Declaration stand deposited together. From that moment, every instrument binds its executor to every other executor, through the Depositary, as completely as a single signature page would.</w:t>
      </w:r>
    </w:p>
    <w:p w14:paraId="258D51E9" w14:textId="77777777" w:rsidR="0027270B" w:rsidRDefault="00000000">
      <w:r>
        <w:rPr>
          <w:rFonts w:cs="Calibri"/>
          <w:szCs w:val="21"/>
        </w:rPr>
        <w:t xml:space="preserve">59.4 The Protocol governs every subsequent act under this Accord that requires adversaries to act together: the Synchronized Relief Track's certifications, the Twin Key's concurrences, and the corridor </w:t>
      </w:r>
      <w:r>
        <w:rPr>
          <w:rFonts w:cs="Calibri"/>
          <w:szCs w:val="21"/>
        </w:rPr>
        <w:lastRenderedPageBreak/>
        <w:t>coordinators' paired decisions all execute through the Registry by mirrored deposit, with simultaneous release by the Depositary. The architecture turns absence of relations into a designed feature, and the Strait pays no price for it.</w:t>
      </w:r>
    </w:p>
    <w:p w14:paraId="398C1516" w14:textId="77777777" w:rsidR="0027270B" w:rsidRDefault="00000000">
      <w:pPr>
        <w:pStyle w:val="Heading2"/>
      </w:pPr>
      <w:bookmarkStart w:id="75" w:name="_Toc237648524"/>
      <w:r>
        <w:rPr>
          <w:rFonts w:cs="Calibri"/>
          <w:szCs w:val="25"/>
        </w:rPr>
        <w:t>Article 60: Interface with the Nuclear Track</w:t>
      </w:r>
      <w:bookmarkEnd w:id="75"/>
    </w:p>
    <w:p w14:paraId="4E11C4BC" w14:textId="77777777" w:rsidR="0027270B" w:rsidRDefault="00000000">
      <w:r>
        <w:rPr>
          <w:rFonts w:cs="Calibri"/>
          <w:szCs w:val="21"/>
        </w:rPr>
        <w:t>60.1 The nuclear track lives outside this Accord under the Firewall of Article 6. This Article states the interface, so that the two tracks never collide and never contaminate each other. The interface has exactly three components: the routing rule of Article 6.2, which moves nuclear matters out of this framework automatically; the data rule of Article 6.3, which keeps each track's data out of the other's proceedings; and the continuity rule of Article 6.4, which keeps the Strait open whatever the nuclear track does.</w:t>
      </w:r>
    </w:p>
    <w:p w14:paraId="1AB52EAD" w14:textId="77777777" w:rsidR="0027270B" w:rsidRDefault="00000000">
      <w:r>
        <w:rPr>
          <w:rFonts w:cs="Calibri"/>
          <w:szCs w:val="21"/>
        </w:rPr>
        <w:t>60.2 The framework schedules no nuclear milestone, verifies no nuclear fact, and hosts no nuclear negotiation. Where the wider peace process produces nuclear arrangements, those arrangements execute in their own instruments, under their own verification, by their own parties. This Accord neither needs them nor waits for them.</w:t>
      </w:r>
    </w:p>
    <w:p w14:paraId="33CC562D" w14:textId="77777777" w:rsidR="0027270B" w:rsidRDefault="00000000">
      <w:r>
        <w:rPr>
          <w:rFonts w:cs="Calibri"/>
          <w:szCs w:val="21"/>
        </w:rPr>
        <w:t>60.3 Participants in this Accord that also participate in the nuclear track undertake one discipline within this framework: they raise no nuclear matter in any organ of this Accord, and they condition no Accord obligation on any nuclear event. The Depositary strikes from every agenda, filing, and decision any nuclear reference, by procedure, without debate, and reports each strike to the Council. The Firewall holds because holding it is automatic, not discretionary.</w:t>
      </w:r>
    </w:p>
    <w:p w14:paraId="4112C015" w14:textId="77777777" w:rsidR="0027270B" w:rsidRDefault="00000000">
      <w:pPr>
        <w:pStyle w:val="Heading2"/>
      </w:pPr>
      <w:bookmarkStart w:id="76" w:name="_Toc237648525"/>
      <w:r>
        <w:rPr>
          <w:rFonts w:cs="Calibri"/>
          <w:szCs w:val="25"/>
        </w:rPr>
        <w:t>Article 61: The United States Rebalancing Interface</w:t>
      </w:r>
      <w:bookmarkEnd w:id="76"/>
    </w:p>
    <w:p w14:paraId="075FC744" w14:textId="77777777" w:rsidR="0027270B" w:rsidRDefault="00000000">
      <w:r>
        <w:rPr>
          <w:rFonts w:cs="Calibri"/>
          <w:szCs w:val="21"/>
        </w:rPr>
        <w:t>61.1 The framework contemplates that the United States rebalances its regional posture as the region's own architecture assumes the functions the United States has carried. The framework receives that rebalancing as a designed transition, framed by all Participants as strategic success and regional maturation, never as retreat and never as expulsion. The standing message, in every capital, runs: the United States remains a partner, and the region now secures itself.</w:t>
      </w:r>
    </w:p>
    <w:p w14:paraId="006C22D2" w14:textId="77777777" w:rsidR="0027270B" w:rsidRDefault="00000000">
      <w:r>
        <w:rPr>
          <w:rFonts w:cs="Calibri"/>
          <w:szCs w:val="21"/>
        </w:rPr>
        <w:t>61.2 The interface runs in three stages, each gated by certification rather than by calendar alone. Stage One accompanies Phase One: the Transitional Security Umbrella operates, the Joint Watch Floor assumes routing and monitoring, and United States escort density follows the step-down ladder of Annex L. Stage Two accompanies Layer Four: the Integrated Patrol Rotation assumes maritime security as the Umbrella sunsets, and United States presence shifts toward remote overwatch and on-call response. Stage Three follows the first annual review: standing presence converts to logistics-and-response arrangements by sovereign decisions of the states concerned, announced under the mission-accomplished narrative of paragraph 61.1.</w:t>
      </w:r>
    </w:p>
    <w:p w14:paraId="4F807EB9" w14:textId="77777777" w:rsidR="0027270B" w:rsidRDefault="00000000">
      <w:r>
        <w:rPr>
          <w:rFonts w:cs="Calibri"/>
          <w:szCs w:val="21"/>
        </w:rPr>
        <w:t>61.3 Completed stages lock under the Forward Drift Archive. Political change in any capital does not reverse them. A returning United States posture, if any government ever chooses one, interfaces through the standing channels of this framework, as Endorsing Stakeholder and hotline node, not as unilateral presence inside the Governance Area. The interface honors both truths: the United States guarantee made the opening possible, and the region's own architecture makes the guarantee dispensable.</w:t>
      </w:r>
    </w:p>
    <w:p w14:paraId="0F8A4E09" w14:textId="77777777" w:rsidR="0027270B" w:rsidRDefault="00000000">
      <w:pPr>
        <w:pStyle w:val="Heading1"/>
      </w:pPr>
      <w:bookmarkStart w:id="77" w:name="_Toc237648526"/>
      <w:r>
        <w:rPr>
          <w:rFonts w:cs="Calibri"/>
          <w:szCs w:val="30"/>
        </w:rPr>
        <w:lastRenderedPageBreak/>
        <w:t>PART XII: TRANSPARENCY AND PUBLIC LEGITIMACY</w:t>
      </w:r>
      <w:bookmarkEnd w:id="77"/>
    </w:p>
    <w:p w14:paraId="47E07182" w14:textId="77777777" w:rsidR="0027270B" w:rsidRDefault="00000000">
      <w:pPr>
        <w:pStyle w:val="Heading2"/>
      </w:pPr>
      <w:bookmarkStart w:id="78" w:name="_Toc237648527"/>
      <w:r>
        <w:rPr>
          <w:rFonts w:cs="Calibri"/>
          <w:szCs w:val="25"/>
        </w:rPr>
        <w:t>Article 62: The Transparency Portals</w:t>
      </w:r>
      <w:bookmarkEnd w:id="78"/>
    </w:p>
    <w:p w14:paraId="086F5196" w14:textId="77777777" w:rsidR="0027270B" w:rsidRDefault="00000000">
      <w:r>
        <w:rPr>
          <w:rFonts w:cs="Calibri"/>
          <w:szCs w:val="21"/>
        </w:rPr>
        <w:t>62.1 The framework operates in public. The Maritime Transparency Portal publishes, continuously and without login: corridor status and Blue Flag tier, convoy clock and filing statistics, incident logs and diversion digests, audit reports and compliance classifications, Fund accounts and rate card, Prosperity Window pipeline, and the Daily Strait Note. The portal mirrors across jurisdictions, replicates within sixty seconds, and fails over within one hour.</w:t>
      </w:r>
    </w:p>
    <w:p w14:paraId="3199944D" w14:textId="77777777" w:rsidR="0027270B" w:rsidRDefault="00000000">
      <w:r>
        <w:rPr>
          <w:rFonts w:cs="Calibri"/>
          <w:szCs w:val="21"/>
        </w:rPr>
        <w:t>62.2 The portal distinguishes open data from protected data. Operational-security details, crew personal data, and commercially sensitive routing intentions stay protected under the data rules of Annex R; everything else publishes. The presumption runs to publication, and any withholding carries a written reason, a named withholder, and a thirty-day expiry.</w:t>
      </w:r>
    </w:p>
    <w:p w14:paraId="6BDB1946" w14:textId="77777777" w:rsidR="0027270B" w:rsidRDefault="00000000">
      <w:r>
        <w:rPr>
          <w:rFonts w:cs="Calibri"/>
          <w:szCs w:val="21"/>
        </w:rPr>
        <w:t>62.3 The portal serves markets as much as citizens. Insurers pull certification data through the interface of Annex R; operators subscribe to advisories; researchers download anonymized datasets. A framework the world watches is a framework the world prices, and pricing is the market's form of trust.</w:t>
      </w:r>
    </w:p>
    <w:p w14:paraId="4F658153" w14:textId="77777777" w:rsidR="0027270B" w:rsidRDefault="00000000">
      <w:pPr>
        <w:pStyle w:val="Heading2"/>
      </w:pPr>
      <w:bookmarkStart w:id="79" w:name="_Toc237648528"/>
      <w:r>
        <w:rPr>
          <w:rFonts w:cs="Calibri"/>
          <w:szCs w:val="25"/>
        </w:rPr>
        <w:t>Article 63: Incident Reporting and Public Logs</w:t>
      </w:r>
      <w:bookmarkEnd w:id="79"/>
    </w:p>
    <w:p w14:paraId="041F2067" w14:textId="77777777" w:rsidR="0027270B" w:rsidRDefault="00000000">
      <w:r>
        <w:rPr>
          <w:rFonts w:cs="Calibri"/>
          <w:szCs w:val="21"/>
        </w:rPr>
        <w:t>63.1 Every incident inside the Governance Area logs to the Shared Digital Registry within one hour of the first report: identity, position, time, nature, response, and disposition. The log entry follows the vessel, not the politics: no incident disappears because reporting it is inconvenient.</w:t>
      </w:r>
    </w:p>
    <w:p w14:paraId="392ABB54" w14:textId="77777777" w:rsidR="0027270B" w:rsidRDefault="00000000">
      <w:r>
        <w:rPr>
          <w:rFonts w:cs="Calibri"/>
          <w:szCs w:val="21"/>
        </w:rPr>
        <w:t>63.2 Public incident logs publish daily on the portal, with the operational-security redactions of Annex R. Monthly, the Neutral Watch Office publishes an incident analysis: rates, patterns, response times, and lessons. Annually, the framework publishes a full safety report to the International Maritime Organization.</w:t>
      </w:r>
    </w:p>
    <w:p w14:paraId="376149ED" w14:textId="77777777" w:rsidR="0027270B" w:rsidRDefault="00000000">
      <w:r>
        <w:rPr>
          <w:rFonts w:cs="Calibri"/>
          <w:szCs w:val="21"/>
        </w:rPr>
        <w:t>63.3 Insurers and operators receive machine-readable incident data in real time under Annex R, so that risk models price the Strait on evidence, not on headlines. The framework's answer to fear is data, delivered faster than rumor.</w:t>
      </w:r>
    </w:p>
    <w:p w14:paraId="2A5DDCB8" w14:textId="77777777" w:rsidR="0027270B" w:rsidRDefault="00000000">
      <w:pPr>
        <w:pStyle w:val="Heading2"/>
      </w:pPr>
      <w:bookmarkStart w:id="80" w:name="_Toc237648529"/>
      <w:r>
        <w:rPr>
          <w:rFonts w:cs="Calibri"/>
          <w:szCs w:val="25"/>
        </w:rPr>
        <w:t>Article 64: The Counter-Misinformation Protocol</w:t>
      </w:r>
      <w:bookmarkEnd w:id="80"/>
    </w:p>
    <w:p w14:paraId="6DE94D97" w14:textId="77777777" w:rsidR="0027270B" w:rsidRDefault="00000000">
      <w:r>
        <w:rPr>
          <w:rFonts w:cs="Calibri"/>
          <w:szCs w:val="21"/>
        </w:rPr>
        <w:t>64.1 The Strait's governance fails twice when lies outrun facts: once in the event, once in the telling. The Secretariat operates a standing counter-misinformation watch. Where material misinformation about the framework or the Strait circulates and the Mediator of Record or any two Council members flag it, the Secretariat publishes a correction, with underlying evidence, within seventy-two hours, in seven working languages.</w:t>
      </w:r>
    </w:p>
    <w:p w14:paraId="2A529663" w14:textId="77777777" w:rsidR="0027270B" w:rsidRDefault="00000000">
      <w:r>
        <w:rPr>
          <w:rFonts w:cs="Calibri"/>
          <w:szCs w:val="21"/>
        </w:rPr>
        <w:t>64.2 Corrections state facts and sources, never polemics. The protocol names no enemies and argues with no publics; it documents. Where misinformation touches a Participant's domestic politics, the correction routes through the Intermediary Bridge so that truth arrives without humiliation.</w:t>
      </w:r>
    </w:p>
    <w:p w14:paraId="3D60299C" w14:textId="77777777" w:rsidR="0027270B" w:rsidRDefault="00000000">
      <w:r>
        <w:rPr>
          <w:rFonts w:cs="Calibri"/>
          <w:szCs w:val="21"/>
        </w:rPr>
        <w:lastRenderedPageBreak/>
        <w:t>64.3 The protocol also runs in advance: the Secretariat maintains pre-drafted factual explainers for the framework's most misunderstood features, including the Zero-Toll Rule, the service distinction, the Nuclear Firewall, and the mirrored execution, so that the first draft of every crisis contains the truth.</w:t>
      </w:r>
    </w:p>
    <w:p w14:paraId="2D2910C0" w14:textId="77777777" w:rsidR="0027270B" w:rsidRDefault="00000000">
      <w:pPr>
        <w:pStyle w:val="Heading2"/>
      </w:pPr>
      <w:bookmarkStart w:id="81" w:name="_Toc237648530"/>
      <w:r>
        <w:rPr>
          <w:rFonts w:cs="Calibri"/>
          <w:szCs w:val="25"/>
        </w:rPr>
        <w:t>Article 65: Public Communication and Domestic Framing Autonomy</w:t>
      </w:r>
      <w:bookmarkEnd w:id="81"/>
    </w:p>
    <w:p w14:paraId="1B746FBE" w14:textId="77777777" w:rsidR="0027270B" w:rsidRDefault="00000000">
      <w:r>
        <w:rPr>
          <w:rFonts w:cs="Calibri"/>
          <w:szCs w:val="21"/>
        </w:rPr>
        <w:t>65.1 Every Participant communicates this Accord to its own public in its own words. The framework imposes no common narrative beyond the standing message of Article 61.1 where rebalancing is concerned, and it polices no capital's politics. Iran describes the Accord as recognition of its coastal role and the end of impunity against its shipping; Oman describes it as the triumph of neutral stewardship; the Gulf states describe it as guaranteed openness and a seat at the table; the United States describes it as freedom of navigation secured without tolls, without Iranian unilateral control, and with American escort through the transition. Each description is true, because the architecture makes each of them true.</w:t>
      </w:r>
    </w:p>
    <w:p w14:paraId="5CEF8544" w14:textId="77777777" w:rsidR="0027270B" w:rsidRDefault="00000000">
      <w:r>
        <w:rPr>
          <w:rFonts w:cs="Calibri"/>
          <w:szCs w:val="21"/>
        </w:rPr>
        <w:t>65.2 The Secretariat briefs accredited correspondents weekly in ordinary times and daily in crisis, from the Joint Watch Floor, with corridor embarkation for verified journalists under escort rules. What the press sees, the press need not imagine.</w:t>
      </w:r>
    </w:p>
    <w:p w14:paraId="6BD87936" w14:textId="77777777" w:rsidR="0027270B" w:rsidRDefault="00000000">
      <w:r>
        <w:rPr>
          <w:rFonts w:cs="Calibri"/>
          <w:szCs w:val="21"/>
        </w:rPr>
        <w:t>65.3 Annually, the Secretariat publishes a plain-language public report on the framework's performance, including independent survey data on operator and public confidence in each Participant state. The report stands as a standing agenda item of the Council, unedited, every year, so that the framework faces its own public verdict on schedule.</w:t>
      </w:r>
    </w:p>
    <w:p w14:paraId="6AAF01F4" w14:textId="77777777" w:rsidR="0027270B" w:rsidRDefault="00000000">
      <w:pPr>
        <w:pStyle w:val="Heading1"/>
      </w:pPr>
      <w:bookmarkStart w:id="82" w:name="_Toc237648531"/>
      <w:r>
        <w:rPr>
          <w:rFonts w:cs="Calibri"/>
          <w:szCs w:val="30"/>
        </w:rPr>
        <w:lastRenderedPageBreak/>
        <w:t>PART XIII: PARTICIPATION, DURATION, AND CONCLUDING CLAUSES</w:t>
      </w:r>
      <w:bookmarkEnd w:id="82"/>
    </w:p>
    <w:p w14:paraId="56EAD8DD" w14:textId="77777777" w:rsidR="0027270B" w:rsidRDefault="00000000">
      <w:pPr>
        <w:pStyle w:val="Heading2"/>
      </w:pPr>
      <w:bookmarkStart w:id="83" w:name="_Toc237648532"/>
      <w:r>
        <w:rPr>
          <w:rFonts w:cs="Calibri"/>
          <w:szCs w:val="25"/>
        </w:rPr>
        <w:t>Article 66: Participation Tiers</w:t>
      </w:r>
      <w:bookmarkEnd w:id="83"/>
    </w:p>
    <w:p w14:paraId="0A8E6D5B" w14:textId="77777777" w:rsidR="0027270B" w:rsidRDefault="00000000">
      <w:r>
        <w:rPr>
          <w:rFonts w:cs="Calibri"/>
          <w:szCs w:val="21"/>
        </w:rPr>
        <w:t>66.1 Participation in this Accord organizes into five tiers, each with defined rights and obligations. Coastal Principals, Iran and Oman, hold the Twin Key, perform coordination functions, and carry the framework's core obligations. Observer Members, the GCC states and Iraq, hold transparency rights, speaking rights, and audit participation. Endorsing Stakeholders hold observer access and the bounded functions of Article 34.2, without vote or command. Technical Participants contribute expertise within their mandates. Guarantors lend good offices under Article 34.4, with the Swiss Confederation serving distinctly as Financial Custodian.</w:t>
      </w:r>
    </w:p>
    <w:p w14:paraId="1505F216" w14:textId="77777777" w:rsidR="0027270B" w:rsidRDefault="00000000">
      <w:r>
        <w:rPr>
          <w:rFonts w:cs="Calibri"/>
          <w:szCs w:val="21"/>
        </w:rPr>
        <w:t>66.2 Tiers define function, never rank. Every tier receives the same transparency, answers to the same golden record, and stands under the same Perimeter Test. The framework has no second-class participants, because second-class participants become first-class spoilers.</w:t>
      </w:r>
    </w:p>
    <w:p w14:paraId="2024E80C" w14:textId="77777777" w:rsidR="0027270B" w:rsidRDefault="00000000">
      <w:pPr>
        <w:pStyle w:val="Heading2"/>
      </w:pPr>
      <w:bookmarkStart w:id="84" w:name="_Toc237648533"/>
      <w:r>
        <w:rPr>
          <w:rFonts w:cs="Calibri"/>
          <w:szCs w:val="25"/>
        </w:rPr>
        <w:t>Article 67: Accession</w:t>
      </w:r>
      <w:bookmarkEnd w:id="84"/>
    </w:p>
    <w:p w14:paraId="42E6D4B9" w14:textId="77777777" w:rsidR="0027270B" w:rsidRDefault="00000000">
      <w:r>
        <w:rPr>
          <w:rFonts w:cs="Calibri"/>
          <w:szCs w:val="21"/>
        </w:rPr>
        <w:t>67.1 Accession is open, non-discriminatory, and procedural. Any state or organization within the categories of Article 66 accedes under Annex Q by depositing the matching instrument with the Depositary, accepting the Accord and its Annexes without reservation to the Ten Blue Principles, the Zero-Toll Rule, or the Nuclear Firewall, and registering any red lines it holds for inclusion in the Register under Article 7.4.</w:t>
      </w:r>
    </w:p>
    <w:p w14:paraId="2C7B982C" w14:textId="77777777" w:rsidR="0027270B" w:rsidRDefault="00000000">
      <w:r>
        <w:rPr>
          <w:rFonts w:cs="Calibri"/>
          <w:szCs w:val="21"/>
        </w:rPr>
        <w:t>67.2 Gulf and regional states accede on a fast track: provisional participation on deposit, full participation on completion of technical integration within twelve months. Other states and organizations accede on the standard track: provisional participation on deposit, full participation on completion of the same integration, never longer. Accession requires no negotiation; the architecture accepts new participants as they are, on the terms the Accord already states.</w:t>
      </w:r>
    </w:p>
    <w:p w14:paraId="1C899718" w14:textId="77777777" w:rsidR="0027270B" w:rsidRDefault="00000000">
      <w:r>
        <w:rPr>
          <w:rFonts w:cs="Calibri"/>
          <w:szCs w:val="21"/>
        </w:rPr>
        <w:t>67.3 No accession dilutes the Twin Key, and no accession reopens settled text. New participants join a working system, and their arrival strengthens it; the framework treats growth as proof, not as risk.</w:t>
      </w:r>
    </w:p>
    <w:p w14:paraId="657635A7" w14:textId="77777777" w:rsidR="0027270B" w:rsidRDefault="00000000">
      <w:pPr>
        <w:pStyle w:val="Heading2"/>
      </w:pPr>
      <w:bookmarkStart w:id="85" w:name="_Toc237648534"/>
      <w:r>
        <w:rPr>
          <w:rFonts w:cs="Calibri"/>
          <w:szCs w:val="25"/>
        </w:rPr>
        <w:t>Article 68: Duration, Review, and Renewal</w:t>
      </w:r>
      <w:bookmarkEnd w:id="85"/>
    </w:p>
    <w:p w14:paraId="02F541E1" w14:textId="77777777" w:rsidR="0027270B" w:rsidRDefault="00000000">
      <w:r>
        <w:rPr>
          <w:rFonts w:cs="Calibri"/>
          <w:szCs w:val="21"/>
        </w:rPr>
        <w:t>68.1 This Accord has no sunset. It enters into force under Article 71, continues indefinitely, and ends only by replacement or by withdrawal under Article 69. No expiry date exists, no renewal deadline looms, and no participant's leverage ever rests on the framework's approaching death.</w:t>
      </w:r>
    </w:p>
    <w:p w14:paraId="15ED1208" w14:textId="77777777" w:rsidR="0027270B" w:rsidRDefault="00000000">
      <w:r>
        <w:rPr>
          <w:rFonts w:cs="Calibri"/>
          <w:szCs w:val="21"/>
        </w:rPr>
        <w:t>68.2 The Council conducts a comprehensive review every five years: performance against the Ten Blue Principles, the audits' long-run trends, the Annexes' fitness, and the Accession landscape. Reviews update Annexes through Article 70; they never reopen the Principles, the Zero-Toll Rule, or the Nuclear Firewall.</w:t>
      </w:r>
    </w:p>
    <w:p w14:paraId="42D986B7" w14:textId="77777777" w:rsidR="0027270B" w:rsidRDefault="00000000">
      <w:r>
        <w:rPr>
          <w:rFonts w:cs="Calibri"/>
          <w:szCs w:val="21"/>
        </w:rPr>
        <w:t xml:space="preserve">68.3 Every fifteenth year, the Accord renews automatically for a further fifteen years. A Participant declining renewal gives twenty-four months' notice, performs throughout the notice period, and departs </w:t>
      </w:r>
      <w:r>
        <w:rPr>
          <w:rFonts w:cs="Calibri"/>
          <w:szCs w:val="21"/>
        </w:rPr>
        <w:lastRenderedPageBreak/>
        <w:t>only at the period's end. Automatic renewal makes continuity the path of least resistance, which is exactly where continuity belongs.</w:t>
      </w:r>
    </w:p>
    <w:p w14:paraId="2E11E1BD" w14:textId="77777777" w:rsidR="0027270B" w:rsidRDefault="00000000">
      <w:pPr>
        <w:pStyle w:val="Heading2"/>
      </w:pPr>
      <w:bookmarkStart w:id="86" w:name="_Toc237648535"/>
      <w:r>
        <w:rPr>
          <w:rFonts w:cs="Calibri"/>
          <w:szCs w:val="25"/>
        </w:rPr>
        <w:t>Article 69: Withdrawal</w:t>
      </w:r>
      <w:bookmarkEnd w:id="86"/>
    </w:p>
    <w:p w14:paraId="7F0DDF88" w14:textId="77777777" w:rsidR="0027270B" w:rsidRDefault="00000000">
      <w:r>
        <w:rPr>
          <w:rFonts w:cs="Calibri"/>
          <w:szCs w:val="21"/>
        </w:rPr>
        <w:t>69.1 A Participant withdraws by twenty-four months' written notice to the Depositary. Throughout the notice period, the withdrawing Participant performs every obligation in full, including transparency, funding, and coordination duties. Financial obligations accrued before withdrawal survive it, and locked gains under the Forward Drift Archive never unlock for a departure.</w:t>
      </w:r>
    </w:p>
    <w:p w14:paraId="5245565F" w14:textId="77777777" w:rsidR="0027270B" w:rsidRDefault="00000000">
      <w:r>
        <w:rPr>
          <w:rFonts w:cs="Calibri"/>
          <w:szCs w:val="21"/>
        </w:rPr>
        <w:t>69.2 Withdrawal changes the withdrawing Participant's position and nothing else. The corridors stay open, the Fund keeps operating, the audits keep running, and the Zero-Toll Rule keeps binding every remaining Participant. A framework one exit kills is a hostage, not an institution; this Accord refuses the design.</w:t>
      </w:r>
    </w:p>
    <w:p w14:paraId="490F5EFE" w14:textId="77777777" w:rsidR="0027270B" w:rsidRDefault="00000000">
      <w:r>
        <w:rPr>
          <w:rFonts w:cs="Calibri"/>
          <w:szCs w:val="21"/>
        </w:rPr>
        <w:t>69.3 The Depositary notifies every Participant of any notice of withdrawal within seventy-two hours, and the Council meets within thirty days to manage the transition of any functions the departing Participant performs. Transitions plan in the open, under Annex Q's handover protocol, so that no function ever drops.</w:t>
      </w:r>
    </w:p>
    <w:p w14:paraId="6DBC0000" w14:textId="77777777" w:rsidR="0027270B" w:rsidRDefault="00000000">
      <w:pPr>
        <w:pStyle w:val="Heading2"/>
      </w:pPr>
      <w:bookmarkStart w:id="87" w:name="_Toc237648536"/>
      <w:r>
        <w:rPr>
          <w:rFonts w:cs="Calibri"/>
          <w:szCs w:val="25"/>
        </w:rPr>
        <w:t>Article 70: Amendment and Annex Updating</w:t>
      </w:r>
      <w:bookmarkEnd w:id="87"/>
    </w:p>
    <w:p w14:paraId="6058F603" w14:textId="77777777" w:rsidR="0027270B" w:rsidRDefault="00000000">
      <w:r>
        <w:rPr>
          <w:rFonts w:cs="Calibri"/>
          <w:szCs w:val="21"/>
        </w:rPr>
        <w:t>70.1 The main text amends by three-quarters of the Council, including both Coastal Principals. No amendment crosses a registered red line without the line holder's written consensus, and no amendment touches the Ten Blue Principles, the Zero-Toll Rule, the Nuclear Firewall, or the Humanitarian Firewall except by unanimity of the Council including every Observer Member's non-objection.</w:t>
      </w:r>
    </w:p>
    <w:p w14:paraId="4FE2AE3A" w14:textId="77777777" w:rsidR="0027270B" w:rsidRDefault="00000000">
      <w:r>
        <w:rPr>
          <w:rFonts w:cs="Calibri"/>
          <w:szCs w:val="21"/>
        </w:rPr>
        <w:t>70.2 Annexes update by the lighter procedure this Accord prefers: the responsible organ proposes, the Neutral Watch Office verifies the Perimeter Test and the cost basis, the update circulates for sixty days, and it takes effect on Twin Key concurrence with no sustained Observer objection. Technical corrections, numbering, cross-references, and evident errors update by the Secretariat's logged notice, effective on seven days' silence.</w:t>
      </w:r>
    </w:p>
    <w:p w14:paraId="4642B871" w14:textId="77777777" w:rsidR="0027270B" w:rsidRDefault="00000000">
      <w:r>
        <w:rPr>
          <w:rFonts w:cs="Calibri"/>
          <w:szCs w:val="21"/>
        </w:rPr>
        <w:t>70.3 Every amendment and update registers with the Depositary, publishes on the portal, and states its effective date and its Perimeter Test record. The framework's text is a living instrument with a perfect memory; nothing changes silently, and nothing published ever disappears.</w:t>
      </w:r>
    </w:p>
    <w:p w14:paraId="08AAAAEF" w14:textId="77777777" w:rsidR="0027270B" w:rsidRDefault="00000000">
      <w:pPr>
        <w:pStyle w:val="Heading2"/>
      </w:pPr>
      <w:bookmarkStart w:id="88" w:name="_Toc237648537"/>
      <w:r>
        <w:rPr>
          <w:rFonts w:cs="Calibri"/>
          <w:szCs w:val="25"/>
        </w:rPr>
        <w:t>Article 71: Concluding Clauses</w:t>
      </w:r>
      <w:bookmarkEnd w:id="88"/>
    </w:p>
    <w:p w14:paraId="166C4B2C" w14:textId="77777777" w:rsidR="0027270B" w:rsidRDefault="00000000">
      <w:r>
        <w:rPr>
          <w:rFonts w:cs="Calibri"/>
          <w:szCs w:val="21"/>
        </w:rPr>
        <w:t>71.1 Entry into force. This Accord enters into force on the Depositary's issue of the Certificate of Mirrored Consent under Article 59.3: the Coastal Instrument and at least one Endorsement Declaration deposited together. The Blue Opening Protocol begins at that moment, and the Strait opens within seventy-two hours of it.</w:t>
      </w:r>
    </w:p>
    <w:p w14:paraId="538CA13D" w14:textId="77777777" w:rsidR="0027270B" w:rsidRDefault="00000000">
      <w:r>
        <w:rPr>
          <w:rFonts w:cs="Calibri"/>
          <w:szCs w:val="21"/>
        </w:rPr>
        <w:t xml:space="preserve">71.2 Depositary. The Sultanate of Oman serves as Depositary, seated in Muscat. The Depositary holds the original instruments, the Registry of Mirrored Consent, the instruments of accession and amendment, </w:t>
      </w:r>
      <w:r>
        <w:rPr>
          <w:rFonts w:cs="Calibri"/>
          <w:szCs w:val="21"/>
        </w:rPr>
        <w:lastRenderedPageBreak/>
        <w:t>and the certified record of every notice under this Accord. The Depositary's certifications bind every Participant as to the facts of deposit, registration, and release.</w:t>
      </w:r>
    </w:p>
    <w:p w14:paraId="55127B39" w14:textId="77777777" w:rsidR="0027270B" w:rsidRDefault="00000000">
      <w:r>
        <w:rPr>
          <w:rFonts w:cs="Calibri"/>
          <w:szCs w:val="21"/>
        </w:rPr>
        <w:t>71.3 Languages. This Accord is drawn up in Arabic, English, and Persian, each text equally authentic. Divergences reconcile through the Tribunal under Article 55, guided by the Ten Blue Principles and the object and purpose of the Accord.</w:t>
      </w:r>
    </w:p>
    <w:p w14:paraId="410E2049" w14:textId="77777777" w:rsidR="0027270B" w:rsidRDefault="00000000">
      <w:r>
        <w:rPr>
          <w:rFonts w:cs="Calibri"/>
          <w:szCs w:val="21"/>
        </w:rPr>
        <w:t>71.4 Registration. The Depositary registers this Accord with the Secretariat of the United Nations and lodges the corridor coordinates and traffic schemes with the International Maritime Organization and the International Hydrographic Organization, so that the framework stands inside the world's public order from its first day.</w:t>
      </w:r>
    </w:p>
    <w:p w14:paraId="55F95D8B" w14:textId="77777777" w:rsidR="0027270B" w:rsidRDefault="00000000">
      <w:r>
        <w:rPr>
          <w:rFonts w:cs="Calibri"/>
          <w:szCs w:val="21"/>
        </w:rPr>
        <w:t>71.5 Relationship to other instruments. This Accord builds upon the interim understandings of June 2026 and the Iran-Oman route-map work of August 2026, and supersedes them to the extent they conflict. It complements, and never displaces, the rights and duties of states under international law, including the customary law of transit passage through straits used for international navigation.</w:t>
      </w:r>
    </w:p>
    <w:p w14:paraId="5A869335" w14:textId="77777777" w:rsidR="0027270B" w:rsidRDefault="00000000">
      <w:pPr>
        <w:pStyle w:val="Heading1"/>
      </w:pPr>
      <w:bookmarkStart w:id="89" w:name="_Toc237648538"/>
      <w:r>
        <w:rPr>
          <w:rFonts w:cs="Calibri"/>
          <w:szCs w:val="30"/>
        </w:rPr>
        <w:lastRenderedPageBreak/>
        <w:t>PART XIV: ADAPTIVE RESILIENCE AND CONTINUOUS IMPROVEMENT</w:t>
      </w:r>
      <w:bookmarkEnd w:id="89"/>
    </w:p>
    <w:p w14:paraId="77CA3FCD" w14:textId="77777777" w:rsidR="0027270B" w:rsidRDefault="00000000">
      <w:pPr>
        <w:pStyle w:val="Heading2"/>
      </w:pPr>
      <w:bookmarkStart w:id="90" w:name="_Toc237648539"/>
      <w:r>
        <w:rPr>
          <w:rFonts w:cs="Calibri"/>
          <w:szCs w:val="25"/>
        </w:rPr>
        <w:t>Article 72: The Crisis Override Clause</w:t>
      </w:r>
      <w:bookmarkEnd w:id="90"/>
    </w:p>
    <w:p w14:paraId="24FE9CBA" w14:textId="77777777" w:rsidR="0027270B" w:rsidRDefault="00000000">
      <w:r>
        <w:rPr>
          <w:rFonts w:cs="Calibri"/>
          <w:szCs w:val="21"/>
        </w:rPr>
        <w:t>72.1 The trigger. When collision, fire, mine strike, or another extreme incident creates an immediate threat to life or to the marine environment, the on-scene commander of the nearest rescue or escort asset acts at once, without waiting for Twin Key concurrence. The override covers life-saving, firefighting, pollution containment, and immediate traffic holds only. It never extends to interdiction, boarding, detention, or any enforcement act.</w:t>
      </w:r>
    </w:p>
    <w:p w14:paraId="56CF4BC8" w14:textId="77777777" w:rsidR="0027270B" w:rsidRDefault="00000000">
      <w:r>
        <w:rPr>
          <w:rFonts w:cs="Calibri"/>
          <w:szCs w:val="21"/>
        </w:rPr>
        <w:t>72.2 The time limit. The override expires three hours after activation. Extension beyond three hours activates the Twin Key of Article 19: both corridor coordinators concur, or the action ends. Every extension logs to the Shared Digital Registry with the acting commander named.</w:t>
      </w:r>
    </w:p>
    <w:p w14:paraId="699B2B0B" w14:textId="77777777" w:rsidR="0027270B" w:rsidRDefault="00000000">
      <w:r>
        <w:rPr>
          <w:rFonts w:cs="Calibri"/>
          <w:szCs w:val="21"/>
        </w:rPr>
        <w:t>72.3 Automatic transparency. Activation of the override notifies the hotline network and the portal within fifteen minutes, with position, nature of threat, and assets engaged. Post-facto review follows within seventy-two hours: the Joint Watch Cell reconstructs the event from the golden record, and the Neutral Watch Office publishes the review in full.</w:t>
      </w:r>
    </w:p>
    <w:p w14:paraId="00CF3AB6" w14:textId="77777777" w:rsidR="0027270B" w:rsidRDefault="00000000">
      <w:r>
        <w:rPr>
          <w:rFonts w:cs="Calibri"/>
          <w:szCs w:val="21"/>
        </w:rPr>
        <w:t>72.4 Abuse control. An override exercised outside its scope counts as a technical breach under Article 50 and feeds the step-back engine of Article 51. Two unjustified overrides by the same command within twelve months trigger Council review of that command's designation.</w:t>
      </w:r>
    </w:p>
    <w:p w14:paraId="290C194E" w14:textId="77777777" w:rsidR="0027270B" w:rsidRDefault="00000000">
      <w:pPr>
        <w:pStyle w:val="Heading2"/>
      </w:pPr>
      <w:bookmarkStart w:id="91" w:name="_Toc237648540"/>
      <w:r>
        <w:rPr>
          <w:rFonts w:cs="Calibri"/>
          <w:szCs w:val="25"/>
        </w:rPr>
        <w:t>Article 73: The Political Shock Absorber</w:t>
      </w:r>
      <w:bookmarkEnd w:id="91"/>
    </w:p>
    <w:p w14:paraId="5033A039" w14:textId="77777777" w:rsidR="0027270B" w:rsidRDefault="00000000">
      <w:r>
        <w:rPr>
          <w:rFonts w:cs="Calibri"/>
          <w:szCs w:val="21"/>
        </w:rPr>
        <w:t>73.1 Purpose. Domestic politics churn; the Strait stays steady. This Article insulates corridor operations from political turbulence in any Participant's capital.</w:t>
      </w:r>
    </w:p>
    <w:p w14:paraId="67969CB5" w14:textId="77777777" w:rsidR="0027270B" w:rsidRDefault="00000000">
      <w:r>
        <w:rPr>
          <w:rFonts w:cs="Calibri"/>
          <w:szCs w:val="21"/>
        </w:rPr>
        <w:t>73.2 The procedural pause. A Participant facing domestic upheaval activates a procedural pause by notice to the Depositary. The pause suspends the Participant's attendance obligations and new-initiative rights for up to thirty days, renewable once. The pause never suspends: transit, the Twin Key, hotline duties, fee flows, verification data, or any safety function. Operations continue under the last-agreed settings.</w:t>
      </w:r>
    </w:p>
    <w:p w14:paraId="1806C6CA" w14:textId="77777777" w:rsidR="0027270B" w:rsidRDefault="00000000">
      <w:r>
        <w:rPr>
          <w:rFonts w:cs="Calibri"/>
          <w:szCs w:val="21"/>
        </w:rPr>
        <w:t>73.3 Neutral monitoring. During any procedural pause, the Neutral Watch Office monitors the paused Participant's operational interfaces daily and reports weekly to the Council. The paused Participant's hotline node stays staffed and answers on time; failure to staff it counts as an anomaly under Article 49.</w:t>
      </w:r>
    </w:p>
    <w:p w14:paraId="5704F099" w14:textId="77777777" w:rsidR="0027270B" w:rsidRDefault="00000000">
      <w:r>
        <w:rPr>
          <w:rFonts w:cs="Calibri"/>
          <w:szCs w:val="21"/>
        </w:rPr>
        <w:t>73.4 Re-entry. The pause ends on notice or on expiry, with full rights restored automatically and no re-negotiation. No Participant pays a price, political or financial, for using the Shock Absorber. The architecture assumes politics happens and routes around it.</w:t>
      </w:r>
    </w:p>
    <w:p w14:paraId="738F06C7" w14:textId="77777777" w:rsidR="0027270B" w:rsidRDefault="00000000">
      <w:pPr>
        <w:pStyle w:val="Heading2"/>
      </w:pPr>
      <w:bookmarkStart w:id="92" w:name="_Toc237648541"/>
      <w:r>
        <w:rPr>
          <w:rFonts w:cs="Calibri"/>
          <w:szCs w:val="25"/>
        </w:rPr>
        <w:t>Article 74: The Data Integrity Audit</w:t>
      </w:r>
      <w:bookmarkEnd w:id="92"/>
    </w:p>
    <w:p w14:paraId="51040165" w14:textId="77777777" w:rsidR="0027270B" w:rsidRDefault="00000000">
      <w:r>
        <w:rPr>
          <w:rFonts w:cs="Calibri"/>
          <w:szCs w:val="21"/>
        </w:rPr>
        <w:t xml:space="preserve">74.1 Quarterly third-party audit. An independent, internationally accredited cybersecurity firm audits the Shared Digital Registry, the Transparency Portal, and the golden record's chain of custody every quarter. </w:t>
      </w:r>
      <w:r>
        <w:rPr>
          <w:rFonts w:cs="Calibri"/>
          <w:szCs w:val="21"/>
        </w:rPr>
        <w:lastRenderedPageBreak/>
        <w:t>The Neutral Watch Office contracts the auditor through open tender, rotates auditors every two years, and bars any auditor with ties to a Participant's intelligence service.</w:t>
      </w:r>
    </w:p>
    <w:p w14:paraId="21B65855" w14:textId="77777777" w:rsidR="0027270B" w:rsidRDefault="00000000">
      <w:r>
        <w:rPr>
          <w:rFonts w:cs="Calibri"/>
          <w:szCs w:val="21"/>
        </w:rPr>
        <w:t>74.2 Scope. The audit covers access controls, hash-chain integrity, replication consistency across the three mirror jurisdictions, intrusion attempts, and insider-access logs. The auditor receives full read access under confidentiality and publishes a summary report on the portal within fourteen days of each audit's close.</w:t>
      </w:r>
    </w:p>
    <w:p w14:paraId="6B678A25" w14:textId="77777777" w:rsidR="0027270B" w:rsidRDefault="00000000">
      <w:r>
        <w:rPr>
          <w:rFonts w:cs="Calibri"/>
          <w:szCs w:val="21"/>
        </w:rPr>
        <w:t>74.3 Findings ladder. Critical findings trigger immediate notice to the Council and remediation within seventy-two hours. Lesser findings enter a remediation queue with published deadlines. Unremediated critical findings after two quarters count as a material breach under Article 50.</w:t>
      </w:r>
    </w:p>
    <w:p w14:paraId="7E2BA267" w14:textId="77777777" w:rsidR="0027270B" w:rsidRDefault="00000000">
      <w:r>
        <w:rPr>
          <w:rFonts w:cs="Calibri"/>
          <w:szCs w:val="21"/>
        </w:rPr>
        <w:t>74.4 Tamper response. Confirmed tampering freezes the affected data stream, switches operations to the last verified checkpoint, and activates the Red Team of Annex J.9 for forensic review. The tamper event, its scope, and its remedy publish in full. Trust in this framework rests on the assumption that attempts happen and on proof that they fail.</w:t>
      </w:r>
    </w:p>
    <w:p w14:paraId="6B023816" w14:textId="77777777" w:rsidR="0027270B" w:rsidRDefault="00000000">
      <w:pPr>
        <w:pStyle w:val="Heading2"/>
      </w:pPr>
      <w:bookmarkStart w:id="93" w:name="_Toc237648542"/>
      <w:r>
        <w:rPr>
          <w:rFonts w:cs="Calibri"/>
          <w:szCs w:val="25"/>
        </w:rPr>
        <w:t>Article 75: The Corridor Congestion Protocol</w:t>
      </w:r>
      <w:bookmarkEnd w:id="93"/>
    </w:p>
    <w:p w14:paraId="4F2E88C5" w14:textId="77777777" w:rsidR="0027270B" w:rsidRDefault="00000000">
      <w:r>
        <w:rPr>
          <w:rFonts w:cs="Calibri"/>
          <w:szCs w:val="21"/>
        </w:rPr>
        <w:t>75.1 Congestion threshold. The Transit Desk declares congestion when projected traffic in any corridor segment exceeds eighty percent of certified capacity for six consecutive hours, or when anchorage occupancy exceeds ninety percent.</w:t>
      </w:r>
    </w:p>
    <w:p w14:paraId="4741D33E" w14:textId="77777777" w:rsidR="0027270B" w:rsidRDefault="00000000">
      <w:r>
        <w:rPr>
          <w:rFonts w:cs="Calibri"/>
          <w:szCs w:val="21"/>
        </w:rPr>
        <w:t>75.2 The allocation algorithm. On declaration, slot allocation follows a published, neutral algorithm: humanitarian vessels first under Article 14; then vessels in order of Filing time; then a fairness rotation that spreads residual delay across flags and operators so that no flag absorbs more than its proportional share of total delay minutes over any rolling week.</w:t>
      </w:r>
    </w:p>
    <w:p w14:paraId="4351DE05" w14:textId="77777777" w:rsidR="0027270B" w:rsidRDefault="00000000">
      <w:r>
        <w:rPr>
          <w:rFonts w:cs="Calibri"/>
          <w:szCs w:val="21"/>
        </w:rPr>
        <w:t>75.3 Neutral oversight. The Neutral Watch Office monitors the algorithm's every run, publishes slot allocations and delay statistics daily during congestion, and reviews any claim of manipulation within forty-eight hours. The algorithm's code sits in escrow with the Swiss coordinator and opens to the Council on demand.</w:t>
      </w:r>
    </w:p>
    <w:p w14:paraId="36BF4041" w14:textId="77777777" w:rsidR="0027270B" w:rsidRDefault="00000000">
      <w:r>
        <w:rPr>
          <w:rFonts w:cs="Calibri"/>
          <w:szCs w:val="21"/>
        </w:rPr>
        <w:t>75.4 De-escalation. The declaration lapses when traffic falls below seventy percent of capacity for six hours. A post-congestion review publishes within seven days: causes, allocation record, fairness metrics, and recommended capacity adjustments for the Council.</w:t>
      </w:r>
    </w:p>
    <w:p w14:paraId="6210E0AB" w14:textId="77777777" w:rsidR="0027270B" w:rsidRDefault="00000000">
      <w:r>
        <w:rPr>
          <w:rFonts w:cs="Calibri"/>
          <w:szCs w:val="21"/>
        </w:rPr>
        <w:t>75.5 Humanitarian guarantee. Congestion never delays a Humanitarian Bridge movement. The algorithm reserves surge capacity for the Bridge at all times, and the Mariner First Bridge of Article 14 takes precedence over every commercial slot.</w:t>
      </w:r>
    </w:p>
    <w:p w14:paraId="3C87DEE8" w14:textId="77777777" w:rsidR="0027270B" w:rsidRDefault="00000000">
      <w:pPr>
        <w:pStyle w:val="Heading2"/>
      </w:pPr>
      <w:bookmarkStart w:id="94" w:name="_Toc237648543"/>
      <w:r>
        <w:rPr>
          <w:rFonts w:cs="Calibri"/>
          <w:szCs w:val="25"/>
        </w:rPr>
        <w:t>Article 76: The Mariner Welfare Compact</w:t>
      </w:r>
      <w:bookmarkEnd w:id="94"/>
    </w:p>
    <w:p w14:paraId="437F3B81" w14:textId="77777777" w:rsidR="0027270B" w:rsidRDefault="00000000">
      <w:r>
        <w:rPr>
          <w:rFonts w:cs="Calibri"/>
          <w:szCs w:val="21"/>
        </w:rPr>
        <w:t>76.1 Medical access. Every seafarer in the Governance Area holds the right to medical evacuation to the nearest suitable facility on either coast, by the fastest available asset, without regard to nationality, flag, or cargo. The corridor coordinators maintain the medevac roster, and the Seafarer Welfare Fund of Annex O covers costs where the ship or its insurer does not.</w:t>
      </w:r>
    </w:p>
    <w:p w14:paraId="031A99CF" w14:textId="77777777" w:rsidR="0027270B" w:rsidRDefault="00000000">
      <w:r>
        <w:rPr>
          <w:rFonts w:cs="Calibri"/>
          <w:szCs w:val="21"/>
        </w:rPr>
        <w:lastRenderedPageBreak/>
        <w:t>76.2 Rest anchorage rights. Vessels awaiting transit slots hold at the designated anchorages of Annex A with access to water, provisions, and shore-leave rotation where local rules allow. Anchorage stays never convert into detention: a vessel departs its anchorage on its master's decision, subject only to traffic sequencing.</w:t>
      </w:r>
    </w:p>
    <w:p w14:paraId="2E8B5ACA" w14:textId="77777777" w:rsidR="0027270B" w:rsidRDefault="00000000">
      <w:r>
        <w:rPr>
          <w:rFonts w:cs="Calibri"/>
          <w:szCs w:val="21"/>
        </w:rPr>
        <w:t>76.3 Mental-health support. The Seafarer Welfare Fund maintains a confidential, multilingual mental-health line available to every mariner in the Governance Area around the clock, staffed by accredited maritime-welfare providers. Usage data publishes only in aggregate, never by vessel or flag.</w:t>
      </w:r>
    </w:p>
    <w:p w14:paraId="3326C0E4" w14:textId="77777777" w:rsidR="0027270B" w:rsidRDefault="00000000">
      <w:r>
        <w:rPr>
          <w:rFonts w:cs="Calibri"/>
          <w:szCs w:val="21"/>
        </w:rPr>
        <w:t>76.4 Abandonment response. When a shipowner abandons a crew in the Governance Area, the Fund advances food, water, fuel, and repatriation costs at once and pursues recovery from the owner and flag state through the claims pipeline of Annex E. The crew eats while the lawyers argue.</w:t>
      </w:r>
    </w:p>
    <w:p w14:paraId="70C2BC92" w14:textId="77777777" w:rsidR="0027270B" w:rsidRDefault="00000000">
      <w:r>
        <w:rPr>
          <w:rFonts w:cs="Calibri"/>
          <w:szCs w:val="21"/>
        </w:rPr>
        <w:t>76.5 Reporting. The Ombudsman reports quarterly on mariner welfare: medevac times, anchorage conditions, helpline volumes, abandonment cases, and resolution rates. The reports publish on the portal in the seven languages of Article 64.</w:t>
      </w:r>
    </w:p>
    <w:p w14:paraId="79C933C2" w14:textId="77777777" w:rsidR="0027270B" w:rsidRDefault="00000000">
      <w:pPr>
        <w:pStyle w:val="Heading2"/>
      </w:pPr>
      <w:bookmarkStart w:id="95" w:name="_Toc237648544"/>
      <w:r>
        <w:rPr>
          <w:rFonts w:cs="Calibri"/>
          <w:szCs w:val="25"/>
        </w:rPr>
        <w:t>Article 77: The Naval Miscommunication Kill-Switch</w:t>
      </w:r>
      <w:bookmarkEnd w:id="95"/>
    </w:p>
    <w:p w14:paraId="36D38A18" w14:textId="77777777" w:rsidR="0027270B" w:rsidRDefault="00000000">
      <w:r>
        <w:rPr>
          <w:rFonts w:cs="Calibri"/>
          <w:szCs w:val="21"/>
        </w:rPr>
        <w:t>77.1 The three-step drill. Every close encounter between naval vessels of different states inside the Governance Area activates the disengagement drill: Step one, both vessels alter to parallel courses at constant speed and signal intent on the bridge-to-bridge channel. Step two, both vessels increase separation to no less than one thousand yards at the best safe rate. Step three, both vessels report completion to the Joint Watch Floor, which logs the encounter to the golden record.</w:t>
      </w:r>
    </w:p>
    <w:p w14:paraId="6C6594DB" w14:textId="77777777" w:rsidR="0027270B" w:rsidRDefault="00000000">
      <w:r>
        <w:rPr>
          <w:rFonts w:cs="Calibri"/>
          <w:szCs w:val="21"/>
        </w:rPr>
        <w:t>77.2 Pre-agreement. The drill binds every naval commander operating in or near the Governance Area as a standing rule of the road under this Accord, rehearsed quarterly between paired assets under the Paired-Lantern Observation Compact of Article 36.</w:t>
      </w:r>
    </w:p>
    <w:p w14:paraId="100C831B" w14:textId="77777777" w:rsidR="0027270B" w:rsidRDefault="00000000">
      <w:r>
        <w:rPr>
          <w:rFonts w:cs="Calibri"/>
          <w:szCs w:val="21"/>
        </w:rPr>
        <w:t>77.3 Failure handling. If step one fails, the senior watch officers of both vessels connect by hotline within five minutes. If separation does not complete within fifteen minutes, the encounter enters the Incident Ladder of Article 23 at Level Two, with both corridor coordinators informed. The drill assumes miscommunication, never malice, and proves its assumption by ending encounters.</w:t>
      </w:r>
    </w:p>
    <w:p w14:paraId="4B0E6BDD" w14:textId="77777777" w:rsidR="0027270B" w:rsidRDefault="00000000">
      <w:pPr>
        <w:pStyle w:val="Heading2"/>
      </w:pPr>
      <w:bookmarkStart w:id="96" w:name="_Toc237648545"/>
      <w:r>
        <w:rPr>
          <w:rFonts w:cs="Calibri"/>
          <w:szCs w:val="25"/>
        </w:rPr>
        <w:t>Article 78: The Verification Balance Rule</w:t>
      </w:r>
      <w:bookmarkEnd w:id="96"/>
    </w:p>
    <w:p w14:paraId="034CDAF3" w14:textId="77777777" w:rsidR="0027270B" w:rsidRDefault="00000000">
      <w:r>
        <w:rPr>
          <w:rFonts w:cs="Calibri"/>
          <w:szCs w:val="21"/>
        </w:rPr>
        <w:t>78.1 The ratio. Verification under Part IX balances human judgment and technical sensing. In every calendar quarter, human inspection covers no less than forty percent of verification events and technical sensing covers no less than forty percent, with the remainder allocated by the Neutral Watch Office according to risk.</w:t>
      </w:r>
    </w:p>
    <w:p w14:paraId="367851B4" w14:textId="77777777" w:rsidR="0027270B" w:rsidRDefault="00000000">
      <w:r>
        <w:rPr>
          <w:rFonts w:cs="Calibri"/>
          <w:szCs w:val="21"/>
        </w:rPr>
        <w:t>78.2 Why the balance binds. Sensors see everything and understand nothing; inspectors understand everything and see one place at a time. Over-reliance on either mode creates a blind spot an adversary studies. The forty-forty floor keeps both muscles strong and keeps every anomaly reviewable by a person.</w:t>
      </w:r>
    </w:p>
    <w:p w14:paraId="40E32D6D" w14:textId="77777777" w:rsidR="0027270B" w:rsidRDefault="00000000">
      <w:r>
        <w:rPr>
          <w:rFonts w:cs="Calibri"/>
          <w:szCs w:val="21"/>
        </w:rPr>
        <w:t>78.3 Measurement. The Neutral Watch Office computes the ratio quarterly from the golden record and publishes it. Shortfall below either floor for two consecutive quarters counts as a technical breach and triggers a funded corrective plan.</w:t>
      </w:r>
    </w:p>
    <w:p w14:paraId="66528091" w14:textId="77777777" w:rsidR="0027270B" w:rsidRDefault="00000000">
      <w:r>
        <w:rPr>
          <w:rFonts w:cs="Calibri"/>
          <w:szCs w:val="21"/>
        </w:rPr>
        <w:lastRenderedPageBreak/>
        <w:t>78.4 Human primacy on judgment calls. Machines flag; people classify. No sensor output alone classifies a breach under Article 50; every classification carries a named human verifier, as Article 47 provides.</w:t>
      </w:r>
    </w:p>
    <w:p w14:paraId="061B2FF1" w14:textId="77777777" w:rsidR="0027270B" w:rsidRDefault="00000000">
      <w:pPr>
        <w:pStyle w:val="Heading2"/>
      </w:pPr>
      <w:bookmarkStart w:id="97" w:name="_Toc237648546"/>
      <w:r>
        <w:rPr>
          <w:rFonts w:cs="Calibri"/>
          <w:szCs w:val="25"/>
        </w:rPr>
        <w:t>Article 79: The Transit Equity Clause</w:t>
      </w:r>
      <w:bookmarkEnd w:id="97"/>
    </w:p>
    <w:p w14:paraId="5C0AEE4A" w14:textId="77777777" w:rsidR="0027270B" w:rsidRDefault="00000000">
      <w:r>
        <w:rPr>
          <w:rFonts w:cs="Calibri"/>
          <w:szCs w:val="21"/>
        </w:rPr>
        <w:t>79.1 The Flag-State Advisory Committee. Major non-regional flag states, including Panama, Liberia, the Marshall Islands, and Singapore, together with other registries carrying significant Strait tonnage, form a standing Flag-State Advisory Committee seated at the Council. The Committee speaks on every agenda item touching navigation, fees, scheduling, and safety.</w:t>
      </w:r>
    </w:p>
    <w:p w14:paraId="2A648080" w14:textId="77777777" w:rsidR="0027270B" w:rsidRDefault="00000000">
      <w:r>
        <w:rPr>
          <w:rFonts w:cs="Calibri"/>
          <w:szCs w:val="21"/>
        </w:rPr>
        <w:t>79.2 Functions. The Committee receives every audit, metric, and incident report at the same time as the Council; proposes agenda items; and delivers an annual transit-equity assessment covering slot fairness, fee burden distribution, and service quality across flags. The Council answers every recommendation in writing within sixty days.</w:t>
      </w:r>
    </w:p>
    <w:p w14:paraId="6CA26C63" w14:textId="77777777" w:rsidR="0027270B" w:rsidRDefault="00000000">
      <w:r>
        <w:rPr>
          <w:rFonts w:cs="Calibri"/>
          <w:szCs w:val="21"/>
        </w:rPr>
        <w:t>79.3 The equity test. Any measure that distributes cost, delay, or risk across flags in a pattern disconnected from use faces review by the Committee and, on its request, by the Ombudsman. The Strait carries the world's tonnage; the world's registries hold a standing voice in its governance, weighted by use, never by power.</w:t>
      </w:r>
    </w:p>
    <w:p w14:paraId="2E251384" w14:textId="77777777" w:rsidR="0027270B" w:rsidRDefault="00000000">
      <w:pPr>
        <w:pStyle w:val="Heading2"/>
      </w:pPr>
      <w:bookmarkStart w:id="98" w:name="_Toc237648547"/>
      <w:r>
        <w:rPr>
          <w:rFonts w:cs="Calibri"/>
          <w:szCs w:val="25"/>
        </w:rPr>
        <w:t>Article 80: The Blue Passage Training Academy</w:t>
      </w:r>
      <w:bookmarkEnd w:id="98"/>
    </w:p>
    <w:p w14:paraId="5F6A8B0A" w14:textId="77777777" w:rsidR="0027270B" w:rsidRDefault="00000000">
      <w:r>
        <w:rPr>
          <w:rFonts w:cs="Calibri"/>
          <w:szCs w:val="21"/>
        </w:rPr>
        <w:t>80.1 Establishment. The Authority operates the Blue Passage Training Academy in Muscat, with a mirror program in Bandar Abbas delivering identical curricula. The Academy trains corridor coordinators, watch officers, verification inspectors, hotline operators, and Transit Desk staff from every Participant.</w:t>
      </w:r>
    </w:p>
    <w:p w14:paraId="1564E18B" w14:textId="77777777" w:rsidR="0027270B" w:rsidRDefault="00000000">
      <w:r>
        <w:rPr>
          <w:rFonts w:cs="Calibri"/>
          <w:szCs w:val="21"/>
        </w:rPr>
        <w:t>80.2 Curriculum. Courses cover corridor geometry and filing, Twin Key procedure, crisis checklists, the disengagement drill, Cothrom Blue verification, sanctions-compatibility screening, and mariner welfare response. Every course runs in Arabic, English, and Persian, pairs trainees from different states in every exercise, and ends in a live simulation on the Joint Watch Floor.</w:t>
      </w:r>
    </w:p>
    <w:p w14:paraId="5A2D3BFB" w14:textId="77777777" w:rsidR="0027270B" w:rsidRDefault="00000000">
      <w:r>
        <w:rPr>
          <w:rFonts w:cs="Calibri"/>
          <w:szCs w:val="21"/>
        </w:rPr>
        <w:t>80.3 Certification. Operational posts under this Accord require Academy certification within eighteen months of entry into force, and every new appointee certifies before taking a solo watch. Certification lapses after three years without a refresher. The register of certified personnel publishes by role and nationality, never by name without consent.</w:t>
      </w:r>
    </w:p>
    <w:p w14:paraId="1462E5A7" w14:textId="77777777" w:rsidR="0027270B" w:rsidRDefault="00000000">
      <w:r>
        <w:rPr>
          <w:rFonts w:cs="Calibri"/>
          <w:szCs w:val="21"/>
        </w:rPr>
        <w:t>80.4 Funding and access. The Fund finances the Academy within the ceilings of Annex O. Seats allocate by operational need, with at least one third reserved for flag-state and GCC participants. A framework run by strangers fails; the Academy turns counterparts into colleagues.</w:t>
      </w:r>
    </w:p>
    <w:p w14:paraId="3110E680" w14:textId="77777777" w:rsidR="0027270B" w:rsidRDefault="00000000">
      <w:pPr>
        <w:pStyle w:val="Heading2"/>
      </w:pPr>
      <w:bookmarkStart w:id="99" w:name="_Toc237648548"/>
      <w:r>
        <w:rPr>
          <w:rFonts w:cs="Calibri"/>
          <w:szCs w:val="25"/>
        </w:rPr>
        <w:t>Article 81: The Five-Year Strategic Review</w:t>
      </w:r>
      <w:bookmarkEnd w:id="99"/>
    </w:p>
    <w:p w14:paraId="70678421" w14:textId="77777777" w:rsidR="0027270B" w:rsidRDefault="00000000">
      <w:r>
        <w:rPr>
          <w:rFonts w:cs="Calibri"/>
          <w:szCs w:val="21"/>
        </w:rPr>
        <w:t>81.1 Mandate. Every five years from entry into force, the Council convenes a Strategic Review, separate from the periodic review of Article 68, assessing: corridor geometry against traffic patterns and hydrographic change; technology upgrades for surveillance, verification, and communications; insurance-market structure and the step-down ladder of Article 43; the geopolitical environment; and environmental impacts, including emissions and ecosystem health.</w:t>
      </w:r>
    </w:p>
    <w:p w14:paraId="4E44D8B4" w14:textId="77777777" w:rsidR="0027270B" w:rsidRDefault="00000000">
      <w:r>
        <w:rPr>
          <w:rFonts w:cs="Calibri"/>
          <w:szCs w:val="21"/>
        </w:rPr>
        <w:lastRenderedPageBreak/>
        <w:t>81.2 Method. The Neutral Watch Office prepares the evidence base; independent experts from outside the region lead each workstream; every Participant, the Flag-State Advisory Committee, insurers, and seafarer organizations submit positions. The Review completes within nine months and publishes in full.</w:t>
      </w:r>
    </w:p>
    <w:p w14:paraId="423A4ED4" w14:textId="77777777" w:rsidR="0027270B" w:rsidRDefault="00000000">
      <w:r>
        <w:rPr>
          <w:rFonts w:cs="Calibri"/>
          <w:szCs w:val="21"/>
        </w:rPr>
        <w:t>81.3 Outcome channel. Review recommendations enter the amendment track of Article 70 only on Council consensus, and technical updates flow through the Annex-update procedure without reopening the main text. The Review refreshes the instrument; it never reopens settled bargains. The Accord modernizes on schedule, in daylight, by consent.</w:t>
      </w:r>
    </w:p>
    <w:p w14:paraId="51EEE1E6" w14:textId="77777777" w:rsidR="0027270B" w:rsidRDefault="00000000">
      <w:pPr>
        <w:pStyle w:val="Heading2"/>
      </w:pPr>
      <w:bookmarkStart w:id="100" w:name="_Toc237648549"/>
      <w:r>
        <w:rPr>
          <w:rFonts w:cs="Calibri"/>
          <w:szCs w:val="25"/>
        </w:rPr>
        <w:t>Article 82: The Reinsurance and Sanctions Interface</w:t>
      </w:r>
      <w:bookmarkEnd w:id="100"/>
    </w:p>
    <w:p w14:paraId="545D07F3" w14:textId="77777777" w:rsidR="0027270B" w:rsidRDefault="00000000">
      <w:r>
        <w:rPr>
          <w:rFonts w:cs="Calibri"/>
          <w:szCs w:val="21"/>
        </w:rPr>
        <w:t>82.1 Reinsurance layer. The Blue Flag backstop of Article 43 operates with the reinsurance architecture of Annex V: named-market participation through internationally recognized syndicates and a regional sovereign guarantee pool that absorbs tail risk the market declines. Premium certainty and claim certainty together keep coverage available through political weather.</w:t>
      </w:r>
    </w:p>
    <w:p w14:paraId="1006D57D" w14:textId="77777777" w:rsidR="0027270B" w:rsidRDefault="00000000">
      <w:r>
        <w:rPr>
          <w:rFonts w:cs="Calibri"/>
          <w:szCs w:val="21"/>
        </w:rPr>
        <w:t>82.2 Sanctions compatibility. Every payment, service, and fund flow under this Accord follows the compatibility rules of Annex W: screened channels, standing exemptions where they exist, and segregation of every sanctioned nexus from framework finance, so that a bank in any major jurisdiction processes Blue Passage business without legal doubt.</w:t>
      </w:r>
    </w:p>
    <w:p w14:paraId="7138D893" w14:textId="77777777" w:rsidR="0027270B" w:rsidRDefault="00000000">
      <w:r>
        <w:rPr>
          <w:rFonts w:cs="Calibri"/>
          <w:szCs w:val="21"/>
        </w:rPr>
        <w:t>82.3 No leakage. Neither the reinsurance layer nor the compatibility rules create any payment to or for the benefit of any party designated under United Nations sanctions, and both operate under the audit rights of Article 42 and the data-integrity regime of Article 74.</w:t>
      </w:r>
    </w:p>
    <w:p w14:paraId="2CD97A23" w14:textId="77777777" w:rsidR="0027270B" w:rsidRDefault="00000000">
      <w:pPr>
        <w:pStyle w:val="Heading1"/>
      </w:pPr>
      <w:bookmarkStart w:id="101" w:name="_Toc237648550"/>
      <w:r>
        <w:rPr>
          <w:rFonts w:cs="Calibri"/>
          <w:szCs w:val="30"/>
        </w:rPr>
        <w:lastRenderedPageBreak/>
        <w:t>Execution and Mirrored Instruments</w:t>
      </w:r>
      <w:bookmarkEnd w:id="101"/>
    </w:p>
    <w:p w14:paraId="2E2F5893" w14:textId="77777777" w:rsidR="0027270B" w:rsidRDefault="00000000">
      <w:r>
        <w:rPr>
          <w:rFonts w:cs="Calibri"/>
          <w:szCs w:val="21"/>
        </w:rPr>
        <w:t>In witness whereof, the undersigned, duly authorized, execute the following Mirrored Instruments, each incorporating this Accord and its Annexes by reference, verbatim, as stated in Article 59. Done at Muscat, in August 2026, in the Arabic, English, and Persian languages, each text equally authentic.</w:t>
      </w:r>
    </w:p>
    <w:p w14:paraId="6965BA4B" w14:textId="77777777" w:rsidR="0027270B" w:rsidRDefault="00000000">
      <w:pPr>
        <w:pStyle w:val="Heading2"/>
      </w:pPr>
      <w:bookmarkStart w:id="102" w:name="_Toc237648551"/>
      <w:r>
        <w:rPr>
          <w:rFonts w:cs="Calibri"/>
          <w:szCs w:val="25"/>
        </w:rPr>
        <w:t>The Coastal Instrument</w:t>
      </w:r>
      <w:bookmarkEnd w:id="102"/>
    </w:p>
    <w:p w14:paraId="7EA8C69A" w14:textId="77777777" w:rsidR="0027270B" w:rsidRDefault="00000000">
      <w:r>
        <w:rPr>
          <w:rFonts w:cs="Calibri"/>
          <w:szCs w:val="21"/>
        </w:rPr>
        <w:t>For the Islamic Republic of Iran: ______________________________  (name, title, date)</w:t>
      </w:r>
    </w:p>
    <w:p w14:paraId="2BD80FB6" w14:textId="77777777" w:rsidR="0027270B" w:rsidRDefault="00000000">
      <w:r>
        <w:rPr>
          <w:rFonts w:cs="Calibri"/>
          <w:szCs w:val="21"/>
        </w:rPr>
        <w:t>For the Sultanate of Oman: ______________________________  (name, title, date)</w:t>
      </w:r>
    </w:p>
    <w:p w14:paraId="1ADF8612" w14:textId="77777777" w:rsidR="0027270B" w:rsidRDefault="00000000">
      <w:pPr>
        <w:pStyle w:val="Heading2"/>
      </w:pPr>
      <w:bookmarkStart w:id="103" w:name="_Toc237648552"/>
      <w:r>
        <w:rPr>
          <w:rFonts w:cs="Calibri"/>
          <w:szCs w:val="25"/>
        </w:rPr>
        <w:t>The Endorsement Declarations</w:t>
      </w:r>
      <w:bookmarkEnd w:id="103"/>
    </w:p>
    <w:p w14:paraId="0C2728EC" w14:textId="77777777" w:rsidR="0027270B" w:rsidRDefault="00000000">
      <w:r>
        <w:rPr>
          <w:rFonts w:cs="Calibri"/>
          <w:szCs w:val="21"/>
        </w:rPr>
        <w:t>For the United States of America, as Endorsing Stakeholder: ______________________________  (name, title, date)</w:t>
      </w:r>
    </w:p>
    <w:p w14:paraId="5559AB0B" w14:textId="77777777" w:rsidR="0027270B" w:rsidRDefault="00000000">
      <w:r>
        <w:rPr>
          <w:rFonts w:cs="Calibri"/>
          <w:szCs w:val="21"/>
        </w:rPr>
        <w:t>For the People's Republic of China, as Guarantor: ______________________________  (name, title, date)</w:t>
      </w:r>
    </w:p>
    <w:p w14:paraId="6C039F82" w14:textId="77777777" w:rsidR="0027270B" w:rsidRDefault="00000000">
      <w:r>
        <w:rPr>
          <w:rFonts w:cs="Calibri"/>
          <w:szCs w:val="21"/>
        </w:rPr>
        <w:t>For the Russian Federation, as Guarantor: ______________________________  (name, title, date)</w:t>
      </w:r>
    </w:p>
    <w:p w14:paraId="620B2840" w14:textId="77777777" w:rsidR="0027270B" w:rsidRDefault="00000000">
      <w:r>
        <w:rPr>
          <w:rFonts w:cs="Calibri"/>
          <w:szCs w:val="21"/>
        </w:rPr>
        <w:t>For the Swiss Confederation, as Financial Custodian: ______________________________  (name, title, date)</w:t>
      </w:r>
    </w:p>
    <w:p w14:paraId="6113F9FD" w14:textId="77777777" w:rsidR="0027270B" w:rsidRDefault="00000000">
      <w:pPr>
        <w:pStyle w:val="Heading2"/>
      </w:pPr>
      <w:bookmarkStart w:id="104" w:name="_Toc237648553"/>
      <w:r>
        <w:rPr>
          <w:rFonts w:cs="Calibri"/>
          <w:szCs w:val="25"/>
        </w:rPr>
        <w:t>The Observer Accessions</w:t>
      </w:r>
      <w:bookmarkEnd w:id="104"/>
    </w:p>
    <w:p w14:paraId="566A3779" w14:textId="77777777" w:rsidR="0027270B" w:rsidRDefault="00000000">
      <w:r>
        <w:rPr>
          <w:rFonts w:cs="Calibri"/>
          <w:szCs w:val="21"/>
        </w:rPr>
        <w:t>For the Kingdom of Bahrain: ______________________________  (name, title, date)</w:t>
      </w:r>
    </w:p>
    <w:p w14:paraId="43DF119F" w14:textId="77777777" w:rsidR="0027270B" w:rsidRDefault="00000000">
      <w:r>
        <w:rPr>
          <w:rFonts w:cs="Calibri"/>
          <w:szCs w:val="21"/>
        </w:rPr>
        <w:t>For the State of Kuwait: ______________________________  (name, title, date)</w:t>
      </w:r>
    </w:p>
    <w:p w14:paraId="5FB3D37B" w14:textId="77777777" w:rsidR="0027270B" w:rsidRDefault="00000000">
      <w:r>
        <w:rPr>
          <w:rFonts w:cs="Calibri"/>
          <w:szCs w:val="21"/>
        </w:rPr>
        <w:t>For the State of Qatar: ______________________________  (name, title, date)</w:t>
      </w:r>
    </w:p>
    <w:p w14:paraId="10C503E8" w14:textId="77777777" w:rsidR="0027270B" w:rsidRDefault="00000000">
      <w:r>
        <w:rPr>
          <w:rFonts w:cs="Calibri"/>
          <w:szCs w:val="21"/>
        </w:rPr>
        <w:t>For the Kingdom of Saudi Arabia: ______________________________  (name, title, date)</w:t>
      </w:r>
    </w:p>
    <w:p w14:paraId="7133962C" w14:textId="77777777" w:rsidR="0027270B" w:rsidRDefault="00000000">
      <w:r>
        <w:rPr>
          <w:rFonts w:cs="Calibri"/>
          <w:szCs w:val="21"/>
        </w:rPr>
        <w:t>For the United Arab Emirates: ______________________________  (name, title, date)</w:t>
      </w:r>
    </w:p>
    <w:p w14:paraId="63150D58" w14:textId="77777777" w:rsidR="0027270B" w:rsidRDefault="00000000">
      <w:r>
        <w:rPr>
          <w:rFonts w:cs="Calibri"/>
          <w:szCs w:val="21"/>
        </w:rPr>
        <w:t>For the Republic of Iraq: ______________________________  (name, title, date)</w:t>
      </w:r>
    </w:p>
    <w:p w14:paraId="39ADD072" w14:textId="77777777" w:rsidR="0027270B" w:rsidRDefault="00000000">
      <w:pPr>
        <w:pStyle w:val="Heading2"/>
      </w:pPr>
      <w:bookmarkStart w:id="105" w:name="_Toc237648554"/>
      <w:r>
        <w:rPr>
          <w:rFonts w:cs="Calibri"/>
          <w:szCs w:val="25"/>
        </w:rPr>
        <w:t>Certificate of Mirrored Consent</w:t>
      </w:r>
      <w:bookmarkEnd w:id="105"/>
    </w:p>
    <w:p w14:paraId="5C227955" w14:textId="77777777" w:rsidR="0027270B" w:rsidRDefault="00000000">
      <w:r>
        <w:rPr>
          <w:rFonts w:cs="Calibri"/>
          <w:szCs w:val="21"/>
        </w:rPr>
        <w:t>The Depositary certifies the deposit of the Coastal Instrument and the first Endorsement Declaration, and issues this Certificate at Muscat on the date of deposit, whereupon the Blue Opening Protocol begins. For the Depositary, the Sultanate of Oman: ______________________________  (name, title, date)</w:t>
      </w:r>
    </w:p>
    <w:p w14:paraId="31959C81" w14:textId="77777777" w:rsidR="0027270B" w:rsidRDefault="00000000">
      <w:pPr>
        <w:pStyle w:val="Heading1"/>
      </w:pPr>
      <w:bookmarkStart w:id="106" w:name="_Toc237648555"/>
      <w:r>
        <w:rPr>
          <w:rFonts w:cs="Calibri"/>
          <w:szCs w:val="30"/>
        </w:rPr>
        <w:lastRenderedPageBreak/>
        <w:t>ANNEXES</w:t>
      </w:r>
      <w:bookmarkEnd w:id="106"/>
    </w:p>
    <w:p w14:paraId="53A1C68C" w14:textId="77777777" w:rsidR="0027270B" w:rsidRDefault="00000000">
      <w:pPr>
        <w:pStyle w:val="Heading2"/>
      </w:pPr>
      <w:bookmarkStart w:id="107" w:name="_Toc237648556"/>
      <w:r>
        <w:rPr>
          <w:rFonts w:cs="Calibri"/>
          <w:szCs w:val="25"/>
        </w:rPr>
        <w:t>Annex A: Corridor Geometry and Coordinates Registry</w:t>
      </w:r>
      <w:bookmarkEnd w:id="107"/>
    </w:p>
    <w:p w14:paraId="004ABFDB" w14:textId="77777777" w:rsidR="0027270B" w:rsidRDefault="00000000">
      <w:r>
        <w:rPr>
          <w:rFonts w:cs="Calibri"/>
          <w:szCs w:val="21"/>
        </w:rPr>
        <w:t>A.1 Status of this Annex. The coordinates in this Annex are provisional and operational: they reflect the route map agreed between Iran and Oman in August 2026 and the interim arrangement under discussion with the United States, expressed in WGS 84. They take effect at Blue Opening. The Depositary updates this Annex under Article 70.2 as the joint route map finalizes and the International Maritime Organization completes registration, and the updated coordinates replace these without reopening the Accord. Every coordinate in this Annex serves navigation exclusively under the Sovereignty Shield of Article 5.</w:t>
      </w:r>
    </w:p>
    <w:p w14:paraId="4EAEE39D" w14:textId="77777777" w:rsidR="0027270B" w:rsidRDefault="00000000">
      <w:r>
        <w:rPr>
          <w:rFonts w:cs="Calibri"/>
          <w:szCs w:val="21"/>
        </w:rPr>
        <w:t>A.2 The Governance Area polygon. The Governance Area comprises the waters enclosed by the following indicative polygon, joining the points in order:</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1182"/>
        <w:gridCol w:w="2160"/>
        <w:gridCol w:w="2164"/>
        <w:gridCol w:w="3680"/>
      </w:tblGrid>
      <w:tr w:rsidR="0027270B" w14:paraId="70781CC9" w14:textId="77777777">
        <w:tblPrEx>
          <w:tblCellMar>
            <w:top w:w="0" w:type="dxa"/>
            <w:bottom w:w="0" w:type="dxa"/>
          </w:tblCellMar>
        </w:tblPrEx>
        <w:trPr>
          <w:tblHeader/>
        </w:trPr>
        <w:tc>
          <w:tcPr>
            <w:tcW w:w="1200" w:type="dxa"/>
            <w:shd w:val="clear" w:color="auto" w:fill="E8EFF4"/>
            <w:tcMar>
              <w:top w:w="60" w:type="dxa"/>
              <w:left w:w="80" w:type="dxa"/>
              <w:bottom w:w="60" w:type="dxa"/>
              <w:right w:w="80" w:type="dxa"/>
            </w:tcMar>
          </w:tcPr>
          <w:p w14:paraId="265EDA93" w14:textId="77777777" w:rsidR="0027270B" w:rsidRDefault="00000000">
            <w:pPr>
              <w:spacing w:after="0" w:line="260" w:lineRule="auto"/>
            </w:pPr>
            <w:r>
              <w:rPr>
                <w:rFonts w:cs="Calibri"/>
                <w:b/>
                <w:color w:val="1B3A5C"/>
                <w:sz w:val="20"/>
                <w:szCs w:val="20"/>
              </w:rPr>
              <w:t>Point</w:t>
            </w:r>
          </w:p>
        </w:tc>
        <w:tc>
          <w:tcPr>
            <w:tcW w:w="2200" w:type="dxa"/>
            <w:shd w:val="clear" w:color="auto" w:fill="E8EFF4"/>
            <w:tcMar>
              <w:top w:w="60" w:type="dxa"/>
              <w:left w:w="80" w:type="dxa"/>
              <w:bottom w:w="60" w:type="dxa"/>
              <w:right w:w="80" w:type="dxa"/>
            </w:tcMar>
          </w:tcPr>
          <w:p w14:paraId="1FF407C8" w14:textId="77777777" w:rsidR="0027270B" w:rsidRDefault="00000000">
            <w:pPr>
              <w:spacing w:after="0" w:line="260" w:lineRule="auto"/>
            </w:pPr>
            <w:r>
              <w:rPr>
                <w:rFonts w:cs="Calibri"/>
                <w:b/>
                <w:color w:val="1B3A5C"/>
                <w:sz w:val="20"/>
                <w:szCs w:val="20"/>
              </w:rPr>
              <w:t>Latitude (N)</w:t>
            </w:r>
          </w:p>
        </w:tc>
        <w:tc>
          <w:tcPr>
            <w:tcW w:w="2200" w:type="dxa"/>
            <w:shd w:val="clear" w:color="auto" w:fill="E8EFF4"/>
            <w:tcMar>
              <w:top w:w="60" w:type="dxa"/>
              <w:left w:w="80" w:type="dxa"/>
              <w:bottom w:w="60" w:type="dxa"/>
              <w:right w:w="80" w:type="dxa"/>
            </w:tcMar>
          </w:tcPr>
          <w:p w14:paraId="6FDB36FB" w14:textId="77777777" w:rsidR="0027270B" w:rsidRDefault="00000000">
            <w:pPr>
              <w:spacing w:after="0" w:line="260" w:lineRule="auto"/>
            </w:pPr>
            <w:r>
              <w:rPr>
                <w:rFonts w:cs="Calibri"/>
                <w:b/>
                <w:color w:val="1B3A5C"/>
                <w:sz w:val="20"/>
                <w:szCs w:val="20"/>
              </w:rPr>
              <w:t>Longitude (E)</w:t>
            </w:r>
          </w:p>
        </w:tc>
        <w:tc>
          <w:tcPr>
            <w:tcW w:w="3760" w:type="dxa"/>
            <w:shd w:val="clear" w:color="auto" w:fill="E8EFF4"/>
            <w:tcMar>
              <w:top w:w="60" w:type="dxa"/>
              <w:left w:w="80" w:type="dxa"/>
              <w:bottom w:w="60" w:type="dxa"/>
              <w:right w:w="80" w:type="dxa"/>
            </w:tcMar>
          </w:tcPr>
          <w:p w14:paraId="47D92548" w14:textId="77777777" w:rsidR="0027270B" w:rsidRDefault="00000000">
            <w:pPr>
              <w:spacing w:after="0" w:line="260" w:lineRule="auto"/>
            </w:pPr>
            <w:r>
              <w:rPr>
                <w:rFonts w:cs="Calibri"/>
                <w:b/>
                <w:color w:val="1B3A5C"/>
                <w:sz w:val="20"/>
                <w:szCs w:val="20"/>
              </w:rPr>
              <w:t>Note</w:t>
            </w:r>
          </w:p>
        </w:tc>
      </w:tr>
      <w:tr w:rsidR="0027270B" w14:paraId="206877D5" w14:textId="77777777">
        <w:tblPrEx>
          <w:tblCellMar>
            <w:top w:w="0" w:type="dxa"/>
            <w:bottom w:w="0" w:type="dxa"/>
          </w:tblCellMar>
        </w:tblPrEx>
        <w:tc>
          <w:tcPr>
            <w:tcW w:w="1200" w:type="dxa"/>
            <w:tcMar>
              <w:top w:w="50" w:type="dxa"/>
              <w:left w:w="80" w:type="dxa"/>
              <w:bottom w:w="50" w:type="dxa"/>
              <w:right w:w="80" w:type="dxa"/>
            </w:tcMar>
          </w:tcPr>
          <w:p w14:paraId="4AF53EDC" w14:textId="77777777" w:rsidR="0027270B" w:rsidRDefault="00000000">
            <w:pPr>
              <w:spacing w:after="0" w:line="260" w:lineRule="auto"/>
            </w:pPr>
            <w:r>
              <w:rPr>
                <w:rFonts w:cs="Calibri"/>
                <w:sz w:val="20"/>
                <w:szCs w:val="20"/>
              </w:rPr>
              <w:t>GA-1</w:t>
            </w:r>
          </w:p>
        </w:tc>
        <w:tc>
          <w:tcPr>
            <w:tcW w:w="2200" w:type="dxa"/>
            <w:tcMar>
              <w:top w:w="50" w:type="dxa"/>
              <w:left w:w="80" w:type="dxa"/>
              <w:bottom w:w="50" w:type="dxa"/>
              <w:right w:w="80" w:type="dxa"/>
            </w:tcMar>
          </w:tcPr>
          <w:p w14:paraId="3D7950DE" w14:textId="77777777" w:rsidR="0027270B" w:rsidRDefault="00000000">
            <w:pPr>
              <w:spacing w:after="0" w:line="260" w:lineRule="auto"/>
            </w:pPr>
            <w:r>
              <w:rPr>
                <w:rFonts w:cs="Calibri"/>
                <w:sz w:val="20"/>
                <w:szCs w:val="20"/>
              </w:rPr>
              <w:t>27 deg 05.0 min</w:t>
            </w:r>
          </w:p>
        </w:tc>
        <w:tc>
          <w:tcPr>
            <w:tcW w:w="2200" w:type="dxa"/>
            <w:tcMar>
              <w:top w:w="50" w:type="dxa"/>
              <w:left w:w="80" w:type="dxa"/>
              <w:bottom w:w="50" w:type="dxa"/>
              <w:right w:w="80" w:type="dxa"/>
            </w:tcMar>
          </w:tcPr>
          <w:p w14:paraId="72203168" w14:textId="77777777" w:rsidR="0027270B" w:rsidRDefault="00000000">
            <w:pPr>
              <w:spacing w:after="0" w:line="260" w:lineRule="auto"/>
            </w:pPr>
            <w:r>
              <w:rPr>
                <w:rFonts w:cs="Calibri"/>
                <w:sz w:val="20"/>
                <w:szCs w:val="20"/>
              </w:rPr>
              <w:t>055 deg 55.0 min</w:t>
            </w:r>
          </w:p>
        </w:tc>
        <w:tc>
          <w:tcPr>
            <w:tcW w:w="3760" w:type="dxa"/>
            <w:tcMar>
              <w:top w:w="50" w:type="dxa"/>
              <w:left w:w="80" w:type="dxa"/>
              <w:bottom w:w="50" w:type="dxa"/>
              <w:right w:w="80" w:type="dxa"/>
            </w:tcMar>
          </w:tcPr>
          <w:p w14:paraId="58145E0A" w14:textId="77777777" w:rsidR="0027270B" w:rsidRDefault="00000000">
            <w:pPr>
              <w:spacing w:after="0" w:line="260" w:lineRule="auto"/>
            </w:pPr>
            <w:r>
              <w:rPr>
                <w:rFonts w:cs="Calibri"/>
                <w:sz w:val="20"/>
                <w:szCs w:val="20"/>
              </w:rPr>
              <w:t>Northwest limit, Iranian coast approach</w:t>
            </w:r>
          </w:p>
        </w:tc>
      </w:tr>
      <w:tr w:rsidR="0027270B" w14:paraId="203BEB50" w14:textId="77777777">
        <w:tblPrEx>
          <w:tblCellMar>
            <w:top w:w="0" w:type="dxa"/>
            <w:bottom w:w="0" w:type="dxa"/>
          </w:tblCellMar>
        </w:tblPrEx>
        <w:tc>
          <w:tcPr>
            <w:tcW w:w="1200" w:type="dxa"/>
            <w:tcMar>
              <w:top w:w="50" w:type="dxa"/>
              <w:left w:w="80" w:type="dxa"/>
              <w:bottom w:w="50" w:type="dxa"/>
              <w:right w:w="80" w:type="dxa"/>
            </w:tcMar>
          </w:tcPr>
          <w:p w14:paraId="62C9E3D1" w14:textId="77777777" w:rsidR="0027270B" w:rsidRDefault="00000000">
            <w:pPr>
              <w:spacing w:after="0" w:line="260" w:lineRule="auto"/>
            </w:pPr>
            <w:r>
              <w:rPr>
                <w:rFonts w:cs="Calibri"/>
                <w:sz w:val="20"/>
                <w:szCs w:val="20"/>
              </w:rPr>
              <w:t>GA-2</w:t>
            </w:r>
          </w:p>
        </w:tc>
        <w:tc>
          <w:tcPr>
            <w:tcW w:w="2200" w:type="dxa"/>
            <w:tcMar>
              <w:top w:w="50" w:type="dxa"/>
              <w:left w:w="80" w:type="dxa"/>
              <w:bottom w:w="50" w:type="dxa"/>
              <w:right w:w="80" w:type="dxa"/>
            </w:tcMar>
          </w:tcPr>
          <w:p w14:paraId="7635C707" w14:textId="77777777" w:rsidR="0027270B" w:rsidRDefault="00000000">
            <w:pPr>
              <w:spacing w:after="0" w:line="260" w:lineRule="auto"/>
            </w:pPr>
            <w:r>
              <w:rPr>
                <w:rFonts w:cs="Calibri"/>
                <w:sz w:val="20"/>
                <w:szCs w:val="20"/>
              </w:rPr>
              <w:t>27 deg 00.0 min</w:t>
            </w:r>
          </w:p>
        </w:tc>
        <w:tc>
          <w:tcPr>
            <w:tcW w:w="2200" w:type="dxa"/>
            <w:tcMar>
              <w:top w:w="50" w:type="dxa"/>
              <w:left w:w="80" w:type="dxa"/>
              <w:bottom w:w="50" w:type="dxa"/>
              <w:right w:w="80" w:type="dxa"/>
            </w:tcMar>
          </w:tcPr>
          <w:p w14:paraId="08214C49" w14:textId="77777777" w:rsidR="0027270B" w:rsidRDefault="00000000">
            <w:pPr>
              <w:spacing w:after="0" w:line="260" w:lineRule="auto"/>
            </w:pPr>
            <w:r>
              <w:rPr>
                <w:rFonts w:cs="Calibri"/>
                <w:sz w:val="20"/>
                <w:szCs w:val="20"/>
              </w:rPr>
              <w:t>056 deg 30.0 min</w:t>
            </w:r>
          </w:p>
        </w:tc>
        <w:tc>
          <w:tcPr>
            <w:tcW w:w="3760" w:type="dxa"/>
            <w:tcMar>
              <w:top w:w="50" w:type="dxa"/>
              <w:left w:w="80" w:type="dxa"/>
              <w:bottom w:w="50" w:type="dxa"/>
              <w:right w:w="80" w:type="dxa"/>
            </w:tcMar>
          </w:tcPr>
          <w:p w14:paraId="00784000" w14:textId="77777777" w:rsidR="0027270B" w:rsidRDefault="00000000">
            <w:pPr>
              <w:spacing w:after="0" w:line="260" w:lineRule="auto"/>
            </w:pPr>
            <w:r>
              <w:rPr>
                <w:rFonts w:cs="Calibri"/>
                <w:sz w:val="20"/>
                <w:szCs w:val="20"/>
              </w:rPr>
              <w:t>North limit, south of Qeshm</w:t>
            </w:r>
          </w:p>
        </w:tc>
      </w:tr>
      <w:tr w:rsidR="0027270B" w14:paraId="62301A11" w14:textId="77777777">
        <w:tblPrEx>
          <w:tblCellMar>
            <w:top w:w="0" w:type="dxa"/>
            <w:bottom w:w="0" w:type="dxa"/>
          </w:tblCellMar>
        </w:tblPrEx>
        <w:tc>
          <w:tcPr>
            <w:tcW w:w="1200" w:type="dxa"/>
            <w:tcMar>
              <w:top w:w="50" w:type="dxa"/>
              <w:left w:w="80" w:type="dxa"/>
              <w:bottom w:w="50" w:type="dxa"/>
              <w:right w:w="80" w:type="dxa"/>
            </w:tcMar>
          </w:tcPr>
          <w:p w14:paraId="35BF0F17" w14:textId="77777777" w:rsidR="0027270B" w:rsidRDefault="00000000">
            <w:pPr>
              <w:spacing w:after="0" w:line="260" w:lineRule="auto"/>
            </w:pPr>
            <w:r>
              <w:rPr>
                <w:rFonts w:cs="Calibri"/>
                <w:sz w:val="20"/>
                <w:szCs w:val="20"/>
              </w:rPr>
              <w:t>GA-3</w:t>
            </w:r>
          </w:p>
        </w:tc>
        <w:tc>
          <w:tcPr>
            <w:tcW w:w="2200" w:type="dxa"/>
            <w:tcMar>
              <w:top w:w="50" w:type="dxa"/>
              <w:left w:w="80" w:type="dxa"/>
              <w:bottom w:w="50" w:type="dxa"/>
              <w:right w:w="80" w:type="dxa"/>
            </w:tcMar>
          </w:tcPr>
          <w:p w14:paraId="7DB2BF14" w14:textId="77777777" w:rsidR="0027270B" w:rsidRDefault="00000000">
            <w:pPr>
              <w:spacing w:after="0" w:line="260" w:lineRule="auto"/>
            </w:pPr>
            <w:r>
              <w:rPr>
                <w:rFonts w:cs="Calibri"/>
                <w:sz w:val="20"/>
                <w:szCs w:val="20"/>
              </w:rPr>
              <w:t>26 deg 45.0 min</w:t>
            </w:r>
          </w:p>
        </w:tc>
        <w:tc>
          <w:tcPr>
            <w:tcW w:w="2200" w:type="dxa"/>
            <w:tcMar>
              <w:top w:w="50" w:type="dxa"/>
              <w:left w:w="80" w:type="dxa"/>
              <w:bottom w:w="50" w:type="dxa"/>
              <w:right w:w="80" w:type="dxa"/>
            </w:tcMar>
          </w:tcPr>
          <w:p w14:paraId="4D5962FE" w14:textId="77777777" w:rsidR="0027270B" w:rsidRDefault="00000000">
            <w:pPr>
              <w:spacing w:after="0" w:line="260" w:lineRule="auto"/>
            </w:pPr>
            <w:r>
              <w:rPr>
                <w:rFonts w:cs="Calibri"/>
                <w:sz w:val="20"/>
                <w:szCs w:val="20"/>
              </w:rPr>
              <w:t>057 deg 20.0 min</w:t>
            </w:r>
          </w:p>
        </w:tc>
        <w:tc>
          <w:tcPr>
            <w:tcW w:w="3760" w:type="dxa"/>
            <w:tcMar>
              <w:top w:w="50" w:type="dxa"/>
              <w:left w:w="80" w:type="dxa"/>
              <w:bottom w:w="50" w:type="dxa"/>
              <w:right w:w="80" w:type="dxa"/>
            </w:tcMar>
          </w:tcPr>
          <w:p w14:paraId="79378682" w14:textId="77777777" w:rsidR="0027270B" w:rsidRDefault="00000000">
            <w:pPr>
              <w:spacing w:after="0" w:line="260" w:lineRule="auto"/>
            </w:pPr>
            <w:r>
              <w:rPr>
                <w:rFonts w:cs="Calibri"/>
                <w:sz w:val="20"/>
                <w:szCs w:val="20"/>
              </w:rPr>
              <w:t>Northeast limit, Gulf of Oman approach</w:t>
            </w:r>
          </w:p>
        </w:tc>
      </w:tr>
      <w:tr w:rsidR="0027270B" w14:paraId="4C8132C2" w14:textId="77777777">
        <w:tblPrEx>
          <w:tblCellMar>
            <w:top w:w="0" w:type="dxa"/>
            <w:bottom w:w="0" w:type="dxa"/>
          </w:tblCellMar>
        </w:tblPrEx>
        <w:tc>
          <w:tcPr>
            <w:tcW w:w="1200" w:type="dxa"/>
            <w:tcMar>
              <w:top w:w="50" w:type="dxa"/>
              <w:left w:w="80" w:type="dxa"/>
              <w:bottom w:w="50" w:type="dxa"/>
              <w:right w:w="80" w:type="dxa"/>
            </w:tcMar>
          </w:tcPr>
          <w:p w14:paraId="6A64ED4B" w14:textId="77777777" w:rsidR="0027270B" w:rsidRDefault="00000000">
            <w:pPr>
              <w:spacing w:after="0" w:line="260" w:lineRule="auto"/>
            </w:pPr>
            <w:r>
              <w:rPr>
                <w:rFonts w:cs="Calibri"/>
                <w:sz w:val="20"/>
                <w:szCs w:val="20"/>
              </w:rPr>
              <w:t>GA-4</w:t>
            </w:r>
          </w:p>
        </w:tc>
        <w:tc>
          <w:tcPr>
            <w:tcW w:w="2200" w:type="dxa"/>
            <w:tcMar>
              <w:top w:w="50" w:type="dxa"/>
              <w:left w:w="80" w:type="dxa"/>
              <w:bottom w:w="50" w:type="dxa"/>
              <w:right w:w="80" w:type="dxa"/>
            </w:tcMar>
          </w:tcPr>
          <w:p w14:paraId="3CF03E66" w14:textId="77777777" w:rsidR="0027270B" w:rsidRDefault="00000000">
            <w:pPr>
              <w:spacing w:after="0" w:line="260" w:lineRule="auto"/>
            </w:pPr>
            <w:r>
              <w:rPr>
                <w:rFonts w:cs="Calibri"/>
                <w:sz w:val="20"/>
                <w:szCs w:val="20"/>
              </w:rPr>
              <w:t>26 deg 10.0 min</w:t>
            </w:r>
          </w:p>
        </w:tc>
        <w:tc>
          <w:tcPr>
            <w:tcW w:w="2200" w:type="dxa"/>
            <w:tcMar>
              <w:top w:w="50" w:type="dxa"/>
              <w:left w:w="80" w:type="dxa"/>
              <w:bottom w:w="50" w:type="dxa"/>
              <w:right w:w="80" w:type="dxa"/>
            </w:tcMar>
          </w:tcPr>
          <w:p w14:paraId="679694F6" w14:textId="77777777" w:rsidR="0027270B" w:rsidRDefault="00000000">
            <w:pPr>
              <w:spacing w:after="0" w:line="260" w:lineRule="auto"/>
            </w:pPr>
            <w:r>
              <w:rPr>
                <w:rFonts w:cs="Calibri"/>
                <w:sz w:val="20"/>
                <w:szCs w:val="20"/>
              </w:rPr>
              <w:t>057 deg 35.0 min</w:t>
            </w:r>
          </w:p>
        </w:tc>
        <w:tc>
          <w:tcPr>
            <w:tcW w:w="3760" w:type="dxa"/>
            <w:tcMar>
              <w:top w:w="50" w:type="dxa"/>
              <w:left w:w="80" w:type="dxa"/>
              <w:bottom w:w="50" w:type="dxa"/>
              <w:right w:w="80" w:type="dxa"/>
            </w:tcMar>
          </w:tcPr>
          <w:p w14:paraId="16DD8D44" w14:textId="77777777" w:rsidR="0027270B" w:rsidRDefault="00000000">
            <w:pPr>
              <w:spacing w:after="0" w:line="260" w:lineRule="auto"/>
            </w:pPr>
            <w:r>
              <w:rPr>
                <w:rFonts w:cs="Calibri"/>
                <w:sz w:val="20"/>
                <w:szCs w:val="20"/>
              </w:rPr>
              <w:t>East limit, Arabian Sea approach</w:t>
            </w:r>
          </w:p>
        </w:tc>
      </w:tr>
      <w:tr w:rsidR="0027270B" w14:paraId="78A105A4" w14:textId="77777777">
        <w:tblPrEx>
          <w:tblCellMar>
            <w:top w:w="0" w:type="dxa"/>
            <w:bottom w:w="0" w:type="dxa"/>
          </w:tblCellMar>
        </w:tblPrEx>
        <w:tc>
          <w:tcPr>
            <w:tcW w:w="1200" w:type="dxa"/>
            <w:tcMar>
              <w:top w:w="50" w:type="dxa"/>
              <w:left w:w="80" w:type="dxa"/>
              <w:bottom w:w="50" w:type="dxa"/>
              <w:right w:w="80" w:type="dxa"/>
            </w:tcMar>
          </w:tcPr>
          <w:p w14:paraId="13851A24" w14:textId="77777777" w:rsidR="0027270B" w:rsidRDefault="00000000">
            <w:pPr>
              <w:spacing w:after="0" w:line="260" w:lineRule="auto"/>
            </w:pPr>
            <w:r>
              <w:rPr>
                <w:rFonts w:cs="Calibri"/>
                <w:sz w:val="20"/>
                <w:szCs w:val="20"/>
              </w:rPr>
              <w:t>GA-5</w:t>
            </w:r>
          </w:p>
        </w:tc>
        <w:tc>
          <w:tcPr>
            <w:tcW w:w="2200" w:type="dxa"/>
            <w:tcMar>
              <w:top w:w="50" w:type="dxa"/>
              <w:left w:w="80" w:type="dxa"/>
              <w:bottom w:w="50" w:type="dxa"/>
              <w:right w:w="80" w:type="dxa"/>
            </w:tcMar>
          </w:tcPr>
          <w:p w14:paraId="74488C80" w14:textId="77777777" w:rsidR="0027270B" w:rsidRDefault="00000000">
            <w:pPr>
              <w:spacing w:after="0" w:line="260" w:lineRule="auto"/>
            </w:pPr>
            <w:r>
              <w:rPr>
                <w:rFonts w:cs="Calibri"/>
                <w:sz w:val="20"/>
                <w:szCs w:val="20"/>
              </w:rPr>
              <w:t>25 deg 50.0 min</w:t>
            </w:r>
          </w:p>
        </w:tc>
        <w:tc>
          <w:tcPr>
            <w:tcW w:w="2200" w:type="dxa"/>
            <w:tcMar>
              <w:top w:w="50" w:type="dxa"/>
              <w:left w:w="80" w:type="dxa"/>
              <w:bottom w:w="50" w:type="dxa"/>
              <w:right w:w="80" w:type="dxa"/>
            </w:tcMar>
          </w:tcPr>
          <w:p w14:paraId="1E42F7E6" w14:textId="77777777" w:rsidR="0027270B" w:rsidRDefault="00000000">
            <w:pPr>
              <w:spacing w:after="0" w:line="260" w:lineRule="auto"/>
            </w:pPr>
            <w:r>
              <w:rPr>
                <w:rFonts w:cs="Calibri"/>
                <w:sz w:val="20"/>
                <w:szCs w:val="20"/>
              </w:rPr>
              <w:t>057 deg 10.0 min</w:t>
            </w:r>
          </w:p>
        </w:tc>
        <w:tc>
          <w:tcPr>
            <w:tcW w:w="3760" w:type="dxa"/>
            <w:tcMar>
              <w:top w:w="50" w:type="dxa"/>
              <w:left w:w="80" w:type="dxa"/>
              <w:bottom w:w="50" w:type="dxa"/>
              <w:right w:w="80" w:type="dxa"/>
            </w:tcMar>
          </w:tcPr>
          <w:p w14:paraId="0A2CED87" w14:textId="77777777" w:rsidR="0027270B" w:rsidRDefault="00000000">
            <w:pPr>
              <w:spacing w:after="0" w:line="260" w:lineRule="auto"/>
            </w:pPr>
            <w:r>
              <w:rPr>
                <w:rFonts w:cs="Calibri"/>
                <w:sz w:val="20"/>
                <w:szCs w:val="20"/>
              </w:rPr>
              <w:t>Southeast limit</w:t>
            </w:r>
          </w:p>
        </w:tc>
      </w:tr>
      <w:tr w:rsidR="0027270B" w14:paraId="1EAB5EAD" w14:textId="77777777">
        <w:tblPrEx>
          <w:tblCellMar>
            <w:top w:w="0" w:type="dxa"/>
            <w:bottom w:w="0" w:type="dxa"/>
          </w:tblCellMar>
        </w:tblPrEx>
        <w:tc>
          <w:tcPr>
            <w:tcW w:w="1200" w:type="dxa"/>
            <w:tcMar>
              <w:top w:w="50" w:type="dxa"/>
              <w:left w:w="80" w:type="dxa"/>
              <w:bottom w:w="50" w:type="dxa"/>
              <w:right w:w="80" w:type="dxa"/>
            </w:tcMar>
          </w:tcPr>
          <w:p w14:paraId="54626E38" w14:textId="77777777" w:rsidR="0027270B" w:rsidRDefault="00000000">
            <w:pPr>
              <w:spacing w:after="0" w:line="260" w:lineRule="auto"/>
            </w:pPr>
            <w:r>
              <w:rPr>
                <w:rFonts w:cs="Calibri"/>
                <w:sz w:val="20"/>
                <w:szCs w:val="20"/>
              </w:rPr>
              <w:t>GA-6</w:t>
            </w:r>
          </w:p>
        </w:tc>
        <w:tc>
          <w:tcPr>
            <w:tcW w:w="2200" w:type="dxa"/>
            <w:tcMar>
              <w:top w:w="50" w:type="dxa"/>
              <w:left w:w="80" w:type="dxa"/>
              <w:bottom w:w="50" w:type="dxa"/>
              <w:right w:w="80" w:type="dxa"/>
            </w:tcMar>
          </w:tcPr>
          <w:p w14:paraId="5F2B4E1B" w14:textId="77777777" w:rsidR="0027270B" w:rsidRDefault="00000000">
            <w:pPr>
              <w:spacing w:after="0" w:line="260" w:lineRule="auto"/>
            </w:pPr>
            <w:r>
              <w:rPr>
                <w:rFonts w:cs="Calibri"/>
                <w:sz w:val="20"/>
                <w:szCs w:val="20"/>
              </w:rPr>
              <w:t>25 deg 45.0 min</w:t>
            </w:r>
          </w:p>
        </w:tc>
        <w:tc>
          <w:tcPr>
            <w:tcW w:w="2200" w:type="dxa"/>
            <w:tcMar>
              <w:top w:w="50" w:type="dxa"/>
              <w:left w:w="80" w:type="dxa"/>
              <w:bottom w:w="50" w:type="dxa"/>
              <w:right w:w="80" w:type="dxa"/>
            </w:tcMar>
          </w:tcPr>
          <w:p w14:paraId="1B605400" w14:textId="77777777" w:rsidR="0027270B" w:rsidRDefault="00000000">
            <w:pPr>
              <w:spacing w:after="0" w:line="260" w:lineRule="auto"/>
            </w:pPr>
            <w:r>
              <w:rPr>
                <w:rFonts w:cs="Calibri"/>
                <w:sz w:val="20"/>
                <w:szCs w:val="20"/>
              </w:rPr>
              <w:t>056 deg 35.0 min</w:t>
            </w:r>
          </w:p>
        </w:tc>
        <w:tc>
          <w:tcPr>
            <w:tcW w:w="3760" w:type="dxa"/>
            <w:tcMar>
              <w:top w:w="50" w:type="dxa"/>
              <w:left w:w="80" w:type="dxa"/>
              <w:bottom w:w="50" w:type="dxa"/>
              <w:right w:w="80" w:type="dxa"/>
            </w:tcMar>
          </w:tcPr>
          <w:p w14:paraId="598356F2" w14:textId="77777777" w:rsidR="0027270B" w:rsidRDefault="00000000">
            <w:pPr>
              <w:spacing w:after="0" w:line="260" w:lineRule="auto"/>
            </w:pPr>
            <w:r>
              <w:rPr>
                <w:rFonts w:cs="Calibri"/>
                <w:sz w:val="20"/>
                <w:szCs w:val="20"/>
              </w:rPr>
              <w:t>South limit, off Musandam</w:t>
            </w:r>
          </w:p>
        </w:tc>
      </w:tr>
      <w:tr w:rsidR="0027270B" w14:paraId="7F26B3F9" w14:textId="77777777">
        <w:tblPrEx>
          <w:tblCellMar>
            <w:top w:w="0" w:type="dxa"/>
            <w:bottom w:w="0" w:type="dxa"/>
          </w:tblCellMar>
        </w:tblPrEx>
        <w:tc>
          <w:tcPr>
            <w:tcW w:w="1200" w:type="dxa"/>
            <w:tcMar>
              <w:top w:w="50" w:type="dxa"/>
              <w:left w:w="80" w:type="dxa"/>
              <w:bottom w:w="50" w:type="dxa"/>
              <w:right w:w="80" w:type="dxa"/>
            </w:tcMar>
          </w:tcPr>
          <w:p w14:paraId="2F5BE7BE" w14:textId="77777777" w:rsidR="0027270B" w:rsidRDefault="00000000">
            <w:pPr>
              <w:spacing w:after="0" w:line="260" w:lineRule="auto"/>
            </w:pPr>
            <w:r>
              <w:rPr>
                <w:rFonts w:cs="Calibri"/>
                <w:sz w:val="20"/>
                <w:szCs w:val="20"/>
              </w:rPr>
              <w:t>GA-7</w:t>
            </w:r>
          </w:p>
        </w:tc>
        <w:tc>
          <w:tcPr>
            <w:tcW w:w="2200" w:type="dxa"/>
            <w:tcMar>
              <w:top w:w="50" w:type="dxa"/>
              <w:left w:w="80" w:type="dxa"/>
              <w:bottom w:w="50" w:type="dxa"/>
              <w:right w:w="80" w:type="dxa"/>
            </w:tcMar>
          </w:tcPr>
          <w:p w14:paraId="73D63624" w14:textId="77777777" w:rsidR="0027270B" w:rsidRDefault="00000000">
            <w:pPr>
              <w:spacing w:after="0" w:line="260" w:lineRule="auto"/>
            </w:pPr>
            <w:r>
              <w:rPr>
                <w:rFonts w:cs="Calibri"/>
                <w:sz w:val="20"/>
                <w:szCs w:val="20"/>
              </w:rPr>
              <w:t>26 deg 00.0 min</w:t>
            </w:r>
          </w:p>
        </w:tc>
        <w:tc>
          <w:tcPr>
            <w:tcW w:w="2200" w:type="dxa"/>
            <w:tcMar>
              <w:top w:w="50" w:type="dxa"/>
              <w:left w:w="80" w:type="dxa"/>
              <w:bottom w:w="50" w:type="dxa"/>
              <w:right w:w="80" w:type="dxa"/>
            </w:tcMar>
          </w:tcPr>
          <w:p w14:paraId="7BE80646" w14:textId="77777777" w:rsidR="0027270B" w:rsidRDefault="00000000">
            <w:pPr>
              <w:spacing w:after="0" w:line="260" w:lineRule="auto"/>
            </w:pPr>
            <w:r>
              <w:rPr>
                <w:rFonts w:cs="Calibri"/>
                <w:sz w:val="20"/>
                <w:szCs w:val="20"/>
              </w:rPr>
              <w:t>056 deg 05.0 min</w:t>
            </w:r>
          </w:p>
        </w:tc>
        <w:tc>
          <w:tcPr>
            <w:tcW w:w="3760" w:type="dxa"/>
            <w:tcMar>
              <w:top w:w="50" w:type="dxa"/>
              <w:left w:w="80" w:type="dxa"/>
              <w:bottom w:w="50" w:type="dxa"/>
              <w:right w:w="80" w:type="dxa"/>
            </w:tcMar>
          </w:tcPr>
          <w:p w14:paraId="0F45ADBC" w14:textId="77777777" w:rsidR="0027270B" w:rsidRDefault="00000000">
            <w:pPr>
              <w:spacing w:after="0" w:line="260" w:lineRule="auto"/>
            </w:pPr>
            <w:r>
              <w:rPr>
                <w:rFonts w:cs="Calibri"/>
                <w:sz w:val="20"/>
                <w:szCs w:val="20"/>
              </w:rPr>
              <w:t>Southwest limit, Musandam approach</w:t>
            </w:r>
          </w:p>
        </w:tc>
      </w:tr>
      <w:tr w:rsidR="0027270B" w14:paraId="4D8252B4" w14:textId="77777777">
        <w:tblPrEx>
          <w:tblCellMar>
            <w:top w:w="0" w:type="dxa"/>
            <w:bottom w:w="0" w:type="dxa"/>
          </w:tblCellMar>
        </w:tblPrEx>
        <w:tc>
          <w:tcPr>
            <w:tcW w:w="1200" w:type="dxa"/>
            <w:tcMar>
              <w:top w:w="50" w:type="dxa"/>
              <w:left w:w="80" w:type="dxa"/>
              <w:bottom w:w="50" w:type="dxa"/>
              <w:right w:w="80" w:type="dxa"/>
            </w:tcMar>
          </w:tcPr>
          <w:p w14:paraId="0AD35DE2" w14:textId="77777777" w:rsidR="0027270B" w:rsidRDefault="00000000">
            <w:pPr>
              <w:spacing w:after="0" w:line="260" w:lineRule="auto"/>
            </w:pPr>
            <w:r>
              <w:rPr>
                <w:rFonts w:cs="Calibri"/>
                <w:sz w:val="20"/>
                <w:szCs w:val="20"/>
              </w:rPr>
              <w:t>GA-8</w:t>
            </w:r>
          </w:p>
        </w:tc>
        <w:tc>
          <w:tcPr>
            <w:tcW w:w="2200" w:type="dxa"/>
            <w:tcMar>
              <w:top w:w="50" w:type="dxa"/>
              <w:left w:w="80" w:type="dxa"/>
              <w:bottom w:w="50" w:type="dxa"/>
              <w:right w:w="80" w:type="dxa"/>
            </w:tcMar>
          </w:tcPr>
          <w:p w14:paraId="69C5557B" w14:textId="77777777" w:rsidR="0027270B" w:rsidRDefault="00000000">
            <w:pPr>
              <w:spacing w:after="0" w:line="260" w:lineRule="auto"/>
            </w:pPr>
            <w:r>
              <w:rPr>
                <w:rFonts w:cs="Calibri"/>
                <w:sz w:val="20"/>
                <w:szCs w:val="20"/>
              </w:rPr>
              <w:t>26 deg 30.0 min</w:t>
            </w:r>
          </w:p>
        </w:tc>
        <w:tc>
          <w:tcPr>
            <w:tcW w:w="2200" w:type="dxa"/>
            <w:tcMar>
              <w:top w:w="50" w:type="dxa"/>
              <w:left w:w="80" w:type="dxa"/>
              <w:bottom w:w="50" w:type="dxa"/>
              <w:right w:w="80" w:type="dxa"/>
            </w:tcMar>
          </w:tcPr>
          <w:p w14:paraId="526D3A3B" w14:textId="77777777" w:rsidR="0027270B" w:rsidRDefault="00000000">
            <w:pPr>
              <w:spacing w:after="0" w:line="260" w:lineRule="auto"/>
            </w:pPr>
            <w:r>
              <w:rPr>
                <w:rFonts w:cs="Calibri"/>
                <w:sz w:val="20"/>
                <w:szCs w:val="20"/>
              </w:rPr>
              <w:t>055 deg 50.0 min</w:t>
            </w:r>
          </w:p>
        </w:tc>
        <w:tc>
          <w:tcPr>
            <w:tcW w:w="3760" w:type="dxa"/>
            <w:tcMar>
              <w:top w:w="50" w:type="dxa"/>
              <w:left w:w="80" w:type="dxa"/>
              <w:bottom w:w="50" w:type="dxa"/>
              <w:right w:w="80" w:type="dxa"/>
            </w:tcMar>
          </w:tcPr>
          <w:p w14:paraId="435FCE83" w14:textId="77777777" w:rsidR="0027270B" w:rsidRDefault="00000000">
            <w:pPr>
              <w:spacing w:after="0" w:line="260" w:lineRule="auto"/>
            </w:pPr>
            <w:r>
              <w:rPr>
                <w:rFonts w:cs="Calibri"/>
                <w:sz w:val="20"/>
                <w:szCs w:val="20"/>
              </w:rPr>
              <w:t>West limit, inner Gulf approach</w:t>
            </w:r>
          </w:p>
        </w:tc>
      </w:tr>
    </w:tbl>
    <w:p w14:paraId="1BAB9870" w14:textId="77777777" w:rsidR="0027270B" w:rsidRDefault="0027270B"/>
    <w:p w14:paraId="2103BA62" w14:textId="77777777" w:rsidR="0027270B" w:rsidRDefault="00000000">
      <w:r>
        <w:rPr>
          <w:rFonts w:cs="Calibri"/>
          <w:szCs w:val="21"/>
        </w:rPr>
        <w:t>A.3 The Northern Inbound Corridor. Gulf-bound commercial traffic transits the northern lane through Iranian waters, along the following indicative centerline waypoints. Lane width: 2.0 nautical miles. Coordinating function: Iran, under Article 9.2.</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2356"/>
        <w:gridCol w:w="2158"/>
        <w:gridCol w:w="2163"/>
        <w:gridCol w:w="2509"/>
      </w:tblGrid>
      <w:tr w:rsidR="0027270B" w14:paraId="3DCF28FE" w14:textId="77777777">
        <w:tblPrEx>
          <w:tblCellMar>
            <w:top w:w="0" w:type="dxa"/>
            <w:bottom w:w="0" w:type="dxa"/>
          </w:tblCellMar>
        </w:tblPrEx>
        <w:trPr>
          <w:tblHeader/>
        </w:trPr>
        <w:tc>
          <w:tcPr>
            <w:tcW w:w="2400" w:type="dxa"/>
            <w:shd w:val="clear" w:color="auto" w:fill="E8EFF4"/>
            <w:tcMar>
              <w:top w:w="60" w:type="dxa"/>
              <w:left w:w="80" w:type="dxa"/>
              <w:bottom w:w="60" w:type="dxa"/>
              <w:right w:w="80" w:type="dxa"/>
            </w:tcMar>
          </w:tcPr>
          <w:p w14:paraId="27121633" w14:textId="77777777" w:rsidR="0027270B" w:rsidRDefault="00000000">
            <w:pPr>
              <w:spacing w:after="0" w:line="260" w:lineRule="auto"/>
            </w:pPr>
            <w:r>
              <w:rPr>
                <w:rFonts w:cs="Calibri"/>
                <w:b/>
                <w:color w:val="1B3A5C"/>
                <w:sz w:val="20"/>
                <w:szCs w:val="20"/>
              </w:rPr>
              <w:t>Waypoint</w:t>
            </w:r>
          </w:p>
        </w:tc>
        <w:tc>
          <w:tcPr>
            <w:tcW w:w="2200" w:type="dxa"/>
            <w:shd w:val="clear" w:color="auto" w:fill="E8EFF4"/>
            <w:tcMar>
              <w:top w:w="60" w:type="dxa"/>
              <w:left w:w="80" w:type="dxa"/>
              <w:bottom w:w="60" w:type="dxa"/>
              <w:right w:w="80" w:type="dxa"/>
            </w:tcMar>
          </w:tcPr>
          <w:p w14:paraId="7BEA58C6" w14:textId="77777777" w:rsidR="0027270B" w:rsidRDefault="00000000">
            <w:pPr>
              <w:spacing w:after="0" w:line="260" w:lineRule="auto"/>
            </w:pPr>
            <w:r>
              <w:rPr>
                <w:rFonts w:cs="Calibri"/>
                <w:b/>
                <w:color w:val="1B3A5C"/>
                <w:sz w:val="20"/>
                <w:szCs w:val="20"/>
              </w:rPr>
              <w:t>Latitude (N)</w:t>
            </w:r>
          </w:p>
        </w:tc>
        <w:tc>
          <w:tcPr>
            <w:tcW w:w="2200" w:type="dxa"/>
            <w:shd w:val="clear" w:color="auto" w:fill="E8EFF4"/>
            <w:tcMar>
              <w:top w:w="60" w:type="dxa"/>
              <w:left w:w="80" w:type="dxa"/>
              <w:bottom w:w="60" w:type="dxa"/>
              <w:right w:w="80" w:type="dxa"/>
            </w:tcMar>
          </w:tcPr>
          <w:p w14:paraId="685C913F" w14:textId="77777777" w:rsidR="0027270B" w:rsidRDefault="00000000">
            <w:pPr>
              <w:spacing w:after="0" w:line="260" w:lineRule="auto"/>
            </w:pPr>
            <w:r>
              <w:rPr>
                <w:rFonts w:cs="Calibri"/>
                <w:b/>
                <w:color w:val="1B3A5C"/>
                <w:sz w:val="20"/>
                <w:szCs w:val="20"/>
              </w:rPr>
              <w:t>Longitude (E)</w:t>
            </w:r>
          </w:p>
        </w:tc>
        <w:tc>
          <w:tcPr>
            <w:tcW w:w="2560" w:type="dxa"/>
            <w:shd w:val="clear" w:color="auto" w:fill="E8EFF4"/>
            <w:tcMar>
              <w:top w:w="60" w:type="dxa"/>
              <w:left w:w="80" w:type="dxa"/>
              <w:bottom w:w="60" w:type="dxa"/>
              <w:right w:w="80" w:type="dxa"/>
            </w:tcMar>
          </w:tcPr>
          <w:p w14:paraId="423D1EB0" w14:textId="77777777" w:rsidR="0027270B" w:rsidRDefault="00000000">
            <w:pPr>
              <w:spacing w:after="0" w:line="260" w:lineRule="auto"/>
            </w:pPr>
            <w:r>
              <w:rPr>
                <w:rFonts w:cs="Calibri"/>
                <w:b/>
                <w:color w:val="1B3A5C"/>
                <w:sz w:val="20"/>
                <w:szCs w:val="20"/>
              </w:rPr>
              <w:t>Function</w:t>
            </w:r>
          </w:p>
        </w:tc>
      </w:tr>
      <w:tr w:rsidR="0027270B" w14:paraId="1AD6A9E1" w14:textId="77777777">
        <w:tblPrEx>
          <w:tblCellMar>
            <w:top w:w="0" w:type="dxa"/>
            <w:bottom w:w="0" w:type="dxa"/>
          </w:tblCellMar>
        </w:tblPrEx>
        <w:tc>
          <w:tcPr>
            <w:tcW w:w="2400" w:type="dxa"/>
            <w:tcMar>
              <w:top w:w="50" w:type="dxa"/>
              <w:left w:w="80" w:type="dxa"/>
              <w:bottom w:w="50" w:type="dxa"/>
              <w:right w:w="80" w:type="dxa"/>
            </w:tcMar>
          </w:tcPr>
          <w:p w14:paraId="4F64770F" w14:textId="77777777" w:rsidR="0027270B" w:rsidRDefault="00000000">
            <w:pPr>
              <w:spacing w:after="0" w:line="260" w:lineRule="auto"/>
            </w:pPr>
            <w:r>
              <w:rPr>
                <w:rFonts w:cs="Calibri"/>
                <w:sz w:val="20"/>
                <w:szCs w:val="20"/>
              </w:rPr>
              <w:t>NIC-1 (entry, west)</w:t>
            </w:r>
          </w:p>
        </w:tc>
        <w:tc>
          <w:tcPr>
            <w:tcW w:w="2200" w:type="dxa"/>
            <w:tcMar>
              <w:top w:w="50" w:type="dxa"/>
              <w:left w:w="80" w:type="dxa"/>
              <w:bottom w:w="50" w:type="dxa"/>
              <w:right w:w="80" w:type="dxa"/>
            </w:tcMar>
          </w:tcPr>
          <w:p w14:paraId="5C384BAC" w14:textId="77777777" w:rsidR="0027270B" w:rsidRDefault="00000000">
            <w:pPr>
              <w:spacing w:after="0" w:line="260" w:lineRule="auto"/>
            </w:pPr>
            <w:r>
              <w:rPr>
                <w:rFonts w:cs="Calibri"/>
                <w:sz w:val="20"/>
                <w:szCs w:val="20"/>
              </w:rPr>
              <w:t>26 deg 46.0 min</w:t>
            </w:r>
          </w:p>
        </w:tc>
        <w:tc>
          <w:tcPr>
            <w:tcW w:w="2200" w:type="dxa"/>
            <w:tcMar>
              <w:top w:w="50" w:type="dxa"/>
              <w:left w:w="80" w:type="dxa"/>
              <w:bottom w:w="50" w:type="dxa"/>
              <w:right w:w="80" w:type="dxa"/>
            </w:tcMar>
          </w:tcPr>
          <w:p w14:paraId="76BBDB6D" w14:textId="77777777" w:rsidR="0027270B" w:rsidRDefault="00000000">
            <w:pPr>
              <w:spacing w:after="0" w:line="260" w:lineRule="auto"/>
            </w:pPr>
            <w:r>
              <w:rPr>
                <w:rFonts w:cs="Calibri"/>
                <w:sz w:val="20"/>
                <w:szCs w:val="20"/>
              </w:rPr>
              <w:t>056 deg 05.0 min</w:t>
            </w:r>
          </w:p>
        </w:tc>
        <w:tc>
          <w:tcPr>
            <w:tcW w:w="2560" w:type="dxa"/>
            <w:tcMar>
              <w:top w:w="50" w:type="dxa"/>
              <w:left w:w="80" w:type="dxa"/>
              <w:bottom w:w="50" w:type="dxa"/>
              <w:right w:w="80" w:type="dxa"/>
            </w:tcMar>
          </w:tcPr>
          <w:p w14:paraId="1FDDCB8D" w14:textId="77777777" w:rsidR="0027270B" w:rsidRDefault="00000000">
            <w:pPr>
              <w:spacing w:after="0" w:line="260" w:lineRule="auto"/>
            </w:pPr>
            <w:r>
              <w:rPr>
                <w:rFonts w:cs="Calibri"/>
                <w:sz w:val="20"/>
                <w:szCs w:val="20"/>
              </w:rPr>
              <w:t>Corridor entry, inner Gulf side</w:t>
            </w:r>
          </w:p>
        </w:tc>
      </w:tr>
      <w:tr w:rsidR="0027270B" w14:paraId="5761821A" w14:textId="77777777">
        <w:tblPrEx>
          <w:tblCellMar>
            <w:top w:w="0" w:type="dxa"/>
            <w:bottom w:w="0" w:type="dxa"/>
          </w:tblCellMar>
        </w:tblPrEx>
        <w:tc>
          <w:tcPr>
            <w:tcW w:w="2400" w:type="dxa"/>
            <w:tcMar>
              <w:top w:w="50" w:type="dxa"/>
              <w:left w:w="80" w:type="dxa"/>
              <w:bottom w:w="50" w:type="dxa"/>
              <w:right w:w="80" w:type="dxa"/>
            </w:tcMar>
          </w:tcPr>
          <w:p w14:paraId="383FE56B" w14:textId="77777777" w:rsidR="0027270B" w:rsidRDefault="00000000">
            <w:pPr>
              <w:spacing w:after="0" w:line="260" w:lineRule="auto"/>
            </w:pPr>
            <w:r>
              <w:rPr>
                <w:rFonts w:cs="Calibri"/>
                <w:sz w:val="20"/>
                <w:szCs w:val="20"/>
              </w:rPr>
              <w:t>NIC-2</w:t>
            </w:r>
          </w:p>
        </w:tc>
        <w:tc>
          <w:tcPr>
            <w:tcW w:w="2200" w:type="dxa"/>
            <w:tcMar>
              <w:top w:w="50" w:type="dxa"/>
              <w:left w:w="80" w:type="dxa"/>
              <w:bottom w:w="50" w:type="dxa"/>
              <w:right w:w="80" w:type="dxa"/>
            </w:tcMar>
          </w:tcPr>
          <w:p w14:paraId="06511B0F" w14:textId="77777777" w:rsidR="0027270B" w:rsidRDefault="00000000">
            <w:pPr>
              <w:spacing w:after="0" w:line="260" w:lineRule="auto"/>
            </w:pPr>
            <w:r>
              <w:rPr>
                <w:rFonts w:cs="Calibri"/>
                <w:sz w:val="20"/>
                <w:szCs w:val="20"/>
              </w:rPr>
              <w:t>26 deg 42.0 min</w:t>
            </w:r>
          </w:p>
        </w:tc>
        <w:tc>
          <w:tcPr>
            <w:tcW w:w="2200" w:type="dxa"/>
            <w:tcMar>
              <w:top w:w="50" w:type="dxa"/>
              <w:left w:w="80" w:type="dxa"/>
              <w:bottom w:w="50" w:type="dxa"/>
              <w:right w:w="80" w:type="dxa"/>
            </w:tcMar>
          </w:tcPr>
          <w:p w14:paraId="7087B21D" w14:textId="77777777" w:rsidR="0027270B" w:rsidRDefault="00000000">
            <w:pPr>
              <w:spacing w:after="0" w:line="260" w:lineRule="auto"/>
            </w:pPr>
            <w:r>
              <w:rPr>
                <w:rFonts w:cs="Calibri"/>
                <w:sz w:val="20"/>
                <w:szCs w:val="20"/>
              </w:rPr>
              <w:t>056 deg 25.0 min</w:t>
            </w:r>
          </w:p>
        </w:tc>
        <w:tc>
          <w:tcPr>
            <w:tcW w:w="2560" w:type="dxa"/>
            <w:tcMar>
              <w:top w:w="50" w:type="dxa"/>
              <w:left w:w="80" w:type="dxa"/>
              <w:bottom w:w="50" w:type="dxa"/>
              <w:right w:w="80" w:type="dxa"/>
            </w:tcMar>
          </w:tcPr>
          <w:p w14:paraId="20C8EE0F" w14:textId="77777777" w:rsidR="0027270B" w:rsidRDefault="00000000">
            <w:pPr>
              <w:spacing w:after="0" w:line="260" w:lineRule="auto"/>
            </w:pPr>
            <w:r>
              <w:rPr>
                <w:rFonts w:cs="Calibri"/>
                <w:sz w:val="20"/>
                <w:szCs w:val="20"/>
              </w:rPr>
              <w:t>West turning point</w:t>
            </w:r>
          </w:p>
        </w:tc>
      </w:tr>
      <w:tr w:rsidR="0027270B" w14:paraId="4FE60BFB" w14:textId="77777777">
        <w:tblPrEx>
          <w:tblCellMar>
            <w:top w:w="0" w:type="dxa"/>
            <w:bottom w:w="0" w:type="dxa"/>
          </w:tblCellMar>
        </w:tblPrEx>
        <w:tc>
          <w:tcPr>
            <w:tcW w:w="2400" w:type="dxa"/>
            <w:tcMar>
              <w:top w:w="50" w:type="dxa"/>
              <w:left w:w="80" w:type="dxa"/>
              <w:bottom w:w="50" w:type="dxa"/>
              <w:right w:w="80" w:type="dxa"/>
            </w:tcMar>
          </w:tcPr>
          <w:p w14:paraId="52C8F251" w14:textId="77777777" w:rsidR="0027270B" w:rsidRDefault="00000000">
            <w:pPr>
              <w:spacing w:after="0" w:line="260" w:lineRule="auto"/>
            </w:pPr>
            <w:r>
              <w:rPr>
                <w:rFonts w:cs="Calibri"/>
                <w:sz w:val="20"/>
                <w:szCs w:val="20"/>
              </w:rPr>
              <w:t>NIC-3</w:t>
            </w:r>
          </w:p>
        </w:tc>
        <w:tc>
          <w:tcPr>
            <w:tcW w:w="2200" w:type="dxa"/>
            <w:tcMar>
              <w:top w:w="50" w:type="dxa"/>
              <w:left w:w="80" w:type="dxa"/>
              <w:bottom w:w="50" w:type="dxa"/>
              <w:right w:w="80" w:type="dxa"/>
            </w:tcMar>
          </w:tcPr>
          <w:p w14:paraId="0204E339" w14:textId="77777777" w:rsidR="0027270B" w:rsidRDefault="00000000">
            <w:pPr>
              <w:spacing w:after="0" w:line="260" w:lineRule="auto"/>
            </w:pPr>
            <w:r>
              <w:rPr>
                <w:rFonts w:cs="Calibri"/>
                <w:sz w:val="20"/>
                <w:szCs w:val="20"/>
              </w:rPr>
              <w:t>26 deg 36.0 min</w:t>
            </w:r>
          </w:p>
        </w:tc>
        <w:tc>
          <w:tcPr>
            <w:tcW w:w="2200" w:type="dxa"/>
            <w:tcMar>
              <w:top w:w="50" w:type="dxa"/>
              <w:left w:w="80" w:type="dxa"/>
              <w:bottom w:w="50" w:type="dxa"/>
              <w:right w:w="80" w:type="dxa"/>
            </w:tcMar>
          </w:tcPr>
          <w:p w14:paraId="108DB45D" w14:textId="77777777" w:rsidR="0027270B" w:rsidRDefault="00000000">
            <w:pPr>
              <w:spacing w:after="0" w:line="260" w:lineRule="auto"/>
            </w:pPr>
            <w:r>
              <w:rPr>
                <w:rFonts w:cs="Calibri"/>
                <w:sz w:val="20"/>
                <w:szCs w:val="20"/>
              </w:rPr>
              <w:t>056 deg 48.0 min</w:t>
            </w:r>
          </w:p>
        </w:tc>
        <w:tc>
          <w:tcPr>
            <w:tcW w:w="2560" w:type="dxa"/>
            <w:tcMar>
              <w:top w:w="50" w:type="dxa"/>
              <w:left w:w="80" w:type="dxa"/>
              <w:bottom w:w="50" w:type="dxa"/>
              <w:right w:w="80" w:type="dxa"/>
            </w:tcMar>
          </w:tcPr>
          <w:p w14:paraId="274CFF2C" w14:textId="77777777" w:rsidR="0027270B" w:rsidRDefault="00000000">
            <w:pPr>
              <w:spacing w:after="0" w:line="260" w:lineRule="auto"/>
            </w:pPr>
            <w:r>
              <w:rPr>
                <w:rFonts w:cs="Calibri"/>
                <w:sz w:val="20"/>
                <w:szCs w:val="20"/>
              </w:rPr>
              <w:t>East turning point</w:t>
            </w:r>
          </w:p>
        </w:tc>
      </w:tr>
      <w:tr w:rsidR="0027270B" w14:paraId="27EF5963" w14:textId="77777777">
        <w:tblPrEx>
          <w:tblCellMar>
            <w:top w:w="0" w:type="dxa"/>
            <w:bottom w:w="0" w:type="dxa"/>
          </w:tblCellMar>
        </w:tblPrEx>
        <w:tc>
          <w:tcPr>
            <w:tcW w:w="2400" w:type="dxa"/>
            <w:tcMar>
              <w:top w:w="50" w:type="dxa"/>
              <w:left w:w="80" w:type="dxa"/>
              <w:bottom w:w="50" w:type="dxa"/>
              <w:right w:w="80" w:type="dxa"/>
            </w:tcMar>
          </w:tcPr>
          <w:p w14:paraId="47668396" w14:textId="77777777" w:rsidR="0027270B" w:rsidRDefault="00000000">
            <w:pPr>
              <w:spacing w:after="0" w:line="260" w:lineRule="auto"/>
            </w:pPr>
            <w:r>
              <w:rPr>
                <w:rFonts w:cs="Calibri"/>
                <w:sz w:val="20"/>
                <w:szCs w:val="20"/>
              </w:rPr>
              <w:t>NIC-4 (exit, east)</w:t>
            </w:r>
          </w:p>
        </w:tc>
        <w:tc>
          <w:tcPr>
            <w:tcW w:w="2200" w:type="dxa"/>
            <w:tcMar>
              <w:top w:w="50" w:type="dxa"/>
              <w:left w:w="80" w:type="dxa"/>
              <w:bottom w:w="50" w:type="dxa"/>
              <w:right w:w="80" w:type="dxa"/>
            </w:tcMar>
          </w:tcPr>
          <w:p w14:paraId="42D2DE72" w14:textId="77777777" w:rsidR="0027270B" w:rsidRDefault="00000000">
            <w:pPr>
              <w:spacing w:after="0" w:line="260" w:lineRule="auto"/>
            </w:pPr>
            <w:r>
              <w:rPr>
                <w:rFonts w:cs="Calibri"/>
                <w:sz w:val="20"/>
                <w:szCs w:val="20"/>
              </w:rPr>
              <w:t>26 deg 28.0 min</w:t>
            </w:r>
          </w:p>
        </w:tc>
        <w:tc>
          <w:tcPr>
            <w:tcW w:w="2200" w:type="dxa"/>
            <w:tcMar>
              <w:top w:w="50" w:type="dxa"/>
              <w:left w:w="80" w:type="dxa"/>
              <w:bottom w:w="50" w:type="dxa"/>
              <w:right w:w="80" w:type="dxa"/>
            </w:tcMar>
          </w:tcPr>
          <w:p w14:paraId="2EAC83CC" w14:textId="77777777" w:rsidR="0027270B" w:rsidRDefault="00000000">
            <w:pPr>
              <w:spacing w:after="0" w:line="260" w:lineRule="auto"/>
            </w:pPr>
            <w:r>
              <w:rPr>
                <w:rFonts w:cs="Calibri"/>
                <w:sz w:val="20"/>
                <w:szCs w:val="20"/>
              </w:rPr>
              <w:t>057 deg 12.0 min</w:t>
            </w:r>
          </w:p>
        </w:tc>
        <w:tc>
          <w:tcPr>
            <w:tcW w:w="2560" w:type="dxa"/>
            <w:tcMar>
              <w:top w:w="50" w:type="dxa"/>
              <w:left w:w="80" w:type="dxa"/>
              <w:bottom w:w="50" w:type="dxa"/>
              <w:right w:w="80" w:type="dxa"/>
            </w:tcMar>
          </w:tcPr>
          <w:p w14:paraId="2B48EE6B" w14:textId="77777777" w:rsidR="0027270B" w:rsidRDefault="00000000">
            <w:pPr>
              <w:spacing w:after="0" w:line="260" w:lineRule="auto"/>
            </w:pPr>
            <w:r>
              <w:rPr>
                <w:rFonts w:cs="Calibri"/>
                <w:sz w:val="20"/>
                <w:szCs w:val="20"/>
              </w:rPr>
              <w:t>Corridor exit, Gulf of Oman side</w:t>
            </w:r>
          </w:p>
        </w:tc>
      </w:tr>
    </w:tbl>
    <w:p w14:paraId="2444EEA1" w14:textId="77777777" w:rsidR="0027270B" w:rsidRDefault="0027270B"/>
    <w:p w14:paraId="03834ACB" w14:textId="77777777" w:rsidR="0027270B" w:rsidRDefault="00000000">
      <w:r>
        <w:rPr>
          <w:rFonts w:cs="Calibri"/>
          <w:szCs w:val="21"/>
        </w:rPr>
        <w:t>A.4 The Southern Outbound Corridor. Gulf-departing commercial traffic transits the southern lane through Omani waters, in coordination with Iran under Article 9.3, along the following indicative centerline waypoints. Lane width: 2.0 nautical miles. Coordinating function: Oman.</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2356"/>
        <w:gridCol w:w="2158"/>
        <w:gridCol w:w="2163"/>
        <w:gridCol w:w="2509"/>
      </w:tblGrid>
      <w:tr w:rsidR="0027270B" w14:paraId="217FB2A5" w14:textId="77777777">
        <w:tblPrEx>
          <w:tblCellMar>
            <w:top w:w="0" w:type="dxa"/>
            <w:bottom w:w="0" w:type="dxa"/>
          </w:tblCellMar>
        </w:tblPrEx>
        <w:trPr>
          <w:tblHeader/>
        </w:trPr>
        <w:tc>
          <w:tcPr>
            <w:tcW w:w="2400" w:type="dxa"/>
            <w:shd w:val="clear" w:color="auto" w:fill="E8EFF4"/>
            <w:tcMar>
              <w:top w:w="60" w:type="dxa"/>
              <w:left w:w="80" w:type="dxa"/>
              <w:bottom w:w="60" w:type="dxa"/>
              <w:right w:w="80" w:type="dxa"/>
            </w:tcMar>
          </w:tcPr>
          <w:p w14:paraId="5ED8F8FA" w14:textId="77777777" w:rsidR="0027270B" w:rsidRDefault="00000000">
            <w:pPr>
              <w:spacing w:after="0" w:line="260" w:lineRule="auto"/>
            </w:pPr>
            <w:r>
              <w:rPr>
                <w:rFonts w:cs="Calibri"/>
                <w:b/>
                <w:color w:val="1B3A5C"/>
                <w:sz w:val="20"/>
                <w:szCs w:val="20"/>
              </w:rPr>
              <w:lastRenderedPageBreak/>
              <w:t>Waypoint</w:t>
            </w:r>
          </w:p>
        </w:tc>
        <w:tc>
          <w:tcPr>
            <w:tcW w:w="2200" w:type="dxa"/>
            <w:shd w:val="clear" w:color="auto" w:fill="E8EFF4"/>
            <w:tcMar>
              <w:top w:w="60" w:type="dxa"/>
              <w:left w:w="80" w:type="dxa"/>
              <w:bottom w:w="60" w:type="dxa"/>
              <w:right w:w="80" w:type="dxa"/>
            </w:tcMar>
          </w:tcPr>
          <w:p w14:paraId="44D4879B" w14:textId="77777777" w:rsidR="0027270B" w:rsidRDefault="00000000">
            <w:pPr>
              <w:spacing w:after="0" w:line="260" w:lineRule="auto"/>
            </w:pPr>
            <w:r>
              <w:rPr>
                <w:rFonts w:cs="Calibri"/>
                <w:b/>
                <w:color w:val="1B3A5C"/>
                <w:sz w:val="20"/>
                <w:szCs w:val="20"/>
              </w:rPr>
              <w:t>Latitude (N)</w:t>
            </w:r>
          </w:p>
        </w:tc>
        <w:tc>
          <w:tcPr>
            <w:tcW w:w="2200" w:type="dxa"/>
            <w:shd w:val="clear" w:color="auto" w:fill="E8EFF4"/>
            <w:tcMar>
              <w:top w:w="60" w:type="dxa"/>
              <w:left w:w="80" w:type="dxa"/>
              <w:bottom w:w="60" w:type="dxa"/>
              <w:right w:w="80" w:type="dxa"/>
            </w:tcMar>
          </w:tcPr>
          <w:p w14:paraId="286317A8" w14:textId="77777777" w:rsidR="0027270B" w:rsidRDefault="00000000">
            <w:pPr>
              <w:spacing w:after="0" w:line="260" w:lineRule="auto"/>
            </w:pPr>
            <w:r>
              <w:rPr>
                <w:rFonts w:cs="Calibri"/>
                <w:b/>
                <w:color w:val="1B3A5C"/>
                <w:sz w:val="20"/>
                <w:szCs w:val="20"/>
              </w:rPr>
              <w:t>Longitude (E)</w:t>
            </w:r>
          </w:p>
        </w:tc>
        <w:tc>
          <w:tcPr>
            <w:tcW w:w="2560" w:type="dxa"/>
            <w:shd w:val="clear" w:color="auto" w:fill="E8EFF4"/>
            <w:tcMar>
              <w:top w:w="60" w:type="dxa"/>
              <w:left w:w="80" w:type="dxa"/>
              <w:bottom w:w="60" w:type="dxa"/>
              <w:right w:w="80" w:type="dxa"/>
            </w:tcMar>
          </w:tcPr>
          <w:p w14:paraId="7C8F5368" w14:textId="77777777" w:rsidR="0027270B" w:rsidRDefault="00000000">
            <w:pPr>
              <w:spacing w:after="0" w:line="260" w:lineRule="auto"/>
            </w:pPr>
            <w:r>
              <w:rPr>
                <w:rFonts w:cs="Calibri"/>
                <w:b/>
                <w:color w:val="1B3A5C"/>
                <w:sz w:val="20"/>
                <w:szCs w:val="20"/>
              </w:rPr>
              <w:t>Function</w:t>
            </w:r>
          </w:p>
        </w:tc>
      </w:tr>
      <w:tr w:rsidR="0027270B" w14:paraId="1E32A074" w14:textId="77777777">
        <w:tblPrEx>
          <w:tblCellMar>
            <w:top w:w="0" w:type="dxa"/>
            <w:bottom w:w="0" w:type="dxa"/>
          </w:tblCellMar>
        </w:tblPrEx>
        <w:tc>
          <w:tcPr>
            <w:tcW w:w="2400" w:type="dxa"/>
            <w:tcMar>
              <w:top w:w="50" w:type="dxa"/>
              <w:left w:w="80" w:type="dxa"/>
              <w:bottom w:w="50" w:type="dxa"/>
              <w:right w:w="80" w:type="dxa"/>
            </w:tcMar>
          </w:tcPr>
          <w:p w14:paraId="3AF53324" w14:textId="77777777" w:rsidR="0027270B" w:rsidRDefault="00000000">
            <w:pPr>
              <w:spacing w:after="0" w:line="260" w:lineRule="auto"/>
            </w:pPr>
            <w:r>
              <w:rPr>
                <w:rFonts w:cs="Calibri"/>
                <w:sz w:val="20"/>
                <w:szCs w:val="20"/>
              </w:rPr>
              <w:t>SOC-1 (entry, east)</w:t>
            </w:r>
          </w:p>
        </w:tc>
        <w:tc>
          <w:tcPr>
            <w:tcW w:w="2200" w:type="dxa"/>
            <w:tcMar>
              <w:top w:w="50" w:type="dxa"/>
              <w:left w:w="80" w:type="dxa"/>
              <w:bottom w:w="50" w:type="dxa"/>
              <w:right w:w="80" w:type="dxa"/>
            </w:tcMar>
          </w:tcPr>
          <w:p w14:paraId="6BB7C5B1" w14:textId="77777777" w:rsidR="0027270B" w:rsidRDefault="00000000">
            <w:pPr>
              <w:spacing w:after="0" w:line="260" w:lineRule="auto"/>
            </w:pPr>
            <w:r>
              <w:rPr>
                <w:rFonts w:cs="Calibri"/>
                <w:sz w:val="20"/>
                <w:szCs w:val="20"/>
              </w:rPr>
              <w:t>26 deg 06.0 min</w:t>
            </w:r>
          </w:p>
        </w:tc>
        <w:tc>
          <w:tcPr>
            <w:tcW w:w="2200" w:type="dxa"/>
            <w:tcMar>
              <w:top w:w="50" w:type="dxa"/>
              <w:left w:w="80" w:type="dxa"/>
              <w:bottom w:w="50" w:type="dxa"/>
              <w:right w:w="80" w:type="dxa"/>
            </w:tcMar>
          </w:tcPr>
          <w:p w14:paraId="0427FA6F" w14:textId="77777777" w:rsidR="0027270B" w:rsidRDefault="00000000">
            <w:pPr>
              <w:spacing w:after="0" w:line="260" w:lineRule="auto"/>
            </w:pPr>
            <w:r>
              <w:rPr>
                <w:rFonts w:cs="Calibri"/>
                <w:sz w:val="20"/>
                <w:szCs w:val="20"/>
              </w:rPr>
              <w:t>057 deg 08.0 min</w:t>
            </w:r>
          </w:p>
        </w:tc>
        <w:tc>
          <w:tcPr>
            <w:tcW w:w="2560" w:type="dxa"/>
            <w:tcMar>
              <w:top w:w="50" w:type="dxa"/>
              <w:left w:w="80" w:type="dxa"/>
              <w:bottom w:w="50" w:type="dxa"/>
              <w:right w:w="80" w:type="dxa"/>
            </w:tcMar>
          </w:tcPr>
          <w:p w14:paraId="0CBF33CB" w14:textId="77777777" w:rsidR="0027270B" w:rsidRDefault="00000000">
            <w:pPr>
              <w:spacing w:after="0" w:line="260" w:lineRule="auto"/>
            </w:pPr>
            <w:r>
              <w:rPr>
                <w:rFonts w:cs="Calibri"/>
                <w:sz w:val="20"/>
                <w:szCs w:val="20"/>
              </w:rPr>
              <w:t>Corridor entry, Gulf of Oman side</w:t>
            </w:r>
          </w:p>
        </w:tc>
      </w:tr>
      <w:tr w:rsidR="0027270B" w14:paraId="314D93FB" w14:textId="77777777">
        <w:tblPrEx>
          <w:tblCellMar>
            <w:top w:w="0" w:type="dxa"/>
            <w:bottom w:w="0" w:type="dxa"/>
          </w:tblCellMar>
        </w:tblPrEx>
        <w:tc>
          <w:tcPr>
            <w:tcW w:w="2400" w:type="dxa"/>
            <w:tcMar>
              <w:top w:w="50" w:type="dxa"/>
              <w:left w:w="80" w:type="dxa"/>
              <w:bottom w:w="50" w:type="dxa"/>
              <w:right w:w="80" w:type="dxa"/>
            </w:tcMar>
          </w:tcPr>
          <w:p w14:paraId="17425457" w14:textId="77777777" w:rsidR="0027270B" w:rsidRDefault="00000000">
            <w:pPr>
              <w:spacing w:after="0" w:line="260" w:lineRule="auto"/>
            </w:pPr>
            <w:r>
              <w:rPr>
                <w:rFonts w:cs="Calibri"/>
                <w:sz w:val="20"/>
                <w:szCs w:val="20"/>
              </w:rPr>
              <w:t>SOC-2</w:t>
            </w:r>
          </w:p>
        </w:tc>
        <w:tc>
          <w:tcPr>
            <w:tcW w:w="2200" w:type="dxa"/>
            <w:tcMar>
              <w:top w:w="50" w:type="dxa"/>
              <w:left w:w="80" w:type="dxa"/>
              <w:bottom w:w="50" w:type="dxa"/>
              <w:right w:w="80" w:type="dxa"/>
            </w:tcMar>
          </w:tcPr>
          <w:p w14:paraId="66AA4B0B" w14:textId="77777777" w:rsidR="0027270B" w:rsidRDefault="00000000">
            <w:pPr>
              <w:spacing w:after="0" w:line="260" w:lineRule="auto"/>
            </w:pPr>
            <w:r>
              <w:rPr>
                <w:rFonts w:cs="Calibri"/>
                <w:sz w:val="20"/>
                <w:szCs w:val="20"/>
              </w:rPr>
              <w:t>26 deg 10.0 min</w:t>
            </w:r>
          </w:p>
        </w:tc>
        <w:tc>
          <w:tcPr>
            <w:tcW w:w="2200" w:type="dxa"/>
            <w:tcMar>
              <w:top w:w="50" w:type="dxa"/>
              <w:left w:w="80" w:type="dxa"/>
              <w:bottom w:w="50" w:type="dxa"/>
              <w:right w:w="80" w:type="dxa"/>
            </w:tcMar>
          </w:tcPr>
          <w:p w14:paraId="2E0DE31A" w14:textId="77777777" w:rsidR="0027270B" w:rsidRDefault="00000000">
            <w:pPr>
              <w:spacing w:after="0" w:line="260" w:lineRule="auto"/>
            </w:pPr>
            <w:r>
              <w:rPr>
                <w:rFonts w:cs="Calibri"/>
                <w:sz w:val="20"/>
                <w:szCs w:val="20"/>
              </w:rPr>
              <w:t>056 deg 45.0 min</w:t>
            </w:r>
          </w:p>
        </w:tc>
        <w:tc>
          <w:tcPr>
            <w:tcW w:w="2560" w:type="dxa"/>
            <w:tcMar>
              <w:top w:w="50" w:type="dxa"/>
              <w:left w:w="80" w:type="dxa"/>
              <w:bottom w:w="50" w:type="dxa"/>
              <w:right w:w="80" w:type="dxa"/>
            </w:tcMar>
          </w:tcPr>
          <w:p w14:paraId="65CE2AD1" w14:textId="77777777" w:rsidR="0027270B" w:rsidRDefault="00000000">
            <w:pPr>
              <w:spacing w:after="0" w:line="260" w:lineRule="auto"/>
            </w:pPr>
            <w:r>
              <w:rPr>
                <w:rFonts w:cs="Calibri"/>
                <w:sz w:val="20"/>
                <w:szCs w:val="20"/>
              </w:rPr>
              <w:t>East turning point</w:t>
            </w:r>
          </w:p>
        </w:tc>
      </w:tr>
      <w:tr w:rsidR="0027270B" w14:paraId="7997CDBD" w14:textId="77777777">
        <w:tblPrEx>
          <w:tblCellMar>
            <w:top w:w="0" w:type="dxa"/>
            <w:bottom w:w="0" w:type="dxa"/>
          </w:tblCellMar>
        </w:tblPrEx>
        <w:tc>
          <w:tcPr>
            <w:tcW w:w="2400" w:type="dxa"/>
            <w:tcMar>
              <w:top w:w="50" w:type="dxa"/>
              <w:left w:w="80" w:type="dxa"/>
              <w:bottom w:w="50" w:type="dxa"/>
              <w:right w:w="80" w:type="dxa"/>
            </w:tcMar>
          </w:tcPr>
          <w:p w14:paraId="0832C7EC" w14:textId="77777777" w:rsidR="0027270B" w:rsidRDefault="00000000">
            <w:pPr>
              <w:spacing w:after="0" w:line="260" w:lineRule="auto"/>
            </w:pPr>
            <w:r>
              <w:rPr>
                <w:rFonts w:cs="Calibri"/>
                <w:sz w:val="20"/>
                <w:szCs w:val="20"/>
              </w:rPr>
              <w:t>SOC-3</w:t>
            </w:r>
          </w:p>
        </w:tc>
        <w:tc>
          <w:tcPr>
            <w:tcW w:w="2200" w:type="dxa"/>
            <w:tcMar>
              <w:top w:w="50" w:type="dxa"/>
              <w:left w:w="80" w:type="dxa"/>
              <w:bottom w:w="50" w:type="dxa"/>
              <w:right w:w="80" w:type="dxa"/>
            </w:tcMar>
          </w:tcPr>
          <w:p w14:paraId="1F2C6401" w14:textId="77777777" w:rsidR="0027270B" w:rsidRDefault="00000000">
            <w:pPr>
              <w:spacing w:after="0" w:line="260" w:lineRule="auto"/>
            </w:pPr>
            <w:r>
              <w:rPr>
                <w:rFonts w:cs="Calibri"/>
                <w:sz w:val="20"/>
                <w:szCs w:val="20"/>
              </w:rPr>
              <w:t>26 deg 16.0 min</w:t>
            </w:r>
          </w:p>
        </w:tc>
        <w:tc>
          <w:tcPr>
            <w:tcW w:w="2200" w:type="dxa"/>
            <w:tcMar>
              <w:top w:w="50" w:type="dxa"/>
              <w:left w:w="80" w:type="dxa"/>
              <w:bottom w:w="50" w:type="dxa"/>
              <w:right w:w="80" w:type="dxa"/>
            </w:tcMar>
          </w:tcPr>
          <w:p w14:paraId="050547D8" w14:textId="77777777" w:rsidR="0027270B" w:rsidRDefault="00000000">
            <w:pPr>
              <w:spacing w:after="0" w:line="260" w:lineRule="auto"/>
            </w:pPr>
            <w:r>
              <w:rPr>
                <w:rFonts w:cs="Calibri"/>
                <w:sz w:val="20"/>
                <w:szCs w:val="20"/>
              </w:rPr>
              <w:t>056 deg 22.0 min</w:t>
            </w:r>
          </w:p>
        </w:tc>
        <w:tc>
          <w:tcPr>
            <w:tcW w:w="2560" w:type="dxa"/>
            <w:tcMar>
              <w:top w:w="50" w:type="dxa"/>
              <w:left w:w="80" w:type="dxa"/>
              <w:bottom w:w="50" w:type="dxa"/>
              <w:right w:w="80" w:type="dxa"/>
            </w:tcMar>
          </w:tcPr>
          <w:p w14:paraId="36A1D5E7" w14:textId="77777777" w:rsidR="0027270B" w:rsidRDefault="00000000">
            <w:pPr>
              <w:spacing w:after="0" w:line="260" w:lineRule="auto"/>
            </w:pPr>
            <w:r>
              <w:rPr>
                <w:rFonts w:cs="Calibri"/>
                <w:sz w:val="20"/>
                <w:szCs w:val="20"/>
              </w:rPr>
              <w:t>West turning point</w:t>
            </w:r>
          </w:p>
        </w:tc>
      </w:tr>
      <w:tr w:rsidR="0027270B" w14:paraId="788DFD8F" w14:textId="77777777">
        <w:tblPrEx>
          <w:tblCellMar>
            <w:top w:w="0" w:type="dxa"/>
            <w:bottom w:w="0" w:type="dxa"/>
          </w:tblCellMar>
        </w:tblPrEx>
        <w:tc>
          <w:tcPr>
            <w:tcW w:w="2400" w:type="dxa"/>
            <w:tcMar>
              <w:top w:w="50" w:type="dxa"/>
              <w:left w:w="80" w:type="dxa"/>
              <w:bottom w:w="50" w:type="dxa"/>
              <w:right w:w="80" w:type="dxa"/>
            </w:tcMar>
          </w:tcPr>
          <w:p w14:paraId="4FBCCF29" w14:textId="77777777" w:rsidR="0027270B" w:rsidRDefault="00000000">
            <w:pPr>
              <w:spacing w:after="0" w:line="260" w:lineRule="auto"/>
            </w:pPr>
            <w:r>
              <w:rPr>
                <w:rFonts w:cs="Calibri"/>
                <w:sz w:val="20"/>
                <w:szCs w:val="20"/>
              </w:rPr>
              <w:t>SOC-4 (exit, west)</w:t>
            </w:r>
          </w:p>
        </w:tc>
        <w:tc>
          <w:tcPr>
            <w:tcW w:w="2200" w:type="dxa"/>
            <w:tcMar>
              <w:top w:w="50" w:type="dxa"/>
              <w:left w:w="80" w:type="dxa"/>
              <w:bottom w:w="50" w:type="dxa"/>
              <w:right w:w="80" w:type="dxa"/>
            </w:tcMar>
          </w:tcPr>
          <w:p w14:paraId="19642958" w14:textId="77777777" w:rsidR="0027270B" w:rsidRDefault="00000000">
            <w:pPr>
              <w:spacing w:after="0" w:line="260" w:lineRule="auto"/>
            </w:pPr>
            <w:r>
              <w:rPr>
                <w:rFonts w:cs="Calibri"/>
                <w:sz w:val="20"/>
                <w:szCs w:val="20"/>
              </w:rPr>
              <w:t>26 deg 22.0 min</w:t>
            </w:r>
          </w:p>
        </w:tc>
        <w:tc>
          <w:tcPr>
            <w:tcW w:w="2200" w:type="dxa"/>
            <w:tcMar>
              <w:top w:w="50" w:type="dxa"/>
              <w:left w:w="80" w:type="dxa"/>
              <w:bottom w:w="50" w:type="dxa"/>
              <w:right w:w="80" w:type="dxa"/>
            </w:tcMar>
          </w:tcPr>
          <w:p w14:paraId="3292D974" w14:textId="77777777" w:rsidR="0027270B" w:rsidRDefault="00000000">
            <w:pPr>
              <w:spacing w:after="0" w:line="260" w:lineRule="auto"/>
            </w:pPr>
            <w:r>
              <w:rPr>
                <w:rFonts w:cs="Calibri"/>
                <w:sz w:val="20"/>
                <w:szCs w:val="20"/>
              </w:rPr>
              <w:t>056 deg 02.0 min</w:t>
            </w:r>
          </w:p>
        </w:tc>
        <w:tc>
          <w:tcPr>
            <w:tcW w:w="2560" w:type="dxa"/>
            <w:tcMar>
              <w:top w:w="50" w:type="dxa"/>
              <w:left w:w="80" w:type="dxa"/>
              <w:bottom w:w="50" w:type="dxa"/>
              <w:right w:w="80" w:type="dxa"/>
            </w:tcMar>
          </w:tcPr>
          <w:p w14:paraId="46AD11BB" w14:textId="77777777" w:rsidR="0027270B" w:rsidRDefault="00000000">
            <w:pPr>
              <w:spacing w:after="0" w:line="260" w:lineRule="auto"/>
            </w:pPr>
            <w:r>
              <w:rPr>
                <w:rFonts w:cs="Calibri"/>
                <w:sz w:val="20"/>
                <w:szCs w:val="20"/>
              </w:rPr>
              <w:t>Corridor exit, inner Gulf side</w:t>
            </w:r>
          </w:p>
        </w:tc>
      </w:tr>
    </w:tbl>
    <w:p w14:paraId="7A4553DA" w14:textId="77777777" w:rsidR="0027270B" w:rsidRDefault="0027270B"/>
    <w:p w14:paraId="50AECA9B" w14:textId="77777777" w:rsidR="0027270B" w:rsidRDefault="00000000">
      <w:r>
        <w:rPr>
          <w:rFonts w:cs="Calibri"/>
          <w:szCs w:val="21"/>
        </w:rPr>
        <w:t>A.5 The Central Blue Buffer. The median lane between the corridors, approximately 2.0 nautical miles wide, along the indicative centerline NIC/SOC midline between waypoints CBB-1 (26 deg 36.0 min N, 056 deg 04.0 min E) and CBB-4 (26 deg 17.0 min N, 057 deg 10.0 min E), with turning points CBB-2 (26 deg 29.0 min N, 056 deg 24.0 min E) and CBB-3 (26 deg 23.0 min N, 056 deg 47.0 min E). Status at Blue Opening: emergency routing and separation only. Status after certification under Article 25.4: two-way medium-draft lane under joint Iran-Oman coordination.</w:t>
      </w:r>
    </w:p>
    <w:p w14:paraId="5C9F7240" w14:textId="77777777" w:rsidR="0027270B" w:rsidRDefault="00000000">
      <w:r>
        <w:rPr>
          <w:rFonts w:cs="Calibri"/>
          <w:szCs w:val="21"/>
        </w:rPr>
        <w:t>A.6 Emergency Diversion Channels and Safe Anchorages. Two Emergency Diversion Channels flank the corridor system: EDC-North, paralleling the Northern Inbound Corridor at 1.0 nautical mile separation; EDC-South, paralleling the Southern Outbound Corridor at 1.0 nautical mile separation. Safe Anchorages: Khasab Roads (center 26 deg 12.0 min N, 056 deg 15.0 min E, radius 2.0 nautical miles) and Bandar Abbas Outer Roads (center 27 deg 02.0 min N, 056 deg 18.0 min E, radius 2.5 nautical miles). Both anchorages operate under the absolute non-interdiction protocol of Article 13.</w:t>
      </w:r>
    </w:p>
    <w:p w14:paraId="6BEEE833" w14:textId="77777777" w:rsidR="0027270B" w:rsidRDefault="00000000">
      <w:r>
        <w:rPr>
          <w:rFonts w:cs="Calibri"/>
          <w:szCs w:val="21"/>
        </w:rPr>
        <w:t>A.7 Inshore zones. Small craft and fishing vessels use the inshore zones coastward of each corridor, as charted on the published corridor guidance. Inshore zones carry no filing obligation; they carry the same non-interdiction protection and the same hazard-alert service.</w:t>
      </w:r>
    </w:p>
    <w:p w14:paraId="474EDC65" w14:textId="77777777" w:rsidR="0027270B" w:rsidRDefault="00000000">
      <w:r>
        <w:rPr>
          <w:rFonts w:cs="Calibri"/>
          <w:szCs w:val="21"/>
        </w:rPr>
        <w:t>A.8 Charting. The Secretariat publishes the official corridor chart in electronic and paper form, in the three languages, within twenty-four hours of Blue Opening, and re-issues it with every Annex update. The Blue Beacon broadcasts corridor boundaries as automatic identification system application-specific messages, refreshed every six hours.</w:t>
      </w:r>
    </w:p>
    <w:p w14:paraId="3769EFE0" w14:textId="77777777" w:rsidR="0027270B" w:rsidRDefault="00000000">
      <w:pPr>
        <w:pStyle w:val="Heading2"/>
      </w:pPr>
      <w:bookmarkStart w:id="108" w:name="_Toc237648557"/>
      <w:r>
        <w:rPr>
          <w:rFonts w:cs="Calibri"/>
          <w:szCs w:val="25"/>
        </w:rPr>
        <w:t>Annex B: Navigation Procedures and Filing Formats</w:t>
      </w:r>
      <w:bookmarkEnd w:id="108"/>
    </w:p>
    <w:p w14:paraId="76242E67" w14:textId="77777777" w:rsidR="0027270B" w:rsidRDefault="00000000">
      <w:r>
        <w:rPr>
          <w:rFonts w:cs="Calibri"/>
          <w:szCs w:val="21"/>
        </w:rPr>
        <w:t>B.1 The Transit Filing. The single Filing of Article 12 carries twelve fields and one page. Channels: the Blue Passage portal, satellite message to the Joint Watch Floor, or agent filing at the port of origin. The form appears in Annex N as Form BPP-1.</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692"/>
        <w:gridCol w:w="3038"/>
        <w:gridCol w:w="2361"/>
        <w:gridCol w:w="3095"/>
      </w:tblGrid>
      <w:tr w:rsidR="0027270B" w14:paraId="7204DC9B" w14:textId="77777777">
        <w:tblPrEx>
          <w:tblCellMar>
            <w:top w:w="0" w:type="dxa"/>
            <w:bottom w:w="0" w:type="dxa"/>
          </w:tblCellMar>
        </w:tblPrEx>
        <w:trPr>
          <w:tblHeader/>
        </w:trPr>
        <w:tc>
          <w:tcPr>
            <w:tcW w:w="700" w:type="dxa"/>
            <w:shd w:val="clear" w:color="auto" w:fill="E8EFF4"/>
            <w:tcMar>
              <w:top w:w="60" w:type="dxa"/>
              <w:left w:w="80" w:type="dxa"/>
              <w:bottom w:w="60" w:type="dxa"/>
              <w:right w:w="80" w:type="dxa"/>
            </w:tcMar>
          </w:tcPr>
          <w:p w14:paraId="651510F0" w14:textId="77777777" w:rsidR="0027270B" w:rsidRDefault="00000000">
            <w:pPr>
              <w:spacing w:after="0" w:line="260" w:lineRule="auto"/>
            </w:pPr>
            <w:r>
              <w:rPr>
                <w:rFonts w:cs="Calibri"/>
                <w:b/>
                <w:color w:val="1B3A5C"/>
                <w:sz w:val="20"/>
                <w:szCs w:val="20"/>
              </w:rPr>
              <w:t>No.</w:t>
            </w:r>
          </w:p>
        </w:tc>
        <w:tc>
          <w:tcPr>
            <w:tcW w:w="3100" w:type="dxa"/>
            <w:shd w:val="clear" w:color="auto" w:fill="E8EFF4"/>
            <w:tcMar>
              <w:top w:w="60" w:type="dxa"/>
              <w:left w:w="80" w:type="dxa"/>
              <w:bottom w:w="60" w:type="dxa"/>
              <w:right w:w="80" w:type="dxa"/>
            </w:tcMar>
          </w:tcPr>
          <w:p w14:paraId="7437BA33" w14:textId="77777777" w:rsidR="0027270B" w:rsidRDefault="00000000">
            <w:pPr>
              <w:spacing w:after="0" w:line="260" w:lineRule="auto"/>
            </w:pPr>
            <w:r>
              <w:rPr>
                <w:rFonts w:cs="Calibri"/>
                <w:b/>
                <w:color w:val="1B3A5C"/>
                <w:sz w:val="20"/>
                <w:szCs w:val="20"/>
              </w:rPr>
              <w:t>Field</w:t>
            </w:r>
          </w:p>
        </w:tc>
        <w:tc>
          <w:tcPr>
            <w:tcW w:w="2400" w:type="dxa"/>
            <w:shd w:val="clear" w:color="auto" w:fill="E8EFF4"/>
            <w:tcMar>
              <w:top w:w="60" w:type="dxa"/>
              <w:left w:w="80" w:type="dxa"/>
              <w:bottom w:w="60" w:type="dxa"/>
              <w:right w:w="80" w:type="dxa"/>
            </w:tcMar>
          </w:tcPr>
          <w:p w14:paraId="18EF2FC4" w14:textId="77777777" w:rsidR="0027270B" w:rsidRDefault="00000000">
            <w:pPr>
              <w:spacing w:after="0" w:line="260" w:lineRule="auto"/>
            </w:pPr>
            <w:r>
              <w:rPr>
                <w:rFonts w:cs="Calibri"/>
                <w:b/>
                <w:color w:val="1B3A5C"/>
                <w:sz w:val="20"/>
                <w:szCs w:val="20"/>
              </w:rPr>
              <w:t>Format</w:t>
            </w:r>
          </w:p>
        </w:tc>
        <w:tc>
          <w:tcPr>
            <w:tcW w:w="3160" w:type="dxa"/>
            <w:shd w:val="clear" w:color="auto" w:fill="E8EFF4"/>
            <w:tcMar>
              <w:top w:w="60" w:type="dxa"/>
              <w:left w:w="80" w:type="dxa"/>
              <w:bottom w:w="60" w:type="dxa"/>
              <w:right w:w="80" w:type="dxa"/>
            </w:tcMar>
          </w:tcPr>
          <w:p w14:paraId="2B0821C9" w14:textId="77777777" w:rsidR="0027270B" w:rsidRDefault="00000000">
            <w:pPr>
              <w:spacing w:after="0" w:line="260" w:lineRule="auto"/>
            </w:pPr>
            <w:r>
              <w:rPr>
                <w:rFonts w:cs="Calibri"/>
                <w:b/>
                <w:color w:val="1B3A5C"/>
                <w:sz w:val="20"/>
                <w:szCs w:val="20"/>
              </w:rPr>
              <w:t>Note</w:t>
            </w:r>
          </w:p>
        </w:tc>
      </w:tr>
      <w:tr w:rsidR="0027270B" w14:paraId="3CB75E69" w14:textId="77777777">
        <w:tblPrEx>
          <w:tblCellMar>
            <w:top w:w="0" w:type="dxa"/>
            <w:bottom w:w="0" w:type="dxa"/>
          </w:tblCellMar>
        </w:tblPrEx>
        <w:tc>
          <w:tcPr>
            <w:tcW w:w="700" w:type="dxa"/>
            <w:tcMar>
              <w:top w:w="50" w:type="dxa"/>
              <w:left w:w="80" w:type="dxa"/>
              <w:bottom w:w="50" w:type="dxa"/>
              <w:right w:w="80" w:type="dxa"/>
            </w:tcMar>
          </w:tcPr>
          <w:p w14:paraId="3F90162D" w14:textId="77777777" w:rsidR="0027270B" w:rsidRDefault="00000000">
            <w:pPr>
              <w:spacing w:after="0" w:line="260" w:lineRule="auto"/>
            </w:pPr>
            <w:r>
              <w:rPr>
                <w:rFonts w:cs="Calibri"/>
                <w:sz w:val="20"/>
                <w:szCs w:val="20"/>
              </w:rPr>
              <w:t>1</w:t>
            </w:r>
          </w:p>
        </w:tc>
        <w:tc>
          <w:tcPr>
            <w:tcW w:w="3100" w:type="dxa"/>
            <w:tcMar>
              <w:top w:w="50" w:type="dxa"/>
              <w:left w:w="80" w:type="dxa"/>
              <w:bottom w:w="50" w:type="dxa"/>
              <w:right w:w="80" w:type="dxa"/>
            </w:tcMar>
          </w:tcPr>
          <w:p w14:paraId="15AF9D88" w14:textId="77777777" w:rsidR="0027270B" w:rsidRDefault="00000000">
            <w:pPr>
              <w:spacing w:after="0" w:line="260" w:lineRule="auto"/>
            </w:pPr>
            <w:r>
              <w:rPr>
                <w:rFonts w:cs="Calibri"/>
                <w:sz w:val="20"/>
                <w:szCs w:val="20"/>
              </w:rPr>
              <w:t>Vessel identity and IMO number</w:t>
            </w:r>
          </w:p>
        </w:tc>
        <w:tc>
          <w:tcPr>
            <w:tcW w:w="2400" w:type="dxa"/>
            <w:tcMar>
              <w:top w:w="50" w:type="dxa"/>
              <w:left w:w="80" w:type="dxa"/>
              <w:bottom w:w="50" w:type="dxa"/>
              <w:right w:w="80" w:type="dxa"/>
            </w:tcMar>
          </w:tcPr>
          <w:p w14:paraId="0D3B3470" w14:textId="77777777" w:rsidR="0027270B" w:rsidRDefault="00000000">
            <w:pPr>
              <w:spacing w:after="0" w:line="260" w:lineRule="auto"/>
            </w:pPr>
            <w:r>
              <w:rPr>
                <w:rFonts w:cs="Calibri"/>
                <w:sz w:val="20"/>
                <w:szCs w:val="20"/>
              </w:rPr>
              <w:t>Text and number</w:t>
            </w:r>
          </w:p>
        </w:tc>
        <w:tc>
          <w:tcPr>
            <w:tcW w:w="3160" w:type="dxa"/>
            <w:tcMar>
              <w:top w:w="50" w:type="dxa"/>
              <w:left w:w="80" w:type="dxa"/>
              <w:bottom w:w="50" w:type="dxa"/>
              <w:right w:w="80" w:type="dxa"/>
            </w:tcMar>
          </w:tcPr>
          <w:p w14:paraId="335771D9" w14:textId="77777777" w:rsidR="0027270B" w:rsidRDefault="00000000">
            <w:pPr>
              <w:spacing w:after="0" w:line="260" w:lineRule="auto"/>
            </w:pPr>
            <w:r>
              <w:rPr>
                <w:rFonts w:cs="Calibri"/>
                <w:sz w:val="20"/>
                <w:szCs w:val="20"/>
              </w:rPr>
              <w:t>As registered</w:t>
            </w:r>
          </w:p>
        </w:tc>
      </w:tr>
      <w:tr w:rsidR="0027270B" w14:paraId="1270B0CD" w14:textId="77777777">
        <w:tblPrEx>
          <w:tblCellMar>
            <w:top w:w="0" w:type="dxa"/>
            <w:bottom w:w="0" w:type="dxa"/>
          </w:tblCellMar>
        </w:tblPrEx>
        <w:tc>
          <w:tcPr>
            <w:tcW w:w="700" w:type="dxa"/>
            <w:tcMar>
              <w:top w:w="50" w:type="dxa"/>
              <w:left w:w="80" w:type="dxa"/>
              <w:bottom w:w="50" w:type="dxa"/>
              <w:right w:w="80" w:type="dxa"/>
            </w:tcMar>
          </w:tcPr>
          <w:p w14:paraId="61ADAE0C" w14:textId="77777777" w:rsidR="0027270B" w:rsidRDefault="00000000">
            <w:pPr>
              <w:spacing w:after="0" w:line="260" w:lineRule="auto"/>
            </w:pPr>
            <w:r>
              <w:rPr>
                <w:rFonts w:cs="Calibri"/>
                <w:sz w:val="20"/>
                <w:szCs w:val="20"/>
              </w:rPr>
              <w:t>2</w:t>
            </w:r>
          </w:p>
        </w:tc>
        <w:tc>
          <w:tcPr>
            <w:tcW w:w="3100" w:type="dxa"/>
            <w:tcMar>
              <w:top w:w="50" w:type="dxa"/>
              <w:left w:w="80" w:type="dxa"/>
              <w:bottom w:w="50" w:type="dxa"/>
              <w:right w:w="80" w:type="dxa"/>
            </w:tcMar>
          </w:tcPr>
          <w:p w14:paraId="5EFADC46" w14:textId="77777777" w:rsidR="0027270B" w:rsidRDefault="00000000">
            <w:pPr>
              <w:spacing w:after="0" w:line="260" w:lineRule="auto"/>
            </w:pPr>
            <w:r>
              <w:rPr>
                <w:rFonts w:cs="Calibri"/>
                <w:sz w:val="20"/>
                <w:szCs w:val="20"/>
              </w:rPr>
              <w:t>Flag state</w:t>
            </w:r>
          </w:p>
        </w:tc>
        <w:tc>
          <w:tcPr>
            <w:tcW w:w="2400" w:type="dxa"/>
            <w:tcMar>
              <w:top w:w="50" w:type="dxa"/>
              <w:left w:w="80" w:type="dxa"/>
              <w:bottom w:w="50" w:type="dxa"/>
              <w:right w:w="80" w:type="dxa"/>
            </w:tcMar>
          </w:tcPr>
          <w:p w14:paraId="58E14212" w14:textId="77777777" w:rsidR="0027270B" w:rsidRDefault="00000000">
            <w:pPr>
              <w:spacing w:after="0" w:line="260" w:lineRule="auto"/>
            </w:pPr>
            <w:r>
              <w:rPr>
                <w:rFonts w:cs="Calibri"/>
                <w:sz w:val="20"/>
                <w:szCs w:val="20"/>
              </w:rPr>
              <w:t>Text</w:t>
            </w:r>
          </w:p>
        </w:tc>
        <w:tc>
          <w:tcPr>
            <w:tcW w:w="3160" w:type="dxa"/>
            <w:tcMar>
              <w:top w:w="50" w:type="dxa"/>
              <w:left w:w="80" w:type="dxa"/>
              <w:bottom w:w="50" w:type="dxa"/>
              <w:right w:w="80" w:type="dxa"/>
            </w:tcMar>
          </w:tcPr>
          <w:p w14:paraId="54B081CE" w14:textId="77777777" w:rsidR="0027270B" w:rsidRDefault="00000000">
            <w:pPr>
              <w:spacing w:after="0" w:line="260" w:lineRule="auto"/>
            </w:pPr>
            <w:r>
              <w:rPr>
                <w:rFonts w:cs="Calibri"/>
                <w:sz w:val="20"/>
                <w:szCs w:val="20"/>
              </w:rPr>
              <w:t>No treatment varies by flag</w:t>
            </w:r>
          </w:p>
        </w:tc>
      </w:tr>
      <w:tr w:rsidR="0027270B" w14:paraId="26B7EE0A" w14:textId="77777777">
        <w:tblPrEx>
          <w:tblCellMar>
            <w:top w:w="0" w:type="dxa"/>
            <w:bottom w:w="0" w:type="dxa"/>
          </w:tblCellMar>
        </w:tblPrEx>
        <w:tc>
          <w:tcPr>
            <w:tcW w:w="700" w:type="dxa"/>
            <w:tcMar>
              <w:top w:w="50" w:type="dxa"/>
              <w:left w:w="80" w:type="dxa"/>
              <w:bottom w:w="50" w:type="dxa"/>
              <w:right w:w="80" w:type="dxa"/>
            </w:tcMar>
          </w:tcPr>
          <w:p w14:paraId="083B70B5" w14:textId="77777777" w:rsidR="0027270B" w:rsidRDefault="00000000">
            <w:pPr>
              <w:spacing w:after="0" w:line="260" w:lineRule="auto"/>
            </w:pPr>
            <w:r>
              <w:rPr>
                <w:rFonts w:cs="Calibri"/>
                <w:sz w:val="20"/>
                <w:szCs w:val="20"/>
              </w:rPr>
              <w:t>3</w:t>
            </w:r>
          </w:p>
        </w:tc>
        <w:tc>
          <w:tcPr>
            <w:tcW w:w="3100" w:type="dxa"/>
            <w:tcMar>
              <w:top w:w="50" w:type="dxa"/>
              <w:left w:w="80" w:type="dxa"/>
              <w:bottom w:w="50" w:type="dxa"/>
              <w:right w:w="80" w:type="dxa"/>
            </w:tcMar>
          </w:tcPr>
          <w:p w14:paraId="6B5F8720" w14:textId="77777777" w:rsidR="0027270B" w:rsidRDefault="00000000">
            <w:pPr>
              <w:spacing w:after="0" w:line="260" w:lineRule="auto"/>
            </w:pPr>
            <w:r>
              <w:rPr>
                <w:rFonts w:cs="Calibri"/>
                <w:sz w:val="20"/>
                <w:szCs w:val="20"/>
              </w:rPr>
              <w:t>Vessel class</w:t>
            </w:r>
          </w:p>
        </w:tc>
        <w:tc>
          <w:tcPr>
            <w:tcW w:w="2400" w:type="dxa"/>
            <w:tcMar>
              <w:top w:w="50" w:type="dxa"/>
              <w:left w:w="80" w:type="dxa"/>
              <w:bottom w:w="50" w:type="dxa"/>
              <w:right w:w="80" w:type="dxa"/>
            </w:tcMar>
          </w:tcPr>
          <w:p w14:paraId="4ACFB961" w14:textId="77777777" w:rsidR="0027270B" w:rsidRDefault="00000000">
            <w:pPr>
              <w:spacing w:after="0" w:line="260" w:lineRule="auto"/>
            </w:pPr>
            <w:r>
              <w:rPr>
                <w:rFonts w:cs="Calibri"/>
                <w:sz w:val="20"/>
                <w:szCs w:val="20"/>
              </w:rPr>
              <w:t>One of five classes</w:t>
            </w:r>
          </w:p>
        </w:tc>
        <w:tc>
          <w:tcPr>
            <w:tcW w:w="3160" w:type="dxa"/>
            <w:tcMar>
              <w:top w:w="50" w:type="dxa"/>
              <w:left w:w="80" w:type="dxa"/>
              <w:bottom w:w="50" w:type="dxa"/>
              <w:right w:w="80" w:type="dxa"/>
            </w:tcMar>
          </w:tcPr>
          <w:p w14:paraId="1E07A7AA" w14:textId="77777777" w:rsidR="0027270B" w:rsidRDefault="00000000">
            <w:pPr>
              <w:spacing w:after="0" w:line="260" w:lineRule="auto"/>
            </w:pPr>
            <w:r>
              <w:rPr>
                <w:rFonts w:cs="Calibri"/>
                <w:sz w:val="20"/>
                <w:szCs w:val="20"/>
              </w:rPr>
              <w:t>Article 11</w:t>
            </w:r>
          </w:p>
        </w:tc>
      </w:tr>
      <w:tr w:rsidR="0027270B" w14:paraId="39614254" w14:textId="77777777">
        <w:tblPrEx>
          <w:tblCellMar>
            <w:top w:w="0" w:type="dxa"/>
            <w:bottom w:w="0" w:type="dxa"/>
          </w:tblCellMar>
        </w:tblPrEx>
        <w:tc>
          <w:tcPr>
            <w:tcW w:w="700" w:type="dxa"/>
            <w:tcMar>
              <w:top w:w="50" w:type="dxa"/>
              <w:left w:w="80" w:type="dxa"/>
              <w:bottom w:w="50" w:type="dxa"/>
              <w:right w:w="80" w:type="dxa"/>
            </w:tcMar>
          </w:tcPr>
          <w:p w14:paraId="7933C1D5" w14:textId="77777777" w:rsidR="0027270B" w:rsidRDefault="00000000">
            <w:pPr>
              <w:spacing w:after="0" w:line="260" w:lineRule="auto"/>
            </w:pPr>
            <w:r>
              <w:rPr>
                <w:rFonts w:cs="Calibri"/>
                <w:sz w:val="20"/>
                <w:szCs w:val="20"/>
              </w:rPr>
              <w:t>4</w:t>
            </w:r>
          </w:p>
        </w:tc>
        <w:tc>
          <w:tcPr>
            <w:tcW w:w="3100" w:type="dxa"/>
            <w:tcMar>
              <w:top w:w="50" w:type="dxa"/>
              <w:left w:w="80" w:type="dxa"/>
              <w:bottom w:w="50" w:type="dxa"/>
              <w:right w:w="80" w:type="dxa"/>
            </w:tcMar>
          </w:tcPr>
          <w:p w14:paraId="519FFE2A" w14:textId="77777777" w:rsidR="0027270B" w:rsidRDefault="00000000">
            <w:pPr>
              <w:spacing w:after="0" w:line="260" w:lineRule="auto"/>
            </w:pPr>
            <w:r>
              <w:rPr>
                <w:rFonts w:cs="Calibri"/>
                <w:sz w:val="20"/>
                <w:szCs w:val="20"/>
              </w:rPr>
              <w:t>Dimensions and draft</w:t>
            </w:r>
          </w:p>
        </w:tc>
        <w:tc>
          <w:tcPr>
            <w:tcW w:w="2400" w:type="dxa"/>
            <w:tcMar>
              <w:top w:w="50" w:type="dxa"/>
              <w:left w:w="80" w:type="dxa"/>
              <w:bottom w:w="50" w:type="dxa"/>
              <w:right w:w="80" w:type="dxa"/>
            </w:tcMar>
          </w:tcPr>
          <w:p w14:paraId="01E67FC8" w14:textId="77777777" w:rsidR="0027270B" w:rsidRDefault="00000000">
            <w:pPr>
              <w:spacing w:after="0" w:line="260" w:lineRule="auto"/>
            </w:pPr>
            <w:r>
              <w:rPr>
                <w:rFonts w:cs="Calibri"/>
                <w:sz w:val="20"/>
                <w:szCs w:val="20"/>
              </w:rPr>
              <w:t>Meters</w:t>
            </w:r>
          </w:p>
        </w:tc>
        <w:tc>
          <w:tcPr>
            <w:tcW w:w="3160" w:type="dxa"/>
            <w:tcMar>
              <w:top w:w="50" w:type="dxa"/>
              <w:left w:w="80" w:type="dxa"/>
              <w:bottom w:w="50" w:type="dxa"/>
              <w:right w:w="80" w:type="dxa"/>
            </w:tcMar>
          </w:tcPr>
          <w:p w14:paraId="02C0CC10" w14:textId="77777777" w:rsidR="0027270B" w:rsidRDefault="00000000">
            <w:pPr>
              <w:spacing w:after="0" w:line="260" w:lineRule="auto"/>
            </w:pPr>
            <w:r>
              <w:rPr>
                <w:rFonts w:cs="Calibri"/>
                <w:sz w:val="20"/>
                <w:szCs w:val="20"/>
              </w:rPr>
              <w:t>Length, beam, draft</w:t>
            </w:r>
          </w:p>
        </w:tc>
      </w:tr>
      <w:tr w:rsidR="0027270B" w14:paraId="21240605" w14:textId="77777777">
        <w:tblPrEx>
          <w:tblCellMar>
            <w:top w:w="0" w:type="dxa"/>
            <w:bottom w:w="0" w:type="dxa"/>
          </w:tblCellMar>
        </w:tblPrEx>
        <w:tc>
          <w:tcPr>
            <w:tcW w:w="700" w:type="dxa"/>
            <w:tcMar>
              <w:top w:w="50" w:type="dxa"/>
              <w:left w:w="80" w:type="dxa"/>
              <w:bottom w:w="50" w:type="dxa"/>
              <w:right w:w="80" w:type="dxa"/>
            </w:tcMar>
          </w:tcPr>
          <w:p w14:paraId="633A6A0C" w14:textId="77777777" w:rsidR="0027270B" w:rsidRDefault="00000000">
            <w:pPr>
              <w:spacing w:after="0" w:line="260" w:lineRule="auto"/>
            </w:pPr>
            <w:r>
              <w:rPr>
                <w:rFonts w:cs="Calibri"/>
                <w:sz w:val="20"/>
                <w:szCs w:val="20"/>
              </w:rPr>
              <w:t>5</w:t>
            </w:r>
          </w:p>
        </w:tc>
        <w:tc>
          <w:tcPr>
            <w:tcW w:w="3100" w:type="dxa"/>
            <w:tcMar>
              <w:top w:w="50" w:type="dxa"/>
              <w:left w:w="80" w:type="dxa"/>
              <w:bottom w:w="50" w:type="dxa"/>
              <w:right w:w="80" w:type="dxa"/>
            </w:tcMar>
          </w:tcPr>
          <w:p w14:paraId="5303493E" w14:textId="77777777" w:rsidR="0027270B" w:rsidRDefault="00000000">
            <w:pPr>
              <w:spacing w:after="0" w:line="260" w:lineRule="auto"/>
            </w:pPr>
            <w:r>
              <w:rPr>
                <w:rFonts w:cs="Calibri"/>
                <w:sz w:val="20"/>
                <w:szCs w:val="20"/>
              </w:rPr>
              <w:t>Cargo category</w:t>
            </w:r>
          </w:p>
        </w:tc>
        <w:tc>
          <w:tcPr>
            <w:tcW w:w="2400" w:type="dxa"/>
            <w:tcMar>
              <w:top w:w="50" w:type="dxa"/>
              <w:left w:w="80" w:type="dxa"/>
              <w:bottom w:w="50" w:type="dxa"/>
              <w:right w:w="80" w:type="dxa"/>
            </w:tcMar>
          </w:tcPr>
          <w:p w14:paraId="401DA52B" w14:textId="77777777" w:rsidR="0027270B" w:rsidRDefault="00000000">
            <w:pPr>
              <w:spacing w:after="0" w:line="260" w:lineRule="auto"/>
            </w:pPr>
            <w:r>
              <w:rPr>
                <w:rFonts w:cs="Calibri"/>
                <w:sz w:val="20"/>
                <w:szCs w:val="20"/>
              </w:rPr>
              <w:t>Catalog code</w:t>
            </w:r>
          </w:p>
        </w:tc>
        <w:tc>
          <w:tcPr>
            <w:tcW w:w="3160" w:type="dxa"/>
            <w:tcMar>
              <w:top w:w="50" w:type="dxa"/>
              <w:left w:w="80" w:type="dxa"/>
              <w:bottom w:w="50" w:type="dxa"/>
              <w:right w:w="80" w:type="dxa"/>
            </w:tcMar>
          </w:tcPr>
          <w:p w14:paraId="4C562DB3" w14:textId="77777777" w:rsidR="0027270B" w:rsidRDefault="00000000">
            <w:pPr>
              <w:spacing w:after="0" w:line="260" w:lineRule="auto"/>
            </w:pPr>
            <w:r>
              <w:rPr>
                <w:rFonts w:cs="Calibri"/>
                <w:sz w:val="20"/>
                <w:szCs w:val="20"/>
              </w:rPr>
              <w:t>Annex E categories</w:t>
            </w:r>
          </w:p>
        </w:tc>
      </w:tr>
      <w:tr w:rsidR="0027270B" w14:paraId="59FB5B3B" w14:textId="77777777">
        <w:tblPrEx>
          <w:tblCellMar>
            <w:top w:w="0" w:type="dxa"/>
            <w:bottom w:w="0" w:type="dxa"/>
          </w:tblCellMar>
        </w:tblPrEx>
        <w:tc>
          <w:tcPr>
            <w:tcW w:w="700" w:type="dxa"/>
            <w:tcMar>
              <w:top w:w="50" w:type="dxa"/>
              <w:left w:w="80" w:type="dxa"/>
              <w:bottom w:w="50" w:type="dxa"/>
              <w:right w:w="80" w:type="dxa"/>
            </w:tcMar>
          </w:tcPr>
          <w:p w14:paraId="7E07A70F" w14:textId="77777777" w:rsidR="0027270B" w:rsidRDefault="00000000">
            <w:pPr>
              <w:spacing w:after="0" w:line="260" w:lineRule="auto"/>
            </w:pPr>
            <w:r>
              <w:rPr>
                <w:rFonts w:cs="Calibri"/>
                <w:sz w:val="20"/>
                <w:szCs w:val="20"/>
              </w:rPr>
              <w:t>6</w:t>
            </w:r>
          </w:p>
        </w:tc>
        <w:tc>
          <w:tcPr>
            <w:tcW w:w="3100" w:type="dxa"/>
            <w:tcMar>
              <w:top w:w="50" w:type="dxa"/>
              <w:left w:w="80" w:type="dxa"/>
              <w:bottom w:w="50" w:type="dxa"/>
              <w:right w:w="80" w:type="dxa"/>
            </w:tcMar>
          </w:tcPr>
          <w:p w14:paraId="06A0E1F7" w14:textId="77777777" w:rsidR="0027270B" w:rsidRDefault="00000000">
            <w:pPr>
              <w:spacing w:after="0" w:line="260" w:lineRule="auto"/>
            </w:pPr>
            <w:r>
              <w:rPr>
                <w:rFonts w:cs="Calibri"/>
                <w:sz w:val="20"/>
                <w:szCs w:val="20"/>
              </w:rPr>
              <w:t>Last port of call</w:t>
            </w:r>
          </w:p>
        </w:tc>
        <w:tc>
          <w:tcPr>
            <w:tcW w:w="2400" w:type="dxa"/>
            <w:tcMar>
              <w:top w:w="50" w:type="dxa"/>
              <w:left w:w="80" w:type="dxa"/>
              <w:bottom w:w="50" w:type="dxa"/>
              <w:right w:w="80" w:type="dxa"/>
            </w:tcMar>
          </w:tcPr>
          <w:p w14:paraId="6509696A" w14:textId="77777777" w:rsidR="0027270B" w:rsidRDefault="00000000">
            <w:pPr>
              <w:spacing w:after="0" w:line="260" w:lineRule="auto"/>
            </w:pPr>
            <w:r>
              <w:rPr>
                <w:rFonts w:cs="Calibri"/>
                <w:sz w:val="20"/>
                <w:szCs w:val="20"/>
              </w:rPr>
              <w:t>UN/LOCODE</w:t>
            </w:r>
          </w:p>
        </w:tc>
        <w:tc>
          <w:tcPr>
            <w:tcW w:w="3160" w:type="dxa"/>
            <w:tcMar>
              <w:top w:w="50" w:type="dxa"/>
              <w:left w:w="80" w:type="dxa"/>
              <w:bottom w:w="50" w:type="dxa"/>
              <w:right w:w="80" w:type="dxa"/>
            </w:tcMar>
          </w:tcPr>
          <w:p w14:paraId="351DF98D" w14:textId="77777777" w:rsidR="0027270B" w:rsidRDefault="00000000">
            <w:pPr>
              <w:spacing w:after="0" w:line="260" w:lineRule="auto"/>
            </w:pPr>
            <w:r>
              <w:rPr>
                <w:rFonts w:cs="Calibri"/>
                <w:sz w:val="20"/>
                <w:szCs w:val="20"/>
              </w:rPr>
              <w:t>Departure port</w:t>
            </w:r>
          </w:p>
        </w:tc>
      </w:tr>
      <w:tr w:rsidR="0027270B" w14:paraId="6D41CBD3" w14:textId="77777777">
        <w:tblPrEx>
          <w:tblCellMar>
            <w:top w:w="0" w:type="dxa"/>
            <w:bottom w:w="0" w:type="dxa"/>
          </w:tblCellMar>
        </w:tblPrEx>
        <w:tc>
          <w:tcPr>
            <w:tcW w:w="700" w:type="dxa"/>
            <w:tcMar>
              <w:top w:w="50" w:type="dxa"/>
              <w:left w:w="80" w:type="dxa"/>
              <w:bottom w:w="50" w:type="dxa"/>
              <w:right w:w="80" w:type="dxa"/>
            </w:tcMar>
          </w:tcPr>
          <w:p w14:paraId="1AE7CB71" w14:textId="77777777" w:rsidR="0027270B" w:rsidRDefault="00000000">
            <w:pPr>
              <w:spacing w:after="0" w:line="260" w:lineRule="auto"/>
            </w:pPr>
            <w:r>
              <w:rPr>
                <w:rFonts w:cs="Calibri"/>
                <w:sz w:val="20"/>
                <w:szCs w:val="20"/>
              </w:rPr>
              <w:lastRenderedPageBreak/>
              <w:t>7</w:t>
            </w:r>
          </w:p>
        </w:tc>
        <w:tc>
          <w:tcPr>
            <w:tcW w:w="3100" w:type="dxa"/>
            <w:tcMar>
              <w:top w:w="50" w:type="dxa"/>
              <w:left w:w="80" w:type="dxa"/>
              <w:bottom w:w="50" w:type="dxa"/>
              <w:right w:w="80" w:type="dxa"/>
            </w:tcMar>
          </w:tcPr>
          <w:p w14:paraId="49745BD5" w14:textId="77777777" w:rsidR="0027270B" w:rsidRDefault="00000000">
            <w:pPr>
              <w:spacing w:after="0" w:line="260" w:lineRule="auto"/>
            </w:pPr>
            <w:r>
              <w:rPr>
                <w:rFonts w:cs="Calibri"/>
                <w:sz w:val="20"/>
                <w:szCs w:val="20"/>
              </w:rPr>
              <w:t>Next port of call</w:t>
            </w:r>
          </w:p>
        </w:tc>
        <w:tc>
          <w:tcPr>
            <w:tcW w:w="2400" w:type="dxa"/>
            <w:tcMar>
              <w:top w:w="50" w:type="dxa"/>
              <w:left w:w="80" w:type="dxa"/>
              <w:bottom w:w="50" w:type="dxa"/>
              <w:right w:w="80" w:type="dxa"/>
            </w:tcMar>
          </w:tcPr>
          <w:p w14:paraId="0FF3D38C" w14:textId="77777777" w:rsidR="0027270B" w:rsidRDefault="00000000">
            <w:pPr>
              <w:spacing w:after="0" w:line="260" w:lineRule="auto"/>
            </w:pPr>
            <w:r>
              <w:rPr>
                <w:rFonts w:cs="Calibri"/>
                <w:sz w:val="20"/>
                <w:szCs w:val="20"/>
              </w:rPr>
              <w:t>UN/LOCODE</w:t>
            </w:r>
          </w:p>
        </w:tc>
        <w:tc>
          <w:tcPr>
            <w:tcW w:w="3160" w:type="dxa"/>
            <w:tcMar>
              <w:top w:w="50" w:type="dxa"/>
              <w:left w:w="80" w:type="dxa"/>
              <w:bottom w:w="50" w:type="dxa"/>
              <w:right w:w="80" w:type="dxa"/>
            </w:tcMar>
          </w:tcPr>
          <w:p w14:paraId="18075B2F" w14:textId="77777777" w:rsidR="0027270B" w:rsidRDefault="00000000">
            <w:pPr>
              <w:spacing w:after="0" w:line="260" w:lineRule="auto"/>
            </w:pPr>
            <w:r>
              <w:rPr>
                <w:rFonts w:cs="Calibri"/>
                <w:sz w:val="20"/>
                <w:szCs w:val="20"/>
              </w:rPr>
              <w:t>Destination port</w:t>
            </w:r>
          </w:p>
        </w:tc>
      </w:tr>
      <w:tr w:rsidR="0027270B" w14:paraId="5B2D19E5" w14:textId="77777777">
        <w:tblPrEx>
          <w:tblCellMar>
            <w:top w:w="0" w:type="dxa"/>
            <w:bottom w:w="0" w:type="dxa"/>
          </w:tblCellMar>
        </w:tblPrEx>
        <w:tc>
          <w:tcPr>
            <w:tcW w:w="700" w:type="dxa"/>
            <w:tcMar>
              <w:top w:w="50" w:type="dxa"/>
              <w:left w:w="80" w:type="dxa"/>
              <w:bottom w:w="50" w:type="dxa"/>
              <w:right w:w="80" w:type="dxa"/>
            </w:tcMar>
          </w:tcPr>
          <w:p w14:paraId="10354EDF" w14:textId="77777777" w:rsidR="0027270B" w:rsidRDefault="00000000">
            <w:pPr>
              <w:spacing w:after="0" w:line="260" w:lineRule="auto"/>
            </w:pPr>
            <w:r>
              <w:rPr>
                <w:rFonts w:cs="Calibri"/>
                <w:sz w:val="20"/>
                <w:szCs w:val="20"/>
              </w:rPr>
              <w:t>8</w:t>
            </w:r>
          </w:p>
        </w:tc>
        <w:tc>
          <w:tcPr>
            <w:tcW w:w="3100" w:type="dxa"/>
            <w:tcMar>
              <w:top w:w="50" w:type="dxa"/>
              <w:left w:w="80" w:type="dxa"/>
              <w:bottom w:w="50" w:type="dxa"/>
              <w:right w:w="80" w:type="dxa"/>
            </w:tcMar>
          </w:tcPr>
          <w:p w14:paraId="681F862B" w14:textId="77777777" w:rsidR="0027270B" w:rsidRDefault="00000000">
            <w:pPr>
              <w:spacing w:after="0" w:line="260" w:lineRule="auto"/>
            </w:pPr>
            <w:r>
              <w:rPr>
                <w:rFonts w:cs="Calibri"/>
                <w:sz w:val="20"/>
                <w:szCs w:val="20"/>
              </w:rPr>
              <w:t>Intended corridor</w:t>
            </w:r>
          </w:p>
        </w:tc>
        <w:tc>
          <w:tcPr>
            <w:tcW w:w="2400" w:type="dxa"/>
            <w:tcMar>
              <w:top w:w="50" w:type="dxa"/>
              <w:left w:w="80" w:type="dxa"/>
              <w:bottom w:w="50" w:type="dxa"/>
              <w:right w:w="80" w:type="dxa"/>
            </w:tcMar>
          </w:tcPr>
          <w:p w14:paraId="1C6B1290" w14:textId="77777777" w:rsidR="0027270B" w:rsidRDefault="00000000">
            <w:pPr>
              <w:spacing w:after="0" w:line="260" w:lineRule="auto"/>
            </w:pPr>
            <w:r>
              <w:rPr>
                <w:rFonts w:cs="Calibri"/>
                <w:sz w:val="20"/>
                <w:szCs w:val="20"/>
              </w:rPr>
              <w:t>NIC or SOC</w:t>
            </w:r>
          </w:p>
        </w:tc>
        <w:tc>
          <w:tcPr>
            <w:tcW w:w="3160" w:type="dxa"/>
            <w:tcMar>
              <w:top w:w="50" w:type="dxa"/>
              <w:left w:w="80" w:type="dxa"/>
              <w:bottom w:w="50" w:type="dxa"/>
              <w:right w:w="80" w:type="dxa"/>
            </w:tcMar>
          </w:tcPr>
          <w:p w14:paraId="52B3EA37" w14:textId="77777777" w:rsidR="0027270B" w:rsidRDefault="00000000">
            <w:pPr>
              <w:spacing w:after="0" w:line="260" w:lineRule="auto"/>
            </w:pPr>
            <w:r>
              <w:rPr>
                <w:rFonts w:cs="Calibri"/>
                <w:sz w:val="20"/>
                <w:szCs w:val="20"/>
              </w:rPr>
              <w:t>Direction of transit</w:t>
            </w:r>
          </w:p>
        </w:tc>
      </w:tr>
      <w:tr w:rsidR="0027270B" w14:paraId="68C22B41" w14:textId="77777777">
        <w:tblPrEx>
          <w:tblCellMar>
            <w:top w:w="0" w:type="dxa"/>
            <w:bottom w:w="0" w:type="dxa"/>
          </w:tblCellMar>
        </w:tblPrEx>
        <w:tc>
          <w:tcPr>
            <w:tcW w:w="700" w:type="dxa"/>
            <w:tcMar>
              <w:top w:w="50" w:type="dxa"/>
              <w:left w:w="80" w:type="dxa"/>
              <w:bottom w:w="50" w:type="dxa"/>
              <w:right w:w="80" w:type="dxa"/>
            </w:tcMar>
          </w:tcPr>
          <w:p w14:paraId="6C473ED4" w14:textId="77777777" w:rsidR="0027270B" w:rsidRDefault="00000000">
            <w:pPr>
              <w:spacing w:after="0" w:line="260" w:lineRule="auto"/>
            </w:pPr>
            <w:r>
              <w:rPr>
                <w:rFonts w:cs="Calibri"/>
                <w:sz w:val="20"/>
                <w:szCs w:val="20"/>
              </w:rPr>
              <w:t>9</w:t>
            </w:r>
          </w:p>
        </w:tc>
        <w:tc>
          <w:tcPr>
            <w:tcW w:w="3100" w:type="dxa"/>
            <w:tcMar>
              <w:top w:w="50" w:type="dxa"/>
              <w:left w:w="80" w:type="dxa"/>
              <w:bottom w:w="50" w:type="dxa"/>
              <w:right w:w="80" w:type="dxa"/>
            </w:tcMar>
          </w:tcPr>
          <w:p w14:paraId="044246A7" w14:textId="77777777" w:rsidR="0027270B" w:rsidRDefault="00000000">
            <w:pPr>
              <w:spacing w:after="0" w:line="260" w:lineRule="auto"/>
            </w:pPr>
            <w:r>
              <w:rPr>
                <w:rFonts w:cs="Calibri"/>
                <w:sz w:val="20"/>
                <w:szCs w:val="20"/>
              </w:rPr>
              <w:t>Intended window</w:t>
            </w:r>
          </w:p>
        </w:tc>
        <w:tc>
          <w:tcPr>
            <w:tcW w:w="2400" w:type="dxa"/>
            <w:tcMar>
              <w:top w:w="50" w:type="dxa"/>
              <w:left w:w="80" w:type="dxa"/>
              <w:bottom w:w="50" w:type="dxa"/>
              <w:right w:w="80" w:type="dxa"/>
            </w:tcMar>
          </w:tcPr>
          <w:p w14:paraId="7D9D1D0D" w14:textId="77777777" w:rsidR="0027270B" w:rsidRDefault="00000000">
            <w:pPr>
              <w:spacing w:after="0" w:line="260" w:lineRule="auto"/>
            </w:pPr>
            <w:r>
              <w:rPr>
                <w:rFonts w:cs="Calibri"/>
                <w:sz w:val="20"/>
                <w:szCs w:val="20"/>
              </w:rPr>
              <w:t>Date and hour</w:t>
            </w:r>
          </w:p>
        </w:tc>
        <w:tc>
          <w:tcPr>
            <w:tcW w:w="3160" w:type="dxa"/>
            <w:tcMar>
              <w:top w:w="50" w:type="dxa"/>
              <w:left w:w="80" w:type="dxa"/>
              <w:bottom w:w="50" w:type="dxa"/>
              <w:right w:w="80" w:type="dxa"/>
            </w:tcMar>
          </w:tcPr>
          <w:p w14:paraId="0F707842" w14:textId="77777777" w:rsidR="0027270B" w:rsidRDefault="00000000">
            <w:pPr>
              <w:spacing w:after="0" w:line="260" w:lineRule="auto"/>
            </w:pPr>
            <w:r>
              <w:rPr>
                <w:rFonts w:cs="Calibri"/>
                <w:sz w:val="20"/>
                <w:szCs w:val="20"/>
              </w:rPr>
              <w:t>Within 72-hour filing horizon</w:t>
            </w:r>
          </w:p>
        </w:tc>
      </w:tr>
      <w:tr w:rsidR="0027270B" w14:paraId="40BDBA79" w14:textId="77777777">
        <w:tblPrEx>
          <w:tblCellMar>
            <w:top w:w="0" w:type="dxa"/>
            <w:bottom w:w="0" w:type="dxa"/>
          </w:tblCellMar>
        </w:tblPrEx>
        <w:tc>
          <w:tcPr>
            <w:tcW w:w="700" w:type="dxa"/>
            <w:tcMar>
              <w:top w:w="50" w:type="dxa"/>
              <w:left w:w="80" w:type="dxa"/>
              <w:bottom w:w="50" w:type="dxa"/>
              <w:right w:w="80" w:type="dxa"/>
            </w:tcMar>
          </w:tcPr>
          <w:p w14:paraId="7C024E0D" w14:textId="77777777" w:rsidR="0027270B" w:rsidRDefault="00000000">
            <w:pPr>
              <w:spacing w:after="0" w:line="260" w:lineRule="auto"/>
            </w:pPr>
            <w:r>
              <w:rPr>
                <w:rFonts w:cs="Calibri"/>
                <w:sz w:val="20"/>
                <w:szCs w:val="20"/>
              </w:rPr>
              <w:t>10</w:t>
            </w:r>
          </w:p>
        </w:tc>
        <w:tc>
          <w:tcPr>
            <w:tcW w:w="3100" w:type="dxa"/>
            <w:tcMar>
              <w:top w:w="50" w:type="dxa"/>
              <w:left w:w="80" w:type="dxa"/>
              <w:bottom w:w="50" w:type="dxa"/>
              <w:right w:w="80" w:type="dxa"/>
            </w:tcMar>
          </w:tcPr>
          <w:p w14:paraId="7F794912" w14:textId="77777777" w:rsidR="0027270B" w:rsidRDefault="00000000">
            <w:pPr>
              <w:spacing w:after="0" w:line="260" w:lineRule="auto"/>
            </w:pPr>
            <w:r>
              <w:rPr>
                <w:rFonts w:cs="Calibri"/>
                <w:sz w:val="20"/>
                <w:szCs w:val="20"/>
              </w:rPr>
              <w:t>Agent or operator contact</w:t>
            </w:r>
          </w:p>
        </w:tc>
        <w:tc>
          <w:tcPr>
            <w:tcW w:w="2400" w:type="dxa"/>
            <w:tcMar>
              <w:top w:w="50" w:type="dxa"/>
              <w:left w:w="80" w:type="dxa"/>
              <w:bottom w:w="50" w:type="dxa"/>
              <w:right w:w="80" w:type="dxa"/>
            </w:tcMar>
          </w:tcPr>
          <w:p w14:paraId="6AF53D95" w14:textId="77777777" w:rsidR="0027270B" w:rsidRDefault="00000000">
            <w:pPr>
              <w:spacing w:after="0" w:line="260" w:lineRule="auto"/>
            </w:pPr>
            <w:r>
              <w:rPr>
                <w:rFonts w:cs="Calibri"/>
                <w:sz w:val="20"/>
                <w:szCs w:val="20"/>
              </w:rPr>
              <w:t>Text</w:t>
            </w:r>
          </w:p>
        </w:tc>
        <w:tc>
          <w:tcPr>
            <w:tcW w:w="3160" w:type="dxa"/>
            <w:tcMar>
              <w:top w:w="50" w:type="dxa"/>
              <w:left w:w="80" w:type="dxa"/>
              <w:bottom w:w="50" w:type="dxa"/>
              <w:right w:w="80" w:type="dxa"/>
            </w:tcMar>
          </w:tcPr>
          <w:p w14:paraId="5D487BAE" w14:textId="77777777" w:rsidR="0027270B" w:rsidRDefault="00000000">
            <w:pPr>
              <w:spacing w:after="0" w:line="260" w:lineRule="auto"/>
            </w:pPr>
            <w:r>
              <w:rPr>
                <w:rFonts w:cs="Calibri"/>
                <w:sz w:val="20"/>
                <w:szCs w:val="20"/>
              </w:rPr>
              <w:t>24-hour contact</w:t>
            </w:r>
          </w:p>
        </w:tc>
      </w:tr>
      <w:tr w:rsidR="0027270B" w14:paraId="3B83150E" w14:textId="77777777">
        <w:tblPrEx>
          <w:tblCellMar>
            <w:top w:w="0" w:type="dxa"/>
            <w:bottom w:w="0" w:type="dxa"/>
          </w:tblCellMar>
        </w:tblPrEx>
        <w:tc>
          <w:tcPr>
            <w:tcW w:w="700" w:type="dxa"/>
            <w:tcMar>
              <w:top w:w="50" w:type="dxa"/>
              <w:left w:w="80" w:type="dxa"/>
              <w:bottom w:w="50" w:type="dxa"/>
              <w:right w:w="80" w:type="dxa"/>
            </w:tcMar>
          </w:tcPr>
          <w:p w14:paraId="49A77BE3" w14:textId="77777777" w:rsidR="0027270B" w:rsidRDefault="00000000">
            <w:pPr>
              <w:spacing w:after="0" w:line="260" w:lineRule="auto"/>
            </w:pPr>
            <w:r>
              <w:rPr>
                <w:rFonts w:cs="Calibri"/>
                <w:sz w:val="20"/>
                <w:szCs w:val="20"/>
              </w:rPr>
              <w:t>11</w:t>
            </w:r>
          </w:p>
        </w:tc>
        <w:tc>
          <w:tcPr>
            <w:tcW w:w="3100" w:type="dxa"/>
            <w:tcMar>
              <w:top w:w="50" w:type="dxa"/>
              <w:left w:w="80" w:type="dxa"/>
              <w:bottom w:w="50" w:type="dxa"/>
              <w:right w:w="80" w:type="dxa"/>
            </w:tcMar>
          </w:tcPr>
          <w:p w14:paraId="39489BB1" w14:textId="77777777" w:rsidR="0027270B" w:rsidRDefault="00000000">
            <w:pPr>
              <w:spacing w:after="0" w:line="260" w:lineRule="auto"/>
            </w:pPr>
            <w:r>
              <w:rPr>
                <w:rFonts w:cs="Calibri"/>
                <w:sz w:val="20"/>
                <w:szCs w:val="20"/>
              </w:rPr>
              <w:t>Hazardous material declaration</w:t>
            </w:r>
          </w:p>
        </w:tc>
        <w:tc>
          <w:tcPr>
            <w:tcW w:w="2400" w:type="dxa"/>
            <w:tcMar>
              <w:top w:w="50" w:type="dxa"/>
              <w:left w:w="80" w:type="dxa"/>
              <w:bottom w:w="50" w:type="dxa"/>
              <w:right w:w="80" w:type="dxa"/>
            </w:tcMar>
          </w:tcPr>
          <w:p w14:paraId="3189A22E" w14:textId="77777777" w:rsidR="0027270B" w:rsidRDefault="00000000">
            <w:pPr>
              <w:spacing w:after="0" w:line="260" w:lineRule="auto"/>
            </w:pPr>
            <w:r>
              <w:rPr>
                <w:rFonts w:cs="Calibri"/>
                <w:sz w:val="20"/>
                <w:szCs w:val="20"/>
              </w:rPr>
              <w:t>Yes/No plus class</w:t>
            </w:r>
          </w:p>
        </w:tc>
        <w:tc>
          <w:tcPr>
            <w:tcW w:w="3160" w:type="dxa"/>
            <w:tcMar>
              <w:top w:w="50" w:type="dxa"/>
              <w:left w:w="80" w:type="dxa"/>
              <w:bottom w:w="50" w:type="dxa"/>
              <w:right w:w="80" w:type="dxa"/>
            </w:tcMar>
          </w:tcPr>
          <w:p w14:paraId="081F8021" w14:textId="77777777" w:rsidR="0027270B" w:rsidRDefault="00000000">
            <w:pPr>
              <w:spacing w:after="0" w:line="260" w:lineRule="auto"/>
            </w:pPr>
            <w:r>
              <w:rPr>
                <w:rFonts w:cs="Calibri"/>
                <w:sz w:val="20"/>
                <w:szCs w:val="20"/>
              </w:rPr>
              <w:t>IMDG class where applicable</w:t>
            </w:r>
          </w:p>
        </w:tc>
      </w:tr>
      <w:tr w:rsidR="0027270B" w14:paraId="03AFCBAB" w14:textId="77777777">
        <w:tblPrEx>
          <w:tblCellMar>
            <w:top w:w="0" w:type="dxa"/>
            <w:bottom w:w="0" w:type="dxa"/>
          </w:tblCellMar>
        </w:tblPrEx>
        <w:tc>
          <w:tcPr>
            <w:tcW w:w="700" w:type="dxa"/>
            <w:tcMar>
              <w:top w:w="50" w:type="dxa"/>
              <w:left w:w="80" w:type="dxa"/>
              <w:bottom w:w="50" w:type="dxa"/>
              <w:right w:w="80" w:type="dxa"/>
            </w:tcMar>
          </w:tcPr>
          <w:p w14:paraId="2ECB943A" w14:textId="77777777" w:rsidR="0027270B" w:rsidRDefault="00000000">
            <w:pPr>
              <w:spacing w:after="0" w:line="260" w:lineRule="auto"/>
            </w:pPr>
            <w:r>
              <w:rPr>
                <w:rFonts w:cs="Calibri"/>
                <w:sz w:val="20"/>
                <w:szCs w:val="20"/>
              </w:rPr>
              <w:t>12</w:t>
            </w:r>
          </w:p>
        </w:tc>
        <w:tc>
          <w:tcPr>
            <w:tcW w:w="3100" w:type="dxa"/>
            <w:tcMar>
              <w:top w:w="50" w:type="dxa"/>
              <w:left w:w="80" w:type="dxa"/>
              <w:bottom w:w="50" w:type="dxa"/>
              <w:right w:w="80" w:type="dxa"/>
            </w:tcMar>
          </w:tcPr>
          <w:p w14:paraId="53023C40" w14:textId="77777777" w:rsidR="0027270B" w:rsidRDefault="00000000">
            <w:pPr>
              <w:spacing w:after="0" w:line="260" w:lineRule="auto"/>
            </w:pPr>
            <w:r>
              <w:rPr>
                <w:rFonts w:cs="Calibri"/>
                <w:sz w:val="20"/>
                <w:szCs w:val="20"/>
              </w:rPr>
              <w:t>Master certification</w:t>
            </w:r>
          </w:p>
        </w:tc>
        <w:tc>
          <w:tcPr>
            <w:tcW w:w="2400" w:type="dxa"/>
            <w:tcMar>
              <w:top w:w="50" w:type="dxa"/>
              <w:left w:w="80" w:type="dxa"/>
              <w:bottom w:w="50" w:type="dxa"/>
              <w:right w:w="80" w:type="dxa"/>
            </w:tcMar>
          </w:tcPr>
          <w:p w14:paraId="17CE5285" w14:textId="77777777" w:rsidR="0027270B" w:rsidRDefault="00000000">
            <w:pPr>
              <w:spacing w:after="0" w:line="260" w:lineRule="auto"/>
            </w:pPr>
            <w:r>
              <w:rPr>
                <w:rFonts w:cs="Calibri"/>
                <w:sz w:val="20"/>
                <w:szCs w:val="20"/>
              </w:rPr>
              <w:t>Signed declaration</w:t>
            </w:r>
          </w:p>
        </w:tc>
        <w:tc>
          <w:tcPr>
            <w:tcW w:w="3160" w:type="dxa"/>
            <w:tcMar>
              <w:top w:w="50" w:type="dxa"/>
              <w:left w:w="80" w:type="dxa"/>
              <w:bottom w:w="50" w:type="dxa"/>
              <w:right w:w="80" w:type="dxa"/>
            </w:tcMar>
          </w:tcPr>
          <w:p w14:paraId="6140880A" w14:textId="77777777" w:rsidR="0027270B" w:rsidRDefault="00000000">
            <w:pPr>
              <w:spacing w:after="0" w:line="260" w:lineRule="auto"/>
            </w:pPr>
            <w:r>
              <w:rPr>
                <w:rFonts w:cs="Calibri"/>
                <w:sz w:val="20"/>
                <w:szCs w:val="20"/>
              </w:rPr>
              <w:t>Accuracy and authority</w:t>
            </w:r>
          </w:p>
        </w:tc>
      </w:tr>
    </w:tbl>
    <w:p w14:paraId="0A24FF0B" w14:textId="77777777" w:rsidR="0027270B" w:rsidRDefault="0027270B"/>
    <w:p w14:paraId="48590B02" w14:textId="77777777" w:rsidR="0027270B" w:rsidRDefault="00000000">
      <w:r>
        <w:rPr>
          <w:rFonts w:cs="Calibri"/>
          <w:szCs w:val="21"/>
        </w:rPr>
        <w:t>B.2 Acknowledgment discipline. The corridor coordinator acknowledges within sixty minutes; the Transit Desk's service standard is fifteen minutes for ninety-five percent of Filings. Silence beyond sixty minutes constitutes acknowledgment automatically. An acknowledgment carries the corridor, the window, the convoy options, and the current advisories. It never carries a condition.</w:t>
      </w:r>
    </w:p>
    <w:p w14:paraId="1B08268B" w14:textId="77777777" w:rsidR="0027270B" w:rsidRDefault="00000000">
      <w:r>
        <w:rPr>
          <w:rFonts w:cs="Calibri"/>
          <w:szCs w:val="21"/>
        </w:rPr>
        <w:t>B.3 Automatic identification system discipline. Every vessel above 300 gross tonnage broadcasts AIS continuously inside the Governance Area: identity, position, course, speed, and destination. An AIS gap longer than fifteen minutes inside a corridor logs as a Level One anomaly under Article 49; a gap that the Joint Watch Cell cannot explain within two hours escalates one level. Warships and state vessels follow the naval notification discipline of Article 18.3 in place of AIS where their law provides.</w:t>
      </w:r>
    </w:p>
    <w:p w14:paraId="22BB5BAB" w14:textId="77777777" w:rsidR="0027270B" w:rsidRDefault="00000000">
      <w:r>
        <w:rPr>
          <w:rFonts w:cs="Calibri"/>
          <w:szCs w:val="21"/>
        </w:rPr>
        <w:t>B.4 Port-of-origin processing. Agents file on a vessel's behalf at the departure port through the portal's port interface, so the transit itself carries no paperwork. Ports that integrate the interface receive the contribution terms of Annex O and the data services of the Transit Desk. Processing at origin is a convenience, never a checkpoint: a vessel that files en route transits identically.</w:t>
      </w:r>
    </w:p>
    <w:p w14:paraId="08B8794E" w14:textId="77777777" w:rsidR="0027270B" w:rsidRDefault="00000000">
      <w:r>
        <w:rPr>
          <w:rFonts w:cs="Calibri"/>
          <w:szCs w:val="21"/>
        </w:rPr>
        <w:t>B.5 Convoy procedures. Convoy windows publish under the Blue Convoy Clock. Joining a convoy requires one action: the vessel selects the window in the portal or advises the corridor coordinator on VHF. Convoy spacing, speed, communications, and escort interface follow the tables of Annex L. A vessel outside any convoy transits its corridor independently, under the same protection, at its own window.</w:t>
      </w:r>
    </w:p>
    <w:p w14:paraId="28125212" w14:textId="77777777" w:rsidR="0027270B" w:rsidRDefault="00000000">
      <w:r>
        <w:rPr>
          <w:rFonts w:cs="Calibri"/>
          <w:szCs w:val="21"/>
        </w:rPr>
        <w:t>B.6 Speed and spacing. Recommended transit speed inside corridors: 10 to 14 knots for tankers and gas carriers, 12 to 16 knots for container and dry cargo, reduced to 8 knots in visibility below two nautical miles. Minimum spacing: 1.0 nautical mile in convoy, 0.5 nautical mile in free flow, doubled for vessels carrying hazardous cargo. Recommendations guide; they never condition passage.</w:t>
      </w:r>
    </w:p>
    <w:p w14:paraId="61E340DF" w14:textId="77777777" w:rsidR="0027270B" w:rsidRDefault="00000000">
      <w:r>
        <w:rPr>
          <w:rFonts w:cs="Calibri"/>
          <w:szCs w:val="21"/>
        </w:rPr>
        <w:t>B.7 Language and communications. Working channels: VHF 16 for distress and calling, the corridor working channel published in the Daily Strait Note for coordination, and the hotline for state-to-state deconfliction. Working language: English, with Arabic and Persian watch officers on every shift. Standard marine communication phrases apply throughout.</w:t>
      </w:r>
    </w:p>
    <w:p w14:paraId="663C9E06" w14:textId="77777777" w:rsidR="0027270B" w:rsidRDefault="00000000">
      <w:pPr>
        <w:pStyle w:val="Heading2"/>
      </w:pPr>
      <w:bookmarkStart w:id="109" w:name="_Toc237648558"/>
      <w:r>
        <w:rPr>
          <w:rFonts w:cs="Calibri"/>
          <w:szCs w:val="25"/>
        </w:rPr>
        <w:t>Annex C: The 72-Hour Blue Opening Schedule</w:t>
      </w:r>
      <w:bookmarkEnd w:id="109"/>
    </w:p>
    <w:p w14:paraId="3E87456A" w14:textId="77777777" w:rsidR="0027270B" w:rsidRDefault="00000000">
      <w:r>
        <w:rPr>
          <w:rFonts w:cs="Calibri"/>
          <w:szCs w:val="21"/>
        </w:rPr>
        <w:t>C.1 The Blue Opening Protocol executes on the following schedule. Hour 0 marks the Depositary's issue of the Certificate of Mirrored Consent. Every gate activates automatically at its hour; every packet lists its owner and its fallback. The schedule never waits on any decision.</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828"/>
        <w:gridCol w:w="1148"/>
        <w:gridCol w:w="3062"/>
        <w:gridCol w:w="1735"/>
        <w:gridCol w:w="2413"/>
      </w:tblGrid>
      <w:tr w:rsidR="0027270B" w14:paraId="45794F74" w14:textId="77777777">
        <w:tblPrEx>
          <w:tblCellMar>
            <w:top w:w="0" w:type="dxa"/>
            <w:bottom w:w="0" w:type="dxa"/>
          </w:tblCellMar>
        </w:tblPrEx>
        <w:trPr>
          <w:tblHeader/>
        </w:trPr>
        <w:tc>
          <w:tcPr>
            <w:tcW w:w="900" w:type="dxa"/>
            <w:shd w:val="clear" w:color="auto" w:fill="E8EFF4"/>
            <w:tcMar>
              <w:top w:w="60" w:type="dxa"/>
              <w:left w:w="80" w:type="dxa"/>
              <w:bottom w:w="60" w:type="dxa"/>
              <w:right w:w="80" w:type="dxa"/>
            </w:tcMar>
          </w:tcPr>
          <w:p w14:paraId="667EC94C" w14:textId="77777777" w:rsidR="0027270B" w:rsidRDefault="00000000">
            <w:pPr>
              <w:spacing w:after="0" w:line="260" w:lineRule="auto"/>
            </w:pPr>
            <w:r>
              <w:rPr>
                <w:b/>
                <w:color w:val="1B3A5C"/>
                <w:sz w:val="20"/>
              </w:rPr>
              <w:lastRenderedPageBreak/>
              <w:t>Hour</w:t>
            </w:r>
          </w:p>
        </w:tc>
        <w:tc>
          <w:tcPr>
            <w:tcW w:w="1300" w:type="dxa"/>
            <w:shd w:val="clear" w:color="auto" w:fill="E8EFF4"/>
            <w:tcMar>
              <w:top w:w="60" w:type="dxa"/>
              <w:left w:w="80" w:type="dxa"/>
              <w:bottom w:w="60" w:type="dxa"/>
              <w:right w:w="80" w:type="dxa"/>
            </w:tcMar>
          </w:tcPr>
          <w:p w14:paraId="28FD67FD" w14:textId="77777777" w:rsidR="0027270B" w:rsidRDefault="00000000">
            <w:pPr>
              <w:spacing w:after="0" w:line="260" w:lineRule="auto"/>
            </w:pPr>
            <w:r>
              <w:rPr>
                <w:b/>
                <w:color w:val="1B3A5C"/>
                <w:sz w:val="20"/>
              </w:rPr>
              <w:t>Gate</w:t>
            </w:r>
          </w:p>
        </w:tc>
        <w:tc>
          <w:tcPr>
            <w:tcW w:w="3600" w:type="dxa"/>
            <w:shd w:val="clear" w:color="auto" w:fill="E8EFF4"/>
            <w:tcMar>
              <w:top w:w="60" w:type="dxa"/>
              <w:left w:w="80" w:type="dxa"/>
              <w:bottom w:w="60" w:type="dxa"/>
              <w:right w:w="80" w:type="dxa"/>
            </w:tcMar>
          </w:tcPr>
          <w:p w14:paraId="1C8B26A9" w14:textId="77777777" w:rsidR="0027270B" w:rsidRDefault="00000000">
            <w:pPr>
              <w:spacing w:after="0" w:line="260" w:lineRule="auto"/>
            </w:pPr>
            <w:r>
              <w:rPr>
                <w:b/>
                <w:color w:val="1B3A5C"/>
                <w:sz w:val="20"/>
              </w:rPr>
              <w:t>Action</w:t>
            </w:r>
          </w:p>
        </w:tc>
        <w:tc>
          <w:tcPr>
            <w:tcW w:w="1900" w:type="dxa"/>
            <w:shd w:val="clear" w:color="auto" w:fill="E8EFF4"/>
            <w:tcMar>
              <w:top w:w="60" w:type="dxa"/>
              <w:left w:w="80" w:type="dxa"/>
              <w:bottom w:w="60" w:type="dxa"/>
              <w:right w:w="80" w:type="dxa"/>
            </w:tcMar>
          </w:tcPr>
          <w:p w14:paraId="2156DB64" w14:textId="77777777" w:rsidR="0027270B" w:rsidRDefault="00000000">
            <w:pPr>
              <w:spacing w:after="0" w:line="260" w:lineRule="auto"/>
            </w:pPr>
            <w:r>
              <w:rPr>
                <w:b/>
                <w:color w:val="1B3A5C"/>
                <w:sz w:val="20"/>
              </w:rPr>
              <w:t>Owner</w:t>
            </w:r>
          </w:p>
        </w:tc>
        <w:tc>
          <w:tcPr>
            <w:tcW w:w="2760" w:type="dxa"/>
            <w:shd w:val="clear" w:color="auto" w:fill="E8EFF4"/>
            <w:tcMar>
              <w:top w:w="60" w:type="dxa"/>
              <w:left w:w="80" w:type="dxa"/>
              <w:bottom w:w="60" w:type="dxa"/>
              <w:right w:w="80" w:type="dxa"/>
            </w:tcMar>
          </w:tcPr>
          <w:p w14:paraId="1C2B556F" w14:textId="77777777" w:rsidR="0027270B" w:rsidRDefault="00000000">
            <w:pPr>
              <w:spacing w:after="0" w:line="260" w:lineRule="auto"/>
            </w:pPr>
            <w:r>
              <w:rPr>
                <w:b/>
                <w:color w:val="1B3A5C"/>
                <w:sz w:val="20"/>
              </w:rPr>
              <w:t>Synchronized counterpart</w:t>
            </w:r>
          </w:p>
        </w:tc>
      </w:tr>
      <w:tr w:rsidR="0027270B" w14:paraId="61A24EF8" w14:textId="77777777">
        <w:tblPrEx>
          <w:tblCellMar>
            <w:top w:w="0" w:type="dxa"/>
            <w:bottom w:w="0" w:type="dxa"/>
          </w:tblCellMar>
        </w:tblPrEx>
        <w:tc>
          <w:tcPr>
            <w:tcW w:w="900" w:type="dxa"/>
            <w:tcMar>
              <w:top w:w="50" w:type="dxa"/>
              <w:left w:w="80" w:type="dxa"/>
              <w:bottom w:w="50" w:type="dxa"/>
              <w:right w:w="80" w:type="dxa"/>
            </w:tcMar>
          </w:tcPr>
          <w:p w14:paraId="59E9DD98" w14:textId="77777777" w:rsidR="0027270B" w:rsidRDefault="00000000">
            <w:pPr>
              <w:spacing w:after="0" w:line="260" w:lineRule="auto"/>
            </w:pPr>
            <w:r>
              <w:rPr>
                <w:sz w:val="20"/>
              </w:rPr>
              <w:t>H+0</w:t>
            </w:r>
          </w:p>
        </w:tc>
        <w:tc>
          <w:tcPr>
            <w:tcW w:w="1300" w:type="dxa"/>
            <w:tcMar>
              <w:top w:w="50" w:type="dxa"/>
              <w:left w:w="80" w:type="dxa"/>
              <w:bottom w:w="50" w:type="dxa"/>
              <w:right w:w="80" w:type="dxa"/>
            </w:tcMar>
          </w:tcPr>
          <w:p w14:paraId="7BE702DB" w14:textId="77777777" w:rsidR="0027270B" w:rsidRDefault="00000000">
            <w:pPr>
              <w:spacing w:after="0" w:line="260" w:lineRule="auto"/>
            </w:pPr>
            <w:r>
              <w:rPr>
                <w:sz w:val="20"/>
              </w:rPr>
              <w:t>Gate Zero</w:t>
            </w:r>
          </w:p>
        </w:tc>
        <w:tc>
          <w:tcPr>
            <w:tcW w:w="3600" w:type="dxa"/>
            <w:tcMar>
              <w:top w:w="50" w:type="dxa"/>
              <w:left w:w="80" w:type="dxa"/>
              <w:bottom w:w="50" w:type="dxa"/>
              <w:right w:w="80" w:type="dxa"/>
            </w:tcMar>
          </w:tcPr>
          <w:p w14:paraId="68658850" w14:textId="77777777" w:rsidR="0027270B" w:rsidRDefault="00000000">
            <w:pPr>
              <w:spacing w:after="0" w:line="260" w:lineRule="auto"/>
            </w:pPr>
            <w:r>
              <w:rPr>
                <w:sz w:val="20"/>
              </w:rPr>
              <w:t>Standstill freezes postures; hotline live; portals live; registered guidance publishes</w:t>
            </w:r>
          </w:p>
        </w:tc>
        <w:tc>
          <w:tcPr>
            <w:tcW w:w="1900" w:type="dxa"/>
            <w:tcMar>
              <w:top w:w="50" w:type="dxa"/>
              <w:left w:w="80" w:type="dxa"/>
              <w:bottom w:w="50" w:type="dxa"/>
              <w:right w:w="80" w:type="dxa"/>
            </w:tcMar>
          </w:tcPr>
          <w:p w14:paraId="1A2B4F8A" w14:textId="77777777" w:rsidR="0027270B" w:rsidRDefault="00000000">
            <w:pPr>
              <w:spacing w:after="0" w:line="260" w:lineRule="auto"/>
            </w:pPr>
            <w:r>
              <w:rPr>
                <w:sz w:val="20"/>
              </w:rPr>
              <w:t>Depositary; Joint Watch Floor</w:t>
            </w:r>
          </w:p>
        </w:tc>
        <w:tc>
          <w:tcPr>
            <w:tcW w:w="2760" w:type="dxa"/>
            <w:tcMar>
              <w:top w:w="50" w:type="dxa"/>
              <w:left w:w="80" w:type="dxa"/>
              <w:bottom w:w="50" w:type="dxa"/>
              <w:right w:w="80" w:type="dxa"/>
            </w:tcMar>
          </w:tcPr>
          <w:p w14:paraId="0A9718E2" w14:textId="77777777" w:rsidR="0027270B" w:rsidRDefault="00000000">
            <w:pPr>
              <w:spacing w:after="0" w:line="260" w:lineRule="auto"/>
            </w:pPr>
            <w:r>
              <w:rPr>
                <w:sz w:val="20"/>
              </w:rPr>
              <w:t>None; unilateral freeze by architecture</w:t>
            </w:r>
          </w:p>
        </w:tc>
      </w:tr>
      <w:tr w:rsidR="0027270B" w14:paraId="582E82D2" w14:textId="77777777">
        <w:tblPrEx>
          <w:tblCellMar>
            <w:top w:w="0" w:type="dxa"/>
            <w:bottom w:w="0" w:type="dxa"/>
          </w:tblCellMar>
        </w:tblPrEx>
        <w:tc>
          <w:tcPr>
            <w:tcW w:w="900" w:type="dxa"/>
            <w:tcMar>
              <w:top w:w="50" w:type="dxa"/>
              <w:left w:w="80" w:type="dxa"/>
              <w:bottom w:w="50" w:type="dxa"/>
              <w:right w:w="80" w:type="dxa"/>
            </w:tcMar>
          </w:tcPr>
          <w:p w14:paraId="2ABC7B21" w14:textId="77777777" w:rsidR="0027270B" w:rsidRDefault="00000000">
            <w:pPr>
              <w:spacing w:after="0" w:line="260" w:lineRule="auto"/>
            </w:pPr>
            <w:r>
              <w:rPr>
                <w:sz w:val="20"/>
              </w:rPr>
              <w:t>H+6</w:t>
            </w:r>
          </w:p>
        </w:tc>
        <w:tc>
          <w:tcPr>
            <w:tcW w:w="1300" w:type="dxa"/>
            <w:tcMar>
              <w:top w:w="50" w:type="dxa"/>
              <w:left w:w="80" w:type="dxa"/>
              <w:bottom w:w="50" w:type="dxa"/>
              <w:right w:w="80" w:type="dxa"/>
            </w:tcMar>
          </w:tcPr>
          <w:p w14:paraId="1BCC5E35" w14:textId="77777777" w:rsidR="0027270B" w:rsidRDefault="00000000">
            <w:pPr>
              <w:spacing w:after="0" w:line="260" w:lineRule="auto"/>
            </w:pPr>
            <w:r>
              <w:rPr>
                <w:sz w:val="20"/>
              </w:rPr>
              <w:t>Gate One</w:t>
            </w:r>
          </w:p>
        </w:tc>
        <w:tc>
          <w:tcPr>
            <w:tcW w:w="3600" w:type="dxa"/>
            <w:tcMar>
              <w:top w:w="50" w:type="dxa"/>
              <w:left w:w="80" w:type="dxa"/>
              <w:bottom w:w="50" w:type="dxa"/>
              <w:right w:w="80" w:type="dxa"/>
            </w:tcMar>
          </w:tcPr>
          <w:p w14:paraId="0A46DA18" w14:textId="77777777" w:rsidR="0027270B" w:rsidRDefault="00000000">
            <w:pPr>
              <w:spacing w:after="0" w:line="260" w:lineRule="auto"/>
            </w:pPr>
            <w:r>
              <w:rPr>
                <w:sz w:val="20"/>
              </w:rPr>
              <w:t>Humanitarian Bridge and Mariner First Bridge open; provisional guidance to flags, lines, insurers; Blue Beacon on air</w:t>
            </w:r>
          </w:p>
        </w:tc>
        <w:tc>
          <w:tcPr>
            <w:tcW w:w="1900" w:type="dxa"/>
            <w:tcMar>
              <w:top w:w="50" w:type="dxa"/>
              <w:left w:w="80" w:type="dxa"/>
              <w:bottom w:w="50" w:type="dxa"/>
              <w:right w:w="80" w:type="dxa"/>
            </w:tcMar>
          </w:tcPr>
          <w:p w14:paraId="5B297F18" w14:textId="77777777" w:rsidR="0027270B" w:rsidRDefault="00000000">
            <w:pPr>
              <w:spacing w:after="0" w:line="260" w:lineRule="auto"/>
            </w:pPr>
            <w:r>
              <w:rPr>
                <w:sz w:val="20"/>
              </w:rPr>
              <w:t>Transit Desk</w:t>
            </w:r>
          </w:p>
        </w:tc>
        <w:tc>
          <w:tcPr>
            <w:tcW w:w="2760" w:type="dxa"/>
            <w:tcMar>
              <w:top w:w="50" w:type="dxa"/>
              <w:left w:w="80" w:type="dxa"/>
              <w:bottom w:w="50" w:type="dxa"/>
              <w:right w:w="80" w:type="dxa"/>
            </w:tcMar>
          </w:tcPr>
          <w:p w14:paraId="61FD9448" w14:textId="77777777" w:rsidR="0027270B" w:rsidRDefault="00000000">
            <w:pPr>
              <w:spacing w:after="0" w:line="260" w:lineRule="auto"/>
            </w:pPr>
            <w:r>
              <w:rPr>
                <w:sz w:val="20"/>
              </w:rPr>
              <w:t>Seafarer Desk first case-list filed</w:t>
            </w:r>
          </w:p>
        </w:tc>
      </w:tr>
      <w:tr w:rsidR="0027270B" w14:paraId="575A1771" w14:textId="77777777">
        <w:tblPrEx>
          <w:tblCellMar>
            <w:top w:w="0" w:type="dxa"/>
            <w:bottom w:w="0" w:type="dxa"/>
          </w:tblCellMar>
        </w:tblPrEx>
        <w:tc>
          <w:tcPr>
            <w:tcW w:w="900" w:type="dxa"/>
            <w:tcMar>
              <w:top w:w="50" w:type="dxa"/>
              <w:left w:w="80" w:type="dxa"/>
              <w:bottom w:w="50" w:type="dxa"/>
              <w:right w:w="80" w:type="dxa"/>
            </w:tcMar>
          </w:tcPr>
          <w:p w14:paraId="0B5D8503" w14:textId="77777777" w:rsidR="0027270B" w:rsidRDefault="00000000">
            <w:pPr>
              <w:spacing w:after="0" w:line="260" w:lineRule="auto"/>
            </w:pPr>
            <w:r>
              <w:rPr>
                <w:sz w:val="20"/>
              </w:rPr>
              <w:t>H+12</w:t>
            </w:r>
          </w:p>
        </w:tc>
        <w:tc>
          <w:tcPr>
            <w:tcW w:w="1300" w:type="dxa"/>
            <w:tcMar>
              <w:top w:w="50" w:type="dxa"/>
              <w:left w:w="80" w:type="dxa"/>
              <w:bottom w:w="50" w:type="dxa"/>
              <w:right w:w="80" w:type="dxa"/>
            </w:tcMar>
          </w:tcPr>
          <w:p w14:paraId="1DC48BF3" w14:textId="77777777" w:rsidR="0027270B" w:rsidRDefault="00000000">
            <w:pPr>
              <w:spacing w:after="0" w:line="260" w:lineRule="auto"/>
            </w:pPr>
            <w:r>
              <w:rPr>
                <w:sz w:val="20"/>
              </w:rPr>
              <w:t>Gate Two</w:t>
            </w:r>
          </w:p>
        </w:tc>
        <w:tc>
          <w:tcPr>
            <w:tcW w:w="3600" w:type="dxa"/>
            <w:tcMar>
              <w:top w:w="50" w:type="dxa"/>
              <w:left w:w="80" w:type="dxa"/>
              <w:bottom w:w="50" w:type="dxa"/>
              <w:right w:w="80" w:type="dxa"/>
            </w:tcMar>
          </w:tcPr>
          <w:p w14:paraId="1839A42C" w14:textId="77777777" w:rsidR="0027270B" w:rsidRDefault="00000000">
            <w:pPr>
              <w:spacing w:after="0" w:line="260" w:lineRule="auto"/>
            </w:pPr>
            <w:r>
              <w:rPr>
                <w:sz w:val="20"/>
              </w:rPr>
              <w:t>Joint Watch Floor and Mirror Floor convene; Registry logging begins; first convoy windows publish</w:t>
            </w:r>
          </w:p>
        </w:tc>
        <w:tc>
          <w:tcPr>
            <w:tcW w:w="1900" w:type="dxa"/>
            <w:tcMar>
              <w:top w:w="50" w:type="dxa"/>
              <w:left w:w="80" w:type="dxa"/>
              <w:bottom w:w="50" w:type="dxa"/>
              <w:right w:w="80" w:type="dxa"/>
            </w:tcMar>
          </w:tcPr>
          <w:p w14:paraId="765BFCFB" w14:textId="77777777" w:rsidR="0027270B" w:rsidRDefault="00000000">
            <w:pPr>
              <w:spacing w:after="0" w:line="260" w:lineRule="auto"/>
            </w:pPr>
            <w:r>
              <w:rPr>
                <w:sz w:val="20"/>
              </w:rPr>
              <w:t>Corridor coordinators</w:t>
            </w:r>
          </w:p>
        </w:tc>
        <w:tc>
          <w:tcPr>
            <w:tcW w:w="2760" w:type="dxa"/>
            <w:tcMar>
              <w:top w:w="50" w:type="dxa"/>
              <w:left w:w="80" w:type="dxa"/>
              <w:bottom w:w="50" w:type="dxa"/>
              <w:right w:w="80" w:type="dxa"/>
            </w:tcMar>
          </w:tcPr>
          <w:p w14:paraId="42051096" w14:textId="77777777" w:rsidR="0027270B" w:rsidRDefault="00000000">
            <w:pPr>
              <w:spacing w:after="0" w:line="260" w:lineRule="auto"/>
            </w:pPr>
            <w:r>
              <w:rPr>
                <w:sz w:val="20"/>
              </w:rPr>
              <w:t>Umbrella escort schedule confirms</w:t>
            </w:r>
          </w:p>
        </w:tc>
      </w:tr>
      <w:tr w:rsidR="0027270B" w14:paraId="5B5D8A21" w14:textId="77777777">
        <w:tblPrEx>
          <w:tblCellMar>
            <w:top w:w="0" w:type="dxa"/>
            <w:bottom w:w="0" w:type="dxa"/>
          </w:tblCellMar>
        </w:tblPrEx>
        <w:tc>
          <w:tcPr>
            <w:tcW w:w="900" w:type="dxa"/>
            <w:tcMar>
              <w:top w:w="50" w:type="dxa"/>
              <w:left w:w="80" w:type="dxa"/>
              <w:bottom w:w="50" w:type="dxa"/>
              <w:right w:w="80" w:type="dxa"/>
            </w:tcMar>
          </w:tcPr>
          <w:p w14:paraId="364238CC" w14:textId="77777777" w:rsidR="0027270B" w:rsidRDefault="00000000">
            <w:pPr>
              <w:spacing w:after="0" w:line="260" w:lineRule="auto"/>
            </w:pPr>
            <w:r>
              <w:rPr>
                <w:sz w:val="20"/>
              </w:rPr>
              <w:t>H+24</w:t>
            </w:r>
          </w:p>
        </w:tc>
        <w:tc>
          <w:tcPr>
            <w:tcW w:w="1300" w:type="dxa"/>
            <w:tcMar>
              <w:top w:w="50" w:type="dxa"/>
              <w:left w:w="80" w:type="dxa"/>
              <w:bottom w:w="50" w:type="dxa"/>
              <w:right w:w="80" w:type="dxa"/>
            </w:tcMar>
          </w:tcPr>
          <w:p w14:paraId="2589AF6C" w14:textId="77777777" w:rsidR="0027270B" w:rsidRDefault="00000000">
            <w:pPr>
              <w:spacing w:after="0" w:line="260" w:lineRule="auto"/>
            </w:pPr>
            <w:r>
              <w:rPr>
                <w:sz w:val="20"/>
              </w:rPr>
              <w:t>Gate Three</w:t>
            </w:r>
          </w:p>
        </w:tc>
        <w:tc>
          <w:tcPr>
            <w:tcW w:w="3600" w:type="dxa"/>
            <w:tcMar>
              <w:top w:w="50" w:type="dxa"/>
              <w:left w:w="80" w:type="dxa"/>
              <w:bottom w:w="50" w:type="dxa"/>
              <w:right w:w="80" w:type="dxa"/>
            </w:tcMar>
          </w:tcPr>
          <w:p w14:paraId="2E1B7663" w14:textId="77777777" w:rsidR="0027270B" w:rsidRDefault="00000000">
            <w:pPr>
              <w:spacing w:after="0" w:line="260" w:lineRule="auto"/>
            </w:pPr>
            <w:r>
              <w:rPr>
                <w:sz w:val="20"/>
              </w:rPr>
              <w:t>Southern Outbound Corridor activates; first escorted outbound convoy transits</w:t>
            </w:r>
          </w:p>
        </w:tc>
        <w:tc>
          <w:tcPr>
            <w:tcW w:w="1900" w:type="dxa"/>
            <w:tcMar>
              <w:top w:w="50" w:type="dxa"/>
              <w:left w:w="80" w:type="dxa"/>
              <w:bottom w:w="50" w:type="dxa"/>
              <w:right w:w="80" w:type="dxa"/>
            </w:tcMar>
          </w:tcPr>
          <w:p w14:paraId="6E99779F" w14:textId="77777777" w:rsidR="0027270B" w:rsidRDefault="00000000">
            <w:pPr>
              <w:spacing w:after="0" w:line="260" w:lineRule="auto"/>
            </w:pPr>
            <w:r>
              <w:rPr>
                <w:sz w:val="20"/>
              </w:rPr>
              <w:t>Oman coordinator; Umbrella</w:t>
            </w:r>
          </w:p>
        </w:tc>
        <w:tc>
          <w:tcPr>
            <w:tcW w:w="2760" w:type="dxa"/>
            <w:tcMar>
              <w:top w:w="50" w:type="dxa"/>
              <w:left w:w="80" w:type="dxa"/>
              <w:bottom w:w="50" w:type="dxa"/>
              <w:right w:w="80" w:type="dxa"/>
            </w:tcMar>
          </w:tcPr>
          <w:p w14:paraId="108F0FCB" w14:textId="77777777" w:rsidR="0027270B" w:rsidRDefault="00000000">
            <w:pPr>
              <w:spacing w:after="0" w:line="260" w:lineRule="auto"/>
            </w:pPr>
            <w:r>
              <w:rPr>
                <w:sz w:val="20"/>
              </w:rPr>
              <w:t>United States lifts interdiction of commercial traffic to and from Iranian ports (Pair One)</w:t>
            </w:r>
          </w:p>
        </w:tc>
      </w:tr>
      <w:tr w:rsidR="0027270B" w14:paraId="15A08F22" w14:textId="77777777">
        <w:tblPrEx>
          <w:tblCellMar>
            <w:top w:w="0" w:type="dxa"/>
            <w:bottom w:w="0" w:type="dxa"/>
          </w:tblCellMar>
        </w:tblPrEx>
        <w:tc>
          <w:tcPr>
            <w:tcW w:w="900" w:type="dxa"/>
            <w:tcMar>
              <w:top w:w="50" w:type="dxa"/>
              <w:left w:w="80" w:type="dxa"/>
              <w:bottom w:w="50" w:type="dxa"/>
              <w:right w:w="80" w:type="dxa"/>
            </w:tcMar>
          </w:tcPr>
          <w:p w14:paraId="2E88F459" w14:textId="77777777" w:rsidR="0027270B" w:rsidRDefault="00000000">
            <w:pPr>
              <w:spacing w:after="0" w:line="260" w:lineRule="auto"/>
            </w:pPr>
            <w:r>
              <w:rPr>
                <w:sz w:val="20"/>
              </w:rPr>
              <w:t>H+36</w:t>
            </w:r>
          </w:p>
        </w:tc>
        <w:tc>
          <w:tcPr>
            <w:tcW w:w="1300" w:type="dxa"/>
            <w:tcMar>
              <w:top w:w="50" w:type="dxa"/>
              <w:left w:w="80" w:type="dxa"/>
              <w:bottom w:w="50" w:type="dxa"/>
              <w:right w:w="80" w:type="dxa"/>
            </w:tcMar>
          </w:tcPr>
          <w:p w14:paraId="5712C46F" w14:textId="77777777" w:rsidR="0027270B" w:rsidRDefault="00000000">
            <w:pPr>
              <w:spacing w:after="0" w:line="260" w:lineRule="auto"/>
            </w:pPr>
            <w:r>
              <w:rPr>
                <w:sz w:val="20"/>
              </w:rPr>
              <w:t>Gate Four</w:t>
            </w:r>
          </w:p>
        </w:tc>
        <w:tc>
          <w:tcPr>
            <w:tcW w:w="3600" w:type="dxa"/>
            <w:tcMar>
              <w:top w:w="50" w:type="dxa"/>
              <w:left w:w="80" w:type="dxa"/>
              <w:bottom w:w="50" w:type="dxa"/>
              <w:right w:w="80" w:type="dxa"/>
            </w:tcMar>
          </w:tcPr>
          <w:p w14:paraId="0606C8D2" w14:textId="77777777" w:rsidR="0027270B" w:rsidRDefault="00000000">
            <w:pPr>
              <w:spacing w:after="0" w:line="260" w:lineRule="auto"/>
            </w:pPr>
            <w:r>
              <w:rPr>
                <w:sz w:val="20"/>
              </w:rPr>
              <w:t>Northern Inbound Corridor activates; file-and-acknowledge live for all traffic; first inbound convoy transits</w:t>
            </w:r>
          </w:p>
        </w:tc>
        <w:tc>
          <w:tcPr>
            <w:tcW w:w="1900" w:type="dxa"/>
            <w:tcMar>
              <w:top w:w="50" w:type="dxa"/>
              <w:left w:w="80" w:type="dxa"/>
              <w:bottom w:w="50" w:type="dxa"/>
              <w:right w:w="80" w:type="dxa"/>
            </w:tcMar>
          </w:tcPr>
          <w:p w14:paraId="4D52C262" w14:textId="77777777" w:rsidR="0027270B" w:rsidRDefault="00000000">
            <w:pPr>
              <w:spacing w:after="0" w:line="260" w:lineRule="auto"/>
            </w:pPr>
            <w:r>
              <w:rPr>
                <w:sz w:val="20"/>
              </w:rPr>
              <w:t>Iran coordinator</w:t>
            </w:r>
          </w:p>
        </w:tc>
        <w:tc>
          <w:tcPr>
            <w:tcW w:w="2760" w:type="dxa"/>
            <w:tcMar>
              <w:top w:w="50" w:type="dxa"/>
              <w:left w:w="80" w:type="dxa"/>
              <w:bottom w:w="50" w:type="dxa"/>
              <w:right w:w="80" w:type="dxa"/>
            </w:tcMar>
          </w:tcPr>
          <w:p w14:paraId="7AF7F5E0" w14:textId="77777777" w:rsidR="0027270B" w:rsidRDefault="00000000">
            <w:pPr>
              <w:spacing w:after="0" w:line="260" w:lineRule="auto"/>
            </w:pPr>
            <w:r>
              <w:rPr>
                <w:sz w:val="20"/>
              </w:rPr>
              <w:t>Mirror visibility feed to Iran live for outbound lane</w:t>
            </w:r>
          </w:p>
        </w:tc>
      </w:tr>
      <w:tr w:rsidR="0027270B" w14:paraId="01295481" w14:textId="77777777">
        <w:tblPrEx>
          <w:tblCellMar>
            <w:top w:w="0" w:type="dxa"/>
            <w:bottom w:w="0" w:type="dxa"/>
          </w:tblCellMar>
        </w:tblPrEx>
        <w:tc>
          <w:tcPr>
            <w:tcW w:w="900" w:type="dxa"/>
            <w:tcMar>
              <w:top w:w="50" w:type="dxa"/>
              <w:left w:w="80" w:type="dxa"/>
              <w:bottom w:w="50" w:type="dxa"/>
              <w:right w:w="80" w:type="dxa"/>
            </w:tcMar>
          </w:tcPr>
          <w:p w14:paraId="4B9FCF76" w14:textId="77777777" w:rsidR="0027270B" w:rsidRDefault="00000000">
            <w:pPr>
              <w:spacing w:after="0" w:line="260" w:lineRule="auto"/>
            </w:pPr>
            <w:r>
              <w:rPr>
                <w:sz w:val="20"/>
              </w:rPr>
              <w:t>H+48</w:t>
            </w:r>
          </w:p>
        </w:tc>
        <w:tc>
          <w:tcPr>
            <w:tcW w:w="1300" w:type="dxa"/>
            <w:tcMar>
              <w:top w:w="50" w:type="dxa"/>
              <w:left w:w="80" w:type="dxa"/>
              <w:bottom w:w="50" w:type="dxa"/>
              <w:right w:w="80" w:type="dxa"/>
            </w:tcMar>
          </w:tcPr>
          <w:p w14:paraId="4CE6BFFA" w14:textId="77777777" w:rsidR="0027270B" w:rsidRDefault="00000000">
            <w:pPr>
              <w:spacing w:after="0" w:line="260" w:lineRule="auto"/>
            </w:pPr>
            <w:r>
              <w:rPr>
                <w:sz w:val="20"/>
              </w:rPr>
              <w:t>Gate Five</w:t>
            </w:r>
          </w:p>
        </w:tc>
        <w:tc>
          <w:tcPr>
            <w:tcW w:w="3600" w:type="dxa"/>
            <w:tcMar>
              <w:top w:w="50" w:type="dxa"/>
              <w:left w:w="80" w:type="dxa"/>
              <w:bottom w:w="50" w:type="dxa"/>
              <w:right w:w="80" w:type="dxa"/>
            </w:tcMar>
          </w:tcPr>
          <w:p w14:paraId="4B5FB90E" w14:textId="77777777" w:rsidR="0027270B" w:rsidRDefault="00000000">
            <w:pPr>
              <w:spacing w:after="0" w:line="260" w:lineRule="auto"/>
            </w:pPr>
            <w:r>
              <w:rPr>
                <w:sz w:val="20"/>
              </w:rPr>
              <w:t>Central Blue Buffer activates for emergency routing; Joint Survey Group deploys to median lane; provisional Blue Flag data to insurers</w:t>
            </w:r>
          </w:p>
        </w:tc>
        <w:tc>
          <w:tcPr>
            <w:tcW w:w="1900" w:type="dxa"/>
            <w:tcMar>
              <w:top w:w="50" w:type="dxa"/>
              <w:left w:w="80" w:type="dxa"/>
              <w:bottom w:w="50" w:type="dxa"/>
              <w:right w:w="80" w:type="dxa"/>
            </w:tcMar>
          </w:tcPr>
          <w:p w14:paraId="324B22C2" w14:textId="77777777" w:rsidR="0027270B" w:rsidRDefault="00000000">
            <w:pPr>
              <w:spacing w:after="0" w:line="260" w:lineRule="auto"/>
            </w:pPr>
            <w:r>
              <w:rPr>
                <w:sz w:val="20"/>
              </w:rPr>
              <w:t>Joint teams; Neutral Watch Office</w:t>
            </w:r>
          </w:p>
        </w:tc>
        <w:tc>
          <w:tcPr>
            <w:tcW w:w="2760" w:type="dxa"/>
            <w:tcMar>
              <w:top w:w="50" w:type="dxa"/>
              <w:left w:w="80" w:type="dxa"/>
              <w:bottom w:w="50" w:type="dxa"/>
              <w:right w:w="80" w:type="dxa"/>
            </w:tcMar>
          </w:tcPr>
          <w:p w14:paraId="078129B2" w14:textId="77777777" w:rsidR="0027270B" w:rsidRDefault="00000000">
            <w:pPr>
              <w:spacing w:after="0" w:line="260" w:lineRule="auto"/>
            </w:pPr>
            <w:r>
              <w:rPr>
                <w:sz w:val="20"/>
              </w:rPr>
              <w:t>Survey support assets from technical participants arrive</w:t>
            </w:r>
          </w:p>
        </w:tc>
      </w:tr>
      <w:tr w:rsidR="0027270B" w14:paraId="6DBF347E" w14:textId="77777777">
        <w:tblPrEx>
          <w:tblCellMar>
            <w:top w:w="0" w:type="dxa"/>
            <w:bottom w:w="0" w:type="dxa"/>
          </w:tblCellMar>
        </w:tblPrEx>
        <w:tc>
          <w:tcPr>
            <w:tcW w:w="900" w:type="dxa"/>
            <w:tcMar>
              <w:top w:w="50" w:type="dxa"/>
              <w:left w:w="80" w:type="dxa"/>
              <w:bottom w:w="50" w:type="dxa"/>
              <w:right w:w="80" w:type="dxa"/>
            </w:tcMar>
          </w:tcPr>
          <w:p w14:paraId="299B8D3D" w14:textId="77777777" w:rsidR="0027270B" w:rsidRDefault="00000000">
            <w:pPr>
              <w:spacing w:after="0" w:line="260" w:lineRule="auto"/>
            </w:pPr>
            <w:r>
              <w:rPr>
                <w:sz w:val="20"/>
              </w:rPr>
              <w:t>H+60</w:t>
            </w:r>
          </w:p>
        </w:tc>
        <w:tc>
          <w:tcPr>
            <w:tcW w:w="1300" w:type="dxa"/>
            <w:tcMar>
              <w:top w:w="50" w:type="dxa"/>
              <w:left w:w="80" w:type="dxa"/>
              <w:bottom w:w="50" w:type="dxa"/>
              <w:right w:w="80" w:type="dxa"/>
            </w:tcMar>
          </w:tcPr>
          <w:p w14:paraId="4F8635BA" w14:textId="77777777" w:rsidR="0027270B" w:rsidRDefault="00000000">
            <w:pPr>
              <w:spacing w:after="0" w:line="260" w:lineRule="auto"/>
            </w:pPr>
            <w:r>
              <w:rPr>
                <w:sz w:val="20"/>
              </w:rPr>
              <w:t>Gate Six</w:t>
            </w:r>
          </w:p>
        </w:tc>
        <w:tc>
          <w:tcPr>
            <w:tcW w:w="3600" w:type="dxa"/>
            <w:tcMar>
              <w:top w:w="50" w:type="dxa"/>
              <w:left w:w="80" w:type="dxa"/>
              <w:bottom w:w="50" w:type="dxa"/>
              <w:right w:w="80" w:type="dxa"/>
            </w:tcMar>
          </w:tcPr>
          <w:p w14:paraId="6AC7FA5F" w14:textId="77777777" w:rsidR="0027270B" w:rsidRDefault="00000000">
            <w:pPr>
              <w:spacing w:after="0" w:line="260" w:lineRule="auto"/>
            </w:pPr>
            <w:r>
              <w:rPr>
                <w:sz w:val="20"/>
              </w:rPr>
              <w:t>First synchronized convoy pair completes two-way transit; Incident Desk opens; Corridor Emergency Override armed</w:t>
            </w:r>
          </w:p>
        </w:tc>
        <w:tc>
          <w:tcPr>
            <w:tcW w:w="1900" w:type="dxa"/>
            <w:tcMar>
              <w:top w:w="50" w:type="dxa"/>
              <w:left w:w="80" w:type="dxa"/>
              <w:bottom w:w="50" w:type="dxa"/>
              <w:right w:w="80" w:type="dxa"/>
            </w:tcMar>
          </w:tcPr>
          <w:p w14:paraId="14DCEFEC" w14:textId="77777777" w:rsidR="0027270B" w:rsidRDefault="00000000">
            <w:pPr>
              <w:spacing w:after="0" w:line="260" w:lineRule="auto"/>
            </w:pPr>
            <w:r>
              <w:rPr>
                <w:sz w:val="20"/>
              </w:rPr>
              <w:t>Transit Desk; Council</w:t>
            </w:r>
          </w:p>
        </w:tc>
        <w:tc>
          <w:tcPr>
            <w:tcW w:w="2760" w:type="dxa"/>
            <w:tcMar>
              <w:top w:w="50" w:type="dxa"/>
              <w:left w:w="80" w:type="dxa"/>
              <w:bottom w:w="50" w:type="dxa"/>
              <w:right w:w="80" w:type="dxa"/>
            </w:tcMar>
          </w:tcPr>
          <w:p w14:paraId="7AECE94D" w14:textId="77777777" w:rsidR="0027270B" w:rsidRDefault="00000000">
            <w:pPr>
              <w:spacing w:after="0" w:line="260" w:lineRule="auto"/>
            </w:pPr>
            <w:r>
              <w:rPr>
                <w:sz w:val="20"/>
              </w:rPr>
              <w:t>First Daily Strait Note issues to all subscribers</w:t>
            </w:r>
          </w:p>
        </w:tc>
      </w:tr>
      <w:tr w:rsidR="0027270B" w14:paraId="5262DBCA" w14:textId="77777777">
        <w:tblPrEx>
          <w:tblCellMar>
            <w:top w:w="0" w:type="dxa"/>
            <w:bottom w:w="0" w:type="dxa"/>
          </w:tblCellMar>
        </w:tblPrEx>
        <w:tc>
          <w:tcPr>
            <w:tcW w:w="900" w:type="dxa"/>
            <w:tcMar>
              <w:top w:w="50" w:type="dxa"/>
              <w:left w:w="80" w:type="dxa"/>
              <w:bottom w:w="50" w:type="dxa"/>
              <w:right w:w="80" w:type="dxa"/>
            </w:tcMar>
          </w:tcPr>
          <w:p w14:paraId="5B4DB9FC" w14:textId="77777777" w:rsidR="0027270B" w:rsidRDefault="00000000">
            <w:pPr>
              <w:spacing w:after="0" w:line="260" w:lineRule="auto"/>
            </w:pPr>
            <w:r>
              <w:rPr>
                <w:sz w:val="20"/>
              </w:rPr>
              <w:t>H+72</w:t>
            </w:r>
          </w:p>
        </w:tc>
        <w:tc>
          <w:tcPr>
            <w:tcW w:w="1300" w:type="dxa"/>
            <w:tcMar>
              <w:top w:w="50" w:type="dxa"/>
              <w:left w:w="80" w:type="dxa"/>
              <w:bottom w:w="50" w:type="dxa"/>
              <w:right w:w="80" w:type="dxa"/>
            </w:tcMar>
          </w:tcPr>
          <w:p w14:paraId="4FE4EE42" w14:textId="77777777" w:rsidR="0027270B" w:rsidRDefault="00000000">
            <w:pPr>
              <w:spacing w:after="0" w:line="260" w:lineRule="auto"/>
            </w:pPr>
            <w:r>
              <w:rPr>
                <w:sz w:val="20"/>
              </w:rPr>
              <w:t>Gate Seven</w:t>
            </w:r>
          </w:p>
        </w:tc>
        <w:tc>
          <w:tcPr>
            <w:tcW w:w="3600" w:type="dxa"/>
            <w:tcMar>
              <w:top w:w="50" w:type="dxa"/>
              <w:left w:w="80" w:type="dxa"/>
              <w:bottom w:w="50" w:type="dxa"/>
              <w:right w:w="80" w:type="dxa"/>
            </w:tcMar>
          </w:tcPr>
          <w:p w14:paraId="1C954188" w14:textId="77777777" w:rsidR="0027270B" w:rsidRDefault="00000000">
            <w:pPr>
              <w:spacing w:after="0" w:line="260" w:lineRule="auto"/>
            </w:pPr>
            <w:r>
              <w:rPr>
                <w:sz w:val="20"/>
              </w:rPr>
              <w:t>Neutral Watch Office certifies Blue Opening; Depositary declares Strait open; IMO and IHO notified; Layers Zero and One lock</w:t>
            </w:r>
          </w:p>
        </w:tc>
        <w:tc>
          <w:tcPr>
            <w:tcW w:w="1900" w:type="dxa"/>
            <w:tcMar>
              <w:top w:w="50" w:type="dxa"/>
              <w:left w:w="80" w:type="dxa"/>
              <w:bottom w:w="50" w:type="dxa"/>
              <w:right w:w="80" w:type="dxa"/>
            </w:tcMar>
          </w:tcPr>
          <w:p w14:paraId="24FFB2EF" w14:textId="77777777" w:rsidR="0027270B" w:rsidRDefault="00000000">
            <w:pPr>
              <w:spacing w:after="0" w:line="260" w:lineRule="auto"/>
            </w:pPr>
            <w:r>
              <w:rPr>
                <w:sz w:val="20"/>
              </w:rPr>
              <w:t>Neutral Watch Office; Depositary</w:t>
            </w:r>
          </w:p>
        </w:tc>
        <w:tc>
          <w:tcPr>
            <w:tcW w:w="2760" w:type="dxa"/>
            <w:tcMar>
              <w:top w:w="50" w:type="dxa"/>
              <w:left w:w="80" w:type="dxa"/>
              <w:bottom w:w="50" w:type="dxa"/>
              <w:right w:w="80" w:type="dxa"/>
            </w:tcMar>
          </w:tcPr>
          <w:p w14:paraId="00803AF8" w14:textId="77777777" w:rsidR="0027270B" w:rsidRDefault="00000000">
            <w:pPr>
              <w:spacing w:after="0" w:line="260" w:lineRule="auto"/>
            </w:pPr>
            <w:r>
              <w:rPr>
                <w:sz w:val="20"/>
              </w:rPr>
              <w:t>Declaration in three languages; press note in seven</w:t>
            </w:r>
          </w:p>
        </w:tc>
      </w:tr>
    </w:tbl>
    <w:p w14:paraId="3596A7DB" w14:textId="77777777" w:rsidR="0027270B" w:rsidRDefault="0027270B"/>
    <w:p w14:paraId="6FB248D5" w14:textId="77777777" w:rsidR="0027270B" w:rsidRDefault="00000000">
      <w:r>
        <w:t>C.2 Pre-staged activation packets. Before signature, the Secretariat assembles: the drafted notices for every gate, in the three languages; the personnel rosters for both floors, with travel and accommodation pre-booked; the tested data links and registry nodes; the first fourteen days of convoy windows; the survey group's deployment orders; and the insurer data pack. Every packet carries a fallback: a substitute team, a mirror system, or a reserve channel, so that no single failure delays any gate.</w:t>
      </w:r>
    </w:p>
    <w:p w14:paraId="25A11023" w14:textId="77777777" w:rsidR="0027270B" w:rsidRDefault="00000000">
      <w:r>
        <w:t>C.3 Fallback rule. A gate that meets a technical obstruction activates its fallback packet within the same hour and logs the activation. A gate that meets a political obstruction continues regardless, under the quarantine rules of Articles 6 and 57, and logs the obstruction for the Council. The schedule bends for physics; it never bends for politics.</w:t>
      </w:r>
    </w:p>
    <w:p w14:paraId="2EF4D2D3" w14:textId="77777777" w:rsidR="0027270B" w:rsidRDefault="00000000">
      <w:r>
        <w:t xml:space="preserve">C.4 Certification standard. Gate Seven certification requires: every prior gate logged complete or on fallback; hotline answer standard met on every test since Hour 0; both corridors' first convoys completed; </w:t>
      </w:r>
      <w:r>
        <w:lastRenderedPageBreak/>
        <w:t>the Registry logging without a gap over fifteen minutes; and no unresolved Level Four anomaly. The Neutral Watch Office certifies against this standard and nothing else, and its certificate publishes with the evidence annexed.</w:t>
      </w:r>
    </w:p>
    <w:p w14:paraId="0148C6C4" w14:textId="77777777" w:rsidR="0027270B" w:rsidRDefault="00000000">
      <w:pPr>
        <w:pStyle w:val="Heading2"/>
      </w:pPr>
      <w:bookmarkStart w:id="110" w:name="_Toc237648559"/>
      <w:r>
        <w:t>Annex D: The Graduated Layer Gate Schedule and Master Timeline</w:t>
      </w:r>
      <w:bookmarkEnd w:id="110"/>
    </w:p>
    <w:p w14:paraId="5FFE0612" w14:textId="77777777" w:rsidR="0027270B" w:rsidRDefault="00000000">
      <w:r>
        <w:t>D.1 Master timeline. The following schedule governs the framework's first ninety days. Dates count from Blue Opening (Day 0). The Emergency Acceleration Clause of Article 27.3 compresses intervals by up to fifty percent on joint certification; metrics never compress.</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822"/>
        <w:gridCol w:w="1190"/>
        <w:gridCol w:w="3078"/>
        <w:gridCol w:w="1578"/>
        <w:gridCol w:w="2518"/>
      </w:tblGrid>
      <w:tr w:rsidR="0027270B" w14:paraId="028B3BD2" w14:textId="77777777">
        <w:tblPrEx>
          <w:tblCellMar>
            <w:top w:w="0" w:type="dxa"/>
            <w:bottom w:w="0" w:type="dxa"/>
          </w:tblCellMar>
        </w:tblPrEx>
        <w:trPr>
          <w:tblHeader/>
        </w:trPr>
        <w:tc>
          <w:tcPr>
            <w:tcW w:w="1000" w:type="dxa"/>
            <w:shd w:val="clear" w:color="auto" w:fill="E8EFF4"/>
            <w:tcMar>
              <w:top w:w="60" w:type="dxa"/>
              <w:left w:w="80" w:type="dxa"/>
              <w:bottom w:w="60" w:type="dxa"/>
              <w:right w:w="80" w:type="dxa"/>
            </w:tcMar>
          </w:tcPr>
          <w:p w14:paraId="2F3BDB93" w14:textId="77777777" w:rsidR="0027270B" w:rsidRDefault="00000000">
            <w:pPr>
              <w:spacing w:after="0" w:line="260" w:lineRule="auto"/>
            </w:pPr>
            <w:r>
              <w:rPr>
                <w:b/>
                <w:color w:val="1B3A5C"/>
                <w:sz w:val="20"/>
              </w:rPr>
              <w:t>Day</w:t>
            </w:r>
          </w:p>
        </w:tc>
        <w:tc>
          <w:tcPr>
            <w:tcW w:w="1300" w:type="dxa"/>
            <w:shd w:val="clear" w:color="auto" w:fill="E8EFF4"/>
            <w:tcMar>
              <w:top w:w="60" w:type="dxa"/>
              <w:left w:w="80" w:type="dxa"/>
              <w:bottom w:w="60" w:type="dxa"/>
              <w:right w:w="80" w:type="dxa"/>
            </w:tcMar>
          </w:tcPr>
          <w:p w14:paraId="26635F16" w14:textId="77777777" w:rsidR="0027270B" w:rsidRDefault="00000000">
            <w:pPr>
              <w:spacing w:after="0" w:line="260" w:lineRule="auto"/>
            </w:pPr>
            <w:r>
              <w:rPr>
                <w:b/>
                <w:color w:val="1B3A5C"/>
                <w:sz w:val="20"/>
              </w:rPr>
              <w:t>Gate</w:t>
            </w:r>
          </w:p>
        </w:tc>
        <w:tc>
          <w:tcPr>
            <w:tcW w:w="4000" w:type="dxa"/>
            <w:shd w:val="clear" w:color="auto" w:fill="E8EFF4"/>
            <w:tcMar>
              <w:top w:w="60" w:type="dxa"/>
              <w:left w:w="80" w:type="dxa"/>
              <w:bottom w:w="60" w:type="dxa"/>
              <w:right w:w="80" w:type="dxa"/>
            </w:tcMar>
          </w:tcPr>
          <w:p w14:paraId="4D4389CF" w14:textId="77777777" w:rsidR="0027270B" w:rsidRDefault="00000000">
            <w:pPr>
              <w:spacing w:after="0" w:line="260" w:lineRule="auto"/>
            </w:pPr>
            <w:r>
              <w:rPr>
                <w:b/>
                <w:color w:val="1B3A5C"/>
                <w:sz w:val="20"/>
              </w:rPr>
              <w:t>Event</w:t>
            </w:r>
          </w:p>
        </w:tc>
        <w:tc>
          <w:tcPr>
            <w:tcW w:w="1900" w:type="dxa"/>
            <w:shd w:val="clear" w:color="auto" w:fill="E8EFF4"/>
            <w:tcMar>
              <w:top w:w="60" w:type="dxa"/>
              <w:left w:w="80" w:type="dxa"/>
              <w:bottom w:w="60" w:type="dxa"/>
              <w:right w:w="80" w:type="dxa"/>
            </w:tcMar>
          </w:tcPr>
          <w:p w14:paraId="330ABA98" w14:textId="77777777" w:rsidR="0027270B" w:rsidRDefault="00000000">
            <w:pPr>
              <w:spacing w:after="0" w:line="260" w:lineRule="auto"/>
            </w:pPr>
            <w:r>
              <w:rPr>
                <w:b/>
                <w:color w:val="1B3A5C"/>
                <w:sz w:val="20"/>
              </w:rPr>
              <w:t>Layer</w:t>
            </w:r>
          </w:p>
        </w:tc>
        <w:tc>
          <w:tcPr>
            <w:tcW w:w="3160" w:type="dxa"/>
            <w:shd w:val="clear" w:color="auto" w:fill="E8EFF4"/>
            <w:tcMar>
              <w:top w:w="60" w:type="dxa"/>
              <w:left w:w="80" w:type="dxa"/>
              <w:bottom w:w="60" w:type="dxa"/>
              <w:right w:w="80" w:type="dxa"/>
            </w:tcMar>
          </w:tcPr>
          <w:p w14:paraId="3DA51E61" w14:textId="77777777" w:rsidR="0027270B" w:rsidRDefault="00000000">
            <w:pPr>
              <w:spacing w:after="0" w:line="260" w:lineRule="auto"/>
            </w:pPr>
            <w:r>
              <w:rPr>
                <w:b/>
                <w:color w:val="1B3A5C"/>
                <w:sz w:val="20"/>
              </w:rPr>
              <w:t>Synchronized pairing</w:t>
            </w:r>
          </w:p>
        </w:tc>
      </w:tr>
      <w:tr w:rsidR="0027270B" w14:paraId="595CBE1C" w14:textId="77777777">
        <w:tblPrEx>
          <w:tblCellMar>
            <w:top w:w="0" w:type="dxa"/>
            <w:bottom w:w="0" w:type="dxa"/>
          </w:tblCellMar>
        </w:tblPrEx>
        <w:tc>
          <w:tcPr>
            <w:tcW w:w="1000" w:type="dxa"/>
            <w:tcMar>
              <w:top w:w="50" w:type="dxa"/>
              <w:left w:w="80" w:type="dxa"/>
              <w:bottom w:w="50" w:type="dxa"/>
              <w:right w:w="80" w:type="dxa"/>
            </w:tcMar>
          </w:tcPr>
          <w:p w14:paraId="32828CD4" w14:textId="77777777" w:rsidR="0027270B" w:rsidRDefault="00000000">
            <w:pPr>
              <w:spacing w:after="0" w:line="260" w:lineRule="auto"/>
            </w:pPr>
            <w:r>
              <w:rPr>
                <w:sz w:val="20"/>
              </w:rPr>
              <w:t>Day 0</w:t>
            </w:r>
          </w:p>
        </w:tc>
        <w:tc>
          <w:tcPr>
            <w:tcW w:w="1300" w:type="dxa"/>
            <w:tcMar>
              <w:top w:w="50" w:type="dxa"/>
              <w:left w:w="80" w:type="dxa"/>
              <w:bottom w:w="50" w:type="dxa"/>
              <w:right w:w="80" w:type="dxa"/>
            </w:tcMar>
          </w:tcPr>
          <w:p w14:paraId="55617AEE" w14:textId="77777777" w:rsidR="0027270B" w:rsidRDefault="00000000">
            <w:pPr>
              <w:spacing w:after="0" w:line="260" w:lineRule="auto"/>
            </w:pPr>
            <w:r>
              <w:rPr>
                <w:sz w:val="20"/>
              </w:rPr>
              <w:t>BOP-72</w:t>
            </w:r>
          </w:p>
        </w:tc>
        <w:tc>
          <w:tcPr>
            <w:tcW w:w="4000" w:type="dxa"/>
            <w:tcMar>
              <w:top w:w="50" w:type="dxa"/>
              <w:left w:w="80" w:type="dxa"/>
              <w:bottom w:w="50" w:type="dxa"/>
              <w:right w:w="80" w:type="dxa"/>
            </w:tcMar>
          </w:tcPr>
          <w:p w14:paraId="17B5EC1B" w14:textId="77777777" w:rsidR="0027270B" w:rsidRDefault="00000000">
            <w:pPr>
              <w:spacing w:after="0" w:line="260" w:lineRule="auto"/>
            </w:pPr>
            <w:r>
              <w:rPr>
                <w:sz w:val="20"/>
              </w:rPr>
              <w:t>Blue Opening Protocol executes; Strait opens by Hour 72</w:t>
            </w:r>
          </w:p>
        </w:tc>
        <w:tc>
          <w:tcPr>
            <w:tcW w:w="1900" w:type="dxa"/>
            <w:tcMar>
              <w:top w:w="50" w:type="dxa"/>
              <w:left w:w="80" w:type="dxa"/>
              <w:bottom w:w="50" w:type="dxa"/>
              <w:right w:w="80" w:type="dxa"/>
            </w:tcMar>
          </w:tcPr>
          <w:p w14:paraId="392F9403" w14:textId="77777777" w:rsidR="0027270B" w:rsidRDefault="00000000">
            <w:pPr>
              <w:spacing w:after="0" w:line="260" w:lineRule="auto"/>
            </w:pPr>
            <w:r>
              <w:rPr>
                <w:sz w:val="20"/>
              </w:rPr>
              <w:t>Layers 0 and 1 activate</w:t>
            </w:r>
          </w:p>
        </w:tc>
        <w:tc>
          <w:tcPr>
            <w:tcW w:w="3160" w:type="dxa"/>
            <w:tcMar>
              <w:top w:w="50" w:type="dxa"/>
              <w:left w:w="80" w:type="dxa"/>
              <w:bottom w:w="50" w:type="dxa"/>
              <w:right w:w="80" w:type="dxa"/>
            </w:tcMar>
          </w:tcPr>
          <w:p w14:paraId="714E0683" w14:textId="77777777" w:rsidR="0027270B" w:rsidRDefault="00000000">
            <w:pPr>
              <w:spacing w:after="0" w:line="260" w:lineRule="auto"/>
            </w:pPr>
            <w:r>
              <w:rPr>
                <w:sz w:val="20"/>
              </w:rPr>
              <w:t>Pair One executes at Hour 24</w:t>
            </w:r>
          </w:p>
        </w:tc>
      </w:tr>
      <w:tr w:rsidR="0027270B" w14:paraId="58746186" w14:textId="77777777">
        <w:tblPrEx>
          <w:tblCellMar>
            <w:top w:w="0" w:type="dxa"/>
            <w:bottom w:w="0" w:type="dxa"/>
          </w:tblCellMar>
        </w:tblPrEx>
        <w:tc>
          <w:tcPr>
            <w:tcW w:w="1000" w:type="dxa"/>
            <w:tcMar>
              <w:top w:w="50" w:type="dxa"/>
              <w:left w:w="80" w:type="dxa"/>
              <w:bottom w:w="50" w:type="dxa"/>
              <w:right w:w="80" w:type="dxa"/>
            </w:tcMar>
          </w:tcPr>
          <w:p w14:paraId="55F60F03" w14:textId="77777777" w:rsidR="0027270B" w:rsidRDefault="00000000">
            <w:pPr>
              <w:spacing w:after="0" w:line="260" w:lineRule="auto"/>
            </w:pPr>
            <w:r>
              <w:rPr>
                <w:sz w:val="20"/>
              </w:rPr>
              <w:t>Day 7</w:t>
            </w:r>
          </w:p>
        </w:tc>
        <w:tc>
          <w:tcPr>
            <w:tcW w:w="1300" w:type="dxa"/>
            <w:tcMar>
              <w:top w:w="50" w:type="dxa"/>
              <w:left w:w="80" w:type="dxa"/>
              <w:bottom w:w="50" w:type="dxa"/>
              <w:right w:w="80" w:type="dxa"/>
            </w:tcMar>
          </w:tcPr>
          <w:p w14:paraId="5BAAD3EF" w14:textId="77777777" w:rsidR="0027270B" w:rsidRDefault="00000000">
            <w:pPr>
              <w:spacing w:after="0" w:line="260" w:lineRule="auto"/>
            </w:pPr>
            <w:r>
              <w:rPr>
                <w:sz w:val="20"/>
              </w:rPr>
              <w:t>Review</w:t>
            </w:r>
          </w:p>
        </w:tc>
        <w:tc>
          <w:tcPr>
            <w:tcW w:w="4000" w:type="dxa"/>
            <w:tcMar>
              <w:top w:w="50" w:type="dxa"/>
              <w:left w:w="80" w:type="dxa"/>
              <w:bottom w:w="50" w:type="dxa"/>
              <w:right w:w="80" w:type="dxa"/>
            </w:tcMar>
          </w:tcPr>
          <w:p w14:paraId="43915C9A" w14:textId="77777777" w:rsidR="0027270B" w:rsidRDefault="00000000">
            <w:pPr>
              <w:spacing w:after="0" w:line="260" w:lineRule="auto"/>
            </w:pPr>
            <w:r>
              <w:rPr>
                <w:sz w:val="20"/>
              </w:rPr>
              <w:t>First week review: convoy, filing, hotline, incident baselines published</w:t>
            </w:r>
          </w:p>
        </w:tc>
        <w:tc>
          <w:tcPr>
            <w:tcW w:w="1900" w:type="dxa"/>
            <w:tcMar>
              <w:top w:w="50" w:type="dxa"/>
              <w:left w:w="80" w:type="dxa"/>
              <w:bottom w:w="50" w:type="dxa"/>
              <w:right w:w="80" w:type="dxa"/>
            </w:tcMar>
          </w:tcPr>
          <w:p w14:paraId="3A9A658C" w14:textId="77777777" w:rsidR="0027270B" w:rsidRDefault="00000000">
            <w:pPr>
              <w:spacing w:after="0" w:line="260" w:lineRule="auto"/>
            </w:pPr>
            <w:r>
              <w:rPr>
                <w:sz w:val="20"/>
              </w:rPr>
              <w:t>Layer 1 operating</w:t>
            </w:r>
          </w:p>
        </w:tc>
        <w:tc>
          <w:tcPr>
            <w:tcW w:w="3160" w:type="dxa"/>
            <w:tcMar>
              <w:top w:w="50" w:type="dxa"/>
              <w:left w:w="80" w:type="dxa"/>
              <w:bottom w:w="50" w:type="dxa"/>
              <w:right w:w="80" w:type="dxa"/>
            </w:tcMar>
          </w:tcPr>
          <w:p w14:paraId="50369163" w14:textId="77777777" w:rsidR="0027270B" w:rsidRDefault="00000000">
            <w:pPr>
              <w:spacing w:after="0" w:line="260" w:lineRule="auto"/>
            </w:pPr>
            <w:r>
              <w:rPr>
                <w:sz w:val="20"/>
              </w:rPr>
              <w:t>None</w:t>
            </w:r>
          </w:p>
        </w:tc>
      </w:tr>
      <w:tr w:rsidR="0027270B" w14:paraId="03BE81D7" w14:textId="77777777">
        <w:tblPrEx>
          <w:tblCellMar>
            <w:top w:w="0" w:type="dxa"/>
            <w:bottom w:w="0" w:type="dxa"/>
          </w:tblCellMar>
        </w:tblPrEx>
        <w:tc>
          <w:tcPr>
            <w:tcW w:w="1000" w:type="dxa"/>
            <w:tcMar>
              <w:top w:w="50" w:type="dxa"/>
              <w:left w:w="80" w:type="dxa"/>
              <w:bottom w:w="50" w:type="dxa"/>
              <w:right w:w="80" w:type="dxa"/>
            </w:tcMar>
          </w:tcPr>
          <w:p w14:paraId="03CE345D" w14:textId="77777777" w:rsidR="0027270B" w:rsidRDefault="00000000">
            <w:pPr>
              <w:spacing w:after="0" w:line="260" w:lineRule="auto"/>
            </w:pPr>
            <w:r>
              <w:rPr>
                <w:sz w:val="20"/>
              </w:rPr>
              <w:t>Day 14</w:t>
            </w:r>
          </w:p>
        </w:tc>
        <w:tc>
          <w:tcPr>
            <w:tcW w:w="1300" w:type="dxa"/>
            <w:tcMar>
              <w:top w:w="50" w:type="dxa"/>
              <w:left w:w="80" w:type="dxa"/>
              <w:bottom w:w="50" w:type="dxa"/>
              <w:right w:w="80" w:type="dxa"/>
            </w:tcMar>
          </w:tcPr>
          <w:p w14:paraId="18BB8FBB" w14:textId="77777777" w:rsidR="0027270B" w:rsidRDefault="00000000">
            <w:pPr>
              <w:spacing w:after="0" w:line="260" w:lineRule="auto"/>
            </w:pPr>
            <w:r>
              <w:rPr>
                <w:sz w:val="20"/>
              </w:rPr>
              <w:t>Gate One</w:t>
            </w:r>
          </w:p>
        </w:tc>
        <w:tc>
          <w:tcPr>
            <w:tcW w:w="4000" w:type="dxa"/>
            <w:tcMar>
              <w:top w:w="50" w:type="dxa"/>
              <w:left w:w="80" w:type="dxa"/>
              <w:bottom w:w="50" w:type="dxa"/>
              <w:right w:w="80" w:type="dxa"/>
            </w:tcMar>
          </w:tcPr>
          <w:p w14:paraId="6E85B865" w14:textId="77777777" w:rsidR="0027270B" w:rsidRDefault="00000000">
            <w:pPr>
              <w:spacing w:after="0" w:line="260" w:lineRule="auto"/>
            </w:pPr>
            <w:r>
              <w:rPr>
                <w:sz w:val="20"/>
              </w:rPr>
              <w:t>First Stability Audit certifies opening metrics</w:t>
            </w:r>
          </w:p>
        </w:tc>
        <w:tc>
          <w:tcPr>
            <w:tcW w:w="1900" w:type="dxa"/>
            <w:tcMar>
              <w:top w:w="50" w:type="dxa"/>
              <w:left w:w="80" w:type="dxa"/>
              <w:bottom w:w="50" w:type="dxa"/>
              <w:right w:w="80" w:type="dxa"/>
            </w:tcMar>
          </w:tcPr>
          <w:p w14:paraId="1AFFF520" w14:textId="77777777" w:rsidR="0027270B" w:rsidRDefault="00000000">
            <w:pPr>
              <w:spacing w:after="0" w:line="260" w:lineRule="auto"/>
            </w:pPr>
            <w:r>
              <w:rPr>
                <w:sz w:val="20"/>
              </w:rPr>
              <w:t>Layer 1 proven</w:t>
            </w:r>
          </w:p>
        </w:tc>
        <w:tc>
          <w:tcPr>
            <w:tcW w:w="3160" w:type="dxa"/>
            <w:tcMar>
              <w:top w:w="50" w:type="dxa"/>
              <w:left w:w="80" w:type="dxa"/>
              <w:bottom w:w="50" w:type="dxa"/>
              <w:right w:w="80" w:type="dxa"/>
            </w:tcMar>
          </w:tcPr>
          <w:p w14:paraId="686B9EF8" w14:textId="77777777" w:rsidR="0027270B" w:rsidRDefault="00000000">
            <w:pPr>
              <w:spacing w:after="0" w:line="260" w:lineRule="auto"/>
            </w:pPr>
            <w:r>
              <w:rPr>
                <w:sz w:val="20"/>
              </w:rPr>
              <w:t>Pair Two: normalized port-call treatment at Iranian and Omani ports</w:t>
            </w:r>
          </w:p>
        </w:tc>
      </w:tr>
      <w:tr w:rsidR="0027270B" w14:paraId="09CA6BC0" w14:textId="77777777">
        <w:tblPrEx>
          <w:tblCellMar>
            <w:top w:w="0" w:type="dxa"/>
            <w:bottom w:w="0" w:type="dxa"/>
          </w:tblCellMar>
        </w:tblPrEx>
        <w:tc>
          <w:tcPr>
            <w:tcW w:w="1000" w:type="dxa"/>
            <w:tcMar>
              <w:top w:w="50" w:type="dxa"/>
              <w:left w:w="80" w:type="dxa"/>
              <w:bottom w:w="50" w:type="dxa"/>
              <w:right w:w="80" w:type="dxa"/>
            </w:tcMar>
          </w:tcPr>
          <w:p w14:paraId="3E87BE3E" w14:textId="77777777" w:rsidR="0027270B" w:rsidRDefault="00000000">
            <w:pPr>
              <w:spacing w:after="0" w:line="260" w:lineRule="auto"/>
            </w:pPr>
            <w:r>
              <w:rPr>
                <w:sz w:val="20"/>
              </w:rPr>
              <w:t>Day 21</w:t>
            </w:r>
          </w:p>
        </w:tc>
        <w:tc>
          <w:tcPr>
            <w:tcW w:w="1300" w:type="dxa"/>
            <w:tcMar>
              <w:top w:w="50" w:type="dxa"/>
              <w:left w:w="80" w:type="dxa"/>
              <w:bottom w:w="50" w:type="dxa"/>
              <w:right w:w="80" w:type="dxa"/>
            </w:tcMar>
          </w:tcPr>
          <w:p w14:paraId="789A1FA5" w14:textId="77777777" w:rsidR="0027270B" w:rsidRDefault="00000000">
            <w:pPr>
              <w:spacing w:after="0" w:line="260" w:lineRule="auto"/>
            </w:pPr>
            <w:r>
              <w:rPr>
                <w:sz w:val="20"/>
              </w:rPr>
              <w:t>Milestone</w:t>
            </w:r>
          </w:p>
        </w:tc>
        <w:tc>
          <w:tcPr>
            <w:tcW w:w="4000" w:type="dxa"/>
            <w:tcMar>
              <w:top w:w="50" w:type="dxa"/>
              <w:left w:w="80" w:type="dxa"/>
              <w:bottom w:w="50" w:type="dxa"/>
              <w:right w:w="80" w:type="dxa"/>
            </w:tcMar>
          </w:tcPr>
          <w:p w14:paraId="4BBCF5F3" w14:textId="77777777" w:rsidR="0027270B" w:rsidRDefault="00000000">
            <w:pPr>
              <w:spacing w:after="0" w:line="260" w:lineRule="auto"/>
            </w:pPr>
            <w:r>
              <w:rPr>
                <w:sz w:val="20"/>
              </w:rPr>
              <w:t>Convoy windows double as traffic rebuilds; insurer provisional pricing beds in</w:t>
            </w:r>
          </w:p>
        </w:tc>
        <w:tc>
          <w:tcPr>
            <w:tcW w:w="1900" w:type="dxa"/>
            <w:tcMar>
              <w:top w:w="50" w:type="dxa"/>
              <w:left w:w="80" w:type="dxa"/>
              <w:bottom w:w="50" w:type="dxa"/>
              <w:right w:w="80" w:type="dxa"/>
            </w:tcMar>
          </w:tcPr>
          <w:p w14:paraId="2B34529B" w14:textId="77777777" w:rsidR="0027270B" w:rsidRDefault="00000000">
            <w:pPr>
              <w:spacing w:after="0" w:line="260" w:lineRule="auto"/>
            </w:pPr>
            <w:r>
              <w:rPr>
                <w:sz w:val="20"/>
              </w:rPr>
              <w:t>Layer 1 operating</w:t>
            </w:r>
          </w:p>
        </w:tc>
        <w:tc>
          <w:tcPr>
            <w:tcW w:w="3160" w:type="dxa"/>
            <w:tcMar>
              <w:top w:w="50" w:type="dxa"/>
              <w:left w:w="80" w:type="dxa"/>
              <w:bottom w:w="50" w:type="dxa"/>
              <w:right w:w="80" w:type="dxa"/>
            </w:tcMar>
          </w:tcPr>
          <w:p w14:paraId="1151CA4B" w14:textId="77777777" w:rsidR="0027270B" w:rsidRDefault="00000000">
            <w:pPr>
              <w:spacing w:after="0" w:line="260" w:lineRule="auto"/>
            </w:pPr>
            <w:r>
              <w:rPr>
                <w:sz w:val="20"/>
              </w:rPr>
              <w:t>None</w:t>
            </w:r>
          </w:p>
        </w:tc>
      </w:tr>
      <w:tr w:rsidR="0027270B" w14:paraId="7EFB1FE6" w14:textId="77777777">
        <w:tblPrEx>
          <w:tblCellMar>
            <w:top w:w="0" w:type="dxa"/>
            <w:bottom w:w="0" w:type="dxa"/>
          </w:tblCellMar>
        </w:tblPrEx>
        <w:tc>
          <w:tcPr>
            <w:tcW w:w="1000" w:type="dxa"/>
            <w:tcMar>
              <w:top w:w="50" w:type="dxa"/>
              <w:left w:w="80" w:type="dxa"/>
              <w:bottom w:w="50" w:type="dxa"/>
              <w:right w:w="80" w:type="dxa"/>
            </w:tcMar>
          </w:tcPr>
          <w:p w14:paraId="359469AF" w14:textId="77777777" w:rsidR="0027270B" w:rsidRDefault="00000000">
            <w:pPr>
              <w:spacing w:after="0" w:line="260" w:lineRule="auto"/>
            </w:pPr>
            <w:r>
              <w:rPr>
                <w:sz w:val="20"/>
              </w:rPr>
              <w:t>Day 30</w:t>
            </w:r>
          </w:p>
        </w:tc>
        <w:tc>
          <w:tcPr>
            <w:tcW w:w="1300" w:type="dxa"/>
            <w:tcMar>
              <w:top w:w="50" w:type="dxa"/>
              <w:left w:w="80" w:type="dxa"/>
              <w:bottom w:w="50" w:type="dxa"/>
              <w:right w:w="80" w:type="dxa"/>
            </w:tcMar>
          </w:tcPr>
          <w:p w14:paraId="19A73C9D" w14:textId="77777777" w:rsidR="0027270B" w:rsidRDefault="00000000">
            <w:pPr>
              <w:spacing w:after="0" w:line="260" w:lineRule="auto"/>
            </w:pPr>
            <w:r>
              <w:rPr>
                <w:sz w:val="20"/>
              </w:rPr>
              <w:t>Gate Two</w:t>
            </w:r>
          </w:p>
        </w:tc>
        <w:tc>
          <w:tcPr>
            <w:tcW w:w="4000" w:type="dxa"/>
            <w:tcMar>
              <w:top w:w="50" w:type="dxa"/>
              <w:left w:w="80" w:type="dxa"/>
              <w:bottom w:w="50" w:type="dxa"/>
              <w:right w:w="80" w:type="dxa"/>
            </w:tcMar>
          </w:tcPr>
          <w:p w14:paraId="3FCD04F0" w14:textId="77777777" w:rsidR="0027270B" w:rsidRDefault="00000000">
            <w:pPr>
              <w:spacing w:after="0" w:line="260" w:lineRule="auto"/>
            </w:pPr>
            <w:r>
              <w:rPr>
                <w:sz w:val="20"/>
              </w:rPr>
              <w:t>Median lane survey and clearance complete and certified; Second Stability Audit; Central Blue Buffer converts to two-way medium-draft lane</w:t>
            </w:r>
          </w:p>
        </w:tc>
        <w:tc>
          <w:tcPr>
            <w:tcW w:w="1900" w:type="dxa"/>
            <w:tcMar>
              <w:top w:w="50" w:type="dxa"/>
              <w:left w:w="80" w:type="dxa"/>
              <w:bottom w:w="50" w:type="dxa"/>
              <w:right w:w="80" w:type="dxa"/>
            </w:tcMar>
          </w:tcPr>
          <w:p w14:paraId="374343FA" w14:textId="77777777" w:rsidR="0027270B" w:rsidRDefault="00000000">
            <w:pPr>
              <w:spacing w:after="0" w:line="260" w:lineRule="auto"/>
            </w:pPr>
            <w:r>
              <w:rPr>
                <w:sz w:val="20"/>
              </w:rPr>
              <w:t>Layer 1 complete</w:t>
            </w:r>
          </w:p>
        </w:tc>
        <w:tc>
          <w:tcPr>
            <w:tcW w:w="3160" w:type="dxa"/>
            <w:tcMar>
              <w:top w:w="50" w:type="dxa"/>
              <w:left w:w="80" w:type="dxa"/>
              <w:bottom w:w="50" w:type="dxa"/>
              <w:right w:w="80" w:type="dxa"/>
            </w:tcMar>
          </w:tcPr>
          <w:p w14:paraId="2A93B107" w14:textId="77777777" w:rsidR="0027270B" w:rsidRDefault="00000000">
            <w:pPr>
              <w:spacing w:after="0" w:line="260" w:lineRule="auto"/>
            </w:pPr>
            <w:r>
              <w:rPr>
                <w:sz w:val="20"/>
              </w:rPr>
              <w:t>Pair Three: blockade drawdown completes for commercial traffic</w:t>
            </w:r>
          </w:p>
        </w:tc>
      </w:tr>
      <w:tr w:rsidR="0027270B" w14:paraId="40A42FD4" w14:textId="77777777">
        <w:tblPrEx>
          <w:tblCellMar>
            <w:top w:w="0" w:type="dxa"/>
            <w:bottom w:w="0" w:type="dxa"/>
          </w:tblCellMar>
        </w:tblPrEx>
        <w:tc>
          <w:tcPr>
            <w:tcW w:w="1000" w:type="dxa"/>
            <w:tcMar>
              <w:top w:w="50" w:type="dxa"/>
              <w:left w:w="80" w:type="dxa"/>
              <w:bottom w:w="50" w:type="dxa"/>
              <w:right w:w="80" w:type="dxa"/>
            </w:tcMar>
          </w:tcPr>
          <w:p w14:paraId="0303A9E7" w14:textId="77777777" w:rsidR="0027270B" w:rsidRDefault="00000000">
            <w:pPr>
              <w:spacing w:after="0" w:line="260" w:lineRule="auto"/>
            </w:pPr>
            <w:r>
              <w:rPr>
                <w:sz w:val="20"/>
              </w:rPr>
              <w:t>Day 45</w:t>
            </w:r>
          </w:p>
        </w:tc>
        <w:tc>
          <w:tcPr>
            <w:tcW w:w="1300" w:type="dxa"/>
            <w:tcMar>
              <w:top w:w="50" w:type="dxa"/>
              <w:left w:w="80" w:type="dxa"/>
              <w:bottom w:w="50" w:type="dxa"/>
              <w:right w:w="80" w:type="dxa"/>
            </w:tcMar>
          </w:tcPr>
          <w:p w14:paraId="3E99B366" w14:textId="77777777" w:rsidR="0027270B" w:rsidRDefault="00000000">
            <w:pPr>
              <w:spacing w:after="0" w:line="260" w:lineRule="auto"/>
            </w:pPr>
            <w:r>
              <w:rPr>
                <w:sz w:val="20"/>
              </w:rPr>
              <w:t>Gate Three</w:t>
            </w:r>
          </w:p>
        </w:tc>
        <w:tc>
          <w:tcPr>
            <w:tcW w:w="4000" w:type="dxa"/>
            <w:tcMar>
              <w:top w:w="50" w:type="dxa"/>
              <w:left w:w="80" w:type="dxa"/>
              <w:bottom w:w="50" w:type="dxa"/>
              <w:right w:w="80" w:type="dxa"/>
            </w:tcMar>
          </w:tcPr>
          <w:p w14:paraId="2984178A" w14:textId="77777777" w:rsidR="0027270B" w:rsidRDefault="00000000">
            <w:pPr>
              <w:spacing w:after="0" w:line="260" w:lineRule="auto"/>
            </w:pPr>
            <w:r>
              <w:rPr>
                <w:sz w:val="20"/>
              </w:rPr>
              <w:t>Layer Three preparation: claims, challenges, audit cycle, and portals at full depth; escort density halves</w:t>
            </w:r>
          </w:p>
        </w:tc>
        <w:tc>
          <w:tcPr>
            <w:tcW w:w="1900" w:type="dxa"/>
            <w:tcMar>
              <w:top w:w="50" w:type="dxa"/>
              <w:left w:w="80" w:type="dxa"/>
              <w:bottom w:w="50" w:type="dxa"/>
              <w:right w:w="80" w:type="dxa"/>
            </w:tcMar>
          </w:tcPr>
          <w:p w14:paraId="4B87DE8D" w14:textId="77777777" w:rsidR="0027270B" w:rsidRDefault="00000000">
            <w:pPr>
              <w:spacing w:after="0" w:line="260" w:lineRule="auto"/>
            </w:pPr>
            <w:r>
              <w:rPr>
                <w:sz w:val="20"/>
              </w:rPr>
              <w:t>Layer 3 preparing</w:t>
            </w:r>
          </w:p>
        </w:tc>
        <w:tc>
          <w:tcPr>
            <w:tcW w:w="3160" w:type="dxa"/>
            <w:tcMar>
              <w:top w:w="50" w:type="dxa"/>
              <w:left w:w="80" w:type="dxa"/>
              <w:bottom w:w="50" w:type="dxa"/>
              <w:right w:w="80" w:type="dxa"/>
            </w:tcMar>
          </w:tcPr>
          <w:p w14:paraId="3671A3C3" w14:textId="77777777" w:rsidR="0027270B" w:rsidRDefault="00000000">
            <w:pPr>
              <w:spacing w:after="0" w:line="260" w:lineRule="auto"/>
            </w:pPr>
            <w:r>
              <w:rPr>
                <w:sz w:val="20"/>
              </w:rPr>
              <w:t>None</w:t>
            </w:r>
          </w:p>
        </w:tc>
      </w:tr>
      <w:tr w:rsidR="0027270B" w14:paraId="082AA507" w14:textId="77777777">
        <w:tblPrEx>
          <w:tblCellMar>
            <w:top w:w="0" w:type="dxa"/>
            <w:bottom w:w="0" w:type="dxa"/>
          </w:tblCellMar>
        </w:tblPrEx>
        <w:tc>
          <w:tcPr>
            <w:tcW w:w="1000" w:type="dxa"/>
            <w:tcMar>
              <w:top w:w="50" w:type="dxa"/>
              <w:left w:w="80" w:type="dxa"/>
              <w:bottom w:w="50" w:type="dxa"/>
              <w:right w:w="80" w:type="dxa"/>
            </w:tcMar>
          </w:tcPr>
          <w:p w14:paraId="75CBB67F" w14:textId="77777777" w:rsidR="0027270B" w:rsidRDefault="00000000">
            <w:pPr>
              <w:spacing w:after="0" w:line="260" w:lineRule="auto"/>
            </w:pPr>
            <w:r>
              <w:rPr>
                <w:sz w:val="20"/>
              </w:rPr>
              <w:t>Day 60</w:t>
            </w:r>
          </w:p>
        </w:tc>
        <w:tc>
          <w:tcPr>
            <w:tcW w:w="1300" w:type="dxa"/>
            <w:tcMar>
              <w:top w:w="50" w:type="dxa"/>
              <w:left w:w="80" w:type="dxa"/>
              <w:bottom w:w="50" w:type="dxa"/>
              <w:right w:w="80" w:type="dxa"/>
            </w:tcMar>
          </w:tcPr>
          <w:p w14:paraId="23252837" w14:textId="77777777" w:rsidR="0027270B" w:rsidRDefault="00000000">
            <w:pPr>
              <w:spacing w:after="0" w:line="260" w:lineRule="auto"/>
            </w:pPr>
            <w:r>
              <w:rPr>
                <w:sz w:val="20"/>
              </w:rPr>
              <w:t>Gate Four</w:t>
            </w:r>
          </w:p>
        </w:tc>
        <w:tc>
          <w:tcPr>
            <w:tcW w:w="4000" w:type="dxa"/>
            <w:tcMar>
              <w:top w:w="50" w:type="dxa"/>
              <w:left w:w="80" w:type="dxa"/>
              <w:bottom w:w="50" w:type="dxa"/>
              <w:right w:w="80" w:type="dxa"/>
            </w:tcMar>
          </w:tcPr>
          <w:p w14:paraId="6384860B" w14:textId="77777777" w:rsidR="0027270B" w:rsidRDefault="00000000">
            <w:pPr>
              <w:spacing w:after="0" w:line="260" w:lineRule="auto"/>
            </w:pPr>
            <w:r>
              <w:rPr>
                <w:sz w:val="20"/>
              </w:rPr>
              <w:t>Interim toll-free period ends; Blue Services Catalog and Fund activate; permanent arrangement for the median lane confirmed; Blue Flag Two issues on audit</w:t>
            </w:r>
          </w:p>
        </w:tc>
        <w:tc>
          <w:tcPr>
            <w:tcW w:w="1900" w:type="dxa"/>
            <w:tcMar>
              <w:top w:w="50" w:type="dxa"/>
              <w:left w:w="80" w:type="dxa"/>
              <w:bottom w:w="50" w:type="dxa"/>
              <w:right w:w="80" w:type="dxa"/>
            </w:tcMar>
          </w:tcPr>
          <w:p w14:paraId="6E173972" w14:textId="77777777" w:rsidR="0027270B" w:rsidRDefault="00000000">
            <w:pPr>
              <w:spacing w:after="0" w:line="260" w:lineRule="auto"/>
            </w:pPr>
            <w:r>
              <w:rPr>
                <w:sz w:val="20"/>
              </w:rPr>
              <w:t>Layers 2 and 3 activate</w:t>
            </w:r>
          </w:p>
        </w:tc>
        <w:tc>
          <w:tcPr>
            <w:tcW w:w="3160" w:type="dxa"/>
            <w:tcMar>
              <w:top w:w="50" w:type="dxa"/>
              <w:left w:w="80" w:type="dxa"/>
              <w:bottom w:w="50" w:type="dxa"/>
              <w:right w:w="80" w:type="dxa"/>
            </w:tcMar>
          </w:tcPr>
          <w:p w14:paraId="0C03C85F" w14:textId="77777777" w:rsidR="0027270B" w:rsidRDefault="00000000">
            <w:pPr>
              <w:spacing w:after="0" w:line="260" w:lineRule="auto"/>
            </w:pPr>
            <w:r>
              <w:rPr>
                <w:sz w:val="20"/>
              </w:rPr>
              <w:t>Pair Four: international confirmation of unimpeded commercial access</w:t>
            </w:r>
          </w:p>
        </w:tc>
      </w:tr>
      <w:tr w:rsidR="0027270B" w14:paraId="2A91DE9C" w14:textId="77777777">
        <w:tblPrEx>
          <w:tblCellMar>
            <w:top w:w="0" w:type="dxa"/>
            <w:bottom w:w="0" w:type="dxa"/>
          </w:tblCellMar>
        </w:tblPrEx>
        <w:tc>
          <w:tcPr>
            <w:tcW w:w="1000" w:type="dxa"/>
            <w:tcMar>
              <w:top w:w="50" w:type="dxa"/>
              <w:left w:w="80" w:type="dxa"/>
              <w:bottom w:w="50" w:type="dxa"/>
              <w:right w:w="80" w:type="dxa"/>
            </w:tcMar>
          </w:tcPr>
          <w:p w14:paraId="6709C014" w14:textId="77777777" w:rsidR="0027270B" w:rsidRDefault="00000000">
            <w:pPr>
              <w:spacing w:after="0" w:line="260" w:lineRule="auto"/>
            </w:pPr>
            <w:r>
              <w:rPr>
                <w:sz w:val="20"/>
              </w:rPr>
              <w:t>Day 75</w:t>
            </w:r>
          </w:p>
        </w:tc>
        <w:tc>
          <w:tcPr>
            <w:tcW w:w="1300" w:type="dxa"/>
            <w:tcMar>
              <w:top w:w="50" w:type="dxa"/>
              <w:left w:w="80" w:type="dxa"/>
              <w:bottom w:w="50" w:type="dxa"/>
              <w:right w:w="80" w:type="dxa"/>
            </w:tcMar>
          </w:tcPr>
          <w:p w14:paraId="7C1AA47E" w14:textId="77777777" w:rsidR="0027270B" w:rsidRDefault="00000000">
            <w:pPr>
              <w:spacing w:after="0" w:line="260" w:lineRule="auto"/>
            </w:pPr>
            <w:r>
              <w:rPr>
                <w:sz w:val="20"/>
              </w:rPr>
              <w:t>Milestone</w:t>
            </w:r>
          </w:p>
        </w:tc>
        <w:tc>
          <w:tcPr>
            <w:tcW w:w="4000" w:type="dxa"/>
            <w:tcMar>
              <w:top w:w="50" w:type="dxa"/>
              <w:left w:w="80" w:type="dxa"/>
              <w:bottom w:w="50" w:type="dxa"/>
              <w:right w:w="80" w:type="dxa"/>
            </w:tcMar>
          </w:tcPr>
          <w:p w14:paraId="25255ED3" w14:textId="77777777" w:rsidR="0027270B" w:rsidRDefault="00000000">
            <w:pPr>
              <w:spacing w:after="0" w:line="260" w:lineRule="auto"/>
            </w:pPr>
            <w:r>
              <w:rPr>
                <w:sz w:val="20"/>
              </w:rPr>
              <w:t>Integrated Patrol Rotation assumes primary escort; Umbrella converts to on-call overwatch</w:t>
            </w:r>
          </w:p>
        </w:tc>
        <w:tc>
          <w:tcPr>
            <w:tcW w:w="1900" w:type="dxa"/>
            <w:tcMar>
              <w:top w:w="50" w:type="dxa"/>
              <w:left w:w="80" w:type="dxa"/>
              <w:bottom w:w="50" w:type="dxa"/>
              <w:right w:w="80" w:type="dxa"/>
            </w:tcMar>
          </w:tcPr>
          <w:p w14:paraId="25B3919B" w14:textId="77777777" w:rsidR="0027270B" w:rsidRDefault="00000000">
            <w:pPr>
              <w:spacing w:after="0" w:line="260" w:lineRule="auto"/>
            </w:pPr>
            <w:r>
              <w:rPr>
                <w:sz w:val="20"/>
              </w:rPr>
              <w:t>Layer 4 preparing</w:t>
            </w:r>
          </w:p>
        </w:tc>
        <w:tc>
          <w:tcPr>
            <w:tcW w:w="3160" w:type="dxa"/>
            <w:tcMar>
              <w:top w:w="50" w:type="dxa"/>
              <w:left w:w="80" w:type="dxa"/>
              <w:bottom w:w="50" w:type="dxa"/>
              <w:right w:w="80" w:type="dxa"/>
            </w:tcMar>
          </w:tcPr>
          <w:p w14:paraId="74E5AFB0" w14:textId="77777777" w:rsidR="0027270B" w:rsidRDefault="00000000">
            <w:pPr>
              <w:spacing w:after="0" w:line="260" w:lineRule="auto"/>
            </w:pPr>
            <w:r>
              <w:rPr>
                <w:sz w:val="20"/>
              </w:rPr>
              <w:t>None</w:t>
            </w:r>
          </w:p>
        </w:tc>
      </w:tr>
      <w:tr w:rsidR="0027270B" w14:paraId="77859F58" w14:textId="77777777">
        <w:tblPrEx>
          <w:tblCellMar>
            <w:top w:w="0" w:type="dxa"/>
            <w:bottom w:w="0" w:type="dxa"/>
          </w:tblCellMar>
        </w:tblPrEx>
        <w:tc>
          <w:tcPr>
            <w:tcW w:w="1000" w:type="dxa"/>
            <w:tcMar>
              <w:top w:w="50" w:type="dxa"/>
              <w:left w:w="80" w:type="dxa"/>
              <w:bottom w:w="50" w:type="dxa"/>
              <w:right w:w="80" w:type="dxa"/>
            </w:tcMar>
          </w:tcPr>
          <w:p w14:paraId="3915E143" w14:textId="77777777" w:rsidR="0027270B" w:rsidRDefault="00000000">
            <w:pPr>
              <w:spacing w:after="0" w:line="260" w:lineRule="auto"/>
            </w:pPr>
            <w:r>
              <w:rPr>
                <w:sz w:val="20"/>
              </w:rPr>
              <w:t>Day 90</w:t>
            </w:r>
          </w:p>
        </w:tc>
        <w:tc>
          <w:tcPr>
            <w:tcW w:w="1300" w:type="dxa"/>
            <w:tcMar>
              <w:top w:w="50" w:type="dxa"/>
              <w:left w:w="80" w:type="dxa"/>
              <w:bottom w:w="50" w:type="dxa"/>
              <w:right w:w="80" w:type="dxa"/>
            </w:tcMar>
          </w:tcPr>
          <w:p w14:paraId="176F91F9" w14:textId="77777777" w:rsidR="0027270B" w:rsidRDefault="00000000">
            <w:pPr>
              <w:spacing w:after="0" w:line="260" w:lineRule="auto"/>
            </w:pPr>
            <w:r>
              <w:rPr>
                <w:sz w:val="20"/>
              </w:rPr>
              <w:t>Gate Five</w:t>
            </w:r>
          </w:p>
        </w:tc>
        <w:tc>
          <w:tcPr>
            <w:tcW w:w="4000" w:type="dxa"/>
            <w:tcMar>
              <w:top w:w="50" w:type="dxa"/>
              <w:left w:w="80" w:type="dxa"/>
              <w:bottom w:w="50" w:type="dxa"/>
              <w:right w:w="80" w:type="dxa"/>
            </w:tcMar>
          </w:tcPr>
          <w:p w14:paraId="2E3FADA3" w14:textId="77777777" w:rsidR="0027270B" w:rsidRDefault="00000000">
            <w:pPr>
              <w:spacing w:after="0" w:line="260" w:lineRule="auto"/>
            </w:pPr>
            <w:r>
              <w:rPr>
                <w:sz w:val="20"/>
              </w:rPr>
              <w:t>Consolidation Audit; Umbrella sunsets; permanent institutions at full staffing; Layer Four locks</w:t>
            </w:r>
          </w:p>
        </w:tc>
        <w:tc>
          <w:tcPr>
            <w:tcW w:w="1900" w:type="dxa"/>
            <w:tcMar>
              <w:top w:w="50" w:type="dxa"/>
              <w:left w:w="80" w:type="dxa"/>
              <w:bottom w:w="50" w:type="dxa"/>
              <w:right w:w="80" w:type="dxa"/>
            </w:tcMar>
          </w:tcPr>
          <w:p w14:paraId="5BF5182F" w14:textId="77777777" w:rsidR="0027270B" w:rsidRDefault="00000000">
            <w:pPr>
              <w:spacing w:after="0" w:line="260" w:lineRule="auto"/>
            </w:pPr>
            <w:r>
              <w:rPr>
                <w:sz w:val="20"/>
              </w:rPr>
              <w:t>Layer 4 locks</w:t>
            </w:r>
          </w:p>
        </w:tc>
        <w:tc>
          <w:tcPr>
            <w:tcW w:w="3160" w:type="dxa"/>
            <w:tcMar>
              <w:top w:w="50" w:type="dxa"/>
              <w:left w:w="80" w:type="dxa"/>
              <w:bottom w:w="50" w:type="dxa"/>
              <w:right w:w="80" w:type="dxa"/>
            </w:tcMar>
          </w:tcPr>
          <w:p w14:paraId="64ADB856" w14:textId="77777777" w:rsidR="0027270B" w:rsidRDefault="00000000">
            <w:pPr>
              <w:spacing w:after="0" w:line="260" w:lineRule="auto"/>
            </w:pPr>
            <w:r>
              <w:rPr>
                <w:sz w:val="20"/>
              </w:rPr>
              <w:t>Framework enters permanent standing</w:t>
            </w:r>
          </w:p>
        </w:tc>
      </w:tr>
    </w:tbl>
    <w:p w14:paraId="5C3EE695" w14:textId="77777777" w:rsidR="0027270B" w:rsidRDefault="0027270B"/>
    <w:p w14:paraId="7420C674" w14:textId="77777777" w:rsidR="0027270B" w:rsidRDefault="00000000">
      <w:r>
        <w:t>D.2 Stability metrics and bands. The audits of Article 28 measure the following, with stability bands stated for each. A metric inside its band supports certification; a metric outside enters the fourteen-day remediation sprint of Article 28.4.</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1392"/>
        <w:gridCol w:w="3228"/>
        <w:gridCol w:w="2631"/>
        <w:gridCol w:w="1935"/>
      </w:tblGrid>
      <w:tr w:rsidR="0027270B" w14:paraId="42C950E8" w14:textId="77777777">
        <w:tblPrEx>
          <w:tblCellMar>
            <w:top w:w="0" w:type="dxa"/>
            <w:bottom w:w="0" w:type="dxa"/>
          </w:tblCellMar>
        </w:tblPrEx>
        <w:trPr>
          <w:tblHeader/>
        </w:trPr>
        <w:tc>
          <w:tcPr>
            <w:tcW w:w="1400" w:type="dxa"/>
            <w:shd w:val="clear" w:color="auto" w:fill="E8EFF4"/>
            <w:tcMar>
              <w:top w:w="60" w:type="dxa"/>
              <w:left w:w="80" w:type="dxa"/>
              <w:bottom w:w="60" w:type="dxa"/>
              <w:right w:w="80" w:type="dxa"/>
            </w:tcMar>
          </w:tcPr>
          <w:p w14:paraId="286A58A9" w14:textId="77777777" w:rsidR="0027270B" w:rsidRDefault="00000000">
            <w:pPr>
              <w:spacing w:after="0" w:line="260" w:lineRule="auto"/>
            </w:pPr>
            <w:r>
              <w:rPr>
                <w:b/>
                <w:color w:val="1B3A5C"/>
                <w:sz w:val="20"/>
              </w:rPr>
              <w:lastRenderedPageBreak/>
              <w:t>Domain</w:t>
            </w:r>
          </w:p>
        </w:tc>
        <w:tc>
          <w:tcPr>
            <w:tcW w:w="3300" w:type="dxa"/>
            <w:shd w:val="clear" w:color="auto" w:fill="E8EFF4"/>
            <w:tcMar>
              <w:top w:w="60" w:type="dxa"/>
              <w:left w:w="80" w:type="dxa"/>
              <w:bottom w:w="60" w:type="dxa"/>
              <w:right w:w="80" w:type="dxa"/>
            </w:tcMar>
          </w:tcPr>
          <w:p w14:paraId="12D82370" w14:textId="77777777" w:rsidR="0027270B" w:rsidRDefault="00000000">
            <w:pPr>
              <w:spacing w:after="0" w:line="260" w:lineRule="auto"/>
            </w:pPr>
            <w:r>
              <w:rPr>
                <w:b/>
                <w:color w:val="1B3A5C"/>
                <w:sz w:val="20"/>
              </w:rPr>
              <w:t>Metric</w:t>
            </w:r>
          </w:p>
        </w:tc>
        <w:tc>
          <w:tcPr>
            <w:tcW w:w="2700" w:type="dxa"/>
            <w:shd w:val="clear" w:color="auto" w:fill="E8EFF4"/>
            <w:tcMar>
              <w:top w:w="60" w:type="dxa"/>
              <w:left w:w="80" w:type="dxa"/>
              <w:bottom w:w="60" w:type="dxa"/>
              <w:right w:w="80" w:type="dxa"/>
            </w:tcMar>
          </w:tcPr>
          <w:p w14:paraId="08D44394" w14:textId="77777777" w:rsidR="0027270B" w:rsidRDefault="00000000">
            <w:pPr>
              <w:spacing w:after="0" w:line="260" w:lineRule="auto"/>
            </w:pPr>
            <w:r>
              <w:rPr>
                <w:b/>
                <w:color w:val="1B3A5C"/>
                <w:sz w:val="20"/>
              </w:rPr>
              <w:t>Stability band</w:t>
            </w:r>
          </w:p>
        </w:tc>
        <w:tc>
          <w:tcPr>
            <w:tcW w:w="1960" w:type="dxa"/>
            <w:shd w:val="clear" w:color="auto" w:fill="E8EFF4"/>
            <w:tcMar>
              <w:top w:w="60" w:type="dxa"/>
              <w:left w:w="80" w:type="dxa"/>
              <w:bottom w:w="60" w:type="dxa"/>
              <w:right w:w="80" w:type="dxa"/>
            </w:tcMar>
          </w:tcPr>
          <w:p w14:paraId="5231279B" w14:textId="77777777" w:rsidR="0027270B" w:rsidRDefault="00000000">
            <w:pPr>
              <w:spacing w:after="0" w:line="260" w:lineRule="auto"/>
            </w:pPr>
            <w:r>
              <w:rPr>
                <w:b/>
                <w:color w:val="1B3A5C"/>
                <w:sz w:val="20"/>
              </w:rPr>
              <w:t>Method</w:t>
            </w:r>
          </w:p>
        </w:tc>
      </w:tr>
      <w:tr w:rsidR="0027270B" w14:paraId="148B4404" w14:textId="77777777">
        <w:tblPrEx>
          <w:tblCellMar>
            <w:top w:w="0" w:type="dxa"/>
            <w:bottom w:w="0" w:type="dxa"/>
          </w:tblCellMar>
        </w:tblPrEx>
        <w:tc>
          <w:tcPr>
            <w:tcW w:w="1400" w:type="dxa"/>
            <w:tcMar>
              <w:top w:w="50" w:type="dxa"/>
              <w:left w:w="80" w:type="dxa"/>
              <w:bottom w:w="50" w:type="dxa"/>
              <w:right w:w="80" w:type="dxa"/>
            </w:tcMar>
          </w:tcPr>
          <w:p w14:paraId="4031A7D4" w14:textId="77777777" w:rsidR="0027270B" w:rsidRDefault="00000000">
            <w:pPr>
              <w:spacing w:after="0" w:line="260" w:lineRule="auto"/>
            </w:pPr>
            <w:r>
              <w:rPr>
                <w:sz w:val="20"/>
              </w:rPr>
              <w:t>Navigation</w:t>
            </w:r>
          </w:p>
        </w:tc>
        <w:tc>
          <w:tcPr>
            <w:tcW w:w="3300" w:type="dxa"/>
            <w:tcMar>
              <w:top w:w="50" w:type="dxa"/>
              <w:left w:w="80" w:type="dxa"/>
              <w:bottom w:w="50" w:type="dxa"/>
              <w:right w:w="80" w:type="dxa"/>
            </w:tcMar>
          </w:tcPr>
          <w:p w14:paraId="4C0037CC" w14:textId="77777777" w:rsidR="0027270B" w:rsidRDefault="00000000">
            <w:pPr>
              <w:spacing w:after="0" w:line="260" w:lineRule="auto"/>
            </w:pPr>
            <w:r>
              <w:rPr>
                <w:sz w:val="20"/>
              </w:rPr>
              <w:t>Corridor adherence rate</w:t>
            </w:r>
          </w:p>
        </w:tc>
        <w:tc>
          <w:tcPr>
            <w:tcW w:w="2700" w:type="dxa"/>
            <w:tcMar>
              <w:top w:w="50" w:type="dxa"/>
              <w:left w:w="80" w:type="dxa"/>
              <w:bottom w:w="50" w:type="dxa"/>
              <w:right w:w="80" w:type="dxa"/>
            </w:tcMar>
          </w:tcPr>
          <w:p w14:paraId="3F696766" w14:textId="77777777" w:rsidR="0027270B" w:rsidRDefault="00000000">
            <w:pPr>
              <w:spacing w:after="0" w:line="260" w:lineRule="auto"/>
            </w:pPr>
            <w:r>
              <w:rPr>
                <w:sz w:val="20"/>
              </w:rPr>
              <w:t>98 percent or higher</w:t>
            </w:r>
          </w:p>
        </w:tc>
        <w:tc>
          <w:tcPr>
            <w:tcW w:w="1960" w:type="dxa"/>
            <w:tcMar>
              <w:top w:w="50" w:type="dxa"/>
              <w:left w:w="80" w:type="dxa"/>
              <w:bottom w:w="50" w:type="dxa"/>
              <w:right w:w="80" w:type="dxa"/>
            </w:tcMar>
          </w:tcPr>
          <w:p w14:paraId="49B0892C" w14:textId="77777777" w:rsidR="0027270B" w:rsidRDefault="00000000">
            <w:pPr>
              <w:spacing w:after="0" w:line="260" w:lineRule="auto"/>
            </w:pPr>
            <w:r>
              <w:rPr>
                <w:sz w:val="20"/>
              </w:rPr>
              <w:t>AIS tracks against corridor geometry</w:t>
            </w:r>
          </w:p>
        </w:tc>
      </w:tr>
      <w:tr w:rsidR="0027270B" w14:paraId="3B38A9E1" w14:textId="77777777">
        <w:tblPrEx>
          <w:tblCellMar>
            <w:top w:w="0" w:type="dxa"/>
            <w:bottom w:w="0" w:type="dxa"/>
          </w:tblCellMar>
        </w:tblPrEx>
        <w:tc>
          <w:tcPr>
            <w:tcW w:w="1400" w:type="dxa"/>
            <w:tcMar>
              <w:top w:w="50" w:type="dxa"/>
              <w:left w:w="80" w:type="dxa"/>
              <w:bottom w:w="50" w:type="dxa"/>
              <w:right w:w="80" w:type="dxa"/>
            </w:tcMar>
          </w:tcPr>
          <w:p w14:paraId="3DBCF790" w14:textId="77777777" w:rsidR="0027270B" w:rsidRDefault="00000000">
            <w:pPr>
              <w:spacing w:after="0" w:line="260" w:lineRule="auto"/>
            </w:pPr>
            <w:r>
              <w:rPr>
                <w:sz w:val="20"/>
              </w:rPr>
              <w:t>Navigation</w:t>
            </w:r>
          </w:p>
        </w:tc>
        <w:tc>
          <w:tcPr>
            <w:tcW w:w="3300" w:type="dxa"/>
            <w:tcMar>
              <w:top w:w="50" w:type="dxa"/>
              <w:left w:w="80" w:type="dxa"/>
              <w:bottom w:w="50" w:type="dxa"/>
              <w:right w:w="80" w:type="dxa"/>
            </w:tcMar>
          </w:tcPr>
          <w:p w14:paraId="15722C4D" w14:textId="77777777" w:rsidR="0027270B" w:rsidRDefault="00000000">
            <w:pPr>
              <w:spacing w:after="0" w:line="260" w:lineRule="auto"/>
            </w:pPr>
            <w:r>
              <w:rPr>
                <w:sz w:val="20"/>
              </w:rPr>
              <w:t>Routing deviations per week</w:t>
            </w:r>
          </w:p>
        </w:tc>
        <w:tc>
          <w:tcPr>
            <w:tcW w:w="2700" w:type="dxa"/>
            <w:tcMar>
              <w:top w:w="50" w:type="dxa"/>
              <w:left w:w="80" w:type="dxa"/>
              <w:bottom w:w="50" w:type="dxa"/>
              <w:right w:w="80" w:type="dxa"/>
            </w:tcMar>
          </w:tcPr>
          <w:p w14:paraId="581A4968" w14:textId="77777777" w:rsidR="0027270B" w:rsidRDefault="00000000">
            <w:pPr>
              <w:spacing w:after="0" w:line="260" w:lineRule="auto"/>
            </w:pPr>
            <w:r>
              <w:rPr>
                <w:sz w:val="20"/>
              </w:rPr>
              <w:t>3 or fewer, all explained</w:t>
            </w:r>
          </w:p>
        </w:tc>
        <w:tc>
          <w:tcPr>
            <w:tcW w:w="1960" w:type="dxa"/>
            <w:tcMar>
              <w:top w:w="50" w:type="dxa"/>
              <w:left w:w="80" w:type="dxa"/>
              <w:bottom w:w="50" w:type="dxa"/>
              <w:right w:w="80" w:type="dxa"/>
            </w:tcMar>
          </w:tcPr>
          <w:p w14:paraId="037F06E8" w14:textId="77777777" w:rsidR="0027270B" w:rsidRDefault="00000000">
            <w:pPr>
              <w:spacing w:after="0" w:line="260" w:lineRule="auto"/>
            </w:pPr>
            <w:r>
              <w:rPr>
                <w:sz w:val="20"/>
              </w:rPr>
              <w:t>Registry deviation log</w:t>
            </w:r>
          </w:p>
        </w:tc>
      </w:tr>
      <w:tr w:rsidR="0027270B" w14:paraId="445C4176" w14:textId="77777777">
        <w:tblPrEx>
          <w:tblCellMar>
            <w:top w:w="0" w:type="dxa"/>
            <w:bottom w:w="0" w:type="dxa"/>
          </w:tblCellMar>
        </w:tblPrEx>
        <w:tc>
          <w:tcPr>
            <w:tcW w:w="1400" w:type="dxa"/>
            <w:tcMar>
              <w:top w:w="50" w:type="dxa"/>
              <w:left w:w="80" w:type="dxa"/>
              <w:bottom w:w="50" w:type="dxa"/>
              <w:right w:w="80" w:type="dxa"/>
            </w:tcMar>
          </w:tcPr>
          <w:p w14:paraId="07D9EE0A" w14:textId="77777777" w:rsidR="0027270B" w:rsidRDefault="00000000">
            <w:pPr>
              <w:spacing w:after="0" w:line="260" w:lineRule="auto"/>
            </w:pPr>
            <w:r>
              <w:rPr>
                <w:sz w:val="20"/>
              </w:rPr>
              <w:t>Navigation</w:t>
            </w:r>
          </w:p>
        </w:tc>
        <w:tc>
          <w:tcPr>
            <w:tcW w:w="3300" w:type="dxa"/>
            <w:tcMar>
              <w:top w:w="50" w:type="dxa"/>
              <w:left w:w="80" w:type="dxa"/>
              <w:bottom w:w="50" w:type="dxa"/>
              <w:right w:w="80" w:type="dxa"/>
            </w:tcMar>
          </w:tcPr>
          <w:p w14:paraId="4E8DAC2E" w14:textId="77777777" w:rsidR="0027270B" w:rsidRDefault="00000000">
            <w:pPr>
              <w:spacing w:after="0" w:line="260" w:lineRule="auto"/>
            </w:pPr>
            <w:r>
              <w:rPr>
                <w:sz w:val="20"/>
              </w:rPr>
              <w:t>Filing acknowledgment within 60 minutes</w:t>
            </w:r>
          </w:p>
        </w:tc>
        <w:tc>
          <w:tcPr>
            <w:tcW w:w="2700" w:type="dxa"/>
            <w:tcMar>
              <w:top w:w="50" w:type="dxa"/>
              <w:left w:w="80" w:type="dxa"/>
              <w:bottom w:w="50" w:type="dxa"/>
              <w:right w:w="80" w:type="dxa"/>
            </w:tcMar>
          </w:tcPr>
          <w:p w14:paraId="2C13438B" w14:textId="77777777" w:rsidR="0027270B" w:rsidRDefault="00000000">
            <w:pPr>
              <w:spacing w:after="0" w:line="260" w:lineRule="auto"/>
            </w:pPr>
            <w:r>
              <w:rPr>
                <w:sz w:val="20"/>
              </w:rPr>
              <w:t>100 percent; 95 percent within 15 minutes</w:t>
            </w:r>
          </w:p>
        </w:tc>
        <w:tc>
          <w:tcPr>
            <w:tcW w:w="1960" w:type="dxa"/>
            <w:tcMar>
              <w:top w:w="50" w:type="dxa"/>
              <w:left w:w="80" w:type="dxa"/>
              <w:bottom w:w="50" w:type="dxa"/>
              <w:right w:w="80" w:type="dxa"/>
            </w:tcMar>
          </w:tcPr>
          <w:p w14:paraId="7A12F55F" w14:textId="77777777" w:rsidR="0027270B" w:rsidRDefault="00000000">
            <w:pPr>
              <w:spacing w:after="0" w:line="260" w:lineRule="auto"/>
            </w:pPr>
            <w:r>
              <w:rPr>
                <w:sz w:val="20"/>
              </w:rPr>
              <w:t>Registry timestamps</w:t>
            </w:r>
          </w:p>
        </w:tc>
      </w:tr>
      <w:tr w:rsidR="0027270B" w14:paraId="780F641C" w14:textId="77777777">
        <w:tblPrEx>
          <w:tblCellMar>
            <w:top w:w="0" w:type="dxa"/>
            <w:bottom w:w="0" w:type="dxa"/>
          </w:tblCellMar>
        </w:tblPrEx>
        <w:tc>
          <w:tcPr>
            <w:tcW w:w="1400" w:type="dxa"/>
            <w:tcMar>
              <w:top w:w="50" w:type="dxa"/>
              <w:left w:w="80" w:type="dxa"/>
              <w:bottom w:w="50" w:type="dxa"/>
              <w:right w:w="80" w:type="dxa"/>
            </w:tcMar>
          </w:tcPr>
          <w:p w14:paraId="224820C3" w14:textId="77777777" w:rsidR="0027270B" w:rsidRDefault="00000000">
            <w:pPr>
              <w:spacing w:after="0" w:line="260" w:lineRule="auto"/>
            </w:pPr>
            <w:r>
              <w:rPr>
                <w:sz w:val="20"/>
              </w:rPr>
              <w:t>Security</w:t>
            </w:r>
          </w:p>
        </w:tc>
        <w:tc>
          <w:tcPr>
            <w:tcW w:w="3300" w:type="dxa"/>
            <w:tcMar>
              <w:top w:w="50" w:type="dxa"/>
              <w:left w:w="80" w:type="dxa"/>
              <w:bottom w:w="50" w:type="dxa"/>
              <w:right w:w="80" w:type="dxa"/>
            </w:tcMar>
          </w:tcPr>
          <w:p w14:paraId="441DAAF6" w14:textId="77777777" w:rsidR="0027270B" w:rsidRDefault="00000000">
            <w:pPr>
              <w:spacing w:after="0" w:line="260" w:lineRule="auto"/>
            </w:pPr>
            <w:r>
              <w:rPr>
                <w:sz w:val="20"/>
              </w:rPr>
              <w:t>Dual-key activation correctness</w:t>
            </w:r>
          </w:p>
        </w:tc>
        <w:tc>
          <w:tcPr>
            <w:tcW w:w="2700" w:type="dxa"/>
            <w:tcMar>
              <w:top w:w="50" w:type="dxa"/>
              <w:left w:w="80" w:type="dxa"/>
              <w:bottom w:w="50" w:type="dxa"/>
              <w:right w:w="80" w:type="dxa"/>
            </w:tcMar>
          </w:tcPr>
          <w:p w14:paraId="41347C34" w14:textId="77777777" w:rsidR="0027270B" w:rsidRDefault="00000000">
            <w:pPr>
              <w:spacing w:after="0" w:line="260" w:lineRule="auto"/>
            </w:pPr>
            <w:r>
              <w:rPr>
                <w:sz w:val="20"/>
              </w:rPr>
              <w:t>100 percent</w:t>
            </w:r>
          </w:p>
        </w:tc>
        <w:tc>
          <w:tcPr>
            <w:tcW w:w="1960" w:type="dxa"/>
            <w:tcMar>
              <w:top w:w="50" w:type="dxa"/>
              <w:left w:w="80" w:type="dxa"/>
              <w:bottom w:w="50" w:type="dxa"/>
              <w:right w:w="80" w:type="dxa"/>
            </w:tcMar>
          </w:tcPr>
          <w:p w14:paraId="158DB2C1" w14:textId="77777777" w:rsidR="0027270B" w:rsidRDefault="00000000">
            <w:pPr>
              <w:spacing w:after="0" w:line="260" w:lineRule="auto"/>
            </w:pPr>
            <w:r>
              <w:rPr>
                <w:sz w:val="20"/>
              </w:rPr>
              <w:t>Pairing logs reviewed</w:t>
            </w:r>
          </w:p>
        </w:tc>
      </w:tr>
      <w:tr w:rsidR="0027270B" w14:paraId="38504B0B" w14:textId="77777777">
        <w:tblPrEx>
          <w:tblCellMar>
            <w:top w:w="0" w:type="dxa"/>
            <w:bottom w:w="0" w:type="dxa"/>
          </w:tblCellMar>
        </w:tblPrEx>
        <w:tc>
          <w:tcPr>
            <w:tcW w:w="1400" w:type="dxa"/>
            <w:tcMar>
              <w:top w:w="50" w:type="dxa"/>
              <w:left w:w="80" w:type="dxa"/>
              <w:bottom w:w="50" w:type="dxa"/>
              <w:right w:w="80" w:type="dxa"/>
            </w:tcMar>
          </w:tcPr>
          <w:p w14:paraId="018089C0" w14:textId="77777777" w:rsidR="0027270B" w:rsidRDefault="00000000">
            <w:pPr>
              <w:spacing w:after="0" w:line="260" w:lineRule="auto"/>
            </w:pPr>
            <w:r>
              <w:rPr>
                <w:sz w:val="20"/>
              </w:rPr>
              <w:t>Security</w:t>
            </w:r>
          </w:p>
        </w:tc>
        <w:tc>
          <w:tcPr>
            <w:tcW w:w="3300" w:type="dxa"/>
            <w:tcMar>
              <w:top w:w="50" w:type="dxa"/>
              <w:left w:w="80" w:type="dxa"/>
              <w:bottom w:w="50" w:type="dxa"/>
              <w:right w:w="80" w:type="dxa"/>
            </w:tcMar>
          </w:tcPr>
          <w:p w14:paraId="3B313CBA" w14:textId="77777777" w:rsidR="0027270B" w:rsidRDefault="00000000">
            <w:pPr>
              <w:spacing w:after="0" w:line="260" w:lineRule="auto"/>
            </w:pPr>
            <w:r>
              <w:rPr>
                <w:sz w:val="20"/>
              </w:rPr>
              <w:t>Unilateral interdiction attempts</w:t>
            </w:r>
          </w:p>
        </w:tc>
        <w:tc>
          <w:tcPr>
            <w:tcW w:w="2700" w:type="dxa"/>
            <w:tcMar>
              <w:top w:w="50" w:type="dxa"/>
              <w:left w:w="80" w:type="dxa"/>
              <w:bottom w:w="50" w:type="dxa"/>
              <w:right w:w="80" w:type="dxa"/>
            </w:tcMar>
          </w:tcPr>
          <w:p w14:paraId="6AF38B54" w14:textId="77777777" w:rsidR="0027270B" w:rsidRDefault="00000000">
            <w:pPr>
              <w:spacing w:after="0" w:line="260" w:lineRule="auto"/>
            </w:pPr>
            <w:r>
              <w:rPr>
                <w:sz w:val="20"/>
              </w:rPr>
              <w:t>Zero</w:t>
            </w:r>
          </w:p>
        </w:tc>
        <w:tc>
          <w:tcPr>
            <w:tcW w:w="1960" w:type="dxa"/>
            <w:tcMar>
              <w:top w:w="50" w:type="dxa"/>
              <w:left w:w="80" w:type="dxa"/>
              <w:bottom w:w="50" w:type="dxa"/>
              <w:right w:w="80" w:type="dxa"/>
            </w:tcMar>
          </w:tcPr>
          <w:p w14:paraId="1C350011" w14:textId="77777777" w:rsidR="0027270B" w:rsidRDefault="00000000">
            <w:pPr>
              <w:spacing w:after="0" w:line="260" w:lineRule="auto"/>
            </w:pPr>
            <w:r>
              <w:rPr>
                <w:sz w:val="20"/>
              </w:rPr>
              <w:t>Incident log; attribution protocol</w:t>
            </w:r>
          </w:p>
        </w:tc>
      </w:tr>
      <w:tr w:rsidR="0027270B" w14:paraId="03E5AA49" w14:textId="77777777">
        <w:tblPrEx>
          <w:tblCellMar>
            <w:top w:w="0" w:type="dxa"/>
            <w:bottom w:w="0" w:type="dxa"/>
          </w:tblCellMar>
        </w:tblPrEx>
        <w:tc>
          <w:tcPr>
            <w:tcW w:w="1400" w:type="dxa"/>
            <w:tcMar>
              <w:top w:w="50" w:type="dxa"/>
              <w:left w:w="80" w:type="dxa"/>
              <w:bottom w:w="50" w:type="dxa"/>
              <w:right w:w="80" w:type="dxa"/>
            </w:tcMar>
          </w:tcPr>
          <w:p w14:paraId="7B5BA7AE" w14:textId="77777777" w:rsidR="0027270B" w:rsidRDefault="00000000">
            <w:pPr>
              <w:spacing w:after="0" w:line="260" w:lineRule="auto"/>
            </w:pPr>
            <w:r>
              <w:rPr>
                <w:sz w:val="20"/>
              </w:rPr>
              <w:t>Security</w:t>
            </w:r>
          </w:p>
        </w:tc>
        <w:tc>
          <w:tcPr>
            <w:tcW w:w="3300" w:type="dxa"/>
            <w:tcMar>
              <w:top w:w="50" w:type="dxa"/>
              <w:left w:w="80" w:type="dxa"/>
              <w:bottom w:w="50" w:type="dxa"/>
              <w:right w:w="80" w:type="dxa"/>
            </w:tcMar>
          </w:tcPr>
          <w:p w14:paraId="063CB161" w14:textId="77777777" w:rsidR="0027270B" w:rsidRDefault="00000000">
            <w:pPr>
              <w:spacing w:after="0" w:line="260" w:lineRule="auto"/>
            </w:pPr>
            <w:r>
              <w:rPr>
                <w:sz w:val="20"/>
              </w:rPr>
              <w:t>Hotline answer within 15 minutes</w:t>
            </w:r>
          </w:p>
        </w:tc>
        <w:tc>
          <w:tcPr>
            <w:tcW w:w="2700" w:type="dxa"/>
            <w:tcMar>
              <w:top w:w="50" w:type="dxa"/>
              <w:left w:w="80" w:type="dxa"/>
              <w:bottom w:w="50" w:type="dxa"/>
              <w:right w:w="80" w:type="dxa"/>
            </w:tcMar>
          </w:tcPr>
          <w:p w14:paraId="616D90C1" w14:textId="77777777" w:rsidR="0027270B" w:rsidRDefault="00000000">
            <w:pPr>
              <w:spacing w:after="0" w:line="260" w:lineRule="auto"/>
            </w:pPr>
            <w:r>
              <w:rPr>
                <w:sz w:val="20"/>
              </w:rPr>
              <w:t>100 percent</w:t>
            </w:r>
          </w:p>
        </w:tc>
        <w:tc>
          <w:tcPr>
            <w:tcW w:w="1960" w:type="dxa"/>
            <w:tcMar>
              <w:top w:w="50" w:type="dxa"/>
              <w:left w:w="80" w:type="dxa"/>
              <w:bottom w:w="50" w:type="dxa"/>
              <w:right w:w="80" w:type="dxa"/>
            </w:tcMar>
          </w:tcPr>
          <w:p w14:paraId="435736FF" w14:textId="77777777" w:rsidR="0027270B" w:rsidRDefault="00000000">
            <w:pPr>
              <w:spacing w:after="0" w:line="260" w:lineRule="auto"/>
            </w:pPr>
            <w:r>
              <w:rPr>
                <w:sz w:val="20"/>
              </w:rPr>
              <w:t>Twice-daily test log</w:t>
            </w:r>
          </w:p>
        </w:tc>
      </w:tr>
      <w:tr w:rsidR="0027270B" w14:paraId="5FAD7130" w14:textId="77777777">
        <w:tblPrEx>
          <w:tblCellMar>
            <w:top w:w="0" w:type="dxa"/>
            <w:bottom w:w="0" w:type="dxa"/>
          </w:tblCellMar>
        </w:tblPrEx>
        <w:tc>
          <w:tcPr>
            <w:tcW w:w="1400" w:type="dxa"/>
            <w:tcMar>
              <w:top w:w="50" w:type="dxa"/>
              <w:left w:w="80" w:type="dxa"/>
              <w:bottom w:w="50" w:type="dxa"/>
              <w:right w:w="80" w:type="dxa"/>
            </w:tcMar>
          </w:tcPr>
          <w:p w14:paraId="1CC2573D" w14:textId="77777777" w:rsidR="0027270B" w:rsidRDefault="00000000">
            <w:pPr>
              <w:spacing w:after="0" w:line="260" w:lineRule="auto"/>
            </w:pPr>
            <w:r>
              <w:rPr>
                <w:sz w:val="20"/>
              </w:rPr>
              <w:t>Security</w:t>
            </w:r>
          </w:p>
        </w:tc>
        <w:tc>
          <w:tcPr>
            <w:tcW w:w="3300" w:type="dxa"/>
            <w:tcMar>
              <w:top w:w="50" w:type="dxa"/>
              <w:left w:w="80" w:type="dxa"/>
              <w:bottom w:w="50" w:type="dxa"/>
              <w:right w:w="80" w:type="dxa"/>
            </w:tcMar>
          </w:tcPr>
          <w:p w14:paraId="669972C9" w14:textId="77777777" w:rsidR="0027270B" w:rsidRDefault="00000000">
            <w:pPr>
              <w:spacing w:after="0" w:line="260" w:lineRule="auto"/>
            </w:pPr>
            <w:r>
              <w:rPr>
                <w:sz w:val="20"/>
              </w:rPr>
              <w:t>Deconfliction response time</w:t>
            </w:r>
          </w:p>
        </w:tc>
        <w:tc>
          <w:tcPr>
            <w:tcW w:w="2700" w:type="dxa"/>
            <w:tcMar>
              <w:top w:w="50" w:type="dxa"/>
              <w:left w:w="80" w:type="dxa"/>
              <w:bottom w:w="50" w:type="dxa"/>
              <w:right w:w="80" w:type="dxa"/>
            </w:tcMar>
          </w:tcPr>
          <w:p w14:paraId="27D568A1" w14:textId="77777777" w:rsidR="0027270B" w:rsidRDefault="00000000">
            <w:pPr>
              <w:spacing w:after="0" w:line="260" w:lineRule="auto"/>
            </w:pPr>
            <w:r>
              <w:rPr>
                <w:sz w:val="20"/>
              </w:rPr>
              <w:t>30 minutes or less</w:t>
            </w:r>
          </w:p>
        </w:tc>
        <w:tc>
          <w:tcPr>
            <w:tcW w:w="1960" w:type="dxa"/>
            <w:tcMar>
              <w:top w:w="50" w:type="dxa"/>
              <w:left w:w="80" w:type="dxa"/>
              <w:bottom w:w="50" w:type="dxa"/>
              <w:right w:w="80" w:type="dxa"/>
            </w:tcMar>
          </w:tcPr>
          <w:p w14:paraId="411BB9A3" w14:textId="77777777" w:rsidR="0027270B" w:rsidRDefault="00000000">
            <w:pPr>
              <w:spacing w:after="0" w:line="260" w:lineRule="auto"/>
            </w:pPr>
            <w:r>
              <w:rPr>
                <w:sz w:val="20"/>
              </w:rPr>
              <w:t>Level Two records</w:t>
            </w:r>
          </w:p>
        </w:tc>
      </w:tr>
      <w:tr w:rsidR="0027270B" w14:paraId="35AA3088" w14:textId="77777777">
        <w:tblPrEx>
          <w:tblCellMar>
            <w:top w:w="0" w:type="dxa"/>
            <w:bottom w:w="0" w:type="dxa"/>
          </w:tblCellMar>
        </w:tblPrEx>
        <w:tc>
          <w:tcPr>
            <w:tcW w:w="1400" w:type="dxa"/>
            <w:tcMar>
              <w:top w:w="50" w:type="dxa"/>
              <w:left w:w="80" w:type="dxa"/>
              <w:bottom w:w="50" w:type="dxa"/>
              <w:right w:w="80" w:type="dxa"/>
            </w:tcMar>
          </w:tcPr>
          <w:p w14:paraId="1BDC2983" w14:textId="77777777" w:rsidR="0027270B" w:rsidRDefault="00000000">
            <w:pPr>
              <w:spacing w:after="0" w:line="260" w:lineRule="auto"/>
            </w:pPr>
            <w:r>
              <w:rPr>
                <w:sz w:val="20"/>
              </w:rPr>
              <w:t>Monitoring</w:t>
            </w:r>
          </w:p>
        </w:tc>
        <w:tc>
          <w:tcPr>
            <w:tcW w:w="3300" w:type="dxa"/>
            <w:tcMar>
              <w:top w:w="50" w:type="dxa"/>
              <w:left w:w="80" w:type="dxa"/>
              <w:bottom w:w="50" w:type="dxa"/>
              <w:right w:w="80" w:type="dxa"/>
            </w:tcMar>
          </w:tcPr>
          <w:p w14:paraId="68314FB8" w14:textId="77777777" w:rsidR="0027270B" w:rsidRDefault="00000000">
            <w:pPr>
              <w:spacing w:after="0" w:line="260" w:lineRule="auto"/>
            </w:pPr>
            <w:r>
              <w:rPr>
                <w:sz w:val="20"/>
              </w:rPr>
              <w:t>Radar-AIS fusion accuracy</w:t>
            </w:r>
          </w:p>
        </w:tc>
        <w:tc>
          <w:tcPr>
            <w:tcW w:w="2700" w:type="dxa"/>
            <w:tcMar>
              <w:top w:w="50" w:type="dxa"/>
              <w:left w:w="80" w:type="dxa"/>
              <w:bottom w:w="50" w:type="dxa"/>
              <w:right w:w="80" w:type="dxa"/>
            </w:tcMar>
          </w:tcPr>
          <w:p w14:paraId="46CC2A79" w14:textId="77777777" w:rsidR="0027270B" w:rsidRDefault="00000000">
            <w:pPr>
              <w:spacing w:after="0" w:line="260" w:lineRule="auto"/>
            </w:pPr>
            <w:r>
              <w:rPr>
                <w:sz w:val="20"/>
              </w:rPr>
              <w:t>97 percent or higher</w:t>
            </w:r>
          </w:p>
        </w:tc>
        <w:tc>
          <w:tcPr>
            <w:tcW w:w="1960" w:type="dxa"/>
            <w:tcMar>
              <w:top w:w="50" w:type="dxa"/>
              <w:left w:w="80" w:type="dxa"/>
              <w:bottom w:w="50" w:type="dxa"/>
              <w:right w:w="80" w:type="dxa"/>
            </w:tcMar>
          </w:tcPr>
          <w:p w14:paraId="21863BA0" w14:textId="77777777" w:rsidR="0027270B" w:rsidRDefault="00000000">
            <w:pPr>
              <w:spacing w:after="0" w:line="260" w:lineRule="auto"/>
            </w:pPr>
            <w:r>
              <w:rPr>
                <w:sz w:val="20"/>
              </w:rPr>
              <w:t>Track correlation sampling</w:t>
            </w:r>
          </w:p>
        </w:tc>
      </w:tr>
      <w:tr w:rsidR="0027270B" w14:paraId="3DCCCC6E" w14:textId="77777777">
        <w:tblPrEx>
          <w:tblCellMar>
            <w:top w:w="0" w:type="dxa"/>
            <w:bottom w:w="0" w:type="dxa"/>
          </w:tblCellMar>
        </w:tblPrEx>
        <w:tc>
          <w:tcPr>
            <w:tcW w:w="1400" w:type="dxa"/>
            <w:tcMar>
              <w:top w:w="50" w:type="dxa"/>
              <w:left w:w="80" w:type="dxa"/>
              <w:bottom w:w="50" w:type="dxa"/>
              <w:right w:w="80" w:type="dxa"/>
            </w:tcMar>
          </w:tcPr>
          <w:p w14:paraId="5D14AF37" w14:textId="77777777" w:rsidR="0027270B" w:rsidRDefault="00000000">
            <w:pPr>
              <w:spacing w:after="0" w:line="260" w:lineRule="auto"/>
            </w:pPr>
            <w:r>
              <w:rPr>
                <w:sz w:val="20"/>
              </w:rPr>
              <w:t>Monitoring</w:t>
            </w:r>
          </w:p>
        </w:tc>
        <w:tc>
          <w:tcPr>
            <w:tcW w:w="3300" w:type="dxa"/>
            <w:tcMar>
              <w:top w:w="50" w:type="dxa"/>
              <w:left w:w="80" w:type="dxa"/>
              <w:bottom w:w="50" w:type="dxa"/>
              <w:right w:w="80" w:type="dxa"/>
            </w:tcMar>
          </w:tcPr>
          <w:p w14:paraId="7D92BAB3" w14:textId="77777777" w:rsidR="0027270B" w:rsidRDefault="00000000">
            <w:pPr>
              <w:spacing w:after="0" w:line="260" w:lineRule="auto"/>
            </w:pPr>
            <w:r>
              <w:rPr>
                <w:sz w:val="20"/>
              </w:rPr>
              <w:t>Registry uptime and gap discipline</w:t>
            </w:r>
          </w:p>
        </w:tc>
        <w:tc>
          <w:tcPr>
            <w:tcW w:w="2700" w:type="dxa"/>
            <w:tcMar>
              <w:top w:w="50" w:type="dxa"/>
              <w:left w:w="80" w:type="dxa"/>
              <w:bottom w:w="50" w:type="dxa"/>
              <w:right w:w="80" w:type="dxa"/>
            </w:tcMar>
          </w:tcPr>
          <w:p w14:paraId="0111708C" w14:textId="77777777" w:rsidR="0027270B" w:rsidRDefault="00000000">
            <w:pPr>
              <w:spacing w:after="0" w:line="260" w:lineRule="auto"/>
            </w:pPr>
            <w:r>
              <w:rPr>
                <w:sz w:val="20"/>
              </w:rPr>
              <w:t>No gap over 15 minutes</w:t>
            </w:r>
          </w:p>
        </w:tc>
        <w:tc>
          <w:tcPr>
            <w:tcW w:w="1960" w:type="dxa"/>
            <w:tcMar>
              <w:top w:w="50" w:type="dxa"/>
              <w:left w:w="80" w:type="dxa"/>
              <w:bottom w:w="50" w:type="dxa"/>
              <w:right w:w="80" w:type="dxa"/>
            </w:tcMar>
          </w:tcPr>
          <w:p w14:paraId="151766BB" w14:textId="77777777" w:rsidR="0027270B" w:rsidRDefault="00000000">
            <w:pPr>
              <w:spacing w:after="0" w:line="260" w:lineRule="auto"/>
            </w:pPr>
            <w:r>
              <w:rPr>
                <w:sz w:val="20"/>
              </w:rPr>
              <w:t>System telemetry</w:t>
            </w:r>
          </w:p>
        </w:tc>
      </w:tr>
      <w:tr w:rsidR="0027270B" w14:paraId="569A7B2F" w14:textId="77777777">
        <w:tblPrEx>
          <w:tblCellMar>
            <w:top w:w="0" w:type="dxa"/>
            <w:bottom w:w="0" w:type="dxa"/>
          </w:tblCellMar>
        </w:tblPrEx>
        <w:tc>
          <w:tcPr>
            <w:tcW w:w="1400" w:type="dxa"/>
            <w:tcMar>
              <w:top w:w="50" w:type="dxa"/>
              <w:left w:w="80" w:type="dxa"/>
              <w:bottom w:w="50" w:type="dxa"/>
              <w:right w:w="80" w:type="dxa"/>
            </w:tcMar>
          </w:tcPr>
          <w:p w14:paraId="74CB7BA6" w14:textId="77777777" w:rsidR="0027270B" w:rsidRDefault="00000000">
            <w:pPr>
              <w:spacing w:after="0" w:line="260" w:lineRule="auto"/>
            </w:pPr>
            <w:r>
              <w:rPr>
                <w:sz w:val="20"/>
              </w:rPr>
              <w:t>Monitoring</w:t>
            </w:r>
          </w:p>
        </w:tc>
        <w:tc>
          <w:tcPr>
            <w:tcW w:w="3300" w:type="dxa"/>
            <w:tcMar>
              <w:top w:w="50" w:type="dxa"/>
              <w:left w:w="80" w:type="dxa"/>
              <w:bottom w:w="50" w:type="dxa"/>
              <w:right w:w="80" w:type="dxa"/>
            </w:tcMar>
          </w:tcPr>
          <w:p w14:paraId="3D53962D" w14:textId="77777777" w:rsidR="0027270B" w:rsidRDefault="00000000">
            <w:pPr>
              <w:spacing w:after="0" w:line="260" w:lineRule="auto"/>
            </w:pPr>
            <w:r>
              <w:rPr>
                <w:sz w:val="20"/>
              </w:rPr>
              <w:t>Observer feed uptime</w:t>
            </w:r>
          </w:p>
        </w:tc>
        <w:tc>
          <w:tcPr>
            <w:tcW w:w="2700" w:type="dxa"/>
            <w:tcMar>
              <w:top w:w="50" w:type="dxa"/>
              <w:left w:w="80" w:type="dxa"/>
              <w:bottom w:w="50" w:type="dxa"/>
              <w:right w:w="80" w:type="dxa"/>
            </w:tcMar>
          </w:tcPr>
          <w:p w14:paraId="4AB51463" w14:textId="77777777" w:rsidR="0027270B" w:rsidRDefault="00000000">
            <w:pPr>
              <w:spacing w:after="0" w:line="260" w:lineRule="auto"/>
            </w:pPr>
            <w:r>
              <w:rPr>
                <w:sz w:val="20"/>
              </w:rPr>
              <w:t>99 percent or higher</w:t>
            </w:r>
          </w:p>
        </w:tc>
        <w:tc>
          <w:tcPr>
            <w:tcW w:w="1960" w:type="dxa"/>
            <w:tcMar>
              <w:top w:w="50" w:type="dxa"/>
              <w:left w:w="80" w:type="dxa"/>
              <w:bottom w:w="50" w:type="dxa"/>
              <w:right w:w="80" w:type="dxa"/>
            </w:tcMar>
          </w:tcPr>
          <w:p w14:paraId="1FDC0437" w14:textId="77777777" w:rsidR="0027270B" w:rsidRDefault="00000000">
            <w:pPr>
              <w:spacing w:after="0" w:line="260" w:lineRule="auto"/>
            </w:pPr>
            <w:r>
              <w:rPr>
                <w:sz w:val="20"/>
              </w:rPr>
              <w:t>Portal telemetry</w:t>
            </w:r>
          </w:p>
        </w:tc>
      </w:tr>
      <w:tr w:rsidR="0027270B" w14:paraId="0972033C" w14:textId="77777777">
        <w:tblPrEx>
          <w:tblCellMar>
            <w:top w:w="0" w:type="dxa"/>
            <w:bottom w:w="0" w:type="dxa"/>
          </w:tblCellMar>
        </w:tblPrEx>
        <w:tc>
          <w:tcPr>
            <w:tcW w:w="1400" w:type="dxa"/>
            <w:tcMar>
              <w:top w:w="50" w:type="dxa"/>
              <w:left w:w="80" w:type="dxa"/>
              <w:bottom w:w="50" w:type="dxa"/>
              <w:right w:w="80" w:type="dxa"/>
            </w:tcMar>
          </w:tcPr>
          <w:p w14:paraId="7F74A5AB" w14:textId="77777777" w:rsidR="0027270B" w:rsidRDefault="00000000">
            <w:pPr>
              <w:spacing w:after="0" w:line="260" w:lineRule="auto"/>
            </w:pPr>
            <w:r>
              <w:rPr>
                <w:sz w:val="20"/>
              </w:rPr>
              <w:t>Finance</w:t>
            </w:r>
          </w:p>
        </w:tc>
        <w:tc>
          <w:tcPr>
            <w:tcW w:w="3300" w:type="dxa"/>
            <w:tcMar>
              <w:top w:w="50" w:type="dxa"/>
              <w:left w:w="80" w:type="dxa"/>
              <w:bottom w:w="50" w:type="dxa"/>
              <w:right w:w="80" w:type="dxa"/>
            </w:tcMar>
          </w:tcPr>
          <w:p w14:paraId="39048B08" w14:textId="77777777" w:rsidR="0027270B" w:rsidRDefault="00000000">
            <w:pPr>
              <w:spacing w:after="0" w:line="260" w:lineRule="auto"/>
            </w:pPr>
            <w:r>
              <w:rPr>
                <w:sz w:val="20"/>
              </w:rPr>
              <w:t>Claim confirmation within 24 hours</w:t>
            </w:r>
          </w:p>
        </w:tc>
        <w:tc>
          <w:tcPr>
            <w:tcW w:w="2700" w:type="dxa"/>
            <w:tcMar>
              <w:top w:w="50" w:type="dxa"/>
              <w:left w:w="80" w:type="dxa"/>
              <w:bottom w:w="50" w:type="dxa"/>
              <w:right w:w="80" w:type="dxa"/>
            </w:tcMar>
          </w:tcPr>
          <w:p w14:paraId="7E5679C2" w14:textId="77777777" w:rsidR="0027270B" w:rsidRDefault="00000000">
            <w:pPr>
              <w:spacing w:after="0" w:line="260" w:lineRule="auto"/>
            </w:pPr>
            <w:r>
              <w:rPr>
                <w:sz w:val="20"/>
              </w:rPr>
              <w:t>90 percent or higher</w:t>
            </w:r>
          </w:p>
        </w:tc>
        <w:tc>
          <w:tcPr>
            <w:tcW w:w="1960" w:type="dxa"/>
            <w:tcMar>
              <w:top w:w="50" w:type="dxa"/>
              <w:left w:w="80" w:type="dxa"/>
              <w:bottom w:w="50" w:type="dxa"/>
              <w:right w:w="80" w:type="dxa"/>
            </w:tcMar>
          </w:tcPr>
          <w:p w14:paraId="568A0F19" w14:textId="77777777" w:rsidR="0027270B" w:rsidRDefault="00000000">
            <w:pPr>
              <w:spacing w:after="0" w:line="260" w:lineRule="auto"/>
            </w:pPr>
            <w:r>
              <w:rPr>
                <w:sz w:val="20"/>
              </w:rPr>
              <w:t>Fund records</w:t>
            </w:r>
          </w:p>
        </w:tc>
      </w:tr>
      <w:tr w:rsidR="0027270B" w14:paraId="030D471B" w14:textId="77777777">
        <w:tblPrEx>
          <w:tblCellMar>
            <w:top w:w="0" w:type="dxa"/>
            <w:bottom w:w="0" w:type="dxa"/>
          </w:tblCellMar>
        </w:tblPrEx>
        <w:tc>
          <w:tcPr>
            <w:tcW w:w="1400" w:type="dxa"/>
            <w:tcMar>
              <w:top w:w="50" w:type="dxa"/>
              <w:left w:w="80" w:type="dxa"/>
              <w:bottom w:w="50" w:type="dxa"/>
              <w:right w:w="80" w:type="dxa"/>
            </w:tcMar>
          </w:tcPr>
          <w:p w14:paraId="75F2BD68" w14:textId="77777777" w:rsidR="0027270B" w:rsidRDefault="00000000">
            <w:pPr>
              <w:spacing w:after="0" w:line="260" w:lineRule="auto"/>
            </w:pPr>
            <w:r>
              <w:rPr>
                <w:sz w:val="20"/>
              </w:rPr>
              <w:t>Finance</w:t>
            </w:r>
          </w:p>
        </w:tc>
        <w:tc>
          <w:tcPr>
            <w:tcW w:w="3300" w:type="dxa"/>
            <w:tcMar>
              <w:top w:w="50" w:type="dxa"/>
              <w:left w:w="80" w:type="dxa"/>
              <w:bottom w:w="50" w:type="dxa"/>
              <w:right w:w="80" w:type="dxa"/>
            </w:tcMar>
          </w:tcPr>
          <w:p w14:paraId="7C5929DA" w14:textId="77777777" w:rsidR="0027270B" w:rsidRDefault="00000000">
            <w:pPr>
              <w:spacing w:after="0" w:line="260" w:lineRule="auto"/>
            </w:pPr>
            <w:r>
              <w:rPr>
                <w:sz w:val="20"/>
              </w:rPr>
              <w:t>Substance Test failures</w:t>
            </w:r>
          </w:p>
        </w:tc>
        <w:tc>
          <w:tcPr>
            <w:tcW w:w="2700" w:type="dxa"/>
            <w:tcMar>
              <w:top w:w="50" w:type="dxa"/>
              <w:left w:w="80" w:type="dxa"/>
              <w:bottom w:w="50" w:type="dxa"/>
              <w:right w:w="80" w:type="dxa"/>
            </w:tcMar>
          </w:tcPr>
          <w:p w14:paraId="03A77FC4" w14:textId="77777777" w:rsidR="0027270B" w:rsidRDefault="00000000">
            <w:pPr>
              <w:spacing w:after="0" w:line="260" w:lineRule="auto"/>
            </w:pPr>
            <w:r>
              <w:rPr>
                <w:sz w:val="20"/>
              </w:rPr>
              <w:t>Zero sustained</w:t>
            </w:r>
          </w:p>
        </w:tc>
        <w:tc>
          <w:tcPr>
            <w:tcW w:w="1960" w:type="dxa"/>
            <w:tcMar>
              <w:top w:w="50" w:type="dxa"/>
              <w:left w:w="80" w:type="dxa"/>
              <w:bottom w:w="50" w:type="dxa"/>
              <w:right w:w="80" w:type="dxa"/>
            </w:tcMar>
          </w:tcPr>
          <w:p w14:paraId="4BDD4783" w14:textId="77777777" w:rsidR="0027270B" w:rsidRDefault="00000000">
            <w:pPr>
              <w:spacing w:after="0" w:line="260" w:lineRule="auto"/>
            </w:pPr>
            <w:r>
              <w:rPr>
                <w:sz w:val="20"/>
              </w:rPr>
              <w:t>Neutral Watch Office log</w:t>
            </w:r>
          </w:p>
        </w:tc>
      </w:tr>
      <w:tr w:rsidR="0027270B" w14:paraId="072C4770" w14:textId="77777777">
        <w:tblPrEx>
          <w:tblCellMar>
            <w:top w:w="0" w:type="dxa"/>
            <w:bottom w:w="0" w:type="dxa"/>
          </w:tblCellMar>
        </w:tblPrEx>
        <w:tc>
          <w:tcPr>
            <w:tcW w:w="1400" w:type="dxa"/>
            <w:tcMar>
              <w:top w:w="50" w:type="dxa"/>
              <w:left w:w="80" w:type="dxa"/>
              <w:bottom w:w="50" w:type="dxa"/>
              <w:right w:w="80" w:type="dxa"/>
            </w:tcMar>
          </w:tcPr>
          <w:p w14:paraId="2F6D9A78" w14:textId="77777777" w:rsidR="0027270B" w:rsidRDefault="00000000">
            <w:pPr>
              <w:spacing w:after="0" w:line="260" w:lineRule="auto"/>
            </w:pPr>
            <w:r>
              <w:rPr>
                <w:sz w:val="20"/>
              </w:rPr>
              <w:t>Environment</w:t>
            </w:r>
          </w:p>
        </w:tc>
        <w:tc>
          <w:tcPr>
            <w:tcW w:w="3300" w:type="dxa"/>
            <w:tcMar>
              <w:top w:w="50" w:type="dxa"/>
              <w:left w:w="80" w:type="dxa"/>
              <w:bottom w:w="50" w:type="dxa"/>
              <w:right w:w="80" w:type="dxa"/>
            </w:tcMar>
          </w:tcPr>
          <w:p w14:paraId="1ACBC843" w14:textId="77777777" w:rsidR="0027270B" w:rsidRDefault="00000000">
            <w:pPr>
              <w:spacing w:after="0" w:line="260" w:lineRule="auto"/>
            </w:pPr>
            <w:r>
              <w:rPr>
                <w:sz w:val="20"/>
              </w:rPr>
              <w:t>Pollution events with response inside 2 hours</w:t>
            </w:r>
          </w:p>
        </w:tc>
        <w:tc>
          <w:tcPr>
            <w:tcW w:w="2700" w:type="dxa"/>
            <w:tcMar>
              <w:top w:w="50" w:type="dxa"/>
              <w:left w:w="80" w:type="dxa"/>
              <w:bottom w:w="50" w:type="dxa"/>
              <w:right w:w="80" w:type="dxa"/>
            </w:tcMar>
          </w:tcPr>
          <w:p w14:paraId="16CE7494" w14:textId="77777777" w:rsidR="0027270B" w:rsidRDefault="00000000">
            <w:pPr>
              <w:spacing w:after="0" w:line="260" w:lineRule="auto"/>
            </w:pPr>
            <w:r>
              <w:rPr>
                <w:sz w:val="20"/>
              </w:rPr>
              <w:t>100 percent</w:t>
            </w:r>
          </w:p>
        </w:tc>
        <w:tc>
          <w:tcPr>
            <w:tcW w:w="1960" w:type="dxa"/>
            <w:tcMar>
              <w:top w:w="50" w:type="dxa"/>
              <w:left w:w="80" w:type="dxa"/>
              <w:bottom w:w="50" w:type="dxa"/>
              <w:right w:w="80" w:type="dxa"/>
            </w:tcMar>
          </w:tcPr>
          <w:p w14:paraId="095B1B20" w14:textId="77777777" w:rsidR="0027270B" w:rsidRDefault="00000000">
            <w:pPr>
              <w:spacing w:after="0" w:line="260" w:lineRule="auto"/>
            </w:pPr>
            <w:r>
              <w:rPr>
                <w:sz w:val="20"/>
              </w:rPr>
              <w:t>Environmental watch log</w:t>
            </w:r>
          </w:p>
        </w:tc>
      </w:tr>
      <w:tr w:rsidR="0027270B" w14:paraId="0EDA1868" w14:textId="77777777">
        <w:tblPrEx>
          <w:tblCellMar>
            <w:top w:w="0" w:type="dxa"/>
            <w:bottom w:w="0" w:type="dxa"/>
          </w:tblCellMar>
        </w:tblPrEx>
        <w:tc>
          <w:tcPr>
            <w:tcW w:w="1400" w:type="dxa"/>
            <w:tcMar>
              <w:top w:w="50" w:type="dxa"/>
              <w:left w:w="80" w:type="dxa"/>
              <w:bottom w:w="50" w:type="dxa"/>
              <w:right w:w="80" w:type="dxa"/>
            </w:tcMar>
          </w:tcPr>
          <w:p w14:paraId="48BD38A0" w14:textId="77777777" w:rsidR="0027270B" w:rsidRDefault="00000000">
            <w:pPr>
              <w:spacing w:after="0" w:line="260" w:lineRule="auto"/>
            </w:pPr>
            <w:r>
              <w:rPr>
                <w:sz w:val="20"/>
              </w:rPr>
              <w:t>Welfare</w:t>
            </w:r>
          </w:p>
        </w:tc>
        <w:tc>
          <w:tcPr>
            <w:tcW w:w="3300" w:type="dxa"/>
            <w:tcMar>
              <w:top w:w="50" w:type="dxa"/>
              <w:left w:w="80" w:type="dxa"/>
              <w:bottom w:w="50" w:type="dxa"/>
              <w:right w:w="80" w:type="dxa"/>
            </w:tcMar>
          </w:tcPr>
          <w:p w14:paraId="1E324105" w14:textId="77777777" w:rsidR="0027270B" w:rsidRDefault="00000000">
            <w:pPr>
              <w:spacing w:after="0" w:line="260" w:lineRule="auto"/>
            </w:pPr>
            <w:r>
              <w:rPr>
                <w:sz w:val="20"/>
              </w:rPr>
              <w:t>Seafarer cases closed within 14 days</w:t>
            </w:r>
          </w:p>
        </w:tc>
        <w:tc>
          <w:tcPr>
            <w:tcW w:w="2700" w:type="dxa"/>
            <w:tcMar>
              <w:top w:w="50" w:type="dxa"/>
              <w:left w:w="80" w:type="dxa"/>
              <w:bottom w:w="50" w:type="dxa"/>
              <w:right w:w="80" w:type="dxa"/>
            </w:tcMar>
          </w:tcPr>
          <w:p w14:paraId="08F53011" w14:textId="77777777" w:rsidR="0027270B" w:rsidRDefault="00000000">
            <w:pPr>
              <w:spacing w:after="0" w:line="260" w:lineRule="auto"/>
            </w:pPr>
            <w:r>
              <w:rPr>
                <w:sz w:val="20"/>
              </w:rPr>
              <w:t>90 percent or higher</w:t>
            </w:r>
          </w:p>
        </w:tc>
        <w:tc>
          <w:tcPr>
            <w:tcW w:w="1960" w:type="dxa"/>
            <w:tcMar>
              <w:top w:w="50" w:type="dxa"/>
              <w:left w:w="80" w:type="dxa"/>
              <w:bottom w:w="50" w:type="dxa"/>
              <w:right w:w="80" w:type="dxa"/>
            </w:tcMar>
          </w:tcPr>
          <w:p w14:paraId="4141A816" w14:textId="77777777" w:rsidR="0027270B" w:rsidRDefault="00000000">
            <w:pPr>
              <w:spacing w:after="0" w:line="260" w:lineRule="auto"/>
            </w:pPr>
            <w:r>
              <w:rPr>
                <w:sz w:val="20"/>
              </w:rPr>
              <w:t>Seafarer Desk records</w:t>
            </w:r>
          </w:p>
        </w:tc>
      </w:tr>
      <w:tr w:rsidR="0027270B" w14:paraId="30880FF5" w14:textId="77777777">
        <w:tblPrEx>
          <w:tblCellMar>
            <w:top w:w="0" w:type="dxa"/>
            <w:bottom w:w="0" w:type="dxa"/>
          </w:tblCellMar>
        </w:tblPrEx>
        <w:tc>
          <w:tcPr>
            <w:tcW w:w="1400" w:type="dxa"/>
            <w:tcMar>
              <w:top w:w="50" w:type="dxa"/>
              <w:left w:w="80" w:type="dxa"/>
              <w:bottom w:w="50" w:type="dxa"/>
              <w:right w:w="80" w:type="dxa"/>
            </w:tcMar>
          </w:tcPr>
          <w:p w14:paraId="5FE6FB09" w14:textId="77777777" w:rsidR="0027270B" w:rsidRDefault="00000000">
            <w:pPr>
              <w:spacing w:after="0" w:line="260" w:lineRule="auto"/>
            </w:pPr>
            <w:r>
              <w:rPr>
                <w:sz w:val="20"/>
              </w:rPr>
              <w:t>System</w:t>
            </w:r>
          </w:p>
        </w:tc>
        <w:tc>
          <w:tcPr>
            <w:tcW w:w="3300" w:type="dxa"/>
            <w:tcMar>
              <w:top w:w="50" w:type="dxa"/>
              <w:left w:w="80" w:type="dxa"/>
              <w:bottom w:w="50" w:type="dxa"/>
              <w:right w:w="80" w:type="dxa"/>
            </w:tcMar>
          </w:tcPr>
          <w:p w14:paraId="3B397D62" w14:textId="77777777" w:rsidR="0027270B" w:rsidRDefault="00000000">
            <w:pPr>
              <w:spacing w:after="0" w:line="260" w:lineRule="auto"/>
            </w:pPr>
            <w:r>
              <w:rPr>
                <w:sz w:val="20"/>
              </w:rPr>
              <w:t>Buffer corridor emergency activations</w:t>
            </w:r>
          </w:p>
        </w:tc>
        <w:tc>
          <w:tcPr>
            <w:tcW w:w="2700" w:type="dxa"/>
            <w:tcMar>
              <w:top w:w="50" w:type="dxa"/>
              <w:left w:w="80" w:type="dxa"/>
              <w:bottom w:w="50" w:type="dxa"/>
              <w:right w:w="80" w:type="dxa"/>
            </w:tcMar>
          </w:tcPr>
          <w:p w14:paraId="278BEEC5" w14:textId="77777777" w:rsidR="0027270B" w:rsidRDefault="00000000">
            <w:pPr>
              <w:spacing w:after="0" w:line="260" w:lineRule="auto"/>
            </w:pPr>
            <w:r>
              <w:rPr>
                <w:sz w:val="20"/>
              </w:rPr>
              <w:t>Trending downward</w:t>
            </w:r>
          </w:p>
        </w:tc>
        <w:tc>
          <w:tcPr>
            <w:tcW w:w="1960" w:type="dxa"/>
            <w:tcMar>
              <w:top w:w="50" w:type="dxa"/>
              <w:left w:w="80" w:type="dxa"/>
              <w:bottom w:w="50" w:type="dxa"/>
              <w:right w:w="80" w:type="dxa"/>
            </w:tcMar>
          </w:tcPr>
          <w:p w14:paraId="3E53D10F" w14:textId="77777777" w:rsidR="0027270B" w:rsidRDefault="00000000">
            <w:pPr>
              <w:spacing w:after="0" w:line="260" w:lineRule="auto"/>
            </w:pPr>
            <w:r>
              <w:rPr>
                <w:sz w:val="20"/>
              </w:rPr>
              <w:t>Diversion digest</w:t>
            </w:r>
          </w:p>
        </w:tc>
      </w:tr>
    </w:tbl>
    <w:p w14:paraId="6ED8E5DE" w14:textId="77777777" w:rsidR="0027270B" w:rsidRDefault="0027270B"/>
    <w:p w14:paraId="11F77AE0" w14:textId="77777777" w:rsidR="0027270B" w:rsidRDefault="00000000">
      <w:r>
        <w:t>D.3 The Synchronized Relief Track pairings. Pair One, Hour 24: Southern Corridor activation, paired with the lifting of United States interdiction of commercial traffic to and from Iranian ports. Pair Two, Day 14: first Stability Audit, paired with normalized port-call treatment for commercial vessels of all flags at Iranian and Omani ports. Pair Three, Day 30: median-lane clearance certification, paired with completion of the blockade drawdown for commercial traffic. Pair Four, Day 60: Layer Two activation, paired with international confirmation of unimpeded commercial access to and from the Governance Area. Each pairing executes by mirrored deposit and simultaneous release under Article 17.3.</w:t>
      </w:r>
    </w:p>
    <w:p w14:paraId="5E31955A" w14:textId="77777777" w:rsidR="0027270B" w:rsidRDefault="00000000">
      <w:r>
        <w:t>D.4 Failure handling. A gate that misses its metrics holds; the framework continues at its current layer; the failed metrics enter the remediation sprint; and the schedule re-baselines from the sprint's completion. No gate failure ever closes a corridor, because corridor operations locked at Hour 72 under the Forward Drift Archive and do not unlock.</w:t>
      </w:r>
    </w:p>
    <w:p w14:paraId="2F3B7D74" w14:textId="77777777" w:rsidR="0027270B" w:rsidRDefault="00000000">
      <w:pPr>
        <w:pStyle w:val="Heading2"/>
      </w:pPr>
      <w:bookmarkStart w:id="111" w:name="_Toc237648560"/>
      <w:r>
        <w:t>Annex E: The Blue Services Rate Card and Catalog</w:t>
      </w:r>
      <w:bookmarkEnd w:id="111"/>
    </w:p>
    <w:p w14:paraId="1848AA3A" w14:textId="77777777" w:rsidR="0027270B" w:rsidRDefault="00000000">
      <w:r>
        <w:t>E.1 The Catalog is closed. The following list contains every chargeable service under this Accord. Addition requires the Article 70.2 procedure with Twin Key concurrence and a Perimeter Test record. Everything not on this list costs nothing, forever.</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904"/>
        <w:gridCol w:w="3162"/>
        <w:gridCol w:w="1656"/>
        <w:gridCol w:w="1839"/>
        <w:gridCol w:w="1625"/>
      </w:tblGrid>
      <w:tr w:rsidR="0027270B" w14:paraId="730A9F91" w14:textId="77777777">
        <w:tblPrEx>
          <w:tblCellMar>
            <w:top w:w="0" w:type="dxa"/>
            <w:bottom w:w="0" w:type="dxa"/>
          </w:tblCellMar>
        </w:tblPrEx>
        <w:trPr>
          <w:tblHeader/>
        </w:trPr>
        <w:tc>
          <w:tcPr>
            <w:tcW w:w="1000" w:type="dxa"/>
            <w:shd w:val="clear" w:color="auto" w:fill="E8EFF4"/>
            <w:tcMar>
              <w:top w:w="60" w:type="dxa"/>
              <w:left w:w="80" w:type="dxa"/>
              <w:bottom w:w="60" w:type="dxa"/>
              <w:right w:w="80" w:type="dxa"/>
            </w:tcMar>
          </w:tcPr>
          <w:p w14:paraId="36B739CE" w14:textId="77777777" w:rsidR="0027270B" w:rsidRDefault="00000000">
            <w:pPr>
              <w:spacing w:after="0" w:line="260" w:lineRule="auto"/>
            </w:pPr>
            <w:r>
              <w:rPr>
                <w:rFonts w:cs="Calibri"/>
                <w:b/>
                <w:color w:val="1B3A5C"/>
                <w:sz w:val="20"/>
                <w:szCs w:val="20"/>
              </w:rPr>
              <w:lastRenderedPageBreak/>
              <w:t>Code</w:t>
            </w:r>
          </w:p>
        </w:tc>
        <w:tc>
          <w:tcPr>
            <w:tcW w:w="3700" w:type="dxa"/>
            <w:shd w:val="clear" w:color="auto" w:fill="E8EFF4"/>
            <w:tcMar>
              <w:top w:w="60" w:type="dxa"/>
              <w:left w:w="80" w:type="dxa"/>
              <w:bottom w:w="60" w:type="dxa"/>
              <w:right w:w="80" w:type="dxa"/>
            </w:tcMar>
          </w:tcPr>
          <w:p w14:paraId="2E31594C" w14:textId="77777777" w:rsidR="0027270B" w:rsidRDefault="00000000">
            <w:pPr>
              <w:spacing w:after="0" w:line="260" w:lineRule="auto"/>
            </w:pPr>
            <w:r>
              <w:rPr>
                <w:rFonts w:cs="Calibri"/>
                <w:b/>
                <w:color w:val="1B3A5C"/>
                <w:sz w:val="20"/>
                <w:szCs w:val="20"/>
              </w:rPr>
              <w:t>Service</w:t>
            </w:r>
          </w:p>
        </w:tc>
        <w:tc>
          <w:tcPr>
            <w:tcW w:w="1800" w:type="dxa"/>
            <w:shd w:val="clear" w:color="auto" w:fill="E8EFF4"/>
            <w:tcMar>
              <w:top w:w="60" w:type="dxa"/>
              <w:left w:w="80" w:type="dxa"/>
              <w:bottom w:w="60" w:type="dxa"/>
              <w:right w:w="80" w:type="dxa"/>
            </w:tcMar>
          </w:tcPr>
          <w:p w14:paraId="363B7AB2" w14:textId="77777777" w:rsidR="0027270B" w:rsidRDefault="00000000">
            <w:pPr>
              <w:spacing w:after="0" w:line="260" w:lineRule="auto"/>
            </w:pPr>
            <w:r>
              <w:rPr>
                <w:rFonts w:cs="Calibri"/>
                <w:b/>
                <w:color w:val="1B3A5C"/>
                <w:sz w:val="20"/>
                <w:szCs w:val="20"/>
              </w:rPr>
              <w:t>Basis</w:t>
            </w:r>
          </w:p>
        </w:tc>
        <w:tc>
          <w:tcPr>
            <w:tcW w:w="2100" w:type="dxa"/>
            <w:shd w:val="clear" w:color="auto" w:fill="E8EFF4"/>
            <w:tcMar>
              <w:top w:w="60" w:type="dxa"/>
              <w:left w:w="80" w:type="dxa"/>
              <w:bottom w:w="60" w:type="dxa"/>
              <w:right w:w="80" w:type="dxa"/>
            </w:tcMar>
          </w:tcPr>
          <w:p w14:paraId="22DEE073" w14:textId="77777777" w:rsidR="0027270B" w:rsidRDefault="00000000">
            <w:pPr>
              <w:spacing w:after="0" w:line="260" w:lineRule="auto"/>
            </w:pPr>
            <w:r>
              <w:rPr>
                <w:rFonts w:cs="Calibri"/>
                <w:b/>
                <w:color w:val="1B3A5C"/>
                <w:sz w:val="20"/>
                <w:szCs w:val="20"/>
              </w:rPr>
              <w:t>Rate principle</w:t>
            </w:r>
          </w:p>
        </w:tc>
        <w:tc>
          <w:tcPr>
            <w:tcW w:w="1760" w:type="dxa"/>
            <w:shd w:val="clear" w:color="auto" w:fill="E8EFF4"/>
            <w:tcMar>
              <w:top w:w="60" w:type="dxa"/>
              <w:left w:w="80" w:type="dxa"/>
              <w:bottom w:w="60" w:type="dxa"/>
              <w:right w:w="80" w:type="dxa"/>
            </w:tcMar>
          </w:tcPr>
          <w:p w14:paraId="5B5550D3" w14:textId="77777777" w:rsidR="0027270B" w:rsidRDefault="00000000">
            <w:pPr>
              <w:spacing w:after="0" w:line="260" w:lineRule="auto"/>
            </w:pPr>
            <w:r>
              <w:rPr>
                <w:rFonts w:cs="Calibri"/>
                <w:b/>
                <w:color w:val="1B3A5C"/>
                <w:sz w:val="20"/>
                <w:szCs w:val="20"/>
              </w:rPr>
              <w:t>Evidence</w:t>
            </w:r>
          </w:p>
        </w:tc>
      </w:tr>
      <w:tr w:rsidR="0027270B" w14:paraId="6DBBEB10" w14:textId="77777777">
        <w:tblPrEx>
          <w:tblCellMar>
            <w:top w:w="0" w:type="dxa"/>
            <w:bottom w:w="0" w:type="dxa"/>
          </w:tblCellMar>
        </w:tblPrEx>
        <w:tc>
          <w:tcPr>
            <w:tcW w:w="1000" w:type="dxa"/>
            <w:tcMar>
              <w:top w:w="50" w:type="dxa"/>
              <w:left w:w="80" w:type="dxa"/>
              <w:bottom w:w="50" w:type="dxa"/>
              <w:right w:w="80" w:type="dxa"/>
            </w:tcMar>
          </w:tcPr>
          <w:p w14:paraId="7998739C" w14:textId="77777777" w:rsidR="0027270B" w:rsidRDefault="00000000">
            <w:pPr>
              <w:spacing w:after="0" w:line="260" w:lineRule="auto"/>
            </w:pPr>
            <w:r>
              <w:rPr>
                <w:rFonts w:cs="Calibri"/>
                <w:sz w:val="20"/>
                <w:szCs w:val="20"/>
              </w:rPr>
              <w:t>SVC-01</w:t>
            </w:r>
          </w:p>
        </w:tc>
        <w:tc>
          <w:tcPr>
            <w:tcW w:w="3700" w:type="dxa"/>
            <w:tcMar>
              <w:top w:w="50" w:type="dxa"/>
              <w:left w:w="80" w:type="dxa"/>
              <w:bottom w:w="50" w:type="dxa"/>
              <w:right w:w="80" w:type="dxa"/>
            </w:tcMar>
          </w:tcPr>
          <w:p w14:paraId="68982447" w14:textId="77777777" w:rsidR="0027270B" w:rsidRDefault="00000000">
            <w:pPr>
              <w:spacing w:after="0" w:line="260" w:lineRule="auto"/>
            </w:pPr>
            <w:r>
              <w:rPr>
                <w:rFonts w:cs="Calibri"/>
                <w:sz w:val="20"/>
                <w:szCs w:val="20"/>
              </w:rPr>
              <w:t>Enhanced traffic coordination (dedicated window management)</w:t>
            </w:r>
          </w:p>
        </w:tc>
        <w:tc>
          <w:tcPr>
            <w:tcW w:w="1800" w:type="dxa"/>
            <w:tcMar>
              <w:top w:w="50" w:type="dxa"/>
              <w:left w:w="80" w:type="dxa"/>
              <w:bottom w:w="50" w:type="dxa"/>
              <w:right w:w="80" w:type="dxa"/>
            </w:tcMar>
          </w:tcPr>
          <w:p w14:paraId="2FB49455" w14:textId="77777777" w:rsidR="0027270B" w:rsidRDefault="00000000">
            <w:pPr>
              <w:spacing w:after="0" w:line="260" w:lineRule="auto"/>
            </w:pPr>
            <w:r>
              <w:rPr>
                <w:rFonts w:cs="Calibri"/>
                <w:sz w:val="20"/>
                <w:szCs w:val="20"/>
              </w:rPr>
              <w:t>Per vessel per transit</w:t>
            </w:r>
          </w:p>
        </w:tc>
        <w:tc>
          <w:tcPr>
            <w:tcW w:w="2100" w:type="dxa"/>
            <w:tcMar>
              <w:top w:w="50" w:type="dxa"/>
              <w:left w:w="80" w:type="dxa"/>
              <w:bottom w:w="50" w:type="dxa"/>
              <w:right w:w="80" w:type="dxa"/>
            </w:tcMar>
          </w:tcPr>
          <w:p w14:paraId="3DAB40DE" w14:textId="77777777" w:rsidR="0027270B" w:rsidRDefault="00000000">
            <w:pPr>
              <w:spacing w:after="0" w:line="260" w:lineRule="auto"/>
            </w:pPr>
            <w:r>
              <w:rPr>
                <w:rFonts w:cs="Calibri"/>
                <w:sz w:val="20"/>
                <w:szCs w:val="20"/>
              </w:rPr>
              <w:t>Audited cost, published band</w:t>
            </w:r>
          </w:p>
        </w:tc>
        <w:tc>
          <w:tcPr>
            <w:tcW w:w="1760" w:type="dxa"/>
            <w:tcMar>
              <w:top w:w="50" w:type="dxa"/>
              <w:left w:w="80" w:type="dxa"/>
              <w:bottom w:w="50" w:type="dxa"/>
              <w:right w:w="80" w:type="dxa"/>
            </w:tcMar>
          </w:tcPr>
          <w:p w14:paraId="6DE46321" w14:textId="77777777" w:rsidR="0027270B" w:rsidRDefault="00000000">
            <w:pPr>
              <w:spacing w:after="0" w:line="260" w:lineRule="auto"/>
            </w:pPr>
            <w:r>
              <w:rPr>
                <w:rFonts w:cs="Calibri"/>
                <w:sz w:val="20"/>
                <w:szCs w:val="20"/>
              </w:rPr>
              <w:t>Registry service log</w:t>
            </w:r>
          </w:p>
        </w:tc>
      </w:tr>
      <w:tr w:rsidR="0027270B" w14:paraId="2B4E0D0B" w14:textId="77777777">
        <w:tblPrEx>
          <w:tblCellMar>
            <w:top w:w="0" w:type="dxa"/>
            <w:bottom w:w="0" w:type="dxa"/>
          </w:tblCellMar>
        </w:tblPrEx>
        <w:tc>
          <w:tcPr>
            <w:tcW w:w="1000" w:type="dxa"/>
            <w:tcMar>
              <w:top w:w="50" w:type="dxa"/>
              <w:left w:w="80" w:type="dxa"/>
              <w:bottom w:w="50" w:type="dxa"/>
              <w:right w:w="80" w:type="dxa"/>
            </w:tcMar>
          </w:tcPr>
          <w:p w14:paraId="5D35AB3D" w14:textId="77777777" w:rsidR="0027270B" w:rsidRDefault="00000000">
            <w:pPr>
              <w:spacing w:after="0" w:line="260" w:lineRule="auto"/>
            </w:pPr>
            <w:r>
              <w:rPr>
                <w:rFonts w:cs="Calibri"/>
                <w:sz w:val="20"/>
                <w:szCs w:val="20"/>
              </w:rPr>
              <w:t>SVC-02</w:t>
            </w:r>
          </w:p>
        </w:tc>
        <w:tc>
          <w:tcPr>
            <w:tcW w:w="3700" w:type="dxa"/>
            <w:tcMar>
              <w:top w:w="50" w:type="dxa"/>
              <w:left w:w="80" w:type="dxa"/>
              <w:bottom w:w="50" w:type="dxa"/>
              <w:right w:w="80" w:type="dxa"/>
            </w:tcMar>
          </w:tcPr>
          <w:p w14:paraId="6EF728AF" w14:textId="77777777" w:rsidR="0027270B" w:rsidRDefault="00000000">
            <w:pPr>
              <w:spacing w:after="0" w:line="260" w:lineRule="auto"/>
            </w:pPr>
            <w:r>
              <w:rPr>
                <w:rFonts w:cs="Calibri"/>
                <w:sz w:val="20"/>
                <w:szCs w:val="20"/>
              </w:rPr>
              <w:t>Pilotage (on request)</w:t>
            </w:r>
          </w:p>
        </w:tc>
        <w:tc>
          <w:tcPr>
            <w:tcW w:w="1800" w:type="dxa"/>
            <w:tcMar>
              <w:top w:w="50" w:type="dxa"/>
              <w:left w:w="80" w:type="dxa"/>
              <w:bottom w:w="50" w:type="dxa"/>
              <w:right w:w="80" w:type="dxa"/>
            </w:tcMar>
          </w:tcPr>
          <w:p w14:paraId="1AE0C680" w14:textId="77777777" w:rsidR="0027270B" w:rsidRDefault="00000000">
            <w:pPr>
              <w:spacing w:after="0" w:line="260" w:lineRule="auto"/>
            </w:pPr>
            <w:r>
              <w:rPr>
                <w:rFonts w:cs="Calibri"/>
                <w:sz w:val="20"/>
                <w:szCs w:val="20"/>
              </w:rPr>
              <w:t>Per act</w:t>
            </w:r>
          </w:p>
        </w:tc>
        <w:tc>
          <w:tcPr>
            <w:tcW w:w="2100" w:type="dxa"/>
            <w:tcMar>
              <w:top w:w="50" w:type="dxa"/>
              <w:left w:w="80" w:type="dxa"/>
              <w:bottom w:w="50" w:type="dxa"/>
              <w:right w:w="80" w:type="dxa"/>
            </w:tcMar>
          </w:tcPr>
          <w:p w14:paraId="3C2BD8F8" w14:textId="77777777" w:rsidR="0027270B" w:rsidRDefault="00000000">
            <w:pPr>
              <w:spacing w:after="0" w:line="260" w:lineRule="auto"/>
            </w:pPr>
            <w:r>
              <w:rPr>
                <w:rFonts w:cs="Calibri"/>
                <w:sz w:val="20"/>
                <w:szCs w:val="20"/>
              </w:rPr>
              <w:t>Published port-scale rate</w:t>
            </w:r>
          </w:p>
        </w:tc>
        <w:tc>
          <w:tcPr>
            <w:tcW w:w="1760" w:type="dxa"/>
            <w:tcMar>
              <w:top w:w="50" w:type="dxa"/>
              <w:left w:w="80" w:type="dxa"/>
              <w:bottom w:w="50" w:type="dxa"/>
              <w:right w:w="80" w:type="dxa"/>
            </w:tcMar>
          </w:tcPr>
          <w:p w14:paraId="792F6BF8" w14:textId="77777777" w:rsidR="0027270B" w:rsidRDefault="00000000">
            <w:pPr>
              <w:spacing w:after="0" w:line="260" w:lineRule="auto"/>
            </w:pPr>
            <w:r>
              <w:rPr>
                <w:rFonts w:cs="Calibri"/>
                <w:sz w:val="20"/>
                <w:szCs w:val="20"/>
              </w:rPr>
              <w:t>Pilot certificate</w:t>
            </w:r>
          </w:p>
        </w:tc>
      </w:tr>
      <w:tr w:rsidR="0027270B" w14:paraId="04F53B0B" w14:textId="77777777">
        <w:tblPrEx>
          <w:tblCellMar>
            <w:top w:w="0" w:type="dxa"/>
            <w:bottom w:w="0" w:type="dxa"/>
          </w:tblCellMar>
        </w:tblPrEx>
        <w:tc>
          <w:tcPr>
            <w:tcW w:w="1000" w:type="dxa"/>
            <w:tcMar>
              <w:top w:w="50" w:type="dxa"/>
              <w:left w:w="80" w:type="dxa"/>
              <w:bottom w:w="50" w:type="dxa"/>
              <w:right w:w="80" w:type="dxa"/>
            </w:tcMar>
          </w:tcPr>
          <w:p w14:paraId="6C5733E3" w14:textId="77777777" w:rsidR="0027270B" w:rsidRDefault="00000000">
            <w:pPr>
              <w:spacing w:after="0" w:line="260" w:lineRule="auto"/>
            </w:pPr>
            <w:r>
              <w:rPr>
                <w:rFonts w:cs="Calibri"/>
                <w:sz w:val="20"/>
                <w:szCs w:val="20"/>
              </w:rPr>
              <w:t>SVC-03</w:t>
            </w:r>
          </w:p>
        </w:tc>
        <w:tc>
          <w:tcPr>
            <w:tcW w:w="3700" w:type="dxa"/>
            <w:tcMar>
              <w:top w:w="50" w:type="dxa"/>
              <w:left w:w="80" w:type="dxa"/>
              <w:bottom w:w="50" w:type="dxa"/>
              <w:right w:w="80" w:type="dxa"/>
            </w:tcMar>
          </w:tcPr>
          <w:p w14:paraId="686E83F3" w14:textId="77777777" w:rsidR="0027270B" w:rsidRDefault="00000000">
            <w:pPr>
              <w:spacing w:after="0" w:line="260" w:lineRule="auto"/>
            </w:pPr>
            <w:r>
              <w:rPr>
                <w:rFonts w:cs="Calibri"/>
                <w:sz w:val="20"/>
                <w:szCs w:val="20"/>
              </w:rPr>
              <w:t>Towage and escort tug (on request)</w:t>
            </w:r>
          </w:p>
        </w:tc>
        <w:tc>
          <w:tcPr>
            <w:tcW w:w="1800" w:type="dxa"/>
            <w:tcMar>
              <w:top w:w="50" w:type="dxa"/>
              <w:left w:w="80" w:type="dxa"/>
              <w:bottom w:w="50" w:type="dxa"/>
              <w:right w:w="80" w:type="dxa"/>
            </w:tcMar>
          </w:tcPr>
          <w:p w14:paraId="72C8DE1C" w14:textId="77777777" w:rsidR="0027270B" w:rsidRDefault="00000000">
            <w:pPr>
              <w:spacing w:after="0" w:line="260" w:lineRule="auto"/>
            </w:pPr>
            <w:r>
              <w:rPr>
                <w:rFonts w:cs="Calibri"/>
                <w:sz w:val="20"/>
                <w:szCs w:val="20"/>
              </w:rPr>
              <w:t>Per act</w:t>
            </w:r>
          </w:p>
        </w:tc>
        <w:tc>
          <w:tcPr>
            <w:tcW w:w="2100" w:type="dxa"/>
            <w:tcMar>
              <w:top w:w="50" w:type="dxa"/>
              <w:left w:w="80" w:type="dxa"/>
              <w:bottom w:w="50" w:type="dxa"/>
              <w:right w:w="80" w:type="dxa"/>
            </w:tcMar>
          </w:tcPr>
          <w:p w14:paraId="1EFDDA66" w14:textId="77777777" w:rsidR="0027270B" w:rsidRDefault="00000000">
            <w:pPr>
              <w:spacing w:after="0" w:line="260" w:lineRule="auto"/>
            </w:pPr>
            <w:r>
              <w:rPr>
                <w:rFonts w:cs="Calibri"/>
                <w:sz w:val="20"/>
                <w:szCs w:val="20"/>
              </w:rPr>
              <w:t>Published rate card</w:t>
            </w:r>
          </w:p>
        </w:tc>
        <w:tc>
          <w:tcPr>
            <w:tcW w:w="1760" w:type="dxa"/>
            <w:tcMar>
              <w:top w:w="50" w:type="dxa"/>
              <w:left w:w="80" w:type="dxa"/>
              <w:bottom w:w="50" w:type="dxa"/>
              <w:right w:w="80" w:type="dxa"/>
            </w:tcMar>
          </w:tcPr>
          <w:p w14:paraId="0BB04935" w14:textId="77777777" w:rsidR="0027270B" w:rsidRDefault="00000000">
            <w:pPr>
              <w:spacing w:after="0" w:line="260" w:lineRule="auto"/>
            </w:pPr>
            <w:r>
              <w:rPr>
                <w:rFonts w:cs="Calibri"/>
                <w:sz w:val="20"/>
                <w:szCs w:val="20"/>
              </w:rPr>
              <w:t>Towage log</w:t>
            </w:r>
          </w:p>
        </w:tc>
      </w:tr>
      <w:tr w:rsidR="0027270B" w14:paraId="1B8C6F30" w14:textId="77777777">
        <w:tblPrEx>
          <w:tblCellMar>
            <w:top w:w="0" w:type="dxa"/>
            <w:bottom w:w="0" w:type="dxa"/>
          </w:tblCellMar>
        </w:tblPrEx>
        <w:tc>
          <w:tcPr>
            <w:tcW w:w="1000" w:type="dxa"/>
            <w:tcMar>
              <w:top w:w="50" w:type="dxa"/>
              <w:left w:w="80" w:type="dxa"/>
              <w:bottom w:w="50" w:type="dxa"/>
              <w:right w:w="80" w:type="dxa"/>
            </w:tcMar>
          </w:tcPr>
          <w:p w14:paraId="4EE6BEBB" w14:textId="77777777" w:rsidR="0027270B" w:rsidRDefault="00000000">
            <w:pPr>
              <w:spacing w:after="0" w:line="260" w:lineRule="auto"/>
            </w:pPr>
            <w:r>
              <w:rPr>
                <w:rFonts w:cs="Calibri"/>
                <w:sz w:val="20"/>
                <w:szCs w:val="20"/>
              </w:rPr>
              <w:t>SVC-04</w:t>
            </w:r>
          </w:p>
        </w:tc>
        <w:tc>
          <w:tcPr>
            <w:tcW w:w="3700" w:type="dxa"/>
            <w:tcMar>
              <w:top w:w="50" w:type="dxa"/>
              <w:left w:w="80" w:type="dxa"/>
              <w:bottom w:w="50" w:type="dxa"/>
              <w:right w:w="80" w:type="dxa"/>
            </w:tcMar>
          </w:tcPr>
          <w:p w14:paraId="052FEC72" w14:textId="77777777" w:rsidR="0027270B" w:rsidRDefault="00000000">
            <w:pPr>
              <w:spacing w:after="0" w:line="260" w:lineRule="auto"/>
            </w:pPr>
            <w:r>
              <w:rPr>
                <w:rFonts w:cs="Calibri"/>
                <w:sz w:val="20"/>
                <w:szCs w:val="20"/>
              </w:rPr>
              <w:t>Emergency response and salvage support</w:t>
            </w:r>
          </w:p>
        </w:tc>
        <w:tc>
          <w:tcPr>
            <w:tcW w:w="1800" w:type="dxa"/>
            <w:tcMar>
              <w:top w:w="50" w:type="dxa"/>
              <w:left w:w="80" w:type="dxa"/>
              <w:bottom w:w="50" w:type="dxa"/>
              <w:right w:w="80" w:type="dxa"/>
            </w:tcMar>
          </w:tcPr>
          <w:p w14:paraId="1A8E8318" w14:textId="77777777" w:rsidR="0027270B" w:rsidRDefault="00000000">
            <w:pPr>
              <w:spacing w:after="0" w:line="260" w:lineRule="auto"/>
            </w:pPr>
            <w:r>
              <w:rPr>
                <w:rFonts w:cs="Calibri"/>
                <w:sz w:val="20"/>
                <w:szCs w:val="20"/>
              </w:rPr>
              <w:t>Per incident</w:t>
            </w:r>
          </w:p>
        </w:tc>
        <w:tc>
          <w:tcPr>
            <w:tcW w:w="2100" w:type="dxa"/>
            <w:tcMar>
              <w:top w:w="50" w:type="dxa"/>
              <w:left w:w="80" w:type="dxa"/>
              <w:bottom w:w="50" w:type="dxa"/>
              <w:right w:w="80" w:type="dxa"/>
            </w:tcMar>
          </w:tcPr>
          <w:p w14:paraId="6847F39A" w14:textId="77777777" w:rsidR="0027270B" w:rsidRDefault="00000000">
            <w:pPr>
              <w:spacing w:after="0" w:line="260" w:lineRule="auto"/>
            </w:pPr>
            <w:r>
              <w:rPr>
                <w:rFonts w:cs="Calibri"/>
                <w:sz w:val="20"/>
                <w:szCs w:val="20"/>
              </w:rPr>
              <w:t>Cost plus zero margin</w:t>
            </w:r>
          </w:p>
        </w:tc>
        <w:tc>
          <w:tcPr>
            <w:tcW w:w="1760" w:type="dxa"/>
            <w:tcMar>
              <w:top w:w="50" w:type="dxa"/>
              <w:left w:w="80" w:type="dxa"/>
              <w:bottom w:w="50" w:type="dxa"/>
              <w:right w:w="80" w:type="dxa"/>
            </w:tcMar>
          </w:tcPr>
          <w:p w14:paraId="2B594A84" w14:textId="77777777" w:rsidR="0027270B" w:rsidRDefault="00000000">
            <w:pPr>
              <w:spacing w:after="0" w:line="260" w:lineRule="auto"/>
            </w:pPr>
            <w:r>
              <w:rPr>
                <w:rFonts w:cs="Calibri"/>
                <w:sz w:val="20"/>
                <w:szCs w:val="20"/>
              </w:rPr>
              <w:t>Incident record</w:t>
            </w:r>
          </w:p>
        </w:tc>
      </w:tr>
      <w:tr w:rsidR="0027270B" w14:paraId="13660D14" w14:textId="77777777">
        <w:tblPrEx>
          <w:tblCellMar>
            <w:top w:w="0" w:type="dxa"/>
            <w:bottom w:w="0" w:type="dxa"/>
          </w:tblCellMar>
        </w:tblPrEx>
        <w:tc>
          <w:tcPr>
            <w:tcW w:w="1000" w:type="dxa"/>
            <w:tcMar>
              <w:top w:w="50" w:type="dxa"/>
              <w:left w:w="80" w:type="dxa"/>
              <w:bottom w:w="50" w:type="dxa"/>
              <w:right w:w="80" w:type="dxa"/>
            </w:tcMar>
          </w:tcPr>
          <w:p w14:paraId="759257FB" w14:textId="77777777" w:rsidR="0027270B" w:rsidRDefault="00000000">
            <w:pPr>
              <w:spacing w:after="0" w:line="260" w:lineRule="auto"/>
            </w:pPr>
            <w:r>
              <w:rPr>
                <w:rFonts w:cs="Calibri"/>
                <w:sz w:val="20"/>
                <w:szCs w:val="20"/>
              </w:rPr>
              <w:t>SVC-05</w:t>
            </w:r>
          </w:p>
        </w:tc>
        <w:tc>
          <w:tcPr>
            <w:tcW w:w="3700" w:type="dxa"/>
            <w:tcMar>
              <w:top w:w="50" w:type="dxa"/>
              <w:left w:w="80" w:type="dxa"/>
              <w:bottom w:w="50" w:type="dxa"/>
              <w:right w:w="80" w:type="dxa"/>
            </w:tcMar>
          </w:tcPr>
          <w:p w14:paraId="0A462655" w14:textId="77777777" w:rsidR="0027270B" w:rsidRDefault="00000000">
            <w:pPr>
              <w:spacing w:after="0" w:line="260" w:lineRule="auto"/>
            </w:pPr>
            <w:r>
              <w:rPr>
                <w:rFonts w:cs="Calibri"/>
                <w:sz w:val="20"/>
                <w:szCs w:val="20"/>
              </w:rPr>
              <w:t>Environmental monitoring beyond baseline (dedicated sampling, reporting)</w:t>
            </w:r>
          </w:p>
        </w:tc>
        <w:tc>
          <w:tcPr>
            <w:tcW w:w="1800" w:type="dxa"/>
            <w:tcMar>
              <w:top w:w="50" w:type="dxa"/>
              <w:left w:w="80" w:type="dxa"/>
              <w:bottom w:w="50" w:type="dxa"/>
              <w:right w:w="80" w:type="dxa"/>
            </w:tcMar>
          </w:tcPr>
          <w:p w14:paraId="40393EF4" w14:textId="77777777" w:rsidR="0027270B" w:rsidRDefault="00000000">
            <w:pPr>
              <w:spacing w:after="0" w:line="260" w:lineRule="auto"/>
            </w:pPr>
            <w:r>
              <w:rPr>
                <w:rFonts w:cs="Calibri"/>
                <w:sz w:val="20"/>
                <w:szCs w:val="20"/>
              </w:rPr>
              <w:t>Per assignment</w:t>
            </w:r>
          </w:p>
        </w:tc>
        <w:tc>
          <w:tcPr>
            <w:tcW w:w="2100" w:type="dxa"/>
            <w:tcMar>
              <w:top w:w="50" w:type="dxa"/>
              <w:left w:w="80" w:type="dxa"/>
              <w:bottom w:w="50" w:type="dxa"/>
              <w:right w:w="80" w:type="dxa"/>
            </w:tcMar>
          </w:tcPr>
          <w:p w14:paraId="6F30F9B1" w14:textId="77777777" w:rsidR="0027270B" w:rsidRDefault="00000000">
            <w:pPr>
              <w:spacing w:after="0" w:line="260" w:lineRule="auto"/>
            </w:pPr>
            <w:r>
              <w:rPr>
                <w:rFonts w:cs="Calibri"/>
                <w:sz w:val="20"/>
                <w:szCs w:val="20"/>
              </w:rPr>
              <w:t>Audited cost</w:t>
            </w:r>
          </w:p>
        </w:tc>
        <w:tc>
          <w:tcPr>
            <w:tcW w:w="1760" w:type="dxa"/>
            <w:tcMar>
              <w:top w:w="50" w:type="dxa"/>
              <w:left w:w="80" w:type="dxa"/>
              <w:bottom w:w="50" w:type="dxa"/>
              <w:right w:w="80" w:type="dxa"/>
            </w:tcMar>
          </w:tcPr>
          <w:p w14:paraId="44E80073" w14:textId="77777777" w:rsidR="0027270B" w:rsidRDefault="00000000">
            <w:pPr>
              <w:spacing w:after="0" w:line="260" w:lineRule="auto"/>
            </w:pPr>
            <w:r>
              <w:rPr>
                <w:rFonts w:cs="Calibri"/>
                <w:sz w:val="20"/>
                <w:szCs w:val="20"/>
              </w:rPr>
              <w:t>Lab and sensor records</w:t>
            </w:r>
          </w:p>
        </w:tc>
      </w:tr>
      <w:tr w:rsidR="0027270B" w14:paraId="5633F311" w14:textId="77777777">
        <w:tblPrEx>
          <w:tblCellMar>
            <w:top w:w="0" w:type="dxa"/>
            <w:bottom w:w="0" w:type="dxa"/>
          </w:tblCellMar>
        </w:tblPrEx>
        <w:tc>
          <w:tcPr>
            <w:tcW w:w="1000" w:type="dxa"/>
            <w:tcMar>
              <w:top w:w="50" w:type="dxa"/>
              <w:left w:w="80" w:type="dxa"/>
              <w:bottom w:w="50" w:type="dxa"/>
              <w:right w:w="80" w:type="dxa"/>
            </w:tcMar>
          </w:tcPr>
          <w:p w14:paraId="4D106ED0" w14:textId="77777777" w:rsidR="0027270B" w:rsidRDefault="00000000">
            <w:pPr>
              <w:spacing w:after="0" w:line="260" w:lineRule="auto"/>
            </w:pPr>
            <w:r>
              <w:rPr>
                <w:rFonts w:cs="Calibri"/>
                <w:sz w:val="20"/>
                <w:szCs w:val="20"/>
              </w:rPr>
              <w:t>SVC-06</w:t>
            </w:r>
          </w:p>
        </w:tc>
        <w:tc>
          <w:tcPr>
            <w:tcW w:w="3700" w:type="dxa"/>
            <w:tcMar>
              <w:top w:w="50" w:type="dxa"/>
              <w:left w:w="80" w:type="dxa"/>
              <w:bottom w:w="50" w:type="dxa"/>
              <w:right w:w="80" w:type="dxa"/>
            </w:tcMar>
          </w:tcPr>
          <w:p w14:paraId="0A780466" w14:textId="77777777" w:rsidR="0027270B" w:rsidRDefault="00000000">
            <w:pPr>
              <w:spacing w:after="0" w:line="260" w:lineRule="auto"/>
            </w:pPr>
            <w:r>
              <w:rPr>
                <w:rFonts w:cs="Calibri"/>
                <w:sz w:val="20"/>
                <w:szCs w:val="20"/>
              </w:rPr>
              <w:t>Search and rescue readiness allocation (dedicated standby)</w:t>
            </w:r>
          </w:p>
        </w:tc>
        <w:tc>
          <w:tcPr>
            <w:tcW w:w="1800" w:type="dxa"/>
            <w:tcMar>
              <w:top w:w="50" w:type="dxa"/>
              <w:left w:w="80" w:type="dxa"/>
              <w:bottom w:w="50" w:type="dxa"/>
              <w:right w:w="80" w:type="dxa"/>
            </w:tcMar>
          </w:tcPr>
          <w:p w14:paraId="394D6092" w14:textId="77777777" w:rsidR="0027270B" w:rsidRDefault="00000000">
            <w:pPr>
              <w:spacing w:after="0" w:line="260" w:lineRule="auto"/>
            </w:pPr>
            <w:r>
              <w:rPr>
                <w:rFonts w:cs="Calibri"/>
                <w:sz w:val="20"/>
                <w:szCs w:val="20"/>
              </w:rPr>
              <w:t>Per vessel per day</w:t>
            </w:r>
          </w:p>
        </w:tc>
        <w:tc>
          <w:tcPr>
            <w:tcW w:w="2100" w:type="dxa"/>
            <w:tcMar>
              <w:top w:w="50" w:type="dxa"/>
              <w:left w:w="80" w:type="dxa"/>
              <w:bottom w:w="50" w:type="dxa"/>
              <w:right w:w="80" w:type="dxa"/>
            </w:tcMar>
          </w:tcPr>
          <w:p w14:paraId="687E9E9F" w14:textId="77777777" w:rsidR="0027270B" w:rsidRDefault="00000000">
            <w:pPr>
              <w:spacing w:after="0" w:line="260" w:lineRule="auto"/>
            </w:pPr>
            <w:r>
              <w:rPr>
                <w:rFonts w:cs="Calibri"/>
                <w:sz w:val="20"/>
                <w:szCs w:val="20"/>
              </w:rPr>
              <w:t>Audited cost share</w:t>
            </w:r>
          </w:p>
        </w:tc>
        <w:tc>
          <w:tcPr>
            <w:tcW w:w="1760" w:type="dxa"/>
            <w:tcMar>
              <w:top w:w="50" w:type="dxa"/>
              <w:left w:w="80" w:type="dxa"/>
              <w:bottom w:w="50" w:type="dxa"/>
              <w:right w:w="80" w:type="dxa"/>
            </w:tcMar>
          </w:tcPr>
          <w:p w14:paraId="5C9834F1" w14:textId="77777777" w:rsidR="0027270B" w:rsidRDefault="00000000">
            <w:pPr>
              <w:spacing w:after="0" w:line="260" w:lineRule="auto"/>
            </w:pPr>
            <w:r>
              <w:rPr>
                <w:rFonts w:cs="Calibri"/>
                <w:sz w:val="20"/>
                <w:szCs w:val="20"/>
              </w:rPr>
              <w:t>Standby roster</w:t>
            </w:r>
          </w:p>
        </w:tc>
      </w:tr>
      <w:tr w:rsidR="0027270B" w14:paraId="51B5E5D2" w14:textId="77777777">
        <w:tblPrEx>
          <w:tblCellMar>
            <w:top w:w="0" w:type="dxa"/>
            <w:bottom w:w="0" w:type="dxa"/>
          </w:tblCellMar>
        </w:tblPrEx>
        <w:tc>
          <w:tcPr>
            <w:tcW w:w="1000" w:type="dxa"/>
            <w:tcMar>
              <w:top w:w="50" w:type="dxa"/>
              <w:left w:w="80" w:type="dxa"/>
              <w:bottom w:w="50" w:type="dxa"/>
              <w:right w:w="80" w:type="dxa"/>
            </w:tcMar>
          </w:tcPr>
          <w:p w14:paraId="2200B423" w14:textId="77777777" w:rsidR="0027270B" w:rsidRDefault="00000000">
            <w:pPr>
              <w:spacing w:after="0" w:line="260" w:lineRule="auto"/>
            </w:pPr>
            <w:r>
              <w:rPr>
                <w:rFonts w:cs="Calibri"/>
                <w:sz w:val="20"/>
                <w:szCs w:val="20"/>
              </w:rPr>
              <w:t>SVC-07</w:t>
            </w:r>
          </w:p>
        </w:tc>
        <w:tc>
          <w:tcPr>
            <w:tcW w:w="3700" w:type="dxa"/>
            <w:tcMar>
              <w:top w:w="50" w:type="dxa"/>
              <w:left w:w="80" w:type="dxa"/>
              <w:bottom w:w="50" w:type="dxa"/>
              <w:right w:w="80" w:type="dxa"/>
            </w:tcMar>
          </w:tcPr>
          <w:p w14:paraId="100B57D8" w14:textId="77777777" w:rsidR="0027270B" w:rsidRDefault="00000000">
            <w:pPr>
              <w:spacing w:after="0" w:line="260" w:lineRule="auto"/>
            </w:pPr>
            <w:r>
              <w:rPr>
                <w:rFonts w:cs="Calibri"/>
                <w:sz w:val="20"/>
                <w:szCs w:val="20"/>
              </w:rPr>
              <w:t>Route assurance data products (premium analytics, forecasts)</w:t>
            </w:r>
          </w:p>
        </w:tc>
        <w:tc>
          <w:tcPr>
            <w:tcW w:w="1800" w:type="dxa"/>
            <w:tcMar>
              <w:top w:w="50" w:type="dxa"/>
              <w:left w:w="80" w:type="dxa"/>
              <w:bottom w:w="50" w:type="dxa"/>
              <w:right w:w="80" w:type="dxa"/>
            </w:tcMar>
          </w:tcPr>
          <w:p w14:paraId="1E35A4A1" w14:textId="77777777" w:rsidR="0027270B" w:rsidRDefault="00000000">
            <w:pPr>
              <w:spacing w:after="0" w:line="260" w:lineRule="auto"/>
            </w:pPr>
            <w:r>
              <w:rPr>
                <w:rFonts w:cs="Calibri"/>
                <w:sz w:val="20"/>
                <w:szCs w:val="20"/>
              </w:rPr>
              <w:t>Subscription</w:t>
            </w:r>
          </w:p>
        </w:tc>
        <w:tc>
          <w:tcPr>
            <w:tcW w:w="2100" w:type="dxa"/>
            <w:tcMar>
              <w:top w:w="50" w:type="dxa"/>
              <w:left w:w="80" w:type="dxa"/>
              <w:bottom w:w="50" w:type="dxa"/>
              <w:right w:w="80" w:type="dxa"/>
            </w:tcMar>
          </w:tcPr>
          <w:p w14:paraId="0AF97FF2" w14:textId="77777777" w:rsidR="0027270B" w:rsidRDefault="00000000">
            <w:pPr>
              <w:spacing w:after="0" w:line="260" w:lineRule="auto"/>
            </w:pPr>
            <w:r>
              <w:rPr>
                <w:rFonts w:cs="Calibri"/>
                <w:sz w:val="20"/>
                <w:szCs w:val="20"/>
              </w:rPr>
              <w:t>Published tiers</w:t>
            </w:r>
          </w:p>
        </w:tc>
        <w:tc>
          <w:tcPr>
            <w:tcW w:w="1760" w:type="dxa"/>
            <w:tcMar>
              <w:top w:w="50" w:type="dxa"/>
              <w:left w:w="80" w:type="dxa"/>
              <w:bottom w:w="50" w:type="dxa"/>
              <w:right w:w="80" w:type="dxa"/>
            </w:tcMar>
          </w:tcPr>
          <w:p w14:paraId="20AE1705" w14:textId="77777777" w:rsidR="0027270B" w:rsidRDefault="00000000">
            <w:pPr>
              <w:spacing w:after="0" w:line="260" w:lineRule="auto"/>
            </w:pPr>
            <w:r>
              <w:rPr>
                <w:rFonts w:cs="Calibri"/>
                <w:sz w:val="20"/>
                <w:szCs w:val="20"/>
              </w:rPr>
              <w:t>Subscription record</w:t>
            </w:r>
          </w:p>
        </w:tc>
      </w:tr>
      <w:tr w:rsidR="0027270B" w14:paraId="469BCE12" w14:textId="77777777">
        <w:tblPrEx>
          <w:tblCellMar>
            <w:top w:w="0" w:type="dxa"/>
            <w:bottom w:w="0" w:type="dxa"/>
          </w:tblCellMar>
        </w:tblPrEx>
        <w:tc>
          <w:tcPr>
            <w:tcW w:w="1000" w:type="dxa"/>
            <w:tcMar>
              <w:top w:w="50" w:type="dxa"/>
              <w:left w:w="80" w:type="dxa"/>
              <w:bottom w:w="50" w:type="dxa"/>
              <w:right w:w="80" w:type="dxa"/>
            </w:tcMar>
          </w:tcPr>
          <w:p w14:paraId="4A3E7C4F" w14:textId="77777777" w:rsidR="0027270B" w:rsidRDefault="00000000">
            <w:pPr>
              <w:spacing w:after="0" w:line="260" w:lineRule="auto"/>
            </w:pPr>
            <w:r>
              <w:rPr>
                <w:rFonts w:cs="Calibri"/>
                <w:sz w:val="20"/>
                <w:szCs w:val="20"/>
              </w:rPr>
              <w:t>SVC-08</w:t>
            </w:r>
          </w:p>
        </w:tc>
        <w:tc>
          <w:tcPr>
            <w:tcW w:w="3700" w:type="dxa"/>
            <w:tcMar>
              <w:top w:w="50" w:type="dxa"/>
              <w:left w:w="80" w:type="dxa"/>
              <w:bottom w:w="50" w:type="dxa"/>
              <w:right w:w="80" w:type="dxa"/>
            </w:tcMar>
          </w:tcPr>
          <w:p w14:paraId="5A33C66D" w14:textId="77777777" w:rsidR="0027270B" w:rsidRDefault="00000000">
            <w:pPr>
              <w:spacing w:after="0" w:line="260" w:lineRule="auto"/>
            </w:pPr>
            <w:r>
              <w:rPr>
                <w:rFonts w:cs="Calibri"/>
                <w:sz w:val="20"/>
                <w:szCs w:val="20"/>
              </w:rPr>
              <w:t>Crew-change facilitation (launches, windows, clearance support)</w:t>
            </w:r>
          </w:p>
        </w:tc>
        <w:tc>
          <w:tcPr>
            <w:tcW w:w="1800" w:type="dxa"/>
            <w:tcMar>
              <w:top w:w="50" w:type="dxa"/>
              <w:left w:w="80" w:type="dxa"/>
              <w:bottom w:w="50" w:type="dxa"/>
              <w:right w:w="80" w:type="dxa"/>
            </w:tcMar>
          </w:tcPr>
          <w:p w14:paraId="0F503ABD" w14:textId="77777777" w:rsidR="0027270B" w:rsidRDefault="00000000">
            <w:pPr>
              <w:spacing w:after="0" w:line="260" w:lineRule="auto"/>
            </w:pPr>
            <w:r>
              <w:rPr>
                <w:rFonts w:cs="Calibri"/>
                <w:sz w:val="20"/>
                <w:szCs w:val="20"/>
              </w:rPr>
              <w:t>Per movement</w:t>
            </w:r>
          </w:p>
        </w:tc>
        <w:tc>
          <w:tcPr>
            <w:tcW w:w="2100" w:type="dxa"/>
            <w:tcMar>
              <w:top w:w="50" w:type="dxa"/>
              <w:left w:w="80" w:type="dxa"/>
              <w:bottom w:w="50" w:type="dxa"/>
              <w:right w:w="80" w:type="dxa"/>
            </w:tcMar>
          </w:tcPr>
          <w:p w14:paraId="13EA10CC" w14:textId="77777777" w:rsidR="0027270B" w:rsidRDefault="00000000">
            <w:pPr>
              <w:spacing w:after="0" w:line="260" w:lineRule="auto"/>
            </w:pPr>
            <w:r>
              <w:rPr>
                <w:rFonts w:cs="Calibri"/>
                <w:sz w:val="20"/>
                <w:szCs w:val="20"/>
              </w:rPr>
              <w:t>Audited cost</w:t>
            </w:r>
          </w:p>
        </w:tc>
        <w:tc>
          <w:tcPr>
            <w:tcW w:w="1760" w:type="dxa"/>
            <w:tcMar>
              <w:top w:w="50" w:type="dxa"/>
              <w:left w:w="80" w:type="dxa"/>
              <w:bottom w:w="50" w:type="dxa"/>
              <w:right w:w="80" w:type="dxa"/>
            </w:tcMar>
          </w:tcPr>
          <w:p w14:paraId="15931510" w14:textId="77777777" w:rsidR="0027270B" w:rsidRDefault="00000000">
            <w:pPr>
              <w:spacing w:after="0" w:line="260" w:lineRule="auto"/>
            </w:pPr>
            <w:r>
              <w:rPr>
                <w:rFonts w:cs="Calibri"/>
                <w:sz w:val="20"/>
                <w:szCs w:val="20"/>
              </w:rPr>
              <w:t>Seafarer Desk log</w:t>
            </w:r>
          </w:p>
        </w:tc>
      </w:tr>
      <w:tr w:rsidR="0027270B" w14:paraId="463C8240" w14:textId="77777777">
        <w:tblPrEx>
          <w:tblCellMar>
            <w:top w:w="0" w:type="dxa"/>
            <w:bottom w:w="0" w:type="dxa"/>
          </w:tblCellMar>
        </w:tblPrEx>
        <w:tc>
          <w:tcPr>
            <w:tcW w:w="1000" w:type="dxa"/>
            <w:tcMar>
              <w:top w:w="50" w:type="dxa"/>
              <w:left w:w="80" w:type="dxa"/>
              <w:bottom w:w="50" w:type="dxa"/>
              <w:right w:w="80" w:type="dxa"/>
            </w:tcMar>
          </w:tcPr>
          <w:p w14:paraId="623D5869" w14:textId="77777777" w:rsidR="0027270B" w:rsidRDefault="00000000">
            <w:pPr>
              <w:spacing w:after="0" w:line="260" w:lineRule="auto"/>
            </w:pPr>
            <w:r>
              <w:rPr>
                <w:rFonts w:cs="Calibri"/>
                <w:sz w:val="20"/>
                <w:szCs w:val="20"/>
              </w:rPr>
              <w:t>SVC-09</w:t>
            </w:r>
          </w:p>
        </w:tc>
        <w:tc>
          <w:tcPr>
            <w:tcW w:w="3700" w:type="dxa"/>
            <w:tcMar>
              <w:top w:w="50" w:type="dxa"/>
              <w:left w:w="80" w:type="dxa"/>
              <w:bottom w:w="50" w:type="dxa"/>
              <w:right w:w="80" w:type="dxa"/>
            </w:tcMar>
          </w:tcPr>
          <w:p w14:paraId="6675A61C" w14:textId="77777777" w:rsidR="0027270B" w:rsidRDefault="00000000">
            <w:pPr>
              <w:spacing w:after="0" w:line="260" w:lineRule="auto"/>
            </w:pPr>
            <w:r>
              <w:rPr>
                <w:rFonts w:cs="Calibri"/>
                <w:sz w:val="20"/>
                <w:szCs w:val="20"/>
              </w:rPr>
              <w:t>Hazardous cargo escort and monitoring (on request)</w:t>
            </w:r>
          </w:p>
        </w:tc>
        <w:tc>
          <w:tcPr>
            <w:tcW w:w="1800" w:type="dxa"/>
            <w:tcMar>
              <w:top w:w="50" w:type="dxa"/>
              <w:left w:w="80" w:type="dxa"/>
              <w:bottom w:w="50" w:type="dxa"/>
              <w:right w:w="80" w:type="dxa"/>
            </w:tcMar>
          </w:tcPr>
          <w:p w14:paraId="4A726493" w14:textId="77777777" w:rsidR="0027270B" w:rsidRDefault="00000000">
            <w:pPr>
              <w:spacing w:after="0" w:line="260" w:lineRule="auto"/>
            </w:pPr>
            <w:r>
              <w:rPr>
                <w:rFonts w:cs="Calibri"/>
                <w:sz w:val="20"/>
                <w:szCs w:val="20"/>
              </w:rPr>
              <w:t>Per transit</w:t>
            </w:r>
          </w:p>
        </w:tc>
        <w:tc>
          <w:tcPr>
            <w:tcW w:w="2100" w:type="dxa"/>
            <w:tcMar>
              <w:top w:w="50" w:type="dxa"/>
              <w:left w:w="80" w:type="dxa"/>
              <w:bottom w:w="50" w:type="dxa"/>
              <w:right w:w="80" w:type="dxa"/>
            </w:tcMar>
          </w:tcPr>
          <w:p w14:paraId="21894487" w14:textId="77777777" w:rsidR="0027270B" w:rsidRDefault="00000000">
            <w:pPr>
              <w:spacing w:after="0" w:line="260" w:lineRule="auto"/>
            </w:pPr>
            <w:r>
              <w:rPr>
                <w:rFonts w:cs="Calibri"/>
                <w:sz w:val="20"/>
                <w:szCs w:val="20"/>
              </w:rPr>
              <w:t>Audited cost</w:t>
            </w:r>
          </w:p>
        </w:tc>
        <w:tc>
          <w:tcPr>
            <w:tcW w:w="1760" w:type="dxa"/>
            <w:tcMar>
              <w:top w:w="50" w:type="dxa"/>
              <w:left w:w="80" w:type="dxa"/>
              <w:bottom w:w="50" w:type="dxa"/>
              <w:right w:w="80" w:type="dxa"/>
            </w:tcMar>
          </w:tcPr>
          <w:p w14:paraId="2A16C2D1" w14:textId="77777777" w:rsidR="0027270B" w:rsidRDefault="00000000">
            <w:pPr>
              <w:spacing w:after="0" w:line="260" w:lineRule="auto"/>
            </w:pPr>
            <w:r>
              <w:rPr>
                <w:rFonts w:cs="Calibri"/>
                <w:sz w:val="20"/>
                <w:szCs w:val="20"/>
              </w:rPr>
              <w:t>Escort record</w:t>
            </w:r>
          </w:p>
        </w:tc>
      </w:tr>
      <w:tr w:rsidR="0027270B" w14:paraId="38D6AF2D" w14:textId="77777777">
        <w:tblPrEx>
          <w:tblCellMar>
            <w:top w:w="0" w:type="dxa"/>
            <w:bottom w:w="0" w:type="dxa"/>
          </w:tblCellMar>
        </w:tblPrEx>
        <w:tc>
          <w:tcPr>
            <w:tcW w:w="1000" w:type="dxa"/>
            <w:tcMar>
              <w:top w:w="50" w:type="dxa"/>
              <w:left w:w="80" w:type="dxa"/>
              <w:bottom w:w="50" w:type="dxa"/>
              <w:right w:w="80" w:type="dxa"/>
            </w:tcMar>
          </w:tcPr>
          <w:p w14:paraId="1A5D9F2E" w14:textId="77777777" w:rsidR="0027270B" w:rsidRDefault="00000000">
            <w:pPr>
              <w:spacing w:after="0" w:line="260" w:lineRule="auto"/>
            </w:pPr>
            <w:r>
              <w:rPr>
                <w:rFonts w:cs="Calibri"/>
                <w:sz w:val="20"/>
                <w:szCs w:val="20"/>
              </w:rPr>
              <w:t>SVC-10</w:t>
            </w:r>
          </w:p>
        </w:tc>
        <w:tc>
          <w:tcPr>
            <w:tcW w:w="3700" w:type="dxa"/>
            <w:tcMar>
              <w:top w:w="50" w:type="dxa"/>
              <w:left w:w="80" w:type="dxa"/>
              <w:bottom w:w="50" w:type="dxa"/>
              <w:right w:w="80" w:type="dxa"/>
            </w:tcMar>
          </w:tcPr>
          <w:p w14:paraId="14B05798" w14:textId="77777777" w:rsidR="0027270B" w:rsidRDefault="00000000">
            <w:pPr>
              <w:spacing w:after="0" w:line="260" w:lineRule="auto"/>
            </w:pPr>
            <w:r>
              <w:rPr>
                <w:rFonts w:cs="Calibri"/>
                <w:sz w:val="20"/>
                <w:szCs w:val="20"/>
              </w:rPr>
              <w:t>Survey and chart data services (bathymetry, Notice to Mariners support)</w:t>
            </w:r>
          </w:p>
        </w:tc>
        <w:tc>
          <w:tcPr>
            <w:tcW w:w="1800" w:type="dxa"/>
            <w:tcMar>
              <w:top w:w="50" w:type="dxa"/>
              <w:left w:w="80" w:type="dxa"/>
              <w:bottom w:w="50" w:type="dxa"/>
              <w:right w:w="80" w:type="dxa"/>
            </w:tcMar>
          </w:tcPr>
          <w:p w14:paraId="4C1D1851" w14:textId="77777777" w:rsidR="0027270B" w:rsidRDefault="00000000">
            <w:pPr>
              <w:spacing w:after="0" w:line="260" w:lineRule="auto"/>
            </w:pPr>
            <w:r>
              <w:rPr>
                <w:rFonts w:cs="Calibri"/>
                <w:sz w:val="20"/>
                <w:szCs w:val="20"/>
              </w:rPr>
              <w:t>Subscription</w:t>
            </w:r>
          </w:p>
        </w:tc>
        <w:tc>
          <w:tcPr>
            <w:tcW w:w="2100" w:type="dxa"/>
            <w:tcMar>
              <w:top w:w="50" w:type="dxa"/>
              <w:left w:w="80" w:type="dxa"/>
              <w:bottom w:w="50" w:type="dxa"/>
              <w:right w:w="80" w:type="dxa"/>
            </w:tcMar>
          </w:tcPr>
          <w:p w14:paraId="133ABAD0" w14:textId="77777777" w:rsidR="0027270B" w:rsidRDefault="00000000">
            <w:pPr>
              <w:spacing w:after="0" w:line="260" w:lineRule="auto"/>
            </w:pPr>
            <w:r>
              <w:rPr>
                <w:rFonts w:cs="Calibri"/>
                <w:sz w:val="20"/>
                <w:szCs w:val="20"/>
              </w:rPr>
              <w:t>Published tiers</w:t>
            </w:r>
          </w:p>
        </w:tc>
        <w:tc>
          <w:tcPr>
            <w:tcW w:w="1760" w:type="dxa"/>
            <w:tcMar>
              <w:top w:w="50" w:type="dxa"/>
              <w:left w:w="80" w:type="dxa"/>
              <w:bottom w:w="50" w:type="dxa"/>
              <w:right w:w="80" w:type="dxa"/>
            </w:tcMar>
          </w:tcPr>
          <w:p w14:paraId="4F1D79CE" w14:textId="77777777" w:rsidR="0027270B" w:rsidRDefault="00000000">
            <w:pPr>
              <w:spacing w:after="0" w:line="260" w:lineRule="auto"/>
            </w:pPr>
            <w:r>
              <w:rPr>
                <w:rFonts w:cs="Calibri"/>
                <w:sz w:val="20"/>
                <w:szCs w:val="20"/>
              </w:rPr>
              <w:t>Delivery record</w:t>
            </w:r>
          </w:p>
        </w:tc>
      </w:tr>
    </w:tbl>
    <w:p w14:paraId="1F0B14EF" w14:textId="77777777" w:rsidR="0027270B" w:rsidRDefault="0027270B"/>
    <w:p w14:paraId="072EE886" w14:textId="77777777" w:rsidR="0027270B" w:rsidRDefault="00000000">
      <w:r>
        <w:rPr>
          <w:rFonts w:cs="Calibri"/>
          <w:szCs w:val="21"/>
        </w:rPr>
        <w:t>E.2 Rate principles. Every rate equals audited cost within a published band. The Fund's board sets rates inside the bands on the Neutral Watch Office's cost verification, with sixty days' notice, never more than once per year, never retroactively. Baseline functions cost nothing: the Filing, the acknowledgment, corridor guidance, the Blue Beacon, non-interdiction protection, and standard convoy participation are free, always.</w:t>
      </w:r>
    </w:p>
    <w:p w14:paraId="2D9B0C09" w14:textId="77777777" w:rsidR="0027270B" w:rsidRDefault="00000000">
      <w:r>
        <w:rPr>
          <w:rFonts w:cs="Calibri"/>
          <w:szCs w:val="21"/>
        </w:rPr>
        <w:t>E.3 The Heavy-User Cap. No operator's aggregate annual Catalog reimbursements exceed the cap published in Annex O, set at the cost of the operator's twenty highest-use vessels' average consumption. The cap converts service costs into a predictable ceiling for the largest fleets, and the Fund publishes every operator class's utilization quarterly.</w:t>
      </w:r>
    </w:p>
    <w:p w14:paraId="30298751" w14:textId="77777777" w:rsidR="0027270B" w:rsidRDefault="00000000">
      <w:r>
        <w:rPr>
          <w:rFonts w:cs="Calibri"/>
          <w:szCs w:val="21"/>
        </w:rPr>
        <w:t>E.4 The Green Discount. Vessels certified to Annex S emissions standards receive twenty percent off Catalog reimbursements; vessels certified to the enhanced standard receive the discount plus convoy-window priority. The discount funds itself through the Insurance Channel's green allocation, so the incentive never starves the Fund.</w:t>
      </w:r>
    </w:p>
    <w:p w14:paraId="4439044B" w14:textId="77777777" w:rsidR="0027270B" w:rsidRDefault="00000000">
      <w:r>
        <w:rPr>
          <w:rFonts w:cs="Calibri"/>
          <w:szCs w:val="21"/>
        </w:rPr>
        <w:t>E.5 The Performance Bond option. An operator posts a refundable bond with the Fund and draws services against it, with quarterly settlement and full interest on the balance. The bond replaces per-act payment friction with an account relationship, and the Fund returns the bond in full on thirty days' notice, less verified outstanding claims.</w:t>
      </w:r>
    </w:p>
    <w:p w14:paraId="5A66913A" w14:textId="77777777" w:rsidR="0027270B" w:rsidRDefault="00000000">
      <w:r>
        <w:rPr>
          <w:rFonts w:cs="Calibri"/>
          <w:szCs w:val="21"/>
        </w:rPr>
        <w:lastRenderedPageBreak/>
        <w:t>E.6 The Voluntary Stewardship Pledge. In the Malacca tradition, states, ports, carriers, and cargo interests pledge voluntary contributions to the Fund's stewardship purposes: safety infrastructure, environmental protection, and seafarer welfare. Pledges publish, deliver recognition, and carry no service entitlement and no passage condition. The pledge channel exists for those who wish to invest in the Strait beyond what they consume, and the framework honors them publicly on the portal.</w:t>
      </w:r>
    </w:p>
    <w:p w14:paraId="2BDE5210" w14:textId="77777777" w:rsidR="0027270B" w:rsidRDefault="00000000">
      <w:r>
        <w:rPr>
          <w:rFonts w:cs="Calibri"/>
          <w:szCs w:val="21"/>
        </w:rPr>
        <w:t>E.7 Claims and reimbursement. Service providers claim through the Cothrom Blue procedure of Annex J: claim filed within twenty-four hours of delivery, with evidence; golden-record confirmation; challenge window of forty-eight hours; reimbursement from the Fund at the Catalog rate within seven days of confirmation. Bundled claims cover repetitive services across a period. The Shared Digital Registry logs every claim, confirmation, challenge, and payment.</w:t>
      </w:r>
    </w:p>
    <w:p w14:paraId="0AFEEA2F" w14:textId="77777777" w:rsidR="0027270B" w:rsidRDefault="00000000">
      <w:pPr>
        <w:pStyle w:val="Heading2"/>
      </w:pPr>
      <w:bookmarkStart w:id="112" w:name="_Toc237648561"/>
      <w:r>
        <w:rPr>
          <w:rFonts w:cs="Calibri"/>
          <w:szCs w:val="25"/>
        </w:rPr>
        <w:t>Annex F: The Hormuz Blue Services Fund Charter</w:t>
      </w:r>
      <w:bookmarkEnd w:id="112"/>
    </w:p>
    <w:p w14:paraId="706AD3A7" w14:textId="77777777" w:rsidR="0027270B" w:rsidRDefault="00000000">
      <w:r>
        <w:rPr>
          <w:rFonts w:cs="Calibri"/>
          <w:szCs w:val="21"/>
        </w:rPr>
        <w:t>F.1 Establishment and custody. The Hormuz Blue Services Fund operates under Article 39. The operating escrow sits at the Central Bank of Oman's designated account structure in Muscat, administered by Oman. The custodial account sits with the Swiss National Bank's designated correspondent structure in Zurich, administered by the Swiss Confederation as Financial Custodian. Disbursement above the dual-signature threshold of Annex O requires both custodians' countersignature within forty-eight hours of a valid payment instruction; silence by either custodian beyond forty-eight hours escalates to the Fund board, never to default payment.</w:t>
      </w:r>
    </w:p>
    <w:p w14:paraId="4D46B1EA" w14:textId="77777777" w:rsidR="0027270B" w:rsidRDefault="00000000">
      <w:r>
        <w:rPr>
          <w:rFonts w:cs="Calibri"/>
          <w:szCs w:val="21"/>
        </w:rPr>
        <w:t>F.2 Governance. The board comprises: two members for the Coastal Principals (one each), one member for the GCC Observer Members (rotating annually), one member for the Endorsing Stakeholders (rotating annually), one member for contributing industry (nominated by the International Chamber of Shipping liaison), and the Financial Custodian as chair without policy vote. The board meets monthly, publishes minutes within seven days, and decides by simple majority except budget and rate decisions, which require five of six voting members.</w:t>
      </w:r>
    </w:p>
    <w:p w14:paraId="2C244EC7" w14:textId="77777777" w:rsidR="0027270B" w:rsidRDefault="00000000">
      <w:r>
        <w:rPr>
          <w:rFonts w:cs="Calibri"/>
          <w:szCs w:val="21"/>
        </w:rPr>
        <w:t>F.3 Accounts and reporting. The Fund keeps three channel accounts matching Article 40, a service-reimbursement account, a stewardship account, and a contingency reserve equal to ten percent of the annual operating budget. Quarterly accounts publish within thirty days of quarter end; the annual audited statement publishes within ninety days of year end; the audit rotates firms every three years from the vetted shortlist.</w:t>
      </w:r>
    </w:p>
    <w:p w14:paraId="07EEE9EF" w14:textId="77777777" w:rsidR="0027270B" w:rsidRDefault="00000000">
      <w:r>
        <w:rPr>
          <w:rFonts w:cs="Calibri"/>
          <w:szCs w:val="21"/>
        </w:rPr>
        <w:t>F.4 Sanctions-compatibility architecture. The Fund maintains: standing external-counsel opinions from three jurisdictions, refreshed annually and published in summary; a payment-screening protocol against the sanctions lists of every major contributing jurisdiction, executed by the custodians, not by any Participant; a prohibited-flows register listing the entities and purposes no channel touches; and an automatic rerouting rule that diverts any payment failing screening to lawful alternative delivery, including in-kind delivery through the Prosperity Window. The architecture's purpose is continuity: lawful money moves in every political weather.</w:t>
      </w:r>
    </w:p>
    <w:p w14:paraId="73912DCB" w14:textId="77777777" w:rsidR="0027270B" w:rsidRDefault="00000000">
      <w:r>
        <w:rPr>
          <w:rFonts w:cs="Calibri"/>
          <w:szCs w:val="21"/>
        </w:rPr>
        <w:t xml:space="preserve">F.5 Wind-down and surplus. Revenue above the reserve ceiling flows, in equal quarterly installments, to: safety infrastructure (forty percent), environmental protection (twenty-five percent), the Seafarer Welfare </w:t>
      </w:r>
      <w:r>
        <w:rPr>
          <w:rFonts w:cs="Calibri"/>
          <w:szCs w:val="21"/>
        </w:rPr>
        <w:lastRenderedPageBreak/>
        <w:t>Fund (twenty percent), and premium support under Annex G (fifteen percent). The Fund never accumulates leverage; it circulates value back into the Strait that produced it.</w:t>
      </w:r>
    </w:p>
    <w:p w14:paraId="2396B8E3" w14:textId="77777777" w:rsidR="0027270B" w:rsidRDefault="00000000">
      <w:pPr>
        <w:pStyle w:val="Heading2"/>
      </w:pPr>
      <w:bookmarkStart w:id="113" w:name="_Toc237648562"/>
      <w:r>
        <w:rPr>
          <w:rFonts w:cs="Calibri"/>
          <w:szCs w:val="25"/>
        </w:rPr>
        <w:t>Annex G: The Blue Flag Insurance Backstop Charter</w:t>
      </w:r>
      <w:bookmarkEnd w:id="113"/>
    </w:p>
    <w:p w14:paraId="683FA4EB" w14:textId="77777777" w:rsidR="0027270B" w:rsidRDefault="00000000">
      <w:r>
        <w:rPr>
          <w:rFonts w:cs="Calibri"/>
          <w:szCs w:val="21"/>
        </w:rPr>
        <w:t>G.1 Purpose. The Backstop guarantees that corridor insurance capacity exists at Blue Flag prices throughout the transition, so that no operator stays ashore for want of cover while private markets rebuild confidence. It combines commercial war-risk capacity with political-risk insurance and guarantee instruments from national and multilateral providers, including the United States International Development Finance Corporation and peer institutions, on commercial terms, under their own law and documentation. The Backstop operates together with the reinsurance and sovereign-guarantee layers of Annex V: commercial syndicates carry the working risk, the sovereign pool absorbs certified tail shortfalls, and the twelve-month committed-capacity standard of Annex V.5 binds every administrator of this Charter.</w:t>
      </w:r>
    </w:p>
    <w:p w14:paraId="6CA6BE02" w14:textId="77777777" w:rsidR="0027270B" w:rsidRDefault="00000000">
      <w:r>
        <w:rPr>
          <w:rFonts w:cs="Calibri"/>
          <w:szCs w:val="21"/>
        </w:rPr>
        <w:t>G.2 Premium step-down schedule. The following bands attach to the Blue Flag tiers. Bands express indicative loadings over ordinary international-strait war-risk premiums; the market prices inside them, and the Backstop guarantees capacity at the band ceiling while it operates.</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2069"/>
        <w:gridCol w:w="2261"/>
        <w:gridCol w:w="2741"/>
        <w:gridCol w:w="2115"/>
      </w:tblGrid>
      <w:tr w:rsidR="0027270B" w14:paraId="752F623B" w14:textId="77777777">
        <w:tblPrEx>
          <w:tblCellMar>
            <w:top w:w="0" w:type="dxa"/>
            <w:bottom w:w="0" w:type="dxa"/>
          </w:tblCellMar>
        </w:tblPrEx>
        <w:trPr>
          <w:tblHeader/>
        </w:trPr>
        <w:tc>
          <w:tcPr>
            <w:tcW w:w="2100" w:type="dxa"/>
            <w:shd w:val="clear" w:color="auto" w:fill="E8EFF4"/>
            <w:tcMar>
              <w:top w:w="60" w:type="dxa"/>
              <w:left w:w="80" w:type="dxa"/>
              <w:bottom w:w="60" w:type="dxa"/>
              <w:right w:w="80" w:type="dxa"/>
            </w:tcMar>
          </w:tcPr>
          <w:p w14:paraId="53D44F7B" w14:textId="77777777" w:rsidR="0027270B" w:rsidRDefault="00000000">
            <w:pPr>
              <w:spacing w:after="0" w:line="260" w:lineRule="auto"/>
            </w:pPr>
            <w:r>
              <w:rPr>
                <w:rFonts w:cs="Calibri"/>
                <w:b/>
                <w:color w:val="1B3A5C"/>
                <w:sz w:val="20"/>
                <w:szCs w:val="20"/>
              </w:rPr>
              <w:t>Blue Flag tier</w:t>
            </w:r>
          </w:p>
        </w:tc>
        <w:tc>
          <w:tcPr>
            <w:tcW w:w="2300" w:type="dxa"/>
            <w:shd w:val="clear" w:color="auto" w:fill="E8EFF4"/>
            <w:tcMar>
              <w:top w:w="60" w:type="dxa"/>
              <w:left w:w="80" w:type="dxa"/>
              <w:bottom w:w="60" w:type="dxa"/>
              <w:right w:w="80" w:type="dxa"/>
            </w:tcMar>
          </w:tcPr>
          <w:p w14:paraId="12FA0C29" w14:textId="77777777" w:rsidR="0027270B" w:rsidRDefault="00000000">
            <w:pPr>
              <w:spacing w:after="0" w:line="260" w:lineRule="auto"/>
            </w:pPr>
            <w:r>
              <w:rPr>
                <w:rFonts w:cs="Calibri"/>
                <w:b/>
                <w:color w:val="1B3A5C"/>
                <w:sz w:val="20"/>
                <w:szCs w:val="20"/>
              </w:rPr>
              <w:t>Condition</w:t>
            </w:r>
          </w:p>
        </w:tc>
        <w:tc>
          <w:tcPr>
            <w:tcW w:w="2800" w:type="dxa"/>
            <w:shd w:val="clear" w:color="auto" w:fill="E8EFF4"/>
            <w:tcMar>
              <w:top w:w="60" w:type="dxa"/>
              <w:left w:w="80" w:type="dxa"/>
              <w:bottom w:w="60" w:type="dxa"/>
              <w:right w:w="80" w:type="dxa"/>
            </w:tcMar>
          </w:tcPr>
          <w:p w14:paraId="1DB138A5" w14:textId="77777777" w:rsidR="0027270B" w:rsidRDefault="00000000">
            <w:pPr>
              <w:spacing w:after="0" w:line="260" w:lineRule="auto"/>
            </w:pPr>
            <w:r>
              <w:rPr>
                <w:rFonts w:cs="Calibri"/>
                <w:b/>
                <w:color w:val="1B3A5C"/>
                <w:sz w:val="20"/>
                <w:szCs w:val="20"/>
              </w:rPr>
              <w:t>Indicative premium loading</w:t>
            </w:r>
          </w:p>
        </w:tc>
        <w:tc>
          <w:tcPr>
            <w:tcW w:w="2160" w:type="dxa"/>
            <w:shd w:val="clear" w:color="auto" w:fill="E8EFF4"/>
            <w:tcMar>
              <w:top w:w="60" w:type="dxa"/>
              <w:left w:w="80" w:type="dxa"/>
              <w:bottom w:w="60" w:type="dxa"/>
              <w:right w:w="80" w:type="dxa"/>
            </w:tcMar>
          </w:tcPr>
          <w:p w14:paraId="32D6CAD0" w14:textId="77777777" w:rsidR="0027270B" w:rsidRDefault="00000000">
            <w:pPr>
              <w:spacing w:after="0" w:line="260" w:lineRule="auto"/>
            </w:pPr>
            <w:r>
              <w:rPr>
                <w:rFonts w:cs="Calibri"/>
                <w:b/>
                <w:color w:val="1B3A5C"/>
                <w:sz w:val="20"/>
                <w:szCs w:val="20"/>
              </w:rPr>
              <w:t>Backstop posture</w:t>
            </w:r>
          </w:p>
        </w:tc>
      </w:tr>
      <w:tr w:rsidR="0027270B" w14:paraId="18EC9B05" w14:textId="77777777">
        <w:tblPrEx>
          <w:tblCellMar>
            <w:top w:w="0" w:type="dxa"/>
            <w:bottom w:w="0" w:type="dxa"/>
          </w:tblCellMar>
        </w:tblPrEx>
        <w:tc>
          <w:tcPr>
            <w:tcW w:w="2100" w:type="dxa"/>
            <w:tcMar>
              <w:top w:w="50" w:type="dxa"/>
              <w:left w:w="80" w:type="dxa"/>
              <w:bottom w:w="50" w:type="dxa"/>
              <w:right w:w="80" w:type="dxa"/>
            </w:tcMar>
          </w:tcPr>
          <w:p w14:paraId="35D85504" w14:textId="77777777" w:rsidR="0027270B" w:rsidRDefault="00000000">
            <w:pPr>
              <w:spacing w:after="0" w:line="260" w:lineRule="auto"/>
            </w:pPr>
            <w:r>
              <w:rPr>
                <w:rFonts w:cs="Calibri"/>
                <w:sz w:val="20"/>
                <w:szCs w:val="20"/>
              </w:rPr>
              <w:t>Flag One (provisional)</w:t>
            </w:r>
          </w:p>
        </w:tc>
        <w:tc>
          <w:tcPr>
            <w:tcW w:w="2300" w:type="dxa"/>
            <w:tcMar>
              <w:top w:w="50" w:type="dxa"/>
              <w:left w:w="80" w:type="dxa"/>
              <w:bottom w:w="50" w:type="dxa"/>
              <w:right w:w="80" w:type="dxa"/>
            </w:tcMar>
          </w:tcPr>
          <w:p w14:paraId="47423D5D" w14:textId="77777777" w:rsidR="0027270B" w:rsidRDefault="00000000">
            <w:pPr>
              <w:spacing w:after="0" w:line="260" w:lineRule="auto"/>
            </w:pPr>
            <w:r>
              <w:rPr>
                <w:rFonts w:cs="Calibri"/>
                <w:sz w:val="20"/>
                <w:szCs w:val="20"/>
              </w:rPr>
              <w:t>Blue Opening to Day-30 audit</w:t>
            </w:r>
          </w:p>
        </w:tc>
        <w:tc>
          <w:tcPr>
            <w:tcW w:w="2800" w:type="dxa"/>
            <w:tcMar>
              <w:top w:w="50" w:type="dxa"/>
              <w:left w:w="80" w:type="dxa"/>
              <w:bottom w:w="50" w:type="dxa"/>
              <w:right w:w="80" w:type="dxa"/>
            </w:tcMar>
          </w:tcPr>
          <w:p w14:paraId="5338FA7E" w14:textId="77777777" w:rsidR="0027270B" w:rsidRDefault="00000000">
            <w:pPr>
              <w:spacing w:after="0" w:line="260" w:lineRule="auto"/>
            </w:pPr>
            <w:r>
              <w:rPr>
                <w:rFonts w:cs="Calibri"/>
                <w:sz w:val="20"/>
                <w:szCs w:val="20"/>
              </w:rPr>
              <w:t>Baseline transition loading (reference: wartime peak multiples)</w:t>
            </w:r>
          </w:p>
        </w:tc>
        <w:tc>
          <w:tcPr>
            <w:tcW w:w="2160" w:type="dxa"/>
            <w:tcMar>
              <w:top w:w="50" w:type="dxa"/>
              <w:left w:w="80" w:type="dxa"/>
              <w:bottom w:w="50" w:type="dxa"/>
              <w:right w:w="80" w:type="dxa"/>
            </w:tcMar>
          </w:tcPr>
          <w:p w14:paraId="4BEE8838" w14:textId="77777777" w:rsidR="0027270B" w:rsidRDefault="00000000">
            <w:pPr>
              <w:spacing w:after="0" w:line="260" w:lineRule="auto"/>
            </w:pPr>
            <w:r>
              <w:rPr>
                <w:rFonts w:cs="Calibri"/>
                <w:sz w:val="20"/>
                <w:szCs w:val="20"/>
              </w:rPr>
              <w:t>Full capacity guarantee active</w:t>
            </w:r>
          </w:p>
        </w:tc>
      </w:tr>
      <w:tr w:rsidR="0027270B" w14:paraId="79E9619A" w14:textId="77777777">
        <w:tblPrEx>
          <w:tblCellMar>
            <w:top w:w="0" w:type="dxa"/>
            <w:bottom w:w="0" w:type="dxa"/>
          </w:tblCellMar>
        </w:tblPrEx>
        <w:tc>
          <w:tcPr>
            <w:tcW w:w="2100" w:type="dxa"/>
            <w:tcMar>
              <w:top w:w="50" w:type="dxa"/>
              <w:left w:w="80" w:type="dxa"/>
              <w:bottom w:w="50" w:type="dxa"/>
              <w:right w:w="80" w:type="dxa"/>
            </w:tcMar>
          </w:tcPr>
          <w:p w14:paraId="4803DE04" w14:textId="77777777" w:rsidR="0027270B" w:rsidRDefault="00000000">
            <w:pPr>
              <w:spacing w:after="0" w:line="260" w:lineRule="auto"/>
            </w:pPr>
            <w:r>
              <w:rPr>
                <w:rFonts w:cs="Calibri"/>
                <w:sz w:val="20"/>
                <w:szCs w:val="20"/>
              </w:rPr>
              <w:t>Flag Two (audited)</w:t>
            </w:r>
          </w:p>
        </w:tc>
        <w:tc>
          <w:tcPr>
            <w:tcW w:w="2300" w:type="dxa"/>
            <w:tcMar>
              <w:top w:w="50" w:type="dxa"/>
              <w:left w:w="80" w:type="dxa"/>
              <w:bottom w:w="50" w:type="dxa"/>
              <w:right w:w="80" w:type="dxa"/>
            </w:tcMar>
          </w:tcPr>
          <w:p w14:paraId="57691911" w14:textId="77777777" w:rsidR="0027270B" w:rsidRDefault="00000000">
            <w:pPr>
              <w:spacing w:after="0" w:line="260" w:lineRule="auto"/>
            </w:pPr>
            <w:r>
              <w:rPr>
                <w:rFonts w:cs="Calibri"/>
                <w:sz w:val="20"/>
                <w:szCs w:val="20"/>
              </w:rPr>
              <w:t>Day-30 audit certification</w:t>
            </w:r>
          </w:p>
        </w:tc>
        <w:tc>
          <w:tcPr>
            <w:tcW w:w="2800" w:type="dxa"/>
            <w:tcMar>
              <w:top w:w="50" w:type="dxa"/>
              <w:left w:w="80" w:type="dxa"/>
              <w:bottom w:w="50" w:type="dxa"/>
              <w:right w:w="80" w:type="dxa"/>
            </w:tcMar>
          </w:tcPr>
          <w:p w14:paraId="75F3844E" w14:textId="77777777" w:rsidR="0027270B" w:rsidRDefault="00000000">
            <w:pPr>
              <w:spacing w:after="0" w:line="260" w:lineRule="auto"/>
            </w:pPr>
            <w:r>
              <w:rPr>
                <w:rFonts w:cs="Calibri"/>
                <w:sz w:val="20"/>
                <w:szCs w:val="20"/>
              </w:rPr>
              <w:t>Half of Flag One loading</w:t>
            </w:r>
          </w:p>
        </w:tc>
        <w:tc>
          <w:tcPr>
            <w:tcW w:w="2160" w:type="dxa"/>
            <w:tcMar>
              <w:top w:w="50" w:type="dxa"/>
              <w:left w:w="80" w:type="dxa"/>
              <w:bottom w:w="50" w:type="dxa"/>
              <w:right w:w="80" w:type="dxa"/>
            </w:tcMar>
          </w:tcPr>
          <w:p w14:paraId="1A278A17" w14:textId="77777777" w:rsidR="0027270B" w:rsidRDefault="00000000">
            <w:pPr>
              <w:spacing w:after="0" w:line="260" w:lineRule="auto"/>
            </w:pPr>
            <w:r>
              <w:rPr>
                <w:rFonts w:cs="Calibri"/>
                <w:sz w:val="20"/>
                <w:szCs w:val="20"/>
              </w:rPr>
              <w:t>Capacity guarantee halves</w:t>
            </w:r>
          </w:p>
        </w:tc>
      </w:tr>
      <w:tr w:rsidR="0027270B" w14:paraId="42DC696B" w14:textId="77777777">
        <w:tblPrEx>
          <w:tblCellMar>
            <w:top w:w="0" w:type="dxa"/>
            <w:bottom w:w="0" w:type="dxa"/>
          </w:tblCellMar>
        </w:tblPrEx>
        <w:tc>
          <w:tcPr>
            <w:tcW w:w="2100" w:type="dxa"/>
            <w:tcMar>
              <w:top w:w="50" w:type="dxa"/>
              <w:left w:w="80" w:type="dxa"/>
              <w:bottom w:w="50" w:type="dxa"/>
              <w:right w:w="80" w:type="dxa"/>
            </w:tcMar>
          </w:tcPr>
          <w:p w14:paraId="09525B91" w14:textId="77777777" w:rsidR="0027270B" w:rsidRDefault="00000000">
            <w:pPr>
              <w:spacing w:after="0" w:line="260" w:lineRule="auto"/>
            </w:pPr>
            <w:r>
              <w:rPr>
                <w:rFonts w:cs="Calibri"/>
                <w:sz w:val="20"/>
                <w:szCs w:val="20"/>
              </w:rPr>
              <w:t>Flag Three (consolidated)</w:t>
            </w:r>
          </w:p>
        </w:tc>
        <w:tc>
          <w:tcPr>
            <w:tcW w:w="2300" w:type="dxa"/>
            <w:tcMar>
              <w:top w:w="50" w:type="dxa"/>
              <w:left w:w="80" w:type="dxa"/>
              <w:bottom w:w="50" w:type="dxa"/>
              <w:right w:w="80" w:type="dxa"/>
            </w:tcMar>
          </w:tcPr>
          <w:p w14:paraId="378F7EA7" w14:textId="77777777" w:rsidR="0027270B" w:rsidRDefault="00000000">
            <w:pPr>
              <w:spacing w:after="0" w:line="260" w:lineRule="auto"/>
            </w:pPr>
            <w:r>
              <w:rPr>
                <w:rFonts w:cs="Calibri"/>
                <w:sz w:val="20"/>
                <w:szCs w:val="20"/>
              </w:rPr>
              <w:t>Day-90 Consolidation Audit</w:t>
            </w:r>
          </w:p>
        </w:tc>
        <w:tc>
          <w:tcPr>
            <w:tcW w:w="2800" w:type="dxa"/>
            <w:tcMar>
              <w:top w:w="50" w:type="dxa"/>
              <w:left w:w="80" w:type="dxa"/>
              <w:bottom w:w="50" w:type="dxa"/>
              <w:right w:w="80" w:type="dxa"/>
            </w:tcMar>
          </w:tcPr>
          <w:p w14:paraId="16FA9042" w14:textId="77777777" w:rsidR="0027270B" w:rsidRDefault="00000000">
            <w:pPr>
              <w:spacing w:after="0" w:line="260" w:lineRule="auto"/>
            </w:pPr>
            <w:r>
              <w:rPr>
                <w:rFonts w:cs="Calibri"/>
                <w:sz w:val="20"/>
                <w:szCs w:val="20"/>
              </w:rPr>
              <w:t>Ordinary international-strait levels</w:t>
            </w:r>
          </w:p>
        </w:tc>
        <w:tc>
          <w:tcPr>
            <w:tcW w:w="2160" w:type="dxa"/>
            <w:tcMar>
              <w:top w:w="50" w:type="dxa"/>
              <w:left w:w="80" w:type="dxa"/>
              <w:bottom w:w="50" w:type="dxa"/>
              <w:right w:w="80" w:type="dxa"/>
            </w:tcMar>
          </w:tcPr>
          <w:p w14:paraId="257CE14F" w14:textId="77777777" w:rsidR="0027270B" w:rsidRDefault="00000000">
            <w:pPr>
              <w:spacing w:after="0" w:line="260" w:lineRule="auto"/>
            </w:pPr>
            <w:r>
              <w:rPr>
                <w:rFonts w:cs="Calibri"/>
                <w:sz w:val="20"/>
                <w:szCs w:val="20"/>
              </w:rPr>
              <w:t>Backstop winds down; market resumes</w:t>
            </w:r>
          </w:p>
        </w:tc>
      </w:tr>
    </w:tbl>
    <w:p w14:paraId="1CC4FFEC" w14:textId="77777777" w:rsidR="0027270B" w:rsidRDefault="0027270B"/>
    <w:p w14:paraId="4C9AB03D" w14:textId="77777777" w:rsidR="0027270B" w:rsidRDefault="00000000">
      <w:r>
        <w:rPr>
          <w:rFonts w:cs="Calibri"/>
          <w:szCs w:val="21"/>
        </w:rPr>
        <w:t>G.3 Step-down mechanics. Each tier upgrade steps premiums down on the next renewal date after certification, automatically, for every policy referencing the Blue Flag schedule. A tier downgrade, possible only on an audit finding outside stability bands, steps premiums up by the same schedule, and the compliance engine treats the underlying metrics failure through remediation, not blame. The flag's movement is mechanical, published, and evidence-bound; no government and no insurer negotiates it.</w:t>
      </w:r>
    </w:p>
    <w:p w14:paraId="6567F424" w14:textId="77777777" w:rsidR="0027270B" w:rsidRDefault="00000000">
      <w:r>
        <w:rPr>
          <w:rFonts w:cs="Calibri"/>
          <w:szCs w:val="21"/>
        </w:rPr>
        <w:t>G.4 The corridor coverage fraction. A defined fraction of every corridor coverage premium, fixed in Annex O, flows to the Fund's Insurance Channel. The fraction attaches to the risk product, never to passage; it shrinks in absolute terms as premiums step down, aligning the framework's funding with the Strait's improving safety rather than with its danger.</w:t>
      </w:r>
    </w:p>
    <w:p w14:paraId="600DFD11" w14:textId="77777777" w:rsidR="0027270B" w:rsidRDefault="00000000">
      <w:r>
        <w:rPr>
          <w:rFonts w:cs="Calibri"/>
          <w:szCs w:val="21"/>
        </w:rPr>
        <w:t>G.5 Claims and data. Insurers in the Backstop pool receive the machine-readable incident data of Annex R in real time, and contribute anonymized claims data back to the pool's actuarial file. The Neutral Watch Office publishes a quarterly loss-record summary, so that pricing follows the Strait's actual record, in public, quarter by quarter.</w:t>
      </w:r>
    </w:p>
    <w:p w14:paraId="13B255E9" w14:textId="77777777" w:rsidR="0027270B" w:rsidRDefault="00000000">
      <w:pPr>
        <w:pStyle w:val="Heading2"/>
      </w:pPr>
      <w:bookmarkStart w:id="114" w:name="_Toc237648563"/>
      <w:r>
        <w:rPr>
          <w:rFonts w:cs="Calibri"/>
          <w:szCs w:val="25"/>
        </w:rPr>
        <w:lastRenderedPageBreak/>
        <w:t>Annex H: Communications and Hotline Protocols</w:t>
      </w:r>
      <w:bookmarkEnd w:id="114"/>
    </w:p>
    <w:p w14:paraId="3B96923A" w14:textId="77777777" w:rsidR="0027270B" w:rsidRDefault="00000000">
      <w:r>
        <w:rPr>
          <w:rFonts w:cs="Calibri"/>
          <w:szCs w:val="21"/>
        </w:rPr>
        <w:t>H.1 Network nodes and channels. The Deconfliction Hotline Network connects six nodes: Iranian Navy maritime headquarters; Islamic Revolutionary Guard Corps maritime headquarters; Royal Navy of Oman headquarters; the Joint Watch Floor; the United States Fifth Fleet; and the GCC observer desk. Each node maintains: a dedicated voice circuit, a dedicated data circuit, and a satellite fallback, with an uninterruptible power supply and a staffed console at all hours.</w:t>
      </w:r>
    </w:p>
    <w:p w14:paraId="1A7498F5" w14:textId="77777777" w:rsidR="0027270B" w:rsidRDefault="00000000">
      <w:r>
        <w:rPr>
          <w:rFonts w:cs="Calibri"/>
          <w:szCs w:val="21"/>
        </w:rPr>
        <w:t>H.2 Answer standard and testing. Every node answers within fifteen minutes, at every hour, every day. The Joint Watch Floor Duty Officer tests every circuit at 00:00 and 12:00 Muscat time and logs results. A failed test triggers immediate fallback activation and a repair report within six hours; two consecutive failures convene the technical working group within twenty-four hours.</w:t>
      </w:r>
    </w:p>
    <w:p w14:paraId="061CB956" w14:textId="77777777" w:rsidR="0027270B" w:rsidRDefault="00000000">
      <w:r>
        <w:rPr>
          <w:rFonts w:cs="Calibri"/>
          <w:szCs w:val="21"/>
        </w:rPr>
        <w:t>H.3 Traffic classes and procedures. Routine coordination uses the data circuit with daily summaries. Incident response uses the voice circuit, opens with node identification and incident reference, and closes with a logged disposition. Crisis consultation convenes all six nodes within thirty minutes of any node's request, on the bridge circuit, chaired by the Joint Watch Floor Duty Officer, with simultaneous interpretation in the three languages.</w:t>
      </w:r>
    </w:p>
    <w:p w14:paraId="16FED2EA" w14:textId="77777777" w:rsidR="0027270B" w:rsidRDefault="00000000">
      <w:r>
        <w:rPr>
          <w:rFonts w:cs="Calibri"/>
          <w:szCs w:val="21"/>
        </w:rPr>
        <w:t>H.4 Recording and publication. Every call logs with timestamp, participants, and subject. Incident and crisis call transcripts publish within seventy-two hours with the operational-security redactions of Annex R, agreed by both corridor coordinators; where the coordinators disagree on a redaction, the redaction holds for thirty days and then publishes. The hotline's records belong to the golden record and share its custody.</w:t>
      </w:r>
    </w:p>
    <w:p w14:paraId="48EE171A" w14:textId="77777777" w:rsidR="0027270B" w:rsidRDefault="00000000">
      <w:r>
        <w:rPr>
          <w:rFonts w:cs="Calibri"/>
          <w:szCs w:val="21"/>
        </w:rPr>
        <w:t>H.5 Mariner-facing channels. VHF 16 serves distress and calling; the corridor working channel, published daily, serves coordination; the Blue Beacon serves automated guidance. Every watch officer on the working channel speaks English and at least one of Arabic or Persian, and standard marine communication phrases govern all exchanges.</w:t>
      </w:r>
    </w:p>
    <w:p w14:paraId="70F90DD8" w14:textId="77777777" w:rsidR="0027270B" w:rsidRDefault="00000000">
      <w:pPr>
        <w:pStyle w:val="Heading2"/>
      </w:pPr>
      <w:bookmarkStart w:id="115" w:name="_Toc237648564"/>
      <w:r>
        <w:rPr>
          <w:rFonts w:cs="Calibri"/>
          <w:szCs w:val="25"/>
        </w:rPr>
        <w:t>Annex I: Crisis Protocol Checklists</w:t>
      </w:r>
      <w:bookmarkEnd w:id="115"/>
    </w:p>
    <w:p w14:paraId="1D9509A9" w14:textId="77777777" w:rsidR="0027270B" w:rsidRDefault="00000000">
      <w:r>
        <w:rPr>
          <w:rFonts w:cs="Calibri"/>
          <w:szCs w:val="21"/>
        </w:rPr>
        <w:t>I.1 Crisis levels and concurrence. Watch: the default posture; any duty officer declares and logs it. Alert: elevated monitoring; any corridor coordinator declares it, with notice to all nodes within thirty minutes. Crisis: the Emergency Council convenes within twenty-four hours; declaration requires both Coastal Principals' duty directors. Severe Crisis: the Corridor Emergency Override freezes new military activity for seventy-two hours; declaration requires any two Council members jointly. Maximum: the Guarantor Matrix convenes within forty-eight hours; declaration requires the Council by consensus minus the directly affected Participant. Every level carries a defined exit, and exit returns the posture one level at a time on the declaring authority's certification.</w:t>
      </w:r>
    </w:p>
    <w:p w14:paraId="79A06B56" w14:textId="77777777" w:rsidR="0027270B" w:rsidRDefault="00000000">
      <w:r>
        <w:rPr>
          <w:rFonts w:cs="Calibri"/>
          <w:szCs w:val="21"/>
        </w:rPr>
        <w:t xml:space="preserve">I.2 Corridor Emergency Override checklist. Step one: declaration registers in the Shared Digital Registry with the declaring members named. Step two: all military activity inside the Governance Area freezes at its declaration-hour posture for seventy-two hours; commercial transit continues unaffected. Step three: the Deconfliction Hotline Network moves to continuous bridge operation. Step four: the Joint Watch Cell surges observer coverage to the affected zone within six hours. Step five: the Emergency Council </w:t>
      </w:r>
      <w:r>
        <w:rPr>
          <w:rFonts w:cs="Calibri"/>
          <w:szCs w:val="21"/>
        </w:rPr>
        <w:lastRenderedPageBreak/>
        <w:t>convenes within twenty-four hours and issues operational guidance; the Override expires at seventy-two hours unless the Council extends it once by consensus minus the affected Participant.</w:t>
      </w:r>
    </w:p>
    <w:p w14:paraId="1A42C55F" w14:textId="77777777" w:rsidR="0027270B" w:rsidRDefault="00000000">
      <w:r>
        <w:rPr>
          <w:rFonts w:cs="Calibri"/>
          <w:szCs w:val="21"/>
        </w:rPr>
        <w:t>I.3 Incident Ladder quick card. Level One: bridge-to-bridge, one hour. Level Two: hotline exchange, thirty minutes to engage, two-hour resolution target. Level Three: director call, two hours to convene, twelve-hour resolution target. Level Four: Emergency Council, twenty-four hours to convene. Every level logs its engagement and its exit; a level that resolves reports its method to the next monthly Council for the lessons record.</w:t>
      </w:r>
    </w:p>
    <w:p w14:paraId="0E9A7C32" w14:textId="77777777" w:rsidR="0027270B" w:rsidRDefault="00000000">
      <w:r>
        <w:rPr>
          <w:rFonts w:cs="Calibri"/>
          <w:szCs w:val="21"/>
        </w:rPr>
        <w:t>I.4 Mine-risk alert checklist. Step one: detection reports to the Joint Watch Floor immediately, by any actor, through any channel. Step two: the Blue Beacon broadcasts the alert area within fifteen minutes, and corridor coordinators divert traffic through the Emergency Diversion Channels. Step three: the Joint Survey Group deploys to the alert area within twenty-four hours. Step four: the Neutral Watch Office verifies the response and certifies the all-clear, with the alert area reopening only on its certification. Step five: the full record enters the Registry and the monthly digest.</w:t>
      </w:r>
    </w:p>
    <w:p w14:paraId="579B43DC" w14:textId="77777777" w:rsidR="0027270B" w:rsidRDefault="00000000">
      <w:r>
        <w:rPr>
          <w:rFonts w:cs="Calibri"/>
          <w:szCs w:val="21"/>
        </w:rPr>
        <w:t>I.5 Interdiction-event checklist. Step one: the event logs within the hour, with position, actors, and evidence. Step two: the False Flag and Attribution Protocol engages; the forty-eight-hour attribution-deferral window opens. Step three: the corridor coordinators restore transit flow around the event within six hours, using diversion channels. Step four: the forensic panel classifies within fourteen days. Step five: the compliance engine responds per Article 50, on evidence, after the deferral window, with the cooling-off of Article 53.1 before any consequence activates.</w:t>
      </w:r>
    </w:p>
    <w:p w14:paraId="7A872383" w14:textId="77777777" w:rsidR="0027270B" w:rsidRDefault="00000000">
      <w:pPr>
        <w:pStyle w:val="Heading2"/>
      </w:pPr>
      <w:bookmarkStart w:id="116" w:name="_Toc237648565"/>
      <w:r>
        <w:rPr>
          <w:rFonts w:cs="Calibri"/>
          <w:szCs w:val="25"/>
        </w:rPr>
        <w:t>Annex J: The Cothrom Blue Verification Procedures</w:t>
      </w:r>
      <w:bookmarkEnd w:id="116"/>
    </w:p>
    <w:p w14:paraId="2D6A5B91" w14:textId="77777777" w:rsidR="0027270B" w:rsidRDefault="00000000">
      <w:r>
        <w:rPr>
          <w:rFonts w:cs="Calibri"/>
          <w:szCs w:val="21"/>
        </w:rPr>
        <w:t>J.1 Architecture summary. The Cothrom Blue procedures implement Article 47 through five mechanisms: the golden record and its data standards (Article 48), the anomaly ladder and its playbook (Article 49), the service-claims and adversarial-review pipeline (this Annex), the three-tier compliance engine (Articles 50 and 51), and the protective architecture (Article 53). The procedures bind every organ and every Participant from signature.</w:t>
      </w:r>
    </w:p>
    <w:p w14:paraId="644790A2" w14:textId="77777777" w:rsidR="0027270B" w:rsidRDefault="00000000">
      <w:r>
        <w:rPr>
          <w:rFonts w:cs="Calibri"/>
          <w:szCs w:val="21"/>
        </w:rPr>
        <w:t>J.2 The Joint Watch Cell. The Cell is the verification secretariat: pre-accredited personnel convene at the Joint Watch Floor within seventy-two hours of signature and operate continuously. It receives every feed, maintains the golden record, runs the anomaly ladder, administers the claims pipeline, and staffs the Chief Technical Officer, the Duty Officers, and the Red Team. The Cell's staffing pairs Iranian and Omani officers on every shift, with Neutral Watch Office oversight and lantern observation under Article 36.</w:t>
      </w:r>
    </w:p>
    <w:p w14:paraId="28847138" w14:textId="77777777" w:rsidR="0027270B" w:rsidRDefault="00000000">
      <w:r>
        <w:rPr>
          <w:rFonts w:cs="Calibri"/>
          <w:szCs w:val="21"/>
        </w:rPr>
        <w:t>J.3 Service claims pipeline. A service provider files a claim through the Registry within twenty-four hours of service delivery, with three components: primary evidence (telemetry, radar, operational logs), supporting documentation with chain of custody, and liaison certification by the provider's accredited representative. Incomplete claims return automatically for correction inside the same window. The Technical Working Group assesses every claim against the golden record and assigns a confirmation level: full (100 percent alignment), partial (50 to 99 percent), or none (below 50 percent). Confirmed claims enter the reimbursement queue at the Catalog rate; confirmation within twelve hours earns the rapid-confirmation bonus of Annex O. Bundled claims cover repetitive services in one submission.</w:t>
      </w:r>
    </w:p>
    <w:p w14:paraId="7BF82710" w14:textId="77777777" w:rsidR="0027270B" w:rsidRDefault="00000000">
      <w:r>
        <w:rPr>
          <w:rFonts w:cs="Calibri"/>
          <w:szCs w:val="21"/>
        </w:rPr>
        <w:lastRenderedPageBreak/>
        <w:t>J.4 Adversarial review. Any Participant holding Fund standing holds a forty-eight-hour challenge window on any confirmed claim. Challenges price as follows, in verification credits posted with the Fund: technical review request, 5 credits; full objection with counter-evidence, 20 credits. The Review Panel convenes within twenty-four hours, decides on the golden record alone, and publishes its determination with a verification score. Failed challenges escalate on a three-strike ladder: standard penalty, double penalty with a twenty-four-hour challenge moratorium, quadruple penalty with a seventy-two-hour moratorium and Council review; a fourth failure designates bad faith and grants the opposing party's claims automatic verification for seven days. Challenges submit anonymously; the challenged party never learns the challenger's identity unless its challenge fails, and then only through secure diplomatic channels. The review process stays data-driven and depersonalized, so verification never becomes a diplomatic incident.</w:t>
      </w:r>
    </w:p>
    <w:p w14:paraId="79FF9A14" w14:textId="77777777" w:rsidR="0027270B" w:rsidRDefault="00000000">
      <w:r>
        <w:rPr>
          <w:rFonts w:cs="Calibri"/>
          <w:szCs w:val="21"/>
        </w:rPr>
        <w:t>J.5 Partial credit and high-value reserves. The Panel awards partial credit for claims mixing accurate and inaccurate elements: 90 to 100 percent accuracy, full credit plus bonus; 70 to 89 percent, three quarters; 50 to 69 percent, half; below 50 percent, rejection with ladder consequences. High-value claims hold reserves: 21 to 50 credits, half in reserve pending adjudication; above 50 credits, three quarters. Reserves release automatically on verification and forfeit automatically on rejection. The system rewards precision and prices exaggeration, proportionally, every time.</w:t>
      </w:r>
    </w:p>
    <w:p w14:paraId="5DC6E87A" w14:textId="77777777" w:rsidR="0027270B" w:rsidRDefault="00000000">
      <w:r>
        <w:rPr>
          <w:rFonts w:cs="Calibri"/>
          <w:szCs w:val="21"/>
        </w:rPr>
        <w:t>J.6 Second opinions and counter-evidence. Either party to a claim requests one second opinion per determination: the Financial Custodian selects an expert from the Expert Pool at random; the expert reviews independently within seventy-two hours; a confirming opinion costs the requester 10 credits, and an overturning opinion vacates the determination, re-adjudicates on the expert's finding, and rotates the vacated panel. Inconclusive determinations trigger one counter-evidence review: supplemental evidence within twenty-four hours of notice, final determination within twenty-four hours of the hearing, with double credit for definitively confirmed claims and double penalty for definitively refuted ones. No claim returns for further review after this procedure closes it.</w:t>
      </w:r>
    </w:p>
    <w:p w14:paraId="32D169DC" w14:textId="77777777" w:rsidR="0027270B" w:rsidRDefault="00000000">
      <w:r>
        <w:rPr>
          <w:rFonts w:cs="Calibri"/>
          <w:szCs w:val="21"/>
        </w:rPr>
        <w:t>J.7 Pacing limits. Claim and challenge volumes pace as follows: days 1 to 10, three claims and two challenges per day; days 11 to 14, five and three; days 15 to 44, two and two; the final five days before any decision point, one and one. The Cell enforces pacing automatically, and queue position confers no priority. Pacing keeps quality ahead of volume and prevents flooding as a tactic.</w:t>
      </w:r>
    </w:p>
    <w:p w14:paraId="26D6F916" w14:textId="77777777" w:rsidR="0027270B" w:rsidRDefault="00000000">
      <w:r>
        <w:rPr>
          <w:rFonts w:cs="Calibri"/>
          <w:szCs w:val="21"/>
        </w:rPr>
        <w:t>J.8 The penalty formula and sequence. Step-back penalty equals base tier penalty, times duration multiplier, times remediation factor. The duration multiplier scales from 0.4 for correction within twenty-four hours to 1.0 for an expired remediation window. The remediation factor runs 0.5 for full remediation, 0.75 for partial, 1.0 for none. Benefits pause in the Article 51.2 sequence, and every pause logs with its formula, so every Participant sees the arithmetic of every consequence, in public, in advance.</w:t>
      </w:r>
    </w:p>
    <w:p w14:paraId="201E8481" w14:textId="77777777" w:rsidR="0027270B" w:rsidRDefault="00000000">
      <w:r>
        <w:rPr>
          <w:rFonts w:cs="Calibri"/>
          <w:szCs w:val="21"/>
        </w:rPr>
        <w:t>J.9 The Red Team. A standing Red Team probes the monitoring system continuously: it tests data integrity, attacks the telemetry chain's vulnerabilities, and attempts to spoof the golden record. It reports every seven days to both Coastal Principals and the Neutral Watch Office, with identified weaknesses and recommended corrections; the Cell implements corrections and the Red Team verifies implementation in its next report. The framework's security improves in public, on a weekly clock.</w:t>
      </w:r>
    </w:p>
    <w:p w14:paraId="4DCE1597" w14:textId="77777777" w:rsidR="0027270B" w:rsidRDefault="00000000">
      <w:r>
        <w:rPr>
          <w:rFonts w:cs="Calibri"/>
          <w:szCs w:val="21"/>
        </w:rPr>
        <w:t>J.10 Performance benchmarks and phase assessment. The Testing Phase of the claims pipeline concludes at Day 14 with a benchmarks report: system operability above 95 percent uptime across feeds, data-</w:t>
      </w:r>
      <w:r>
        <w:rPr>
          <w:rFonts w:cs="Calibri"/>
          <w:szCs w:val="21"/>
        </w:rPr>
        <w:lastRenderedPageBreak/>
        <w:t>sharing latency differential under thirty seconds, false-positive rates inside thresholds, full Cell staffing, and Registry integrity without gaps over fifteen minutes. The report transmits simultaneously to every Participant and stands as presumptive evidence of system functionality; no Participant blocks, delays, or redacts it.</w:t>
      </w:r>
    </w:p>
    <w:p w14:paraId="761F1BB1" w14:textId="77777777" w:rsidR="0027270B" w:rsidRDefault="00000000">
      <w:r>
        <w:rPr>
          <w:rFonts w:cs="Calibri"/>
          <w:szCs w:val="21"/>
        </w:rPr>
        <w:t>J.11 The twelve operating principles. One, proportionality governs everything. Two, human judgment sits above automation. Three, earn-back is always available. Four, humanitarian flows are sacred. Five, modules fire independently. Six, cooling-off prevents heat-of-moment escalation. Seven, monitoring gaps trigger automatic protection. Eight, partial success survives. Nine, military escalation is structurally decoupled. Ten, the framework presumes good faith and excludes false flags. Eleven, data carries no political meaning. Twelve, verification is reciprocal: both sides invest, both sides verify, both sides recover.</w:t>
      </w:r>
    </w:p>
    <w:p w14:paraId="22764D57" w14:textId="77777777" w:rsidR="0027270B" w:rsidRDefault="00000000">
      <w:r>
        <w:rPr>
          <w:rFonts w:cs="Calibri"/>
          <w:szCs w:val="21"/>
        </w:rPr>
        <w:t>J.12 Material breach protocol. The following constitute material breach of the verification architecture: deliberate jamming of satellite or sensor feeds; deliberate refusal to transmit Registry data after activation; Cell staffing below minimum for over seventy-two consecutive hours; or persistent transmission below quality thresholds. The non-breaching Principal logs the breach with supporting telemetry; the Chief Technical Officer confirms classification within forty-eight hours; the Council convenes emergency mediation within seventy-two hours. Technical monitoring continues throughout, and neither Principal suspends data or withdraws personnel during the dispute.</w:t>
      </w:r>
    </w:p>
    <w:p w14:paraId="2F81B5C8" w14:textId="77777777" w:rsidR="0027270B" w:rsidRDefault="00000000">
      <w:r>
        <w:rPr>
          <w:rFonts w:cs="Calibri"/>
          <w:szCs w:val="21"/>
        </w:rPr>
        <w:t>J.13 Declassification. This Annex and the Registry's operational data declassify automatically one year after Blue Opening, with personal identifying information redacted. The Coastal Principals jointly delay declassification twice at most, one year each. The Financial Custodian completes redaction and releases the material within thirty days of each trigger. The framework operates in the light of its own record, and history reads the whole of it.</w:t>
      </w:r>
    </w:p>
    <w:p w14:paraId="1E2795D2" w14:textId="77777777" w:rsidR="0027270B" w:rsidRDefault="00000000">
      <w:pPr>
        <w:pStyle w:val="Heading2"/>
      </w:pPr>
      <w:bookmarkStart w:id="117" w:name="_Toc237648566"/>
      <w:r>
        <w:rPr>
          <w:rFonts w:cs="Calibri"/>
          <w:szCs w:val="25"/>
        </w:rPr>
        <w:t>Annex K: The Mine Exclusion and Joint Survey Protocol</w:t>
      </w:r>
      <w:bookmarkEnd w:id="117"/>
    </w:p>
    <w:p w14:paraId="6FAB5CCC" w14:textId="77777777" w:rsidR="0027270B" w:rsidRDefault="00000000">
      <w:r>
        <w:rPr>
          <w:rFonts w:cs="Calibri"/>
          <w:szCs w:val="21"/>
        </w:rPr>
        <w:t>K.1 Mandate. The Joint Survey Group clears the median lane of mines and hazards within thirty days of Blue Opening, under Article 25. The Group comprises Iranian, Omani, and international mine-countermeasure specialists, with technical participation from the United Nations Mine Action Service, survey support from the International Hydrographic Organization, and observation by the Neutral Watch Office and lantern pairs under Article 36.</w:t>
      </w:r>
    </w:p>
    <w:p w14:paraId="1C13F134" w14:textId="77777777" w:rsidR="0027270B" w:rsidRDefault="00000000">
      <w:r>
        <w:rPr>
          <w:rFonts w:cs="Calibri"/>
          <w:szCs w:val="21"/>
        </w:rPr>
        <w:t>K.2 The three sweeps. Sweep One, days 1 to 10: sonar and remotely operated vehicle survey of the full median lane, contact mapping, and risk classification, with all tracks logging to the golden record. Sweep Two, days 10 to 20: identification and disposal of contacts under paired supervision, with disposal decisions requiring Twin Key concurrence within sixty minutes and logging within the hour. Sweep Three, days 20 to 30: verification re-survey, residual-risk assessment, and certification drafting.</w:t>
      </w:r>
    </w:p>
    <w:p w14:paraId="44190B5E" w14:textId="77777777" w:rsidR="0027270B" w:rsidRDefault="00000000">
      <w:r>
        <w:rPr>
          <w:rFonts w:cs="Calibri"/>
          <w:szCs w:val="21"/>
        </w:rPr>
        <w:t>K.3 Certification standard. The lane certifies when: the verification re-survey detects no unclassified contact; every disposed contact logs with position, type, and disposal method; the residual-risk assessment rates the lane inside the stability band; and the Neutral Watch Office confirms the record. Certification converts the Central Blue Buffer under Article 9.4 and executes Pair Three of the Synchronized Relief Track. A lane that misses certification enters a fourteen-day remediation sweep while emergency routing continues, and the schedule re-baselines without touching any corridor's operation.</w:t>
      </w:r>
    </w:p>
    <w:p w14:paraId="0FD5E6D3" w14:textId="77777777" w:rsidR="0027270B" w:rsidRDefault="00000000">
      <w:r>
        <w:rPr>
          <w:rFonts w:cs="Calibri"/>
          <w:szCs w:val="21"/>
        </w:rPr>
        <w:lastRenderedPageBreak/>
        <w:t>K.4 Standing mine watch. After certification, the Group converts to a standing mine watch: quarterly re-surveys of the certified lane, immediate response to mine-risk alerts under Annex I.4, and an annual public report. Mine emplacement anywhere in the Governance Area, by any actor, classifies as an Architectural Breach under Article 50.4 and activates the False Flag and Attribution Protocol before any consequence attaches.</w:t>
      </w:r>
    </w:p>
    <w:p w14:paraId="1C04DFAE" w14:textId="77777777" w:rsidR="0027270B" w:rsidRDefault="00000000">
      <w:r>
        <w:rPr>
          <w:rFonts w:cs="Calibri"/>
          <w:szCs w:val="21"/>
        </w:rPr>
        <w:t>K.5 Safety and coordination. Survey operations coordinate with corridor traffic through the Transit Desk: rolling survey windows publish daily, traffic diverts around active disposal operations through the Emergency Diversion Channels, and no disposal operation runs within two nautical miles of a transiting convoy. The survey serves the traffic; the traffic never serves the survey.</w:t>
      </w:r>
    </w:p>
    <w:p w14:paraId="0205E471" w14:textId="77777777" w:rsidR="0027270B" w:rsidRDefault="00000000">
      <w:pPr>
        <w:pStyle w:val="Heading2"/>
      </w:pPr>
      <w:bookmarkStart w:id="118" w:name="_Toc237648567"/>
      <w:r>
        <w:rPr>
          <w:rFonts w:cs="Calibri"/>
          <w:szCs w:val="25"/>
        </w:rPr>
        <w:t>Annex L: The United States Transitional Security Umbrella Terms</w:t>
      </w:r>
      <w:bookmarkEnd w:id="118"/>
    </w:p>
    <w:p w14:paraId="37196871" w14:textId="77777777" w:rsidR="0027270B" w:rsidRDefault="00000000">
      <w:r>
        <w:rPr>
          <w:rFonts w:cs="Calibri"/>
          <w:szCs w:val="21"/>
        </w:rPr>
        <w:t>L.1 Scope and duration. The Umbrella operates from Blue Opening until its sunset under the step-down ladder, bounded by the four absolute limits of Article 20.3: no interdiction, no blockade function, no shore presence, no permanence. The Umbrella's functions: convoy escort on the high-seas approaches and through the corridors, overwatch and early warning feeding the Registry, distress response support, and hotline participation.</w:t>
      </w:r>
    </w:p>
    <w:p w14:paraId="64C88307" w14:textId="77777777" w:rsidR="0027270B" w:rsidRDefault="00000000">
      <w:r>
        <w:rPr>
          <w:rFonts w:cs="Calibri"/>
          <w:szCs w:val="21"/>
        </w:rPr>
        <w:t>L.2 Convoy interface. Escort vessels join convoy windows under the corridor coordinator's scheduling: station-keeping at not less than one nautical mile from commercial vessels, communications on the corridor working channel, and positioning that keeps escorts visibly protective and physically separate. Escort vessels never embark commercial crews, never direct commercial routing beyond the published window, and never approach within the standoff distances of Article 21 toward any non-convoy vessel.</w:t>
      </w:r>
    </w:p>
    <w:p w14:paraId="7B579B6D" w14:textId="77777777" w:rsidR="0027270B" w:rsidRDefault="00000000">
      <w:r>
        <w:rPr>
          <w:rFonts w:cs="Calibri"/>
          <w:szCs w:val="21"/>
        </w:rPr>
        <w:t>L.3 Step-down ladder. Day 30, on audit certification: escort density halves; every second convoy window runs unescorted under corridor-coordinator overwatch. Day 60: the Umbrella converts to on-call overwatch, with escort available on coordinator request within four hours. Day 90, on Consolidation Audit: the Umbrella sunsets; the Integrated Patrol Rotation assumes maritime security; the United States retains its Endorsing Stakeholder transparency and its hotline node. Every step follows the metrics; none follows negotiation, and none reverses except on an audit finding outside stability bands, which triggers remediation, not re-escalation of presence.</w:t>
      </w:r>
    </w:p>
    <w:p w14:paraId="6AF29669" w14:textId="77777777" w:rsidR="0027270B" w:rsidRDefault="00000000">
      <w:r>
        <w:rPr>
          <w:rFonts w:cs="Calibri"/>
          <w:szCs w:val="21"/>
        </w:rPr>
        <w:t>L.4 Transparency and accountability. Umbrella operations feed the Registry in real time on the same terms as every performer: positions, tracks, and incident logs. The GCC observers, the Neutral Watch Office, and both corridor coordinators see the Umbrella's full picture. Any deviation from these terms logs as an incident, climbs the Incident Ladder, and answers to the compliance engine like any other conduct inside the framework.</w:t>
      </w:r>
    </w:p>
    <w:p w14:paraId="7781370C" w14:textId="77777777" w:rsidR="0027270B" w:rsidRDefault="00000000">
      <w:r>
        <w:rPr>
          <w:rFonts w:cs="Calibri"/>
          <w:szCs w:val="21"/>
        </w:rPr>
        <w:t>L.5 Legal character. The Umbrella operates as escort and overwatch in support of the coastal coordinators, under this Accord, consistent with international law. It asserts no authority over any vessel, asserts no jurisdiction in any territorial sea, and creates no precedent for foreign command over the Strait's architecture. Its presence is a bridge the region crosses once, on the way to securing itself.</w:t>
      </w:r>
    </w:p>
    <w:p w14:paraId="3329BFC5" w14:textId="77777777" w:rsidR="0027270B" w:rsidRDefault="00000000">
      <w:pPr>
        <w:pStyle w:val="Heading2"/>
      </w:pPr>
      <w:bookmarkStart w:id="119" w:name="_Toc237648568"/>
      <w:r>
        <w:rPr>
          <w:rFonts w:cs="Calibri"/>
          <w:szCs w:val="25"/>
        </w:rPr>
        <w:lastRenderedPageBreak/>
        <w:t>Annex M: The Red Lines Register</w:t>
      </w:r>
      <w:bookmarkEnd w:id="119"/>
    </w:p>
    <w:p w14:paraId="63AEBE82" w14:textId="77777777" w:rsidR="0027270B" w:rsidRDefault="00000000">
      <w:r>
        <w:rPr>
          <w:rFonts w:cs="Calibri"/>
          <w:szCs w:val="21"/>
        </w:rPr>
        <w:t>M.1 The Register records every Participant's non-negotiable interests as design inputs. Each entry names the holder, the line, and the design consequence that protects it. The Perimeter Test of Article 7 screens every measure against this Register, and a measure that crosses a line has no effect. The Register binds the architecture; it never binds the holders to trade.</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691"/>
        <w:gridCol w:w="2946"/>
        <w:gridCol w:w="2257"/>
        <w:gridCol w:w="3292"/>
      </w:tblGrid>
      <w:tr w:rsidR="0027270B" w14:paraId="52D4B826" w14:textId="77777777">
        <w:tblPrEx>
          <w:tblCellMar>
            <w:top w:w="0" w:type="dxa"/>
            <w:bottom w:w="0" w:type="dxa"/>
          </w:tblCellMar>
        </w:tblPrEx>
        <w:trPr>
          <w:tblHeader/>
        </w:trPr>
        <w:tc>
          <w:tcPr>
            <w:tcW w:w="700" w:type="dxa"/>
            <w:shd w:val="clear" w:color="auto" w:fill="E8EFF4"/>
            <w:tcMar>
              <w:top w:w="60" w:type="dxa"/>
              <w:left w:w="80" w:type="dxa"/>
              <w:bottom w:w="60" w:type="dxa"/>
              <w:right w:w="80" w:type="dxa"/>
            </w:tcMar>
          </w:tcPr>
          <w:p w14:paraId="41CF682E" w14:textId="77777777" w:rsidR="0027270B" w:rsidRDefault="00000000">
            <w:pPr>
              <w:spacing w:after="0" w:line="260" w:lineRule="auto"/>
            </w:pPr>
            <w:r>
              <w:rPr>
                <w:rFonts w:cs="Calibri"/>
                <w:b/>
                <w:color w:val="1B3A5C"/>
                <w:sz w:val="20"/>
                <w:szCs w:val="20"/>
              </w:rPr>
              <w:t>No.</w:t>
            </w:r>
          </w:p>
        </w:tc>
        <w:tc>
          <w:tcPr>
            <w:tcW w:w="3000" w:type="dxa"/>
            <w:shd w:val="clear" w:color="auto" w:fill="E8EFF4"/>
            <w:tcMar>
              <w:top w:w="60" w:type="dxa"/>
              <w:left w:w="80" w:type="dxa"/>
              <w:bottom w:w="60" w:type="dxa"/>
              <w:right w:w="80" w:type="dxa"/>
            </w:tcMar>
          </w:tcPr>
          <w:p w14:paraId="4CDC7637" w14:textId="77777777" w:rsidR="0027270B" w:rsidRDefault="00000000">
            <w:pPr>
              <w:spacing w:after="0" w:line="260" w:lineRule="auto"/>
            </w:pPr>
            <w:r>
              <w:rPr>
                <w:rFonts w:cs="Calibri"/>
                <w:b/>
                <w:color w:val="1B3A5C"/>
                <w:sz w:val="20"/>
                <w:szCs w:val="20"/>
              </w:rPr>
              <w:t>Red line</w:t>
            </w:r>
          </w:p>
        </w:tc>
        <w:tc>
          <w:tcPr>
            <w:tcW w:w="2300" w:type="dxa"/>
            <w:shd w:val="clear" w:color="auto" w:fill="E8EFF4"/>
            <w:tcMar>
              <w:top w:w="60" w:type="dxa"/>
              <w:left w:w="80" w:type="dxa"/>
              <w:bottom w:w="60" w:type="dxa"/>
              <w:right w:w="80" w:type="dxa"/>
            </w:tcMar>
          </w:tcPr>
          <w:p w14:paraId="40AFFD16" w14:textId="77777777" w:rsidR="0027270B" w:rsidRDefault="00000000">
            <w:pPr>
              <w:spacing w:after="0" w:line="260" w:lineRule="auto"/>
            </w:pPr>
            <w:r>
              <w:rPr>
                <w:rFonts w:cs="Calibri"/>
                <w:b/>
                <w:color w:val="1B3A5C"/>
                <w:sz w:val="20"/>
                <w:szCs w:val="20"/>
              </w:rPr>
              <w:t>Holder</w:t>
            </w:r>
          </w:p>
        </w:tc>
        <w:tc>
          <w:tcPr>
            <w:tcW w:w="3360" w:type="dxa"/>
            <w:shd w:val="clear" w:color="auto" w:fill="E8EFF4"/>
            <w:tcMar>
              <w:top w:w="60" w:type="dxa"/>
              <w:left w:w="80" w:type="dxa"/>
              <w:bottom w:w="60" w:type="dxa"/>
              <w:right w:w="80" w:type="dxa"/>
            </w:tcMar>
          </w:tcPr>
          <w:p w14:paraId="3A8D1E6B" w14:textId="77777777" w:rsidR="0027270B" w:rsidRDefault="00000000">
            <w:pPr>
              <w:spacing w:after="0" w:line="260" w:lineRule="auto"/>
            </w:pPr>
            <w:r>
              <w:rPr>
                <w:rFonts w:cs="Calibri"/>
                <w:b/>
                <w:color w:val="1B3A5C"/>
                <w:sz w:val="20"/>
                <w:szCs w:val="20"/>
              </w:rPr>
              <w:t>Design consequence</w:t>
            </w:r>
          </w:p>
        </w:tc>
      </w:tr>
      <w:tr w:rsidR="0027270B" w14:paraId="712BAB2C" w14:textId="77777777">
        <w:tblPrEx>
          <w:tblCellMar>
            <w:top w:w="0" w:type="dxa"/>
            <w:bottom w:w="0" w:type="dxa"/>
          </w:tblCellMar>
        </w:tblPrEx>
        <w:tc>
          <w:tcPr>
            <w:tcW w:w="700" w:type="dxa"/>
            <w:tcMar>
              <w:top w:w="50" w:type="dxa"/>
              <w:left w:w="80" w:type="dxa"/>
              <w:bottom w:w="50" w:type="dxa"/>
              <w:right w:w="80" w:type="dxa"/>
            </w:tcMar>
          </w:tcPr>
          <w:p w14:paraId="45A97C5F" w14:textId="77777777" w:rsidR="0027270B" w:rsidRDefault="00000000">
            <w:pPr>
              <w:spacing w:after="0" w:line="260" w:lineRule="auto"/>
            </w:pPr>
            <w:r>
              <w:rPr>
                <w:rFonts w:cs="Calibri"/>
                <w:sz w:val="20"/>
                <w:szCs w:val="20"/>
              </w:rPr>
              <w:t>1</w:t>
            </w:r>
          </w:p>
        </w:tc>
        <w:tc>
          <w:tcPr>
            <w:tcW w:w="3000" w:type="dxa"/>
            <w:tcMar>
              <w:top w:w="50" w:type="dxa"/>
              <w:left w:w="80" w:type="dxa"/>
              <w:bottom w:w="50" w:type="dxa"/>
              <w:right w:w="80" w:type="dxa"/>
            </w:tcMar>
          </w:tcPr>
          <w:p w14:paraId="121517F0" w14:textId="77777777" w:rsidR="0027270B" w:rsidRDefault="00000000">
            <w:pPr>
              <w:spacing w:after="0" w:line="260" w:lineRule="auto"/>
            </w:pPr>
            <w:r>
              <w:rPr>
                <w:rFonts w:cs="Calibri"/>
                <w:sz w:val="20"/>
                <w:szCs w:val="20"/>
              </w:rPr>
              <w:t>No toll on passage</w:t>
            </w:r>
          </w:p>
        </w:tc>
        <w:tc>
          <w:tcPr>
            <w:tcW w:w="2300" w:type="dxa"/>
            <w:tcMar>
              <w:top w:w="50" w:type="dxa"/>
              <w:left w:w="80" w:type="dxa"/>
              <w:bottom w:w="50" w:type="dxa"/>
              <w:right w:w="80" w:type="dxa"/>
            </w:tcMar>
          </w:tcPr>
          <w:p w14:paraId="4E441A58" w14:textId="77777777" w:rsidR="0027270B" w:rsidRDefault="00000000">
            <w:pPr>
              <w:spacing w:after="0" w:line="260" w:lineRule="auto"/>
            </w:pPr>
            <w:r>
              <w:rPr>
                <w:rFonts w:cs="Calibri"/>
                <w:sz w:val="20"/>
                <w:szCs w:val="20"/>
              </w:rPr>
              <w:t>United States, GCC, industry</w:t>
            </w:r>
          </w:p>
        </w:tc>
        <w:tc>
          <w:tcPr>
            <w:tcW w:w="3360" w:type="dxa"/>
            <w:tcMar>
              <w:top w:w="50" w:type="dxa"/>
              <w:left w:w="80" w:type="dxa"/>
              <w:bottom w:w="50" w:type="dxa"/>
              <w:right w:w="80" w:type="dxa"/>
            </w:tcMar>
          </w:tcPr>
          <w:p w14:paraId="25B378BD" w14:textId="77777777" w:rsidR="0027270B" w:rsidRDefault="00000000">
            <w:pPr>
              <w:spacing w:after="0" w:line="260" w:lineRule="auto"/>
            </w:pPr>
            <w:r>
              <w:rPr>
                <w:rFonts w:cs="Calibri"/>
                <w:sz w:val="20"/>
                <w:szCs w:val="20"/>
              </w:rPr>
              <w:t>Zero-Toll Rule; Substance Test; automatic strike</w:t>
            </w:r>
          </w:p>
        </w:tc>
      </w:tr>
      <w:tr w:rsidR="0027270B" w14:paraId="3F2A8921" w14:textId="77777777">
        <w:tblPrEx>
          <w:tblCellMar>
            <w:top w:w="0" w:type="dxa"/>
            <w:bottom w:w="0" w:type="dxa"/>
          </w:tblCellMar>
        </w:tblPrEx>
        <w:tc>
          <w:tcPr>
            <w:tcW w:w="700" w:type="dxa"/>
            <w:tcMar>
              <w:top w:w="50" w:type="dxa"/>
              <w:left w:w="80" w:type="dxa"/>
              <w:bottom w:w="50" w:type="dxa"/>
              <w:right w:w="80" w:type="dxa"/>
            </w:tcMar>
          </w:tcPr>
          <w:p w14:paraId="33529FE3" w14:textId="77777777" w:rsidR="0027270B" w:rsidRDefault="00000000">
            <w:pPr>
              <w:spacing w:after="0" w:line="260" w:lineRule="auto"/>
            </w:pPr>
            <w:r>
              <w:rPr>
                <w:rFonts w:cs="Calibri"/>
                <w:sz w:val="20"/>
                <w:szCs w:val="20"/>
              </w:rPr>
              <w:t>2</w:t>
            </w:r>
          </w:p>
        </w:tc>
        <w:tc>
          <w:tcPr>
            <w:tcW w:w="3000" w:type="dxa"/>
            <w:tcMar>
              <w:top w:w="50" w:type="dxa"/>
              <w:left w:w="80" w:type="dxa"/>
              <w:bottom w:w="50" w:type="dxa"/>
              <w:right w:w="80" w:type="dxa"/>
            </w:tcMar>
          </w:tcPr>
          <w:p w14:paraId="03CC8655" w14:textId="77777777" w:rsidR="0027270B" w:rsidRDefault="00000000">
            <w:pPr>
              <w:spacing w:after="0" w:line="260" w:lineRule="auto"/>
            </w:pPr>
            <w:r>
              <w:rPr>
                <w:rFonts w:cs="Calibri"/>
                <w:sz w:val="20"/>
                <w:szCs w:val="20"/>
              </w:rPr>
              <w:t>No permission regime</w:t>
            </w:r>
          </w:p>
        </w:tc>
        <w:tc>
          <w:tcPr>
            <w:tcW w:w="2300" w:type="dxa"/>
            <w:tcMar>
              <w:top w:w="50" w:type="dxa"/>
              <w:left w:w="80" w:type="dxa"/>
              <w:bottom w:w="50" w:type="dxa"/>
              <w:right w:w="80" w:type="dxa"/>
            </w:tcMar>
          </w:tcPr>
          <w:p w14:paraId="584A2D90" w14:textId="77777777" w:rsidR="0027270B" w:rsidRDefault="00000000">
            <w:pPr>
              <w:spacing w:after="0" w:line="260" w:lineRule="auto"/>
            </w:pPr>
            <w:r>
              <w:rPr>
                <w:rFonts w:cs="Calibri"/>
                <w:sz w:val="20"/>
                <w:szCs w:val="20"/>
              </w:rPr>
              <w:t>United States, industry</w:t>
            </w:r>
          </w:p>
        </w:tc>
        <w:tc>
          <w:tcPr>
            <w:tcW w:w="3360" w:type="dxa"/>
            <w:tcMar>
              <w:top w:w="50" w:type="dxa"/>
              <w:left w:w="80" w:type="dxa"/>
              <w:bottom w:w="50" w:type="dxa"/>
              <w:right w:w="80" w:type="dxa"/>
            </w:tcMar>
          </w:tcPr>
          <w:p w14:paraId="30C2E07B" w14:textId="77777777" w:rsidR="0027270B" w:rsidRDefault="00000000">
            <w:pPr>
              <w:spacing w:after="0" w:line="260" w:lineRule="auto"/>
            </w:pPr>
            <w:r>
              <w:rPr>
                <w:rFonts w:cs="Calibri"/>
                <w:sz w:val="20"/>
                <w:szCs w:val="20"/>
              </w:rPr>
              <w:t>File-and-acknowledge; silence constitutes acknowledgment</w:t>
            </w:r>
          </w:p>
        </w:tc>
      </w:tr>
      <w:tr w:rsidR="0027270B" w14:paraId="3D50DF43" w14:textId="77777777">
        <w:tblPrEx>
          <w:tblCellMar>
            <w:top w:w="0" w:type="dxa"/>
            <w:bottom w:w="0" w:type="dxa"/>
          </w:tblCellMar>
        </w:tblPrEx>
        <w:tc>
          <w:tcPr>
            <w:tcW w:w="700" w:type="dxa"/>
            <w:tcMar>
              <w:top w:w="50" w:type="dxa"/>
              <w:left w:w="80" w:type="dxa"/>
              <w:bottom w:w="50" w:type="dxa"/>
              <w:right w:w="80" w:type="dxa"/>
            </w:tcMar>
          </w:tcPr>
          <w:p w14:paraId="5DDB848A" w14:textId="77777777" w:rsidR="0027270B" w:rsidRDefault="00000000">
            <w:pPr>
              <w:spacing w:after="0" w:line="260" w:lineRule="auto"/>
            </w:pPr>
            <w:r>
              <w:rPr>
                <w:rFonts w:cs="Calibri"/>
                <w:sz w:val="20"/>
                <w:szCs w:val="20"/>
              </w:rPr>
              <w:t>3</w:t>
            </w:r>
          </w:p>
        </w:tc>
        <w:tc>
          <w:tcPr>
            <w:tcW w:w="3000" w:type="dxa"/>
            <w:tcMar>
              <w:top w:w="50" w:type="dxa"/>
              <w:left w:w="80" w:type="dxa"/>
              <w:bottom w:w="50" w:type="dxa"/>
              <w:right w:w="80" w:type="dxa"/>
            </w:tcMar>
          </w:tcPr>
          <w:p w14:paraId="49787BE6" w14:textId="77777777" w:rsidR="0027270B" w:rsidRDefault="00000000">
            <w:pPr>
              <w:spacing w:after="0" w:line="260" w:lineRule="auto"/>
            </w:pPr>
            <w:r>
              <w:rPr>
                <w:rFonts w:cs="Calibri"/>
                <w:sz w:val="20"/>
                <w:szCs w:val="20"/>
              </w:rPr>
              <w:t>No unilateral control of the Strait</w:t>
            </w:r>
          </w:p>
        </w:tc>
        <w:tc>
          <w:tcPr>
            <w:tcW w:w="2300" w:type="dxa"/>
            <w:tcMar>
              <w:top w:w="50" w:type="dxa"/>
              <w:left w:w="80" w:type="dxa"/>
              <w:bottom w:w="50" w:type="dxa"/>
              <w:right w:w="80" w:type="dxa"/>
            </w:tcMar>
          </w:tcPr>
          <w:p w14:paraId="2E35F142" w14:textId="77777777" w:rsidR="0027270B" w:rsidRDefault="00000000">
            <w:pPr>
              <w:spacing w:after="0" w:line="260" w:lineRule="auto"/>
            </w:pPr>
            <w:r>
              <w:rPr>
                <w:rFonts w:cs="Calibri"/>
                <w:sz w:val="20"/>
                <w:szCs w:val="20"/>
              </w:rPr>
              <w:t>United States, GCC</w:t>
            </w:r>
          </w:p>
        </w:tc>
        <w:tc>
          <w:tcPr>
            <w:tcW w:w="3360" w:type="dxa"/>
            <w:tcMar>
              <w:top w:w="50" w:type="dxa"/>
              <w:left w:w="80" w:type="dxa"/>
              <w:bottom w:w="50" w:type="dxa"/>
              <w:right w:w="80" w:type="dxa"/>
            </w:tcMar>
          </w:tcPr>
          <w:p w14:paraId="66754E7C" w14:textId="77777777" w:rsidR="0027270B" w:rsidRDefault="00000000">
            <w:pPr>
              <w:spacing w:after="0" w:line="260" w:lineRule="auto"/>
            </w:pPr>
            <w:r>
              <w:rPr>
                <w:rFonts w:cs="Calibri"/>
                <w:sz w:val="20"/>
                <w:szCs w:val="20"/>
              </w:rPr>
              <w:t>Twin Key Rule; paired functions; observer transparency</w:t>
            </w:r>
          </w:p>
        </w:tc>
      </w:tr>
      <w:tr w:rsidR="0027270B" w14:paraId="739EEE39" w14:textId="77777777">
        <w:tblPrEx>
          <w:tblCellMar>
            <w:top w:w="0" w:type="dxa"/>
            <w:bottom w:w="0" w:type="dxa"/>
          </w:tblCellMar>
        </w:tblPrEx>
        <w:tc>
          <w:tcPr>
            <w:tcW w:w="700" w:type="dxa"/>
            <w:tcMar>
              <w:top w:w="50" w:type="dxa"/>
              <w:left w:w="80" w:type="dxa"/>
              <w:bottom w:w="50" w:type="dxa"/>
              <w:right w:w="80" w:type="dxa"/>
            </w:tcMar>
          </w:tcPr>
          <w:p w14:paraId="6291DC9D" w14:textId="77777777" w:rsidR="0027270B" w:rsidRDefault="00000000">
            <w:pPr>
              <w:spacing w:after="0" w:line="260" w:lineRule="auto"/>
            </w:pPr>
            <w:r>
              <w:rPr>
                <w:rFonts w:cs="Calibri"/>
                <w:sz w:val="20"/>
                <w:szCs w:val="20"/>
              </w:rPr>
              <w:t>4</w:t>
            </w:r>
          </w:p>
        </w:tc>
        <w:tc>
          <w:tcPr>
            <w:tcW w:w="3000" w:type="dxa"/>
            <w:tcMar>
              <w:top w:w="50" w:type="dxa"/>
              <w:left w:w="80" w:type="dxa"/>
              <w:bottom w:w="50" w:type="dxa"/>
              <w:right w:w="80" w:type="dxa"/>
            </w:tcMar>
          </w:tcPr>
          <w:p w14:paraId="10C9539F" w14:textId="77777777" w:rsidR="0027270B" w:rsidRDefault="00000000">
            <w:pPr>
              <w:spacing w:after="0" w:line="260" w:lineRule="auto"/>
            </w:pPr>
            <w:r>
              <w:rPr>
                <w:rFonts w:cs="Calibri"/>
                <w:sz w:val="20"/>
                <w:szCs w:val="20"/>
              </w:rPr>
              <w:t>Recognized coastal management role</w:t>
            </w:r>
          </w:p>
        </w:tc>
        <w:tc>
          <w:tcPr>
            <w:tcW w:w="2300" w:type="dxa"/>
            <w:tcMar>
              <w:top w:w="50" w:type="dxa"/>
              <w:left w:w="80" w:type="dxa"/>
              <w:bottom w:w="50" w:type="dxa"/>
              <w:right w:w="80" w:type="dxa"/>
            </w:tcMar>
          </w:tcPr>
          <w:p w14:paraId="1699B369" w14:textId="77777777" w:rsidR="0027270B" w:rsidRDefault="00000000">
            <w:pPr>
              <w:spacing w:after="0" w:line="260" w:lineRule="auto"/>
            </w:pPr>
            <w:r>
              <w:rPr>
                <w:rFonts w:cs="Calibri"/>
                <w:sz w:val="20"/>
                <w:szCs w:val="20"/>
              </w:rPr>
              <w:t>Iran, Oman</w:t>
            </w:r>
          </w:p>
        </w:tc>
        <w:tc>
          <w:tcPr>
            <w:tcW w:w="3360" w:type="dxa"/>
            <w:tcMar>
              <w:top w:w="50" w:type="dxa"/>
              <w:left w:w="80" w:type="dxa"/>
              <w:bottom w:w="50" w:type="dxa"/>
              <w:right w:w="80" w:type="dxa"/>
            </w:tcMar>
          </w:tcPr>
          <w:p w14:paraId="218482E9" w14:textId="77777777" w:rsidR="0027270B" w:rsidRDefault="00000000">
            <w:pPr>
              <w:spacing w:after="0" w:line="260" w:lineRule="auto"/>
            </w:pPr>
            <w:r>
              <w:rPr>
                <w:rFonts w:cs="Calibri"/>
                <w:sz w:val="20"/>
                <w:szCs w:val="20"/>
              </w:rPr>
              <w:t>Corridor coordination functions; registry acknowledgment</w:t>
            </w:r>
          </w:p>
        </w:tc>
      </w:tr>
      <w:tr w:rsidR="0027270B" w14:paraId="4356374F" w14:textId="77777777">
        <w:tblPrEx>
          <w:tblCellMar>
            <w:top w:w="0" w:type="dxa"/>
            <w:bottom w:w="0" w:type="dxa"/>
          </w:tblCellMar>
        </w:tblPrEx>
        <w:tc>
          <w:tcPr>
            <w:tcW w:w="700" w:type="dxa"/>
            <w:tcMar>
              <w:top w:w="50" w:type="dxa"/>
              <w:left w:w="80" w:type="dxa"/>
              <w:bottom w:w="50" w:type="dxa"/>
              <w:right w:w="80" w:type="dxa"/>
            </w:tcMar>
          </w:tcPr>
          <w:p w14:paraId="3325E8C9" w14:textId="77777777" w:rsidR="0027270B" w:rsidRDefault="00000000">
            <w:pPr>
              <w:spacing w:after="0" w:line="260" w:lineRule="auto"/>
            </w:pPr>
            <w:r>
              <w:rPr>
                <w:rFonts w:cs="Calibri"/>
                <w:sz w:val="20"/>
                <w:szCs w:val="20"/>
              </w:rPr>
              <w:t>5</w:t>
            </w:r>
          </w:p>
        </w:tc>
        <w:tc>
          <w:tcPr>
            <w:tcW w:w="3000" w:type="dxa"/>
            <w:tcMar>
              <w:top w:w="50" w:type="dxa"/>
              <w:left w:w="80" w:type="dxa"/>
              <w:bottom w:w="50" w:type="dxa"/>
              <w:right w:w="80" w:type="dxa"/>
            </w:tcMar>
          </w:tcPr>
          <w:p w14:paraId="50602609" w14:textId="77777777" w:rsidR="0027270B" w:rsidRDefault="00000000">
            <w:pPr>
              <w:spacing w:after="0" w:line="260" w:lineRule="auto"/>
            </w:pPr>
            <w:r>
              <w:rPr>
                <w:rFonts w:cs="Calibri"/>
                <w:sz w:val="20"/>
                <w:szCs w:val="20"/>
              </w:rPr>
              <w:t>No foreign command over the architecture</w:t>
            </w:r>
          </w:p>
        </w:tc>
        <w:tc>
          <w:tcPr>
            <w:tcW w:w="2300" w:type="dxa"/>
            <w:tcMar>
              <w:top w:w="50" w:type="dxa"/>
              <w:left w:w="80" w:type="dxa"/>
              <w:bottom w:w="50" w:type="dxa"/>
              <w:right w:w="80" w:type="dxa"/>
            </w:tcMar>
          </w:tcPr>
          <w:p w14:paraId="139FF7E5" w14:textId="77777777" w:rsidR="0027270B" w:rsidRDefault="00000000">
            <w:pPr>
              <w:spacing w:after="0" w:line="260" w:lineRule="auto"/>
            </w:pPr>
            <w:r>
              <w:rPr>
                <w:rFonts w:cs="Calibri"/>
                <w:sz w:val="20"/>
                <w:szCs w:val="20"/>
              </w:rPr>
              <w:t>Iran, Oman, GCC</w:t>
            </w:r>
          </w:p>
        </w:tc>
        <w:tc>
          <w:tcPr>
            <w:tcW w:w="3360" w:type="dxa"/>
            <w:tcMar>
              <w:top w:w="50" w:type="dxa"/>
              <w:left w:w="80" w:type="dxa"/>
              <w:bottom w:w="50" w:type="dxa"/>
              <w:right w:w="80" w:type="dxa"/>
            </w:tcMar>
          </w:tcPr>
          <w:p w14:paraId="7AF5D0BF" w14:textId="77777777" w:rsidR="0027270B" w:rsidRDefault="00000000">
            <w:pPr>
              <w:spacing w:after="0" w:line="260" w:lineRule="auto"/>
            </w:pPr>
            <w:r>
              <w:rPr>
                <w:rFonts w:cs="Calibri"/>
                <w:sz w:val="20"/>
                <w:szCs w:val="20"/>
              </w:rPr>
              <w:t>Bounded Umbrella; Endorsing Stakeholder limits; sunset ladder</w:t>
            </w:r>
          </w:p>
        </w:tc>
      </w:tr>
      <w:tr w:rsidR="0027270B" w14:paraId="5D2181E6" w14:textId="77777777">
        <w:tblPrEx>
          <w:tblCellMar>
            <w:top w:w="0" w:type="dxa"/>
            <w:bottom w:w="0" w:type="dxa"/>
          </w:tblCellMar>
        </w:tblPrEx>
        <w:tc>
          <w:tcPr>
            <w:tcW w:w="700" w:type="dxa"/>
            <w:tcMar>
              <w:top w:w="50" w:type="dxa"/>
              <w:left w:w="80" w:type="dxa"/>
              <w:bottom w:w="50" w:type="dxa"/>
              <w:right w:w="80" w:type="dxa"/>
            </w:tcMar>
          </w:tcPr>
          <w:p w14:paraId="5D94985B" w14:textId="77777777" w:rsidR="0027270B" w:rsidRDefault="00000000">
            <w:pPr>
              <w:spacing w:after="0" w:line="260" w:lineRule="auto"/>
            </w:pPr>
            <w:r>
              <w:rPr>
                <w:rFonts w:cs="Calibri"/>
                <w:sz w:val="20"/>
                <w:szCs w:val="20"/>
              </w:rPr>
              <w:t>6</w:t>
            </w:r>
          </w:p>
        </w:tc>
        <w:tc>
          <w:tcPr>
            <w:tcW w:w="3000" w:type="dxa"/>
            <w:tcMar>
              <w:top w:w="50" w:type="dxa"/>
              <w:left w:w="80" w:type="dxa"/>
              <w:bottom w:w="50" w:type="dxa"/>
              <w:right w:w="80" w:type="dxa"/>
            </w:tcMar>
          </w:tcPr>
          <w:p w14:paraId="28A5BFEA" w14:textId="77777777" w:rsidR="0027270B" w:rsidRDefault="00000000">
            <w:pPr>
              <w:spacing w:after="0" w:line="260" w:lineRule="auto"/>
            </w:pPr>
            <w:r>
              <w:rPr>
                <w:rFonts w:cs="Calibri"/>
                <w:sz w:val="20"/>
                <w:szCs w:val="20"/>
              </w:rPr>
              <w:t>End of the blockade</w:t>
            </w:r>
          </w:p>
        </w:tc>
        <w:tc>
          <w:tcPr>
            <w:tcW w:w="2300" w:type="dxa"/>
            <w:tcMar>
              <w:top w:w="50" w:type="dxa"/>
              <w:left w:w="80" w:type="dxa"/>
              <w:bottom w:w="50" w:type="dxa"/>
              <w:right w:w="80" w:type="dxa"/>
            </w:tcMar>
          </w:tcPr>
          <w:p w14:paraId="79C03A36" w14:textId="77777777" w:rsidR="0027270B" w:rsidRDefault="00000000">
            <w:pPr>
              <w:spacing w:after="0" w:line="260" w:lineRule="auto"/>
            </w:pPr>
            <w:r>
              <w:rPr>
                <w:rFonts w:cs="Calibri"/>
                <w:sz w:val="20"/>
                <w:szCs w:val="20"/>
              </w:rPr>
              <w:t>Iran</w:t>
            </w:r>
          </w:p>
        </w:tc>
        <w:tc>
          <w:tcPr>
            <w:tcW w:w="3360" w:type="dxa"/>
            <w:tcMar>
              <w:top w:w="50" w:type="dxa"/>
              <w:left w:w="80" w:type="dxa"/>
              <w:bottom w:w="50" w:type="dxa"/>
              <w:right w:w="80" w:type="dxa"/>
            </w:tcMar>
          </w:tcPr>
          <w:p w14:paraId="5E863163" w14:textId="77777777" w:rsidR="0027270B" w:rsidRDefault="00000000">
            <w:pPr>
              <w:spacing w:after="0" w:line="260" w:lineRule="auto"/>
            </w:pPr>
            <w:r>
              <w:rPr>
                <w:rFonts w:cs="Calibri"/>
                <w:sz w:val="20"/>
                <w:szCs w:val="20"/>
              </w:rPr>
              <w:t>Synchronized Relief Track Pairs One and Three</w:t>
            </w:r>
          </w:p>
        </w:tc>
      </w:tr>
      <w:tr w:rsidR="0027270B" w14:paraId="0A318D5B" w14:textId="77777777">
        <w:tblPrEx>
          <w:tblCellMar>
            <w:top w:w="0" w:type="dxa"/>
            <w:bottom w:w="0" w:type="dxa"/>
          </w:tblCellMar>
        </w:tblPrEx>
        <w:tc>
          <w:tcPr>
            <w:tcW w:w="700" w:type="dxa"/>
            <w:tcMar>
              <w:top w:w="50" w:type="dxa"/>
              <w:left w:w="80" w:type="dxa"/>
              <w:bottom w:w="50" w:type="dxa"/>
              <w:right w:w="80" w:type="dxa"/>
            </w:tcMar>
          </w:tcPr>
          <w:p w14:paraId="698133B6" w14:textId="77777777" w:rsidR="0027270B" w:rsidRDefault="00000000">
            <w:pPr>
              <w:spacing w:after="0" w:line="260" w:lineRule="auto"/>
            </w:pPr>
            <w:r>
              <w:rPr>
                <w:rFonts w:cs="Calibri"/>
                <w:sz w:val="20"/>
                <w:szCs w:val="20"/>
              </w:rPr>
              <w:t>7</w:t>
            </w:r>
          </w:p>
        </w:tc>
        <w:tc>
          <w:tcPr>
            <w:tcW w:w="3000" w:type="dxa"/>
            <w:tcMar>
              <w:top w:w="50" w:type="dxa"/>
              <w:left w:w="80" w:type="dxa"/>
              <w:bottom w:w="50" w:type="dxa"/>
              <w:right w:w="80" w:type="dxa"/>
            </w:tcMar>
          </w:tcPr>
          <w:p w14:paraId="1CA9C12F" w14:textId="77777777" w:rsidR="0027270B" w:rsidRDefault="00000000">
            <w:pPr>
              <w:spacing w:after="0" w:line="260" w:lineRule="auto"/>
            </w:pPr>
            <w:r>
              <w:rPr>
                <w:rFonts w:cs="Calibri"/>
                <w:sz w:val="20"/>
                <w:szCs w:val="20"/>
              </w:rPr>
              <w:t>End of strikes on Iranian territory</w:t>
            </w:r>
          </w:p>
        </w:tc>
        <w:tc>
          <w:tcPr>
            <w:tcW w:w="2300" w:type="dxa"/>
            <w:tcMar>
              <w:top w:w="50" w:type="dxa"/>
              <w:left w:w="80" w:type="dxa"/>
              <w:bottom w:w="50" w:type="dxa"/>
              <w:right w:w="80" w:type="dxa"/>
            </w:tcMar>
          </w:tcPr>
          <w:p w14:paraId="3764E96A" w14:textId="77777777" w:rsidR="0027270B" w:rsidRDefault="00000000">
            <w:pPr>
              <w:spacing w:after="0" w:line="260" w:lineRule="auto"/>
            </w:pPr>
            <w:r>
              <w:rPr>
                <w:rFonts w:cs="Calibri"/>
                <w:sz w:val="20"/>
                <w:szCs w:val="20"/>
              </w:rPr>
              <w:t>Iran</w:t>
            </w:r>
          </w:p>
        </w:tc>
        <w:tc>
          <w:tcPr>
            <w:tcW w:w="3360" w:type="dxa"/>
            <w:tcMar>
              <w:top w:w="50" w:type="dxa"/>
              <w:left w:w="80" w:type="dxa"/>
              <w:bottom w:w="50" w:type="dxa"/>
              <w:right w:w="80" w:type="dxa"/>
            </w:tcMar>
          </w:tcPr>
          <w:p w14:paraId="355B49F8" w14:textId="77777777" w:rsidR="0027270B" w:rsidRDefault="00000000">
            <w:pPr>
              <w:spacing w:after="0" w:line="260" w:lineRule="auto"/>
            </w:pPr>
            <w:r>
              <w:rPr>
                <w:rFonts w:cs="Calibri"/>
                <w:sz w:val="20"/>
                <w:szCs w:val="20"/>
              </w:rPr>
              <w:t>Standstill; Accord continues outside military tracks</w:t>
            </w:r>
          </w:p>
        </w:tc>
      </w:tr>
      <w:tr w:rsidR="0027270B" w14:paraId="1ECAA9C0" w14:textId="77777777">
        <w:tblPrEx>
          <w:tblCellMar>
            <w:top w:w="0" w:type="dxa"/>
            <w:bottom w:w="0" w:type="dxa"/>
          </w:tblCellMar>
        </w:tblPrEx>
        <w:tc>
          <w:tcPr>
            <w:tcW w:w="700" w:type="dxa"/>
            <w:tcMar>
              <w:top w:w="50" w:type="dxa"/>
              <w:left w:w="80" w:type="dxa"/>
              <w:bottom w:w="50" w:type="dxa"/>
              <w:right w:w="80" w:type="dxa"/>
            </w:tcMar>
          </w:tcPr>
          <w:p w14:paraId="2A08A2DE" w14:textId="77777777" w:rsidR="0027270B" w:rsidRDefault="00000000">
            <w:pPr>
              <w:spacing w:after="0" w:line="260" w:lineRule="auto"/>
            </w:pPr>
            <w:r>
              <w:rPr>
                <w:rFonts w:cs="Calibri"/>
                <w:sz w:val="20"/>
                <w:szCs w:val="20"/>
              </w:rPr>
              <w:t>8</w:t>
            </w:r>
          </w:p>
        </w:tc>
        <w:tc>
          <w:tcPr>
            <w:tcW w:w="3000" w:type="dxa"/>
            <w:tcMar>
              <w:top w:w="50" w:type="dxa"/>
              <w:left w:w="80" w:type="dxa"/>
              <w:bottom w:w="50" w:type="dxa"/>
              <w:right w:w="80" w:type="dxa"/>
            </w:tcMar>
          </w:tcPr>
          <w:p w14:paraId="285CEB14" w14:textId="77777777" w:rsidR="0027270B" w:rsidRDefault="00000000">
            <w:pPr>
              <w:spacing w:after="0" w:line="260" w:lineRule="auto"/>
            </w:pPr>
            <w:r>
              <w:rPr>
                <w:rFonts w:cs="Calibri"/>
                <w:sz w:val="20"/>
                <w:szCs w:val="20"/>
              </w:rPr>
              <w:t>End of attacks on shipping</w:t>
            </w:r>
          </w:p>
        </w:tc>
        <w:tc>
          <w:tcPr>
            <w:tcW w:w="2300" w:type="dxa"/>
            <w:tcMar>
              <w:top w:w="50" w:type="dxa"/>
              <w:left w:w="80" w:type="dxa"/>
              <w:bottom w:w="50" w:type="dxa"/>
              <w:right w:w="80" w:type="dxa"/>
            </w:tcMar>
          </w:tcPr>
          <w:p w14:paraId="0FB31C3C" w14:textId="77777777" w:rsidR="0027270B" w:rsidRDefault="00000000">
            <w:pPr>
              <w:spacing w:after="0" w:line="260" w:lineRule="auto"/>
            </w:pPr>
            <w:r>
              <w:rPr>
                <w:rFonts w:cs="Calibri"/>
                <w:sz w:val="20"/>
                <w:szCs w:val="20"/>
              </w:rPr>
              <w:t>United States, GCC, industry</w:t>
            </w:r>
          </w:p>
        </w:tc>
        <w:tc>
          <w:tcPr>
            <w:tcW w:w="3360" w:type="dxa"/>
            <w:tcMar>
              <w:top w:w="50" w:type="dxa"/>
              <w:left w:w="80" w:type="dxa"/>
              <w:bottom w:w="50" w:type="dxa"/>
              <w:right w:w="80" w:type="dxa"/>
            </w:tcMar>
          </w:tcPr>
          <w:p w14:paraId="654EE596" w14:textId="77777777" w:rsidR="0027270B" w:rsidRDefault="00000000">
            <w:pPr>
              <w:spacing w:after="0" w:line="260" w:lineRule="auto"/>
            </w:pPr>
            <w:r>
              <w:rPr>
                <w:rFonts w:cs="Calibri"/>
                <w:sz w:val="20"/>
                <w:szCs w:val="20"/>
              </w:rPr>
              <w:t>Non-interdiction protocol; compliance engine tiers</w:t>
            </w:r>
          </w:p>
        </w:tc>
      </w:tr>
      <w:tr w:rsidR="0027270B" w14:paraId="3FACD53A" w14:textId="77777777">
        <w:tblPrEx>
          <w:tblCellMar>
            <w:top w:w="0" w:type="dxa"/>
            <w:bottom w:w="0" w:type="dxa"/>
          </w:tblCellMar>
        </w:tblPrEx>
        <w:tc>
          <w:tcPr>
            <w:tcW w:w="700" w:type="dxa"/>
            <w:tcMar>
              <w:top w:w="50" w:type="dxa"/>
              <w:left w:w="80" w:type="dxa"/>
              <w:bottom w:w="50" w:type="dxa"/>
              <w:right w:w="80" w:type="dxa"/>
            </w:tcMar>
          </w:tcPr>
          <w:p w14:paraId="5FDEE0B2" w14:textId="77777777" w:rsidR="0027270B" w:rsidRDefault="00000000">
            <w:pPr>
              <w:spacing w:after="0" w:line="260" w:lineRule="auto"/>
            </w:pPr>
            <w:r>
              <w:rPr>
                <w:rFonts w:cs="Calibri"/>
                <w:sz w:val="20"/>
                <w:szCs w:val="20"/>
              </w:rPr>
              <w:t>9</w:t>
            </w:r>
          </w:p>
        </w:tc>
        <w:tc>
          <w:tcPr>
            <w:tcW w:w="3000" w:type="dxa"/>
            <w:tcMar>
              <w:top w:w="50" w:type="dxa"/>
              <w:left w:w="80" w:type="dxa"/>
              <w:bottom w:w="50" w:type="dxa"/>
              <w:right w:w="80" w:type="dxa"/>
            </w:tcMar>
          </w:tcPr>
          <w:p w14:paraId="045F047A" w14:textId="77777777" w:rsidR="0027270B" w:rsidRDefault="00000000">
            <w:pPr>
              <w:spacing w:after="0" w:line="260" w:lineRule="auto"/>
            </w:pPr>
            <w:r>
              <w:rPr>
                <w:rFonts w:cs="Calibri"/>
                <w:sz w:val="20"/>
                <w:szCs w:val="20"/>
              </w:rPr>
              <w:t>Lawful compensation for real services</w:t>
            </w:r>
          </w:p>
        </w:tc>
        <w:tc>
          <w:tcPr>
            <w:tcW w:w="2300" w:type="dxa"/>
            <w:tcMar>
              <w:top w:w="50" w:type="dxa"/>
              <w:left w:w="80" w:type="dxa"/>
              <w:bottom w:w="50" w:type="dxa"/>
              <w:right w:w="80" w:type="dxa"/>
            </w:tcMar>
          </w:tcPr>
          <w:p w14:paraId="4C3B80CE" w14:textId="77777777" w:rsidR="0027270B" w:rsidRDefault="00000000">
            <w:pPr>
              <w:spacing w:after="0" w:line="260" w:lineRule="auto"/>
            </w:pPr>
            <w:r>
              <w:rPr>
                <w:rFonts w:cs="Calibri"/>
                <w:sz w:val="20"/>
                <w:szCs w:val="20"/>
              </w:rPr>
              <w:t>Iran</w:t>
            </w:r>
          </w:p>
        </w:tc>
        <w:tc>
          <w:tcPr>
            <w:tcW w:w="3360" w:type="dxa"/>
            <w:tcMar>
              <w:top w:w="50" w:type="dxa"/>
              <w:left w:w="80" w:type="dxa"/>
              <w:bottom w:w="50" w:type="dxa"/>
              <w:right w:w="80" w:type="dxa"/>
            </w:tcMar>
          </w:tcPr>
          <w:p w14:paraId="21C9396D" w14:textId="77777777" w:rsidR="0027270B" w:rsidRDefault="00000000">
            <w:pPr>
              <w:spacing w:after="0" w:line="260" w:lineRule="auto"/>
            </w:pPr>
            <w:r>
              <w:rPr>
                <w:rFonts w:cs="Calibri"/>
                <w:sz w:val="20"/>
                <w:szCs w:val="20"/>
              </w:rPr>
              <w:t>Blue Services Catalog; audited cost reimbursement</w:t>
            </w:r>
          </w:p>
        </w:tc>
      </w:tr>
      <w:tr w:rsidR="0027270B" w14:paraId="1336A2B0" w14:textId="77777777">
        <w:tblPrEx>
          <w:tblCellMar>
            <w:top w:w="0" w:type="dxa"/>
            <w:bottom w:w="0" w:type="dxa"/>
          </w:tblCellMar>
        </w:tblPrEx>
        <w:tc>
          <w:tcPr>
            <w:tcW w:w="700" w:type="dxa"/>
            <w:tcMar>
              <w:top w:w="50" w:type="dxa"/>
              <w:left w:w="80" w:type="dxa"/>
              <w:bottom w:w="50" w:type="dxa"/>
              <w:right w:w="80" w:type="dxa"/>
            </w:tcMar>
          </w:tcPr>
          <w:p w14:paraId="647CE89C" w14:textId="77777777" w:rsidR="0027270B" w:rsidRDefault="00000000">
            <w:pPr>
              <w:spacing w:after="0" w:line="260" w:lineRule="auto"/>
            </w:pPr>
            <w:r>
              <w:rPr>
                <w:rFonts w:cs="Calibri"/>
                <w:sz w:val="20"/>
                <w:szCs w:val="20"/>
              </w:rPr>
              <w:t>10</w:t>
            </w:r>
          </w:p>
        </w:tc>
        <w:tc>
          <w:tcPr>
            <w:tcW w:w="3000" w:type="dxa"/>
            <w:tcMar>
              <w:top w:w="50" w:type="dxa"/>
              <w:left w:w="80" w:type="dxa"/>
              <w:bottom w:w="50" w:type="dxa"/>
              <w:right w:w="80" w:type="dxa"/>
            </w:tcMar>
          </w:tcPr>
          <w:p w14:paraId="26F4A102" w14:textId="77777777" w:rsidR="0027270B" w:rsidRDefault="00000000">
            <w:pPr>
              <w:spacing w:after="0" w:line="260" w:lineRule="auto"/>
            </w:pPr>
            <w:r>
              <w:rPr>
                <w:rFonts w:cs="Calibri"/>
                <w:sz w:val="20"/>
                <w:szCs w:val="20"/>
              </w:rPr>
              <w:t>Sanctions-compatible payment channels</w:t>
            </w:r>
          </w:p>
        </w:tc>
        <w:tc>
          <w:tcPr>
            <w:tcW w:w="2300" w:type="dxa"/>
            <w:tcMar>
              <w:top w:w="50" w:type="dxa"/>
              <w:left w:w="80" w:type="dxa"/>
              <w:bottom w:w="50" w:type="dxa"/>
              <w:right w:w="80" w:type="dxa"/>
            </w:tcMar>
          </w:tcPr>
          <w:p w14:paraId="11D198A1" w14:textId="77777777" w:rsidR="0027270B" w:rsidRDefault="00000000">
            <w:pPr>
              <w:spacing w:after="0" w:line="260" w:lineRule="auto"/>
            </w:pPr>
            <w:r>
              <w:rPr>
                <w:rFonts w:cs="Calibri"/>
                <w:sz w:val="20"/>
                <w:szCs w:val="20"/>
              </w:rPr>
              <w:t>United States, Oman, contributors</w:t>
            </w:r>
          </w:p>
        </w:tc>
        <w:tc>
          <w:tcPr>
            <w:tcW w:w="3360" w:type="dxa"/>
            <w:tcMar>
              <w:top w:w="50" w:type="dxa"/>
              <w:left w:w="80" w:type="dxa"/>
              <w:bottom w:w="50" w:type="dxa"/>
              <w:right w:w="80" w:type="dxa"/>
            </w:tcMar>
          </w:tcPr>
          <w:p w14:paraId="30D9163B" w14:textId="77777777" w:rsidR="0027270B" w:rsidRDefault="00000000">
            <w:pPr>
              <w:spacing w:after="0" w:line="260" w:lineRule="auto"/>
            </w:pPr>
            <w:r>
              <w:rPr>
                <w:rFonts w:cs="Calibri"/>
                <w:sz w:val="20"/>
                <w:szCs w:val="20"/>
              </w:rPr>
              <w:t>Dual-custody Fund; screening protocol; rerouting rule</w:t>
            </w:r>
          </w:p>
        </w:tc>
      </w:tr>
      <w:tr w:rsidR="0027270B" w14:paraId="342BB887" w14:textId="77777777">
        <w:tblPrEx>
          <w:tblCellMar>
            <w:top w:w="0" w:type="dxa"/>
            <w:bottom w:w="0" w:type="dxa"/>
          </w:tblCellMar>
        </w:tblPrEx>
        <w:tc>
          <w:tcPr>
            <w:tcW w:w="700" w:type="dxa"/>
            <w:tcMar>
              <w:top w:w="50" w:type="dxa"/>
              <w:left w:w="80" w:type="dxa"/>
              <w:bottom w:w="50" w:type="dxa"/>
              <w:right w:w="80" w:type="dxa"/>
            </w:tcMar>
          </w:tcPr>
          <w:p w14:paraId="320BF7D4" w14:textId="77777777" w:rsidR="0027270B" w:rsidRDefault="00000000">
            <w:pPr>
              <w:spacing w:after="0" w:line="260" w:lineRule="auto"/>
            </w:pPr>
            <w:r>
              <w:rPr>
                <w:rFonts w:cs="Calibri"/>
                <w:sz w:val="20"/>
                <w:szCs w:val="20"/>
              </w:rPr>
              <w:t>11</w:t>
            </w:r>
          </w:p>
        </w:tc>
        <w:tc>
          <w:tcPr>
            <w:tcW w:w="3000" w:type="dxa"/>
            <w:tcMar>
              <w:top w:w="50" w:type="dxa"/>
              <w:left w:w="80" w:type="dxa"/>
              <w:bottom w:w="50" w:type="dxa"/>
              <w:right w:w="80" w:type="dxa"/>
            </w:tcMar>
          </w:tcPr>
          <w:p w14:paraId="102F5B35" w14:textId="77777777" w:rsidR="0027270B" w:rsidRDefault="00000000">
            <w:pPr>
              <w:spacing w:after="0" w:line="260" w:lineRule="auto"/>
            </w:pPr>
            <w:r>
              <w:rPr>
                <w:rFonts w:cs="Calibri"/>
                <w:sz w:val="20"/>
                <w:szCs w:val="20"/>
              </w:rPr>
              <w:t>Sovereignty and boundaries untouched</w:t>
            </w:r>
          </w:p>
        </w:tc>
        <w:tc>
          <w:tcPr>
            <w:tcW w:w="2300" w:type="dxa"/>
            <w:tcMar>
              <w:top w:w="50" w:type="dxa"/>
              <w:left w:w="80" w:type="dxa"/>
              <w:bottom w:w="50" w:type="dxa"/>
              <w:right w:w="80" w:type="dxa"/>
            </w:tcMar>
          </w:tcPr>
          <w:p w14:paraId="03CAB5E8" w14:textId="77777777" w:rsidR="0027270B" w:rsidRDefault="00000000">
            <w:pPr>
              <w:spacing w:after="0" w:line="260" w:lineRule="auto"/>
            </w:pPr>
            <w:r>
              <w:rPr>
                <w:rFonts w:cs="Calibri"/>
                <w:sz w:val="20"/>
                <w:szCs w:val="20"/>
              </w:rPr>
              <w:t>All littoral states</w:t>
            </w:r>
          </w:p>
        </w:tc>
        <w:tc>
          <w:tcPr>
            <w:tcW w:w="3360" w:type="dxa"/>
            <w:tcMar>
              <w:top w:w="50" w:type="dxa"/>
              <w:left w:w="80" w:type="dxa"/>
              <w:bottom w:w="50" w:type="dxa"/>
              <w:right w:w="80" w:type="dxa"/>
            </w:tcMar>
          </w:tcPr>
          <w:p w14:paraId="12B13ADC" w14:textId="77777777" w:rsidR="0027270B" w:rsidRDefault="00000000">
            <w:pPr>
              <w:spacing w:after="0" w:line="260" w:lineRule="auto"/>
            </w:pPr>
            <w:r>
              <w:rPr>
                <w:rFonts w:cs="Calibri"/>
                <w:sz w:val="20"/>
                <w:szCs w:val="20"/>
              </w:rPr>
              <w:t>Sovereignty Shield; non-prejudice clause</w:t>
            </w:r>
          </w:p>
        </w:tc>
      </w:tr>
      <w:tr w:rsidR="0027270B" w14:paraId="084E3785" w14:textId="77777777">
        <w:tblPrEx>
          <w:tblCellMar>
            <w:top w:w="0" w:type="dxa"/>
            <w:bottom w:w="0" w:type="dxa"/>
          </w:tblCellMar>
        </w:tblPrEx>
        <w:tc>
          <w:tcPr>
            <w:tcW w:w="700" w:type="dxa"/>
            <w:tcMar>
              <w:top w:w="50" w:type="dxa"/>
              <w:left w:w="80" w:type="dxa"/>
              <w:bottom w:w="50" w:type="dxa"/>
              <w:right w:w="80" w:type="dxa"/>
            </w:tcMar>
          </w:tcPr>
          <w:p w14:paraId="0C52EC23" w14:textId="77777777" w:rsidR="0027270B" w:rsidRDefault="00000000">
            <w:pPr>
              <w:spacing w:after="0" w:line="260" w:lineRule="auto"/>
            </w:pPr>
            <w:r>
              <w:rPr>
                <w:rFonts w:cs="Calibri"/>
                <w:sz w:val="20"/>
                <w:szCs w:val="20"/>
              </w:rPr>
              <w:t>12</w:t>
            </w:r>
          </w:p>
        </w:tc>
        <w:tc>
          <w:tcPr>
            <w:tcW w:w="3000" w:type="dxa"/>
            <w:tcMar>
              <w:top w:w="50" w:type="dxa"/>
              <w:left w:w="80" w:type="dxa"/>
              <w:bottom w:w="50" w:type="dxa"/>
              <w:right w:w="80" w:type="dxa"/>
            </w:tcMar>
          </w:tcPr>
          <w:p w14:paraId="6439AD11" w14:textId="77777777" w:rsidR="0027270B" w:rsidRDefault="00000000">
            <w:pPr>
              <w:spacing w:after="0" w:line="260" w:lineRule="auto"/>
            </w:pPr>
            <w:r>
              <w:rPr>
                <w:rFonts w:cs="Calibri"/>
                <w:sz w:val="20"/>
                <w:szCs w:val="20"/>
              </w:rPr>
              <w:t>No mines in the Strait</w:t>
            </w:r>
          </w:p>
        </w:tc>
        <w:tc>
          <w:tcPr>
            <w:tcW w:w="2300" w:type="dxa"/>
            <w:tcMar>
              <w:top w:w="50" w:type="dxa"/>
              <w:left w:w="80" w:type="dxa"/>
              <w:bottom w:w="50" w:type="dxa"/>
              <w:right w:w="80" w:type="dxa"/>
            </w:tcMar>
          </w:tcPr>
          <w:p w14:paraId="13B1416A" w14:textId="77777777" w:rsidR="0027270B" w:rsidRDefault="00000000">
            <w:pPr>
              <w:spacing w:after="0" w:line="260" w:lineRule="auto"/>
            </w:pPr>
            <w:r>
              <w:rPr>
                <w:rFonts w:cs="Calibri"/>
                <w:sz w:val="20"/>
                <w:szCs w:val="20"/>
              </w:rPr>
              <w:t>All Participants</w:t>
            </w:r>
          </w:p>
        </w:tc>
        <w:tc>
          <w:tcPr>
            <w:tcW w:w="3360" w:type="dxa"/>
            <w:tcMar>
              <w:top w:w="50" w:type="dxa"/>
              <w:left w:w="80" w:type="dxa"/>
              <w:bottom w:w="50" w:type="dxa"/>
              <w:right w:w="80" w:type="dxa"/>
            </w:tcMar>
          </w:tcPr>
          <w:p w14:paraId="122749FD" w14:textId="77777777" w:rsidR="0027270B" w:rsidRDefault="00000000">
            <w:pPr>
              <w:spacing w:after="0" w:line="260" w:lineRule="auto"/>
            </w:pPr>
            <w:r>
              <w:rPr>
                <w:rFonts w:cs="Calibri"/>
                <w:sz w:val="20"/>
                <w:szCs w:val="20"/>
              </w:rPr>
              <w:t>Mine Exclusion; Joint Survey; Tier Three classification</w:t>
            </w:r>
          </w:p>
        </w:tc>
      </w:tr>
      <w:tr w:rsidR="0027270B" w14:paraId="31E23246" w14:textId="77777777">
        <w:tblPrEx>
          <w:tblCellMar>
            <w:top w:w="0" w:type="dxa"/>
            <w:bottom w:w="0" w:type="dxa"/>
          </w:tblCellMar>
        </w:tblPrEx>
        <w:tc>
          <w:tcPr>
            <w:tcW w:w="700" w:type="dxa"/>
            <w:tcMar>
              <w:top w:w="50" w:type="dxa"/>
              <w:left w:w="80" w:type="dxa"/>
              <w:bottom w:w="50" w:type="dxa"/>
              <w:right w:w="80" w:type="dxa"/>
            </w:tcMar>
          </w:tcPr>
          <w:p w14:paraId="3BB49D2B" w14:textId="77777777" w:rsidR="0027270B" w:rsidRDefault="00000000">
            <w:pPr>
              <w:spacing w:after="0" w:line="260" w:lineRule="auto"/>
            </w:pPr>
            <w:r>
              <w:rPr>
                <w:rFonts w:cs="Calibri"/>
                <w:sz w:val="20"/>
                <w:szCs w:val="20"/>
              </w:rPr>
              <w:t>13</w:t>
            </w:r>
          </w:p>
        </w:tc>
        <w:tc>
          <w:tcPr>
            <w:tcW w:w="3000" w:type="dxa"/>
            <w:tcMar>
              <w:top w:w="50" w:type="dxa"/>
              <w:left w:w="80" w:type="dxa"/>
              <w:bottom w:w="50" w:type="dxa"/>
              <w:right w:w="80" w:type="dxa"/>
            </w:tcMar>
          </w:tcPr>
          <w:p w14:paraId="1AFE48C6" w14:textId="77777777" w:rsidR="0027270B" w:rsidRDefault="00000000">
            <w:pPr>
              <w:spacing w:after="0" w:line="260" w:lineRule="auto"/>
            </w:pPr>
            <w:r>
              <w:rPr>
                <w:rFonts w:cs="Calibri"/>
                <w:sz w:val="20"/>
                <w:szCs w:val="20"/>
              </w:rPr>
              <w:t>Humanitarian cargo moves first</w:t>
            </w:r>
          </w:p>
        </w:tc>
        <w:tc>
          <w:tcPr>
            <w:tcW w:w="2300" w:type="dxa"/>
            <w:tcMar>
              <w:top w:w="50" w:type="dxa"/>
              <w:left w:w="80" w:type="dxa"/>
              <w:bottom w:w="50" w:type="dxa"/>
              <w:right w:w="80" w:type="dxa"/>
            </w:tcMar>
          </w:tcPr>
          <w:p w14:paraId="283A98B7" w14:textId="77777777" w:rsidR="0027270B" w:rsidRDefault="00000000">
            <w:pPr>
              <w:spacing w:after="0" w:line="260" w:lineRule="auto"/>
            </w:pPr>
            <w:r>
              <w:rPr>
                <w:rFonts w:cs="Calibri"/>
                <w:sz w:val="20"/>
                <w:szCs w:val="20"/>
              </w:rPr>
              <w:t>All Participants</w:t>
            </w:r>
          </w:p>
        </w:tc>
        <w:tc>
          <w:tcPr>
            <w:tcW w:w="3360" w:type="dxa"/>
            <w:tcMar>
              <w:top w:w="50" w:type="dxa"/>
              <w:left w:w="80" w:type="dxa"/>
              <w:bottom w:w="50" w:type="dxa"/>
              <w:right w:w="80" w:type="dxa"/>
            </w:tcMar>
          </w:tcPr>
          <w:p w14:paraId="6B017494" w14:textId="77777777" w:rsidR="0027270B" w:rsidRDefault="00000000">
            <w:pPr>
              <w:spacing w:after="0" w:line="260" w:lineRule="auto"/>
            </w:pPr>
            <w:r>
              <w:rPr>
                <w:rFonts w:cs="Calibri"/>
                <w:sz w:val="20"/>
                <w:szCs w:val="20"/>
              </w:rPr>
              <w:t>Humanitarian Bridge; Humanitarian Firewall</w:t>
            </w:r>
          </w:p>
        </w:tc>
      </w:tr>
      <w:tr w:rsidR="0027270B" w14:paraId="4DAB6A2C" w14:textId="77777777">
        <w:tblPrEx>
          <w:tblCellMar>
            <w:top w:w="0" w:type="dxa"/>
            <w:bottom w:w="0" w:type="dxa"/>
          </w:tblCellMar>
        </w:tblPrEx>
        <w:tc>
          <w:tcPr>
            <w:tcW w:w="700" w:type="dxa"/>
            <w:tcMar>
              <w:top w:w="50" w:type="dxa"/>
              <w:left w:w="80" w:type="dxa"/>
              <w:bottom w:w="50" w:type="dxa"/>
              <w:right w:w="80" w:type="dxa"/>
            </w:tcMar>
          </w:tcPr>
          <w:p w14:paraId="4DAF7F78" w14:textId="77777777" w:rsidR="0027270B" w:rsidRDefault="00000000">
            <w:pPr>
              <w:spacing w:after="0" w:line="260" w:lineRule="auto"/>
            </w:pPr>
            <w:r>
              <w:rPr>
                <w:rFonts w:cs="Calibri"/>
                <w:sz w:val="20"/>
                <w:szCs w:val="20"/>
              </w:rPr>
              <w:t>14</w:t>
            </w:r>
          </w:p>
        </w:tc>
        <w:tc>
          <w:tcPr>
            <w:tcW w:w="3000" w:type="dxa"/>
            <w:tcMar>
              <w:top w:w="50" w:type="dxa"/>
              <w:left w:w="80" w:type="dxa"/>
              <w:bottom w:w="50" w:type="dxa"/>
              <w:right w:w="80" w:type="dxa"/>
            </w:tcMar>
          </w:tcPr>
          <w:p w14:paraId="60BA08D7" w14:textId="77777777" w:rsidR="0027270B" w:rsidRDefault="00000000">
            <w:pPr>
              <w:spacing w:after="0" w:line="260" w:lineRule="auto"/>
            </w:pPr>
            <w:r>
              <w:rPr>
                <w:rFonts w:cs="Calibri"/>
                <w:sz w:val="20"/>
                <w:szCs w:val="20"/>
              </w:rPr>
              <w:t>Data never serves kinetic action</w:t>
            </w:r>
          </w:p>
        </w:tc>
        <w:tc>
          <w:tcPr>
            <w:tcW w:w="2300" w:type="dxa"/>
            <w:tcMar>
              <w:top w:w="50" w:type="dxa"/>
              <w:left w:w="80" w:type="dxa"/>
              <w:bottom w:w="50" w:type="dxa"/>
              <w:right w:w="80" w:type="dxa"/>
            </w:tcMar>
          </w:tcPr>
          <w:p w14:paraId="5BF20FAC" w14:textId="77777777" w:rsidR="0027270B" w:rsidRDefault="00000000">
            <w:pPr>
              <w:spacing w:after="0" w:line="260" w:lineRule="auto"/>
            </w:pPr>
            <w:r>
              <w:rPr>
                <w:rFonts w:cs="Calibri"/>
                <w:sz w:val="20"/>
                <w:szCs w:val="20"/>
              </w:rPr>
              <w:t>Iran, all Participants</w:t>
            </w:r>
          </w:p>
        </w:tc>
        <w:tc>
          <w:tcPr>
            <w:tcW w:w="3360" w:type="dxa"/>
            <w:tcMar>
              <w:top w:w="50" w:type="dxa"/>
              <w:left w:w="80" w:type="dxa"/>
              <w:bottom w:w="50" w:type="dxa"/>
              <w:right w:w="80" w:type="dxa"/>
            </w:tcMar>
          </w:tcPr>
          <w:p w14:paraId="70502514" w14:textId="77777777" w:rsidR="0027270B" w:rsidRDefault="00000000">
            <w:pPr>
              <w:spacing w:after="0" w:line="260" w:lineRule="auto"/>
            </w:pPr>
            <w:r>
              <w:rPr>
                <w:rFonts w:cs="Calibri"/>
                <w:sz w:val="20"/>
                <w:szCs w:val="20"/>
              </w:rPr>
              <w:t>Data rules; non-attribution standard; Firewall data rule</w:t>
            </w:r>
          </w:p>
        </w:tc>
      </w:tr>
      <w:tr w:rsidR="0027270B" w14:paraId="5A50F745" w14:textId="77777777">
        <w:tblPrEx>
          <w:tblCellMar>
            <w:top w:w="0" w:type="dxa"/>
            <w:bottom w:w="0" w:type="dxa"/>
          </w:tblCellMar>
        </w:tblPrEx>
        <w:tc>
          <w:tcPr>
            <w:tcW w:w="700" w:type="dxa"/>
            <w:tcMar>
              <w:top w:w="50" w:type="dxa"/>
              <w:left w:w="80" w:type="dxa"/>
              <w:bottom w:w="50" w:type="dxa"/>
              <w:right w:w="80" w:type="dxa"/>
            </w:tcMar>
          </w:tcPr>
          <w:p w14:paraId="44150834" w14:textId="77777777" w:rsidR="0027270B" w:rsidRDefault="00000000">
            <w:pPr>
              <w:spacing w:after="0" w:line="260" w:lineRule="auto"/>
            </w:pPr>
            <w:r>
              <w:rPr>
                <w:rFonts w:cs="Calibri"/>
                <w:sz w:val="20"/>
                <w:szCs w:val="20"/>
              </w:rPr>
              <w:t>15</w:t>
            </w:r>
          </w:p>
        </w:tc>
        <w:tc>
          <w:tcPr>
            <w:tcW w:w="3000" w:type="dxa"/>
            <w:tcMar>
              <w:top w:w="50" w:type="dxa"/>
              <w:left w:w="80" w:type="dxa"/>
              <w:bottom w:w="50" w:type="dxa"/>
              <w:right w:w="80" w:type="dxa"/>
            </w:tcMar>
          </w:tcPr>
          <w:p w14:paraId="75E89425" w14:textId="77777777" w:rsidR="0027270B" w:rsidRDefault="00000000">
            <w:pPr>
              <w:spacing w:after="0" w:line="260" w:lineRule="auto"/>
            </w:pPr>
            <w:r>
              <w:rPr>
                <w:rFonts w:cs="Calibri"/>
                <w:sz w:val="20"/>
                <w:szCs w:val="20"/>
              </w:rPr>
              <w:t>Transparency and seats for Gulf states</w:t>
            </w:r>
          </w:p>
        </w:tc>
        <w:tc>
          <w:tcPr>
            <w:tcW w:w="2300" w:type="dxa"/>
            <w:tcMar>
              <w:top w:w="50" w:type="dxa"/>
              <w:left w:w="80" w:type="dxa"/>
              <w:bottom w:w="50" w:type="dxa"/>
              <w:right w:w="80" w:type="dxa"/>
            </w:tcMar>
          </w:tcPr>
          <w:p w14:paraId="768846CD" w14:textId="77777777" w:rsidR="0027270B" w:rsidRDefault="00000000">
            <w:pPr>
              <w:spacing w:after="0" w:line="260" w:lineRule="auto"/>
            </w:pPr>
            <w:r>
              <w:rPr>
                <w:rFonts w:cs="Calibri"/>
                <w:sz w:val="20"/>
                <w:szCs w:val="20"/>
              </w:rPr>
              <w:t>GCC, Iraq</w:t>
            </w:r>
          </w:p>
        </w:tc>
        <w:tc>
          <w:tcPr>
            <w:tcW w:w="3360" w:type="dxa"/>
            <w:tcMar>
              <w:top w:w="50" w:type="dxa"/>
              <w:left w:w="80" w:type="dxa"/>
              <w:bottom w:w="50" w:type="dxa"/>
              <w:right w:w="80" w:type="dxa"/>
            </w:tcMar>
          </w:tcPr>
          <w:p w14:paraId="65110DF2" w14:textId="77777777" w:rsidR="0027270B" w:rsidRDefault="00000000">
            <w:pPr>
              <w:spacing w:after="0" w:line="260" w:lineRule="auto"/>
            </w:pPr>
            <w:r>
              <w:rPr>
                <w:rFonts w:cs="Calibri"/>
                <w:sz w:val="20"/>
                <w:szCs w:val="20"/>
              </w:rPr>
              <w:t>Observer Membership; fused picture; audit participation</w:t>
            </w:r>
          </w:p>
        </w:tc>
      </w:tr>
      <w:tr w:rsidR="0027270B" w14:paraId="7BBA58F7" w14:textId="77777777">
        <w:tblPrEx>
          <w:tblCellMar>
            <w:top w:w="0" w:type="dxa"/>
            <w:bottom w:w="0" w:type="dxa"/>
          </w:tblCellMar>
        </w:tblPrEx>
        <w:tc>
          <w:tcPr>
            <w:tcW w:w="700" w:type="dxa"/>
            <w:tcMar>
              <w:top w:w="50" w:type="dxa"/>
              <w:left w:w="80" w:type="dxa"/>
              <w:bottom w:w="50" w:type="dxa"/>
              <w:right w:w="80" w:type="dxa"/>
            </w:tcMar>
          </w:tcPr>
          <w:p w14:paraId="6F2B03A8" w14:textId="77777777" w:rsidR="0027270B" w:rsidRDefault="00000000">
            <w:pPr>
              <w:spacing w:after="0" w:line="260" w:lineRule="auto"/>
            </w:pPr>
            <w:r>
              <w:rPr>
                <w:rFonts w:cs="Calibri"/>
                <w:sz w:val="20"/>
                <w:szCs w:val="20"/>
              </w:rPr>
              <w:t>16</w:t>
            </w:r>
          </w:p>
        </w:tc>
        <w:tc>
          <w:tcPr>
            <w:tcW w:w="3000" w:type="dxa"/>
            <w:tcMar>
              <w:top w:w="50" w:type="dxa"/>
              <w:left w:w="80" w:type="dxa"/>
              <w:bottom w:w="50" w:type="dxa"/>
              <w:right w:w="80" w:type="dxa"/>
            </w:tcMar>
          </w:tcPr>
          <w:p w14:paraId="60382BF5" w14:textId="77777777" w:rsidR="0027270B" w:rsidRDefault="00000000">
            <w:pPr>
              <w:spacing w:after="0" w:line="260" w:lineRule="auto"/>
            </w:pPr>
            <w:r>
              <w:rPr>
                <w:rFonts w:cs="Calibri"/>
                <w:sz w:val="20"/>
                <w:szCs w:val="20"/>
              </w:rPr>
              <w:t>Verification acceptable to all</w:t>
            </w:r>
          </w:p>
        </w:tc>
        <w:tc>
          <w:tcPr>
            <w:tcW w:w="2300" w:type="dxa"/>
            <w:tcMar>
              <w:top w:w="50" w:type="dxa"/>
              <w:left w:w="80" w:type="dxa"/>
              <w:bottom w:w="50" w:type="dxa"/>
              <w:right w:w="80" w:type="dxa"/>
            </w:tcMar>
          </w:tcPr>
          <w:p w14:paraId="65FB2D71" w14:textId="77777777" w:rsidR="0027270B" w:rsidRDefault="00000000">
            <w:pPr>
              <w:spacing w:after="0" w:line="260" w:lineRule="auto"/>
            </w:pPr>
            <w:r>
              <w:rPr>
                <w:rFonts w:cs="Calibri"/>
                <w:sz w:val="20"/>
                <w:szCs w:val="20"/>
              </w:rPr>
              <w:t>United States, Iran</w:t>
            </w:r>
          </w:p>
        </w:tc>
        <w:tc>
          <w:tcPr>
            <w:tcW w:w="3360" w:type="dxa"/>
            <w:tcMar>
              <w:top w:w="50" w:type="dxa"/>
              <w:left w:w="80" w:type="dxa"/>
              <w:bottom w:w="50" w:type="dxa"/>
              <w:right w:w="80" w:type="dxa"/>
            </w:tcMar>
          </w:tcPr>
          <w:p w14:paraId="700B4747" w14:textId="77777777" w:rsidR="0027270B" w:rsidRDefault="00000000">
            <w:pPr>
              <w:spacing w:after="0" w:line="260" w:lineRule="auto"/>
            </w:pPr>
            <w:r>
              <w:rPr>
                <w:rFonts w:cs="Calibri"/>
                <w:sz w:val="20"/>
                <w:szCs w:val="20"/>
              </w:rPr>
              <w:t>Cothrom Blue; human anchor; paired lanterns</w:t>
            </w:r>
          </w:p>
        </w:tc>
      </w:tr>
      <w:tr w:rsidR="0027270B" w14:paraId="67464C3B" w14:textId="77777777">
        <w:tblPrEx>
          <w:tblCellMar>
            <w:top w:w="0" w:type="dxa"/>
            <w:bottom w:w="0" w:type="dxa"/>
          </w:tblCellMar>
        </w:tblPrEx>
        <w:tc>
          <w:tcPr>
            <w:tcW w:w="700" w:type="dxa"/>
            <w:tcMar>
              <w:top w:w="50" w:type="dxa"/>
              <w:left w:w="80" w:type="dxa"/>
              <w:bottom w:w="50" w:type="dxa"/>
              <w:right w:w="80" w:type="dxa"/>
            </w:tcMar>
          </w:tcPr>
          <w:p w14:paraId="36F3E468" w14:textId="77777777" w:rsidR="0027270B" w:rsidRDefault="00000000">
            <w:pPr>
              <w:spacing w:after="0" w:line="260" w:lineRule="auto"/>
            </w:pPr>
            <w:r>
              <w:rPr>
                <w:rFonts w:cs="Calibri"/>
                <w:sz w:val="20"/>
                <w:szCs w:val="20"/>
              </w:rPr>
              <w:t>17</w:t>
            </w:r>
          </w:p>
        </w:tc>
        <w:tc>
          <w:tcPr>
            <w:tcW w:w="3000" w:type="dxa"/>
            <w:tcMar>
              <w:top w:w="50" w:type="dxa"/>
              <w:left w:w="80" w:type="dxa"/>
              <w:bottom w:w="50" w:type="dxa"/>
              <w:right w:w="80" w:type="dxa"/>
            </w:tcMar>
          </w:tcPr>
          <w:p w14:paraId="458E3A2E" w14:textId="77777777" w:rsidR="0027270B" w:rsidRDefault="00000000">
            <w:pPr>
              <w:spacing w:after="0" w:line="260" w:lineRule="auto"/>
            </w:pPr>
            <w:r>
              <w:rPr>
                <w:rFonts w:cs="Calibri"/>
                <w:sz w:val="20"/>
                <w:szCs w:val="20"/>
              </w:rPr>
              <w:t>Neutrality and quiet process</w:t>
            </w:r>
          </w:p>
        </w:tc>
        <w:tc>
          <w:tcPr>
            <w:tcW w:w="2300" w:type="dxa"/>
            <w:tcMar>
              <w:top w:w="50" w:type="dxa"/>
              <w:left w:w="80" w:type="dxa"/>
              <w:bottom w:w="50" w:type="dxa"/>
              <w:right w:w="80" w:type="dxa"/>
            </w:tcMar>
          </w:tcPr>
          <w:p w14:paraId="7C5ACCBA" w14:textId="77777777" w:rsidR="0027270B" w:rsidRDefault="00000000">
            <w:pPr>
              <w:spacing w:after="0" w:line="260" w:lineRule="auto"/>
            </w:pPr>
            <w:r>
              <w:rPr>
                <w:rFonts w:cs="Calibri"/>
                <w:sz w:val="20"/>
                <w:szCs w:val="20"/>
              </w:rPr>
              <w:t>Oman</w:t>
            </w:r>
          </w:p>
        </w:tc>
        <w:tc>
          <w:tcPr>
            <w:tcW w:w="3360" w:type="dxa"/>
            <w:tcMar>
              <w:top w:w="50" w:type="dxa"/>
              <w:left w:w="80" w:type="dxa"/>
              <w:bottom w:w="50" w:type="dxa"/>
              <w:right w:w="80" w:type="dxa"/>
            </w:tcMar>
          </w:tcPr>
          <w:p w14:paraId="426CE97E" w14:textId="77777777" w:rsidR="0027270B" w:rsidRDefault="00000000">
            <w:pPr>
              <w:spacing w:after="0" w:line="260" w:lineRule="auto"/>
            </w:pPr>
            <w:r>
              <w:rPr>
                <w:rFonts w:cs="Calibri"/>
                <w:sz w:val="20"/>
                <w:szCs w:val="20"/>
              </w:rPr>
              <w:t>Mediator of Record; Muscat seat; mirrored execution</w:t>
            </w:r>
          </w:p>
        </w:tc>
      </w:tr>
      <w:tr w:rsidR="0027270B" w14:paraId="43859BCD" w14:textId="77777777">
        <w:tblPrEx>
          <w:tblCellMar>
            <w:top w:w="0" w:type="dxa"/>
            <w:bottom w:w="0" w:type="dxa"/>
          </w:tblCellMar>
        </w:tblPrEx>
        <w:tc>
          <w:tcPr>
            <w:tcW w:w="700" w:type="dxa"/>
            <w:tcMar>
              <w:top w:w="50" w:type="dxa"/>
              <w:left w:w="80" w:type="dxa"/>
              <w:bottom w:w="50" w:type="dxa"/>
              <w:right w:w="80" w:type="dxa"/>
            </w:tcMar>
          </w:tcPr>
          <w:p w14:paraId="0EE75BE3" w14:textId="77777777" w:rsidR="0027270B" w:rsidRDefault="00000000">
            <w:pPr>
              <w:spacing w:after="0" w:line="260" w:lineRule="auto"/>
            </w:pPr>
            <w:r>
              <w:rPr>
                <w:rFonts w:cs="Calibri"/>
                <w:sz w:val="20"/>
                <w:szCs w:val="20"/>
              </w:rPr>
              <w:t>18</w:t>
            </w:r>
          </w:p>
        </w:tc>
        <w:tc>
          <w:tcPr>
            <w:tcW w:w="3000" w:type="dxa"/>
            <w:tcMar>
              <w:top w:w="50" w:type="dxa"/>
              <w:left w:w="80" w:type="dxa"/>
              <w:bottom w:w="50" w:type="dxa"/>
              <w:right w:w="80" w:type="dxa"/>
            </w:tcMar>
          </w:tcPr>
          <w:p w14:paraId="5CBCCEE2" w14:textId="77777777" w:rsidR="0027270B" w:rsidRDefault="00000000">
            <w:pPr>
              <w:spacing w:after="0" w:line="260" w:lineRule="auto"/>
            </w:pPr>
            <w:r>
              <w:rPr>
                <w:rFonts w:cs="Calibri"/>
                <w:sz w:val="20"/>
                <w:szCs w:val="20"/>
              </w:rPr>
              <w:t>No precedent for tolls in other straits</w:t>
            </w:r>
          </w:p>
        </w:tc>
        <w:tc>
          <w:tcPr>
            <w:tcW w:w="2300" w:type="dxa"/>
            <w:tcMar>
              <w:top w:w="50" w:type="dxa"/>
              <w:left w:w="80" w:type="dxa"/>
              <w:bottom w:w="50" w:type="dxa"/>
              <w:right w:w="80" w:type="dxa"/>
            </w:tcMar>
          </w:tcPr>
          <w:p w14:paraId="52598F83" w14:textId="77777777" w:rsidR="0027270B" w:rsidRDefault="00000000">
            <w:pPr>
              <w:spacing w:after="0" w:line="260" w:lineRule="auto"/>
            </w:pPr>
            <w:r>
              <w:rPr>
                <w:rFonts w:cs="Calibri"/>
                <w:sz w:val="20"/>
                <w:szCs w:val="20"/>
              </w:rPr>
              <w:t>Industry, maritime states</w:t>
            </w:r>
          </w:p>
        </w:tc>
        <w:tc>
          <w:tcPr>
            <w:tcW w:w="3360" w:type="dxa"/>
            <w:tcMar>
              <w:top w:w="50" w:type="dxa"/>
              <w:left w:w="80" w:type="dxa"/>
              <w:bottom w:w="50" w:type="dxa"/>
              <w:right w:w="80" w:type="dxa"/>
            </w:tcMar>
          </w:tcPr>
          <w:p w14:paraId="50E38582" w14:textId="77777777" w:rsidR="0027270B" w:rsidRDefault="00000000">
            <w:pPr>
              <w:spacing w:after="0" w:line="260" w:lineRule="auto"/>
            </w:pPr>
            <w:r>
              <w:rPr>
                <w:rFonts w:cs="Calibri"/>
                <w:sz w:val="20"/>
                <w:szCs w:val="20"/>
              </w:rPr>
              <w:t>Zero-Toll Rule written absolutely; no sunset</w:t>
            </w:r>
          </w:p>
        </w:tc>
      </w:tr>
      <w:tr w:rsidR="0027270B" w14:paraId="77DF60B5" w14:textId="77777777">
        <w:tblPrEx>
          <w:tblCellMar>
            <w:top w:w="0" w:type="dxa"/>
            <w:bottom w:w="0" w:type="dxa"/>
          </w:tblCellMar>
        </w:tblPrEx>
        <w:tc>
          <w:tcPr>
            <w:tcW w:w="700" w:type="dxa"/>
            <w:tcMar>
              <w:top w:w="50" w:type="dxa"/>
              <w:left w:w="80" w:type="dxa"/>
              <w:bottom w:w="50" w:type="dxa"/>
              <w:right w:w="80" w:type="dxa"/>
            </w:tcMar>
          </w:tcPr>
          <w:p w14:paraId="77B6DD90" w14:textId="77777777" w:rsidR="0027270B" w:rsidRDefault="00000000">
            <w:pPr>
              <w:spacing w:after="0" w:line="260" w:lineRule="auto"/>
            </w:pPr>
            <w:r>
              <w:rPr>
                <w:rFonts w:cs="Calibri"/>
                <w:sz w:val="20"/>
                <w:szCs w:val="20"/>
              </w:rPr>
              <w:lastRenderedPageBreak/>
              <w:t>19</w:t>
            </w:r>
          </w:p>
        </w:tc>
        <w:tc>
          <w:tcPr>
            <w:tcW w:w="3000" w:type="dxa"/>
            <w:tcMar>
              <w:top w:w="50" w:type="dxa"/>
              <w:left w:w="80" w:type="dxa"/>
              <w:bottom w:w="50" w:type="dxa"/>
              <w:right w:w="80" w:type="dxa"/>
            </w:tcMar>
          </w:tcPr>
          <w:p w14:paraId="3D5ED233" w14:textId="77777777" w:rsidR="0027270B" w:rsidRDefault="00000000">
            <w:pPr>
              <w:spacing w:after="0" w:line="260" w:lineRule="auto"/>
            </w:pPr>
            <w:r>
              <w:rPr>
                <w:rFonts w:cs="Calibri"/>
                <w:sz w:val="20"/>
                <w:szCs w:val="20"/>
              </w:rPr>
              <w:t>Cost certainty for operators</w:t>
            </w:r>
          </w:p>
        </w:tc>
        <w:tc>
          <w:tcPr>
            <w:tcW w:w="2300" w:type="dxa"/>
            <w:tcMar>
              <w:top w:w="50" w:type="dxa"/>
              <w:left w:w="80" w:type="dxa"/>
              <w:bottom w:w="50" w:type="dxa"/>
              <w:right w:w="80" w:type="dxa"/>
            </w:tcMar>
          </w:tcPr>
          <w:p w14:paraId="79B2D626" w14:textId="77777777" w:rsidR="0027270B" w:rsidRDefault="00000000">
            <w:pPr>
              <w:spacing w:after="0" w:line="260" w:lineRule="auto"/>
            </w:pPr>
            <w:r>
              <w:rPr>
                <w:rFonts w:cs="Calibri"/>
                <w:sz w:val="20"/>
                <w:szCs w:val="20"/>
              </w:rPr>
              <w:t>Industry</w:t>
            </w:r>
          </w:p>
        </w:tc>
        <w:tc>
          <w:tcPr>
            <w:tcW w:w="3360" w:type="dxa"/>
            <w:tcMar>
              <w:top w:w="50" w:type="dxa"/>
              <w:left w:w="80" w:type="dxa"/>
              <w:bottom w:w="50" w:type="dxa"/>
              <w:right w:w="80" w:type="dxa"/>
            </w:tcMar>
          </w:tcPr>
          <w:p w14:paraId="5CCE7806" w14:textId="77777777" w:rsidR="0027270B" w:rsidRDefault="00000000">
            <w:pPr>
              <w:spacing w:after="0" w:line="260" w:lineRule="auto"/>
            </w:pPr>
            <w:r>
              <w:rPr>
                <w:rFonts w:cs="Calibri"/>
                <w:sz w:val="20"/>
                <w:szCs w:val="20"/>
              </w:rPr>
              <w:t>Heavy-User Cap; rate-change discipline; annual audit</w:t>
            </w:r>
          </w:p>
        </w:tc>
      </w:tr>
      <w:tr w:rsidR="0027270B" w14:paraId="49190F43" w14:textId="77777777">
        <w:tblPrEx>
          <w:tblCellMar>
            <w:top w:w="0" w:type="dxa"/>
            <w:bottom w:w="0" w:type="dxa"/>
          </w:tblCellMar>
        </w:tblPrEx>
        <w:tc>
          <w:tcPr>
            <w:tcW w:w="700" w:type="dxa"/>
            <w:tcMar>
              <w:top w:w="50" w:type="dxa"/>
              <w:left w:w="80" w:type="dxa"/>
              <w:bottom w:w="50" w:type="dxa"/>
              <w:right w:w="80" w:type="dxa"/>
            </w:tcMar>
          </w:tcPr>
          <w:p w14:paraId="4F8DFA7C" w14:textId="77777777" w:rsidR="0027270B" w:rsidRDefault="00000000">
            <w:pPr>
              <w:spacing w:after="0" w:line="260" w:lineRule="auto"/>
            </w:pPr>
            <w:r>
              <w:rPr>
                <w:rFonts w:cs="Calibri"/>
                <w:sz w:val="20"/>
                <w:szCs w:val="20"/>
              </w:rPr>
              <w:t>20</w:t>
            </w:r>
          </w:p>
        </w:tc>
        <w:tc>
          <w:tcPr>
            <w:tcW w:w="3000" w:type="dxa"/>
            <w:tcMar>
              <w:top w:w="50" w:type="dxa"/>
              <w:left w:w="80" w:type="dxa"/>
              <w:bottom w:w="50" w:type="dxa"/>
              <w:right w:w="80" w:type="dxa"/>
            </w:tcMar>
          </w:tcPr>
          <w:p w14:paraId="14CF5545" w14:textId="77777777" w:rsidR="0027270B" w:rsidRDefault="00000000">
            <w:pPr>
              <w:spacing w:after="0" w:line="260" w:lineRule="auto"/>
            </w:pPr>
            <w:r>
              <w:rPr>
                <w:rFonts w:cs="Calibri"/>
                <w:sz w:val="20"/>
                <w:szCs w:val="20"/>
              </w:rPr>
              <w:t>Continuity regardless of politics</w:t>
            </w:r>
          </w:p>
        </w:tc>
        <w:tc>
          <w:tcPr>
            <w:tcW w:w="2300" w:type="dxa"/>
            <w:tcMar>
              <w:top w:w="50" w:type="dxa"/>
              <w:left w:w="80" w:type="dxa"/>
              <w:bottom w:w="50" w:type="dxa"/>
              <w:right w:w="80" w:type="dxa"/>
            </w:tcMar>
          </w:tcPr>
          <w:p w14:paraId="7106F2F5" w14:textId="77777777" w:rsidR="0027270B" w:rsidRDefault="00000000">
            <w:pPr>
              <w:spacing w:after="0" w:line="260" w:lineRule="auto"/>
            </w:pPr>
            <w:r>
              <w:rPr>
                <w:rFonts w:cs="Calibri"/>
                <w:sz w:val="20"/>
                <w:szCs w:val="20"/>
              </w:rPr>
              <w:t>All Participants</w:t>
            </w:r>
          </w:p>
        </w:tc>
        <w:tc>
          <w:tcPr>
            <w:tcW w:w="3360" w:type="dxa"/>
            <w:tcMar>
              <w:top w:w="50" w:type="dxa"/>
              <w:left w:w="80" w:type="dxa"/>
              <w:bottom w:w="50" w:type="dxa"/>
              <w:right w:w="80" w:type="dxa"/>
            </w:tcMar>
          </w:tcPr>
          <w:p w14:paraId="32A3985E" w14:textId="77777777" w:rsidR="0027270B" w:rsidRDefault="00000000">
            <w:pPr>
              <w:spacing w:after="0" w:line="260" w:lineRule="auto"/>
            </w:pPr>
            <w:r>
              <w:rPr>
                <w:rFonts w:cs="Calibri"/>
                <w:sz w:val="20"/>
                <w:szCs w:val="20"/>
              </w:rPr>
              <w:t>Default continuity; crisis continuity; Forward Drift Archive</w:t>
            </w:r>
          </w:p>
        </w:tc>
      </w:tr>
      <w:tr w:rsidR="0027270B" w14:paraId="1A2D46EC" w14:textId="77777777">
        <w:tblPrEx>
          <w:tblCellMar>
            <w:top w:w="0" w:type="dxa"/>
            <w:bottom w:w="0" w:type="dxa"/>
          </w:tblCellMar>
        </w:tblPrEx>
        <w:tc>
          <w:tcPr>
            <w:tcW w:w="700" w:type="dxa"/>
            <w:tcMar>
              <w:top w:w="50" w:type="dxa"/>
              <w:left w:w="80" w:type="dxa"/>
              <w:bottom w:w="50" w:type="dxa"/>
              <w:right w:w="80" w:type="dxa"/>
            </w:tcMar>
          </w:tcPr>
          <w:p w14:paraId="616B5142" w14:textId="77777777" w:rsidR="0027270B" w:rsidRDefault="00000000">
            <w:pPr>
              <w:spacing w:after="0" w:line="260" w:lineRule="auto"/>
            </w:pPr>
            <w:r>
              <w:rPr>
                <w:rFonts w:cs="Calibri"/>
                <w:sz w:val="20"/>
                <w:szCs w:val="20"/>
              </w:rPr>
              <w:t>21</w:t>
            </w:r>
          </w:p>
        </w:tc>
        <w:tc>
          <w:tcPr>
            <w:tcW w:w="3000" w:type="dxa"/>
            <w:tcMar>
              <w:top w:w="50" w:type="dxa"/>
              <w:left w:w="80" w:type="dxa"/>
              <w:bottom w:w="50" w:type="dxa"/>
              <w:right w:w="80" w:type="dxa"/>
            </w:tcMar>
          </w:tcPr>
          <w:p w14:paraId="6D193B99" w14:textId="77777777" w:rsidR="0027270B" w:rsidRDefault="00000000">
            <w:pPr>
              <w:spacing w:after="0" w:line="260" w:lineRule="auto"/>
            </w:pPr>
            <w:r>
              <w:rPr>
                <w:rFonts w:cs="Calibri"/>
                <w:sz w:val="20"/>
                <w:szCs w:val="20"/>
              </w:rPr>
              <w:t>The Strait never reverts to unmanaged passage</w:t>
            </w:r>
          </w:p>
        </w:tc>
        <w:tc>
          <w:tcPr>
            <w:tcW w:w="2300" w:type="dxa"/>
            <w:tcMar>
              <w:top w:w="50" w:type="dxa"/>
              <w:left w:w="80" w:type="dxa"/>
              <w:bottom w:w="50" w:type="dxa"/>
              <w:right w:w="80" w:type="dxa"/>
            </w:tcMar>
          </w:tcPr>
          <w:p w14:paraId="7C1048A0" w14:textId="77777777" w:rsidR="0027270B" w:rsidRDefault="00000000">
            <w:pPr>
              <w:spacing w:after="0" w:line="260" w:lineRule="auto"/>
            </w:pPr>
            <w:r>
              <w:rPr>
                <w:rFonts w:cs="Calibri"/>
                <w:sz w:val="20"/>
                <w:szCs w:val="20"/>
              </w:rPr>
              <w:t>Iran</w:t>
            </w:r>
          </w:p>
        </w:tc>
        <w:tc>
          <w:tcPr>
            <w:tcW w:w="3360" w:type="dxa"/>
            <w:tcMar>
              <w:top w:w="50" w:type="dxa"/>
              <w:left w:w="80" w:type="dxa"/>
              <w:bottom w:w="50" w:type="dxa"/>
              <w:right w:w="80" w:type="dxa"/>
            </w:tcMar>
          </w:tcPr>
          <w:p w14:paraId="17BF1FA2" w14:textId="77777777" w:rsidR="0027270B" w:rsidRDefault="00000000">
            <w:pPr>
              <w:spacing w:after="0" w:line="260" w:lineRule="auto"/>
            </w:pPr>
            <w:r>
              <w:rPr>
                <w:rFonts w:cs="Calibri"/>
                <w:sz w:val="20"/>
                <w:szCs w:val="20"/>
              </w:rPr>
              <w:t>Permanent institutions; no-sunset duration</w:t>
            </w:r>
          </w:p>
        </w:tc>
      </w:tr>
      <w:tr w:rsidR="0027270B" w14:paraId="0880DFCC" w14:textId="77777777">
        <w:tblPrEx>
          <w:tblCellMar>
            <w:top w:w="0" w:type="dxa"/>
            <w:bottom w:w="0" w:type="dxa"/>
          </w:tblCellMar>
        </w:tblPrEx>
        <w:tc>
          <w:tcPr>
            <w:tcW w:w="700" w:type="dxa"/>
            <w:tcMar>
              <w:top w:w="50" w:type="dxa"/>
              <w:left w:w="80" w:type="dxa"/>
              <w:bottom w:w="50" w:type="dxa"/>
              <w:right w:w="80" w:type="dxa"/>
            </w:tcMar>
          </w:tcPr>
          <w:p w14:paraId="560680A2" w14:textId="77777777" w:rsidR="0027270B" w:rsidRDefault="00000000">
            <w:pPr>
              <w:spacing w:after="0" w:line="260" w:lineRule="auto"/>
            </w:pPr>
            <w:r>
              <w:rPr>
                <w:rFonts w:cs="Calibri"/>
                <w:sz w:val="20"/>
                <w:szCs w:val="20"/>
              </w:rPr>
              <w:t>22</w:t>
            </w:r>
          </w:p>
        </w:tc>
        <w:tc>
          <w:tcPr>
            <w:tcW w:w="3000" w:type="dxa"/>
            <w:tcMar>
              <w:top w:w="50" w:type="dxa"/>
              <w:left w:w="80" w:type="dxa"/>
              <w:bottom w:w="50" w:type="dxa"/>
              <w:right w:w="80" w:type="dxa"/>
            </w:tcMar>
          </w:tcPr>
          <w:p w14:paraId="5281A9D5" w14:textId="77777777" w:rsidR="0027270B" w:rsidRDefault="00000000">
            <w:pPr>
              <w:spacing w:after="0" w:line="260" w:lineRule="auto"/>
            </w:pPr>
            <w:r>
              <w:rPr>
                <w:rFonts w:cs="Calibri"/>
                <w:sz w:val="20"/>
                <w:szCs w:val="20"/>
              </w:rPr>
              <w:t>No third-state clearance without coastal invitation</w:t>
            </w:r>
          </w:p>
        </w:tc>
        <w:tc>
          <w:tcPr>
            <w:tcW w:w="2300" w:type="dxa"/>
            <w:tcMar>
              <w:top w:w="50" w:type="dxa"/>
              <w:left w:w="80" w:type="dxa"/>
              <w:bottom w:w="50" w:type="dxa"/>
              <w:right w:w="80" w:type="dxa"/>
            </w:tcMar>
          </w:tcPr>
          <w:p w14:paraId="535D2832" w14:textId="77777777" w:rsidR="0027270B" w:rsidRDefault="00000000">
            <w:pPr>
              <w:spacing w:after="0" w:line="260" w:lineRule="auto"/>
            </w:pPr>
            <w:r>
              <w:rPr>
                <w:rFonts w:cs="Calibri"/>
                <w:sz w:val="20"/>
                <w:szCs w:val="20"/>
              </w:rPr>
              <w:t>Iran, Oman</w:t>
            </w:r>
          </w:p>
        </w:tc>
        <w:tc>
          <w:tcPr>
            <w:tcW w:w="3360" w:type="dxa"/>
            <w:tcMar>
              <w:top w:w="50" w:type="dxa"/>
              <w:left w:w="80" w:type="dxa"/>
              <w:bottom w:w="50" w:type="dxa"/>
              <w:right w:w="80" w:type="dxa"/>
            </w:tcMar>
          </w:tcPr>
          <w:p w14:paraId="37DBDB82" w14:textId="77777777" w:rsidR="0027270B" w:rsidRDefault="00000000">
            <w:pPr>
              <w:spacing w:after="0" w:line="260" w:lineRule="auto"/>
            </w:pPr>
            <w:r>
              <w:rPr>
                <w:rFonts w:cs="Calibri"/>
                <w:sz w:val="20"/>
                <w:szCs w:val="20"/>
              </w:rPr>
              <w:t>Twin Key concurrence for any clearance operation</w:t>
            </w:r>
          </w:p>
        </w:tc>
      </w:tr>
      <w:tr w:rsidR="0027270B" w14:paraId="19F4AF14" w14:textId="77777777">
        <w:tblPrEx>
          <w:tblCellMar>
            <w:top w:w="0" w:type="dxa"/>
            <w:bottom w:w="0" w:type="dxa"/>
          </w:tblCellMar>
        </w:tblPrEx>
        <w:tc>
          <w:tcPr>
            <w:tcW w:w="700" w:type="dxa"/>
            <w:tcMar>
              <w:top w:w="50" w:type="dxa"/>
              <w:left w:w="80" w:type="dxa"/>
              <w:bottom w:w="50" w:type="dxa"/>
              <w:right w:w="80" w:type="dxa"/>
            </w:tcMar>
          </w:tcPr>
          <w:p w14:paraId="53165938" w14:textId="77777777" w:rsidR="0027270B" w:rsidRDefault="00000000">
            <w:pPr>
              <w:spacing w:after="0" w:line="260" w:lineRule="auto"/>
            </w:pPr>
            <w:r>
              <w:rPr>
                <w:rFonts w:cs="Calibri"/>
                <w:sz w:val="20"/>
                <w:szCs w:val="20"/>
              </w:rPr>
              <w:t>23</w:t>
            </w:r>
          </w:p>
        </w:tc>
        <w:tc>
          <w:tcPr>
            <w:tcW w:w="3000" w:type="dxa"/>
            <w:tcMar>
              <w:top w:w="50" w:type="dxa"/>
              <w:left w:w="80" w:type="dxa"/>
              <w:bottom w:w="50" w:type="dxa"/>
              <w:right w:w="80" w:type="dxa"/>
            </w:tcMar>
          </w:tcPr>
          <w:p w14:paraId="1B699775" w14:textId="77777777" w:rsidR="0027270B" w:rsidRDefault="00000000">
            <w:pPr>
              <w:spacing w:after="0" w:line="260" w:lineRule="auto"/>
            </w:pPr>
            <w:r>
              <w:rPr>
                <w:rFonts w:cs="Calibri"/>
                <w:sz w:val="20"/>
                <w:szCs w:val="20"/>
              </w:rPr>
              <w:t>Acknowledgment and hearing for alleged violations</w:t>
            </w:r>
          </w:p>
        </w:tc>
        <w:tc>
          <w:tcPr>
            <w:tcW w:w="2300" w:type="dxa"/>
            <w:tcMar>
              <w:top w:w="50" w:type="dxa"/>
              <w:left w:w="80" w:type="dxa"/>
              <w:bottom w:w="50" w:type="dxa"/>
              <w:right w:w="80" w:type="dxa"/>
            </w:tcMar>
          </w:tcPr>
          <w:p w14:paraId="3CE41C60" w14:textId="77777777" w:rsidR="0027270B" w:rsidRDefault="00000000">
            <w:pPr>
              <w:spacing w:after="0" w:line="260" w:lineRule="auto"/>
            </w:pPr>
            <w:r>
              <w:rPr>
                <w:rFonts w:cs="Calibri"/>
                <w:sz w:val="20"/>
                <w:szCs w:val="20"/>
              </w:rPr>
              <w:t>Iran</w:t>
            </w:r>
          </w:p>
        </w:tc>
        <w:tc>
          <w:tcPr>
            <w:tcW w:w="3360" w:type="dxa"/>
            <w:tcMar>
              <w:top w:w="50" w:type="dxa"/>
              <w:left w:w="80" w:type="dxa"/>
              <w:bottom w:w="50" w:type="dxa"/>
              <w:right w:w="80" w:type="dxa"/>
            </w:tcMar>
          </w:tcPr>
          <w:p w14:paraId="1621638C" w14:textId="77777777" w:rsidR="0027270B" w:rsidRDefault="00000000">
            <w:pPr>
              <w:spacing w:after="0" w:line="260" w:lineRule="auto"/>
            </w:pPr>
            <w:r>
              <w:rPr>
                <w:rFonts w:cs="Calibri"/>
                <w:sz w:val="20"/>
                <w:szCs w:val="20"/>
              </w:rPr>
              <w:t>Hearing before classification; dispute ladder standing</w:t>
            </w:r>
          </w:p>
        </w:tc>
      </w:tr>
      <w:tr w:rsidR="0027270B" w14:paraId="08A6278A" w14:textId="77777777">
        <w:tblPrEx>
          <w:tblCellMar>
            <w:top w:w="0" w:type="dxa"/>
            <w:bottom w:w="0" w:type="dxa"/>
          </w:tblCellMar>
        </w:tblPrEx>
        <w:tc>
          <w:tcPr>
            <w:tcW w:w="700" w:type="dxa"/>
            <w:tcMar>
              <w:top w:w="50" w:type="dxa"/>
              <w:left w:w="80" w:type="dxa"/>
              <w:bottom w:w="50" w:type="dxa"/>
              <w:right w:w="80" w:type="dxa"/>
            </w:tcMar>
          </w:tcPr>
          <w:p w14:paraId="5AED551A" w14:textId="77777777" w:rsidR="0027270B" w:rsidRDefault="00000000">
            <w:pPr>
              <w:spacing w:after="0" w:line="260" w:lineRule="auto"/>
            </w:pPr>
            <w:r>
              <w:rPr>
                <w:rFonts w:cs="Calibri"/>
                <w:sz w:val="20"/>
                <w:szCs w:val="20"/>
              </w:rPr>
              <w:t>24</w:t>
            </w:r>
          </w:p>
        </w:tc>
        <w:tc>
          <w:tcPr>
            <w:tcW w:w="3000" w:type="dxa"/>
            <w:tcMar>
              <w:top w:w="50" w:type="dxa"/>
              <w:left w:w="80" w:type="dxa"/>
              <w:bottom w:w="50" w:type="dxa"/>
              <w:right w:w="80" w:type="dxa"/>
            </w:tcMar>
          </w:tcPr>
          <w:p w14:paraId="5DE6A12F" w14:textId="77777777" w:rsidR="0027270B" w:rsidRDefault="00000000">
            <w:pPr>
              <w:spacing w:after="0" w:line="260" w:lineRule="auto"/>
            </w:pPr>
            <w:r>
              <w:rPr>
                <w:rFonts w:cs="Calibri"/>
                <w:sz w:val="20"/>
                <w:szCs w:val="20"/>
              </w:rPr>
              <w:t>No direct-contact requirement between adversaries</w:t>
            </w:r>
          </w:p>
        </w:tc>
        <w:tc>
          <w:tcPr>
            <w:tcW w:w="2300" w:type="dxa"/>
            <w:tcMar>
              <w:top w:w="50" w:type="dxa"/>
              <w:left w:w="80" w:type="dxa"/>
              <w:bottom w:w="50" w:type="dxa"/>
              <w:right w:w="80" w:type="dxa"/>
            </w:tcMar>
          </w:tcPr>
          <w:p w14:paraId="73C260A3" w14:textId="77777777" w:rsidR="0027270B" w:rsidRDefault="00000000">
            <w:pPr>
              <w:spacing w:after="0" w:line="260" w:lineRule="auto"/>
            </w:pPr>
            <w:r>
              <w:rPr>
                <w:rFonts w:cs="Calibri"/>
                <w:sz w:val="20"/>
                <w:szCs w:val="20"/>
              </w:rPr>
              <w:t>Iran, United States</w:t>
            </w:r>
          </w:p>
        </w:tc>
        <w:tc>
          <w:tcPr>
            <w:tcW w:w="3360" w:type="dxa"/>
            <w:tcMar>
              <w:top w:w="50" w:type="dxa"/>
              <w:left w:w="80" w:type="dxa"/>
              <w:bottom w:w="50" w:type="dxa"/>
              <w:right w:w="80" w:type="dxa"/>
            </w:tcMar>
          </w:tcPr>
          <w:p w14:paraId="030241E2" w14:textId="77777777" w:rsidR="0027270B" w:rsidRDefault="00000000">
            <w:pPr>
              <w:spacing w:after="0" w:line="260" w:lineRule="auto"/>
            </w:pPr>
            <w:r>
              <w:rPr>
                <w:rFonts w:cs="Calibri"/>
                <w:sz w:val="20"/>
                <w:szCs w:val="20"/>
              </w:rPr>
              <w:t>Intermediary Bridge; Twin-Signature Mirroring</w:t>
            </w:r>
          </w:p>
        </w:tc>
      </w:tr>
      <w:tr w:rsidR="0027270B" w14:paraId="0B384F47" w14:textId="77777777">
        <w:tblPrEx>
          <w:tblCellMar>
            <w:top w:w="0" w:type="dxa"/>
            <w:bottom w:w="0" w:type="dxa"/>
          </w:tblCellMar>
        </w:tblPrEx>
        <w:tc>
          <w:tcPr>
            <w:tcW w:w="700" w:type="dxa"/>
            <w:tcMar>
              <w:top w:w="50" w:type="dxa"/>
              <w:left w:w="80" w:type="dxa"/>
              <w:bottom w:w="50" w:type="dxa"/>
              <w:right w:w="80" w:type="dxa"/>
            </w:tcMar>
          </w:tcPr>
          <w:p w14:paraId="69478198" w14:textId="77777777" w:rsidR="0027270B" w:rsidRDefault="00000000">
            <w:pPr>
              <w:spacing w:after="0" w:line="260" w:lineRule="auto"/>
            </w:pPr>
            <w:r>
              <w:rPr>
                <w:rFonts w:cs="Calibri"/>
                <w:sz w:val="20"/>
                <w:szCs w:val="20"/>
              </w:rPr>
              <w:t>25</w:t>
            </w:r>
          </w:p>
        </w:tc>
        <w:tc>
          <w:tcPr>
            <w:tcW w:w="3000" w:type="dxa"/>
            <w:tcMar>
              <w:top w:w="50" w:type="dxa"/>
              <w:left w:w="80" w:type="dxa"/>
              <w:bottom w:w="50" w:type="dxa"/>
              <w:right w:w="80" w:type="dxa"/>
            </w:tcMar>
          </w:tcPr>
          <w:p w14:paraId="77439858" w14:textId="77777777" w:rsidR="0027270B" w:rsidRDefault="00000000">
            <w:pPr>
              <w:spacing w:after="0" w:line="260" w:lineRule="auto"/>
            </w:pPr>
            <w:r>
              <w:rPr>
                <w:rFonts w:cs="Calibri"/>
                <w:sz w:val="20"/>
                <w:szCs w:val="20"/>
              </w:rPr>
              <w:t>Immediate relief for stranded mariners</w:t>
            </w:r>
          </w:p>
        </w:tc>
        <w:tc>
          <w:tcPr>
            <w:tcW w:w="2300" w:type="dxa"/>
            <w:tcMar>
              <w:top w:w="50" w:type="dxa"/>
              <w:left w:w="80" w:type="dxa"/>
              <w:bottom w:w="50" w:type="dxa"/>
              <w:right w:w="80" w:type="dxa"/>
            </w:tcMar>
          </w:tcPr>
          <w:p w14:paraId="77386DB6" w14:textId="77777777" w:rsidR="0027270B" w:rsidRDefault="00000000">
            <w:pPr>
              <w:spacing w:after="0" w:line="260" w:lineRule="auto"/>
            </w:pPr>
            <w:r>
              <w:rPr>
                <w:rFonts w:cs="Calibri"/>
                <w:sz w:val="20"/>
                <w:szCs w:val="20"/>
              </w:rPr>
              <w:t>All Participants</w:t>
            </w:r>
          </w:p>
        </w:tc>
        <w:tc>
          <w:tcPr>
            <w:tcW w:w="3360" w:type="dxa"/>
            <w:tcMar>
              <w:top w:w="50" w:type="dxa"/>
              <w:left w:w="80" w:type="dxa"/>
              <w:bottom w:w="50" w:type="dxa"/>
              <w:right w:w="80" w:type="dxa"/>
            </w:tcMar>
          </w:tcPr>
          <w:p w14:paraId="4AD5E829" w14:textId="77777777" w:rsidR="0027270B" w:rsidRDefault="00000000">
            <w:pPr>
              <w:spacing w:after="0" w:line="260" w:lineRule="auto"/>
            </w:pPr>
            <w:r>
              <w:rPr>
                <w:rFonts w:cs="Calibri"/>
                <w:sz w:val="20"/>
                <w:szCs w:val="20"/>
              </w:rPr>
              <w:t>Mariner First Bridge; Seafarer Welfare Fund</w:t>
            </w:r>
          </w:p>
        </w:tc>
      </w:tr>
      <w:tr w:rsidR="0027270B" w14:paraId="21B94C63" w14:textId="77777777">
        <w:tblPrEx>
          <w:tblCellMar>
            <w:top w:w="0" w:type="dxa"/>
            <w:bottom w:w="0" w:type="dxa"/>
          </w:tblCellMar>
        </w:tblPrEx>
        <w:tc>
          <w:tcPr>
            <w:tcW w:w="700" w:type="dxa"/>
            <w:tcMar>
              <w:top w:w="50" w:type="dxa"/>
              <w:left w:w="80" w:type="dxa"/>
              <w:bottom w:w="50" w:type="dxa"/>
              <w:right w:w="80" w:type="dxa"/>
            </w:tcMar>
          </w:tcPr>
          <w:p w14:paraId="0A461D3B" w14:textId="77777777" w:rsidR="0027270B" w:rsidRDefault="00000000">
            <w:pPr>
              <w:spacing w:after="0" w:line="260" w:lineRule="auto"/>
            </w:pPr>
            <w:r>
              <w:rPr>
                <w:rFonts w:cs="Calibri"/>
                <w:sz w:val="20"/>
                <w:szCs w:val="20"/>
              </w:rPr>
              <w:t>26</w:t>
            </w:r>
          </w:p>
        </w:tc>
        <w:tc>
          <w:tcPr>
            <w:tcW w:w="3000" w:type="dxa"/>
            <w:tcMar>
              <w:top w:w="50" w:type="dxa"/>
              <w:left w:w="80" w:type="dxa"/>
              <w:bottom w:w="50" w:type="dxa"/>
              <w:right w:w="80" w:type="dxa"/>
            </w:tcMar>
          </w:tcPr>
          <w:p w14:paraId="3EDC0A05" w14:textId="77777777" w:rsidR="0027270B" w:rsidRDefault="00000000">
            <w:pPr>
              <w:spacing w:after="0" w:line="260" w:lineRule="auto"/>
            </w:pPr>
            <w:r>
              <w:rPr>
                <w:rFonts w:cs="Calibri"/>
                <w:sz w:val="20"/>
                <w:szCs w:val="20"/>
              </w:rPr>
              <w:t>Crisis-speed timeline that never trades proof for haste</w:t>
            </w:r>
          </w:p>
        </w:tc>
        <w:tc>
          <w:tcPr>
            <w:tcW w:w="2300" w:type="dxa"/>
            <w:tcMar>
              <w:top w:w="50" w:type="dxa"/>
              <w:left w:w="80" w:type="dxa"/>
              <w:bottom w:w="50" w:type="dxa"/>
              <w:right w:w="80" w:type="dxa"/>
            </w:tcMar>
          </w:tcPr>
          <w:p w14:paraId="1A793464" w14:textId="77777777" w:rsidR="0027270B" w:rsidRDefault="00000000">
            <w:pPr>
              <w:spacing w:after="0" w:line="260" w:lineRule="auto"/>
            </w:pPr>
            <w:r>
              <w:rPr>
                <w:rFonts w:cs="Calibri"/>
                <w:sz w:val="20"/>
                <w:szCs w:val="20"/>
              </w:rPr>
              <w:t>All Participants</w:t>
            </w:r>
          </w:p>
        </w:tc>
        <w:tc>
          <w:tcPr>
            <w:tcW w:w="3360" w:type="dxa"/>
            <w:tcMar>
              <w:top w:w="50" w:type="dxa"/>
              <w:left w:w="80" w:type="dxa"/>
              <w:bottom w:w="50" w:type="dxa"/>
              <w:right w:w="80" w:type="dxa"/>
            </w:tcMar>
          </w:tcPr>
          <w:p w14:paraId="36DB9A40" w14:textId="77777777" w:rsidR="0027270B" w:rsidRDefault="00000000">
            <w:pPr>
              <w:spacing w:after="0" w:line="260" w:lineRule="auto"/>
            </w:pPr>
            <w:r>
              <w:rPr>
                <w:rFonts w:cs="Calibri"/>
                <w:sz w:val="20"/>
                <w:szCs w:val="20"/>
              </w:rPr>
              <w:t>Acceleration clause; unchanged gate metrics</w:t>
            </w:r>
          </w:p>
        </w:tc>
      </w:tr>
      <w:tr w:rsidR="0027270B" w14:paraId="3A5A64A6" w14:textId="77777777">
        <w:tblPrEx>
          <w:tblCellMar>
            <w:top w:w="0" w:type="dxa"/>
            <w:bottom w:w="0" w:type="dxa"/>
          </w:tblCellMar>
        </w:tblPrEx>
        <w:tc>
          <w:tcPr>
            <w:tcW w:w="700" w:type="dxa"/>
            <w:tcMar>
              <w:top w:w="50" w:type="dxa"/>
              <w:left w:w="80" w:type="dxa"/>
              <w:bottom w:w="50" w:type="dxa"/>
              <w:right w:w="80" w:type="dxa"/>
            </w:tcMar>
          </w:tcPr>
          <w:p w14:paraId="5CB44236" w14:textId="77777777" w:rsidR="0027270B" w:rsidRDefault="00000000">
            <w:pPr>
              <w:spacing w:after="0" w:line="260" w:lineRule="auto"/>
            </w:pPr>
            <w:r>
              <w:rPr>
                <w:rFonts w:cs="Calibri"/>
                <w:sz w:val="20"/>
                <w:szCs w:val="20"/>
              </w:rPr>
              <w:t>27</w:t>
            </w:r>
          </w:p>
        </w:tc>
        <w:tc>
          <w:tcPr>
            <w:tcW w:w="3000" w:type="dxa"/>
            <w:tcMar>
              <w:top w:w="50" w:type="dxa"/>
              <w:left w:w="80" w:type="dxa"/>
              <w:bottom w:w="50" w:type="dxa"/>
              <w:right w:w="80" w:type="dxa"/>
            </w:tcMar>
          </w:tcPr>
          <w:p w14:paraId="0A5D0011" w14:textId="77777777" w:rsidR="0027270B" w:rsidRDefault="00000000">
            <w:pPr>
              <w:spacing w:after="0" w:line="260" w:lineRule="auto"/>
            </w:pPr>
            <w:r>
              <w:rPr>
                <w:rFonts w:cs="Calibri"/>
                <w:sz w:val="20"/>
                <w:szCs w:val="20"/>
              </w:rPr>
              <w:t>The nuclear question stays outside the Strait</w:t>
            </w:r>
          </w:p>
        </w:tc>
        <w:tc>
          <w:tcPr>
            <w:tcW w:w="2300" w:type="dxa"/>
            <w:tcMar>
              <w:top w:w="50" w:type="dxa"/>
              <w:left w:w="80" w:type="dxa"/>
              <w:bottom w:w="50" w:type="dxa"/>
              <w:right w:w="80" w:type="dxa"/>
            </w:tcMar>
          </w:tcPr>
          <w:p w14:paraId="2CD8359D" w14:textId="77777777" w:rsidR="0027270B" w:rsidRDefault="00000000">
            <w:pPr>
              <w:spacing w:after="0" w:line="260" w:lineRule="auto"/>
            </w:pPr>
            <w:r>
              <w:rPr>
                <w:rFonts w:cs="Calibri"/>
                <w:sz w:val="20"/>
                <w:szCs w:val="20"/>
              </w:rPr>
              <w:t>United States, Iran, all Participants</w:t>
            </w:r>
          </w:p>
        </w:tc>
        <w:tc>
          <w:tcPr>
            <w:tcW w:w="3360" w:type="dxa"/>
            <w:tcMar>
              <w:top w:w="50" w:type="dxa"/>
              <w:left w:w="80" w:type="dxa"/>
              <w:bottom w:w="50" w:type="dxa"/>
              <w:right w:w="80" w:type="dxa"/>
            </w:tcMar>
          </w:tcPr>
          <w:p w14:paraId="7D8D8CAB" w14:textId="77777777" w:rsidR="0027270B" w:rsidRDefault="00000000">
            <w:pPr>
              <w:spacing w:after="0" w:line="260" w:lineRule="auto"/>
            </w:pPr>
            <w:r>
              <w:rPr>
                <w:rFonts w:cs="Calibri"/>
                <w:sz w:val="20"/>
                <w:szCs w:val="20"/>
              </w:rPr>
              <w:t>Nuclear Firewall Protocol; automatic routing rule</w:t>
            </w:r>
          </w:p>
        </w:tc>
      </w:tr>
      <w:tr w:rsidR="0027270B" w14:paraId="123E42C8" w14:textId="77777777">
        <w:tblPrEx>
          <w:tblCellMar>
            <w:top w:w="0" w:type="dxa"/>
            <w:bottom w:w="0" w:type="dxa"/>
          </w:tblCellMar>
        </w:tblPrEx>
        <w:tc>
          <w:tcPr>
            <w:tcW w:w="700" w:type="dxa"/>
            <w:tcMar>
              <w:top w:w="50" w:type="dxa"/>
              <w:left w:w="80" w:type="dxa"/>
              <w:bottom w:w="50" w:type="dxa"/>
              <w:right w:w="80" w:type="dxa"/>
            </w:tcMar>
          </w:tcPr>
          <w:p w14:paraId="38D3F6C4" w14:textId="77777777" w:rsidR="0027270B" w:rsidRDefault="00000000">
            <w:pPr>
              <w:spacing w:after="0" w:line="260" w:lineRule="auto"/>
            </w:pPr>
            <w:r>
              <w:rPr>
                <w:rFonts w:cs="Calibri"/>
                <w:sz w:val="20"/>
                <w:szCs w:val="20"/>
              </w:rPr>
              <w:t>28</w:t>
            </w:r>
          </w:p>
        </w:tc>
        <w:tc>
          <w:tcPr>
            <w:tcW w:w="3000" w:type="dxa"/>
            <w:tcMar>
              <w:top w:w="50" w:type="dxa"/>
              <w:left w:w="80" w:type="dxa"/>
              <w:bottom w:w="50" w:type="dxa"/>
              <w:right w:w="80" w:type="dxa"/>
            </w:tcMar>
          </w:tcPr>
          <w:p w14:paraId="36AE9B77" w14:textId="77777777" w:rsidR="0027270B" w:rsidRDefault="00000000">
            <w:pPr>
              <w:spacing w:after="0" w:line="260" w:lineRule="auto"/>
            </w:pPr>
            <w:r>
              <w:rPr>
                <w:rFonts w:cs="Calibri"/>
                <w:sz w:val="20"/>
                <w:szCs w:val="20"/>
              </w:rPr>
              <w:t>No regime-change instrument of policy</w:t>
            </w:r>
          </w:p>
        </w:tc>
        <w:tc>
          <w:tcPr>
            <w:tcW w:w="2300" w:type="dxa"/>
            <w:tcMar>
              <w:top w:w="50" w:type="dxa"/>
              <w:left w:w="80" w:type="dxa"/>
              <w:bottom w:w="50" w:type="dxa"/>
              <w:right w:w="80" w:type="dxa"/>
            </w:tcMar>
          </w:tcPr>
          <w:p w14:paraId="638EEB09" w14:textId="77777777" w:rsidR="0027270B" w:rsidRDefault="00000000">
            <w:pPr>
              <w:spacing w:after="0" w:line="260" w:lineRule="auto"/>
            </w:pPr>
            <w:r>
              <w:rPr>
                <w:rFonts w:cs="Calibri"/>
                <w:sz w:val="20"/>
                <w:szCs w:val="20"/>
              </w:rPr>
              <w:t>Iran, all Participants</w:t>
            </w:r>
          </w:p>
        </w:tc>
        <w:tc>
          <w:tcPr>
            <w:tcW w:w="3360" w:type="dxa"/>
            <w:tcMar>
              <w:top w:w="50" w:type="dxa"/>
              <w:left w:w="80" w:type="dxa"/>
              <w:bottom w:w="50" w:type="dxa"/>
              <w:right w:w="80" w:type="dxa"/>
            </w:tcMar>
          </w:tcPr>
          <w:p w14:paraId="7CDBAB0E" w14:textId="77777777" w:rsidR="0027270B" w:rsidRDefault="00000000">
            <w:pPr>
              <w:spacing w:after="0" w:line="260" w:lineRule="auto"/>
            </w:pPr>
            <w:r>
              <w:rPr>
                <w:rFonts w:cs="Calibri"/>
                <w:sz w:val="20"/>
                <w:szCs w:val="20"/>
              </w:rPr>
              <w:t>Scope exclusions; Accord governs no state's politics</w:t>
            </w:r>
          </w:p>
        </w:tc>
      </w:tr>
      <w:tr w:rsidR="0027270B" w14:paraId="79B2AB90" w14:textId="77777777">
        <w:tblPrEx>
          <w:tblCellMar>
            <w:top w:w="0" w:type="dxa"/>
            <w:bottom w:w="0" w:type="dxa"/>
          </w:tblCellMar>
        </w:tblPrEx>
        <w:tc>
          <w:tcPr>
            <w:tcW w:w="700" w:type="dxa"/>
            <w:tcMar>
              <w:top w:w="50" w:type="dxa"/>
              <w:left w:w="80" w:type="dxa"/>
              <w:bottom w:w="50" w:type="dxa"/>
              <w:right w:w="80" w:type="dxa"/>
            </w:tcMar>
          </w:tcPr>
          <w:p w14:paraId="7994AE85" w14:textId="77777777" w:rsidR="0027270B" w:rsidRDefault="00000000">
            <w:pPr>
              <w:spacing w:after="0" w:line="260" w:lineRule="auto"/>
            </w:pPr>
            <w:r>
              <w:rPr>
                <w:rFonts w:cs="Calibri"/>
                <w:sz w:val="20"/>
                <w:szCs w:val="20"/>
              </w:rPr>
              <w:t>29</w:t>
            </w:r>
          </w:p>
        </w:tc>
        <w:tc>
          <w:tcPr>
            <w:tcW w:w="3000" w:type="dxa"/>
            <w:tcMar>
              <w:top w:w="50" w:type="dxa"/>
              <w:left w:w="80" w:type="dxa"/>
              <w:bottom w:w="50" w:type="dxa"/>
              <w:right w:w="80" w:type="dxa"/>
            </w:tcMar>
          </w:tcPr>
          <w:p w14:paraId="57F8298A" w14:textId="77777777" w:rsidR="0027270B" w:rsidRDefault="00000000">
            <w:pPr>
              <w:spacing w:after="0" w:line="260" w:lineRule="auto"/>
            </w:pPr>
            <w:r>
              <w:rPr>
                <w:rFonts w:cs="Calibri"/>
                <w:sz w:val="20"/>
                <w:szCs w:val="20"/>
              </w:rPr>
              <w:t>Verification without humiliation</w:t>
            </w:r>
          </w:p>
        </w:tc>
        <w:tc>
          <w:tcPr>
            <w:tcW w:w="2300" w:type="dxa"/>
            <w:tcMar>
              <w:top w:w="50" w:type="dxa"/>
              <w:left w:w="80" w:type="dxa"/>
              <w:bottom w:w="50" w:type="dxa"/>
              <w:right w:w="80" w:type="dxa"/>
            </w:tcMar>
          </w:tcPr>
          <w:p w14:paraId="665E6B79" w14:textId="77777777" w:rsidR="0027270B" w:rsidRDefault="00000000">
            <w:pPr>
              <w:spacing w:after="0" w:line="260" w:lineRule="auto"/>
            </w:pPr>
            <w:r>
              <w:rPr>
                <w:rFonts w:cs="Calibri"/>
                <w:sz w:val="20"/>
                <w:szCs w:val="20"/>
              </w:rPr>
              <w:t>Iran</w:t>
            </w:r>
          </w:p>
        </w:tc>
        <w:tc>
          <w:tcPr>
            <w:tcW w:w="3360" w:type="dxa"/>
            <w:tcMar>
              <w:top w:w="50" w:type="dxa"/>
              <w:left w:w="80" w:type="dxa"/>
              <w:bottom w:w="50" w:type="dxa"/>
              <w:right w:w="80" w:type="dxa"/>
            </w:tcMar>
          </w:tcPr>
          <w:p w14:paraId="4F4DE0B7" w14:textId="77777777" w:rsidR="0027270B" w:rsidRDefault="00000000">
            <w:pPr>
              <w:spacing w:after="0" w:line="260" w:lineRule="auto"/>
            </w:pPr>
            <w:r>
              <w:rPr>
                <w:rFonts w:cs="Calibri"/>
                <w:sz w:val="20"/>
                <w:szCs w:val="20"/>
              </w:rPr>
              <w:t>Anonymous review; data-driven process; mirrored execution</w:t>
            </w:r>
          </w:p>
        </w:tc>
      </w:tr>
      <w:tr w:rsidR="0027270B" w14:paraId="6396725E" w14:textId="77777777">
        <w:tblPrEx>
          <w:tblCellMar>
            <w:top w:w="0" w:type="dxa"/>
            <w:bottom w:w="0" w:type="dxa"/>
          </w:tblCellMar>
        </w:tblPrEx>
        <w:tc>
          <w:tcPr>
            <w:tcW w:w="700" w:type="dxa"/>
            <w:tcMar>
              <w:top w:w="50" w:type="dxa"/>
              <w:left w:w="80" w:type="dxa"/>
              <w:bottom w:w="50" w:type="dxa"/>
              <w:right w:w="80" w:type="dxa"/>
            </w:tcMar>
          </w:tcPr>
          <w:p w14:paraId="566CA068" w14:textId="77777777" w:rsidR="0027270B" w:rsidRDefault="00000000">
            <w:pPr>
              <w:spacing w:after="0" w:line="260" w:lineRule="auto"/>
            </w:pPr>
            <w:r>
              <w:rPr>
                <w:rFonts w:cs="Calibri"/>
                <w:sz w:val="20"/>
                <w:szCs w:val="20"/>
              </w:rPr>
              <w:t>30</w:t>
            </w:r>
          </w:p>
        </w:tc>
        <w:tc>
          <w:tcPr>
            <w:tcW w:w="3000" w:type="dxa"/>
            <w:tcMar>
              <w:top w:w="50" w:type="dxa"/>
              <w:left w:w="80" w:type="dxa"/>
              <w:bottom w:w="50" w:type="dxa"/>
              <w:right w:w="80" w:type="dxa"/>
            </w:tcMar>
          </w:tcPr>
          <w:p w14:paraId="2052A19B" w14:textId="77777777" w:rsidR="0027270B" w:rsidRDefault="00000000">
            <w:pPr>
              <w:spacing w:after="0" w:line="260" w:lineRule="auto"/>
            </w:pPr>
            <w:r>
              <w:rPr>
                <w:rFonts w:cs="Calibri"/>
                <w:sz w:val="20"/>
                <w:szCs w:val="20"/>
              </w:rPr>
              <w:t>United States freedom of transit and Phase One security role</w:t>
            </w:r>
          </w:p>
        </w:tc>
        <w:tc>
          <w:tcPr>
            <w:tcW w:w="2300" w:type="dxa"/>
            <w:tcMar>
              <w:top w:w="50" w:type="dxa"/>
              <w:left w:w="80" w:type="dxa"/>
              <w:bottom w:w="50" w:type="dxa"/>
              <w:right w:w="80" w:type="dxa"/>
            </w:tcMar>
          </w:tcPr>
          <w:p w14:paraId="1D0E7966" w14:textId="77777777" w:rsidR="0027270B" w:rsidRDefault="00000000">
            <w:pPr>
              <w:spacing w:after="0" w:line="260" w:lineRule="auto"/>
            </w:pPr>
            <w:r>
              <w:rPr>
                <w:rFonts w:cs="Calibri"/>
                <w:sz w:val="20"/>
                <w:szCs w:val="20"/>
              </w:rPr>
              <w:t>United States</w:t>
            </w:r>
          </w:p>
        </w:tc>
        <w:tc>
          <w:tcPr>
            <w:tcW w:w="3360" w:type="dxa"/>
            <w:tcMar>
              <w:top w:w="50" w:type="dxa"/>
              <w:left w:w="80" w:type="dxa"/>
              <w:bottom w:w="50" w:type="dxa"/>
              <w:right w:w="80" w:type="dxa"/>
            </w:tcMar>
          </w:tcPr>
          <w:p w14:paraId="4F53F979" w14:textId="77777777" w:rsidR="0027270B" w:rsidRDefault="00000000">
            <w:pPr>
              <w:spacing w:after="0" w:line="260" w:lineRule="auto"/>
            </w:pPr>
            <w:r>
              <w:rPr>
                <w:rFonts w:cs="Calibri"/>
                <w:sz w:val="20"/>
                <w:szCs w:val="20"/>
              </w:rPr>
              <w:t>Article 18.3 transit affirmation; Article 20 Umbrella</w:t>
            </w:r>
          </w:p>
        </w:tc>
      </w:tr>
    </w:tbl>
    <w:p w14:paraId="1DAE7111" w14:textId="77777777" w:rsidR="0027270B" w:rsidRDefault="0027270B"/>
    <w:p w14:paraId="483468C0" w14:textId="77777777" w:rsidR="0027270B" w:rsidRDefault="00000000">
      <w:r>
        <w:rPr>
          <w:rFonts w:cs="Calibri"/>
          <w:szCs w:val="21"/>
        </w:rPr>
        <w:t>M.2 Register procedure. A Participant registers a new line by written notice to the Depositary, and the Council adopts it by consensus at its next session. A line leaves the Register only with its holder's written agreement. The Neutral Watch Office applies the Perimeter Test on request, publishes its reasoning within seventy-two hours, and reports annually on the Register's operation: every measure screened, every crossing caught, every redesign achieved.</w:t>
      </w:r>
    </w:p>
    <w:p w14:paraId="1DA363D8" w14:textId="77777777" w:rsidR="0027270B" w:rsidRDefault="00000000">
      <w:pPr>
        <w:pStyle w:val="Heading2"/>
      </w:pPr>
      <w:bookmarkStart w:id="120" w:name="_Toc237648569"/>
      <w:r>
        <w:rPr>
          <w:rFonts w:cs="Calibri"/>
          <w:szCs w:val="25"/>
        </w:rPr>
        <w:t>Annex N: Standard Forms</w:t>
      </w:r>
      <w:bookmarkEnd w:id="120"/>
    </w:p>
    <w:p w14:paraId="203A23FF" w14:textId="77777777" w:rsidR="0027270B" w:rsidRDefault="00000000">
      <w:r>
        <w:rPr>
          <w:rFonts w:cs="Calibri"/>
          <w:szCs w:val="21"/>
        </w:rPr>
        <w:t>N.1 Form BPP-1, Transit Filing. One page, twelve fields as tabulated in Annex B.1, with master certification and automatic receipt. Available on the portal, by satellite message, and through port agents. Filing horizon: seventy-two hours before intended transit; validity: forty-eight hours after the filed window; refiling: one action.</w:t>
      </w:r>
    </w:p>
    <w:p w14:paraId="7183AEE6" w14:textId="77777777" w:rsidR="0027270B" w:rsidRDefault="00000000">
      <w:r>
        <w:rPr>
          <w:rFonts w:cs="Calibri"/>
          <w:szCs w:val="21"/>
        </w:rPr>
        <w:t>N.2 Form BPP-2, Acknowledgment Record. The corridor coordinator's acknowledgment: corridor, window, convoy options, current advisories, and the sixty-minute timestamp. Automatic issue on acknowledgment or on silence at minute sixty-one.</w:t>
      </w:r>
    </w:p>
    <w:p w14:paraId="63D98F69" w14:textId="77777777" w:rsidR="0027270B" w:rsidRDefault="00000000">
      <w:r>
        <w:rPr>
          <w:rFonts w:cs="Calibri"/>
          <w:szCs w:val="21"/>
        </w:rPr>
        <w:lastRenderedPageBreak/>
        <w:t>N.3 Form BPP-3, Humanitarian Priority Certificate. One page: vessel, cargo class (food, medicine, medical equipment, relief), last and next port, master certification. Certification within one hour; queue-first transit; zero charge; Firewall protection noted on the face of the form.</w:t>
      </w:r>
    </w:p>
    <w:p w14:paraId="2C5F91AD" w14:textId="77777777" w:rsidR="0027270B" w:rsidRDefault="00000000">
      <w:r>
        <w:rPr>
          <w:rFonts w:cs="Calibri"/>
          <w:szCs w:val="21"/>
        </w:rPr>
        <w:t>N.4 Form BPP-4, Incident Report. One page: reporter, identity, position, time, nature, response taken, assistance needed, disposition. Filing channels: working channel voice report plus portal entry within one hour. Every form receives a Registry reference number that follows the incident to closure.</w:t>
      </w:r>
    </w:p>
    <w:p w14:paraId="69646E37" w14:textId="77777777" w:rsidR="0027270B" w:rsidRDefault="00000000">
      <w:r>
        <w:rPr>
          <w:rFonts w:cs="Calibri"/>
          <w:szCs w:val="21"/>
        </w:rPr>
        <w:t>N.5 Form BPP-5, Service Claim. One page plus evidence annexes: service code, delivery record, primary evidence reference, liaison certification. Filing within twenty-four hours of delivery; challenge window and reimbursement clock stated on the form's face.</w:t>
      </w:r>
    </w:p>
    <w:p w14:paraId="4CE5220D" w14:textId="77777777" w:rsidR="0027270B" w:rsidRDefault="00000000">
      <w:r>
        <w:rPr>
          <w:rFonts w:cs="Calibri"/>
          <w:szCs w:val="21"/>
        </w:rPr>
        <w:t>N.6 Form BPP-6, Seafarer Case Record. One page: seafarer identity and nationality, vessel, status (stranded, expired contract, abandoned, medical), assistance requested. The Seafarer Desk assigns an owner on receipt and closes within fourteen days; the Ombudsman's warrant attaches automatically to abandoned-crew cases.</w:t>
      </w:r>
    </w:p>
    <w:p w14:paraId="0D58200C" w14:textId="77777777" w:rsidR="0027270B" w:rsidRDefault="00000000">
      <w:r>
        <w:rPr>
          <w:rFonts w:cs="Calibri"/>
          <w:szCs w:val="21"/>
        </w:rPr>
        <w:t>N.7 Form BPP-7, Mirrored Deposit Certificate. The Depositary's certification of a mirrored deposit under Article 59: instrument, executor, date, text-identity verification, and simultaneous-release counterparty where the Synchronized Relief Track applies.</w:t>
      </w:r>
    </w:p>
    <w:p w14:paraId="08D21F3D" w14:textId="77777777" w:rsidR="0027270B" w:rsidRDefault="00000000">
      <w:r>
        <w:rPr>
          <w:rFonts w:cs="Calibri"/>
          <w:szCs w:val="21"/>
        </w:rPr>
        <w:t>N.8 Form BPP-8, Perimeter Test Request. One page: the measure in question, the lines alleged to be touched, the requester's analysis. The Neutral Watch Office answers within seventy-two hours with its reasoning, published on the portal.</w:t>
      </w:r>
    </w:p>
    <w:p w14:paraId="00052774" w14:textId="77777777" w:rsidR="0027270B" w:rsidRDefault="00000000">
      <w:pPr>
        <w:pStyle w:val="Heading2"/>
      </w:pPr>
      <w:bookmarkStart w:id="121" w:name="_Toc237648570"/>
      <w:r>
        <w:rPr>
          <w:rFonts w:cs="Calibri"/>
          <w:szCs w:val="25"/>
        </w:rPr>
        <w:t>Annex O: Budget, Contributions, and Escrow Schedules</w:t>
      </w:r>
      <w:bookmarkEnd w:id="121"/>
    </w:p>
    <w:p w14:paraId="60C73AC5" w14:textId="77777777" w:rsidR="0027270B" w:rsidRDefault="00000000">
      <w:r>
        <w:rPr>
          <w:rFonts w:cs="Calibri"/>
          <w:szCs w:val="21"/>
        </w:rPr>
        <w:t>O.1 Budget ceilings. The framework's annual operating budget caps at the following levels, reviewed annually against the audit: Joint Watch Floor and Mirror Floor operations; Secretariat and portals; Neutral Watch Office and Expert Pool; Transit Desk and Seafarer Desk; and contingency reserve at ten percent. The budget publishes in full, line by line, and no line grows more than five percent per year without Council supermajority.</w:t>
      </w:r>
    </w:p>
    <w:p w14:paraId="56268928" w14:textId="77777777" w:rsidR="0027270B" w:rsidRDefault="00000000">
      <w:r>
        <w:rPr>
          <w:rFonts w:cs="Calibri"/>
          <w:szCs w:val="21"/>
        </w:rPr>
        <w:t>O.2 Channel shares and formulas. The Insurance Channel carries sixty percent of framework funding through the corridor coverage fraction fixed at policy issuance. The Port and Commercial Channel carries twenty-five percent: each participating port or terminal contributes in proportion to its Hormuz-related throughput tonnage, under a published formula with a ceiling per port, processed with ordinary port documentation. The Sovereign Channel carries fifteen percent, on indicative shares: Coastal Principals jointly thirty percent of the channel, GCC states jointly thirty percent, Endorsing Stakeholders jointly twenty-five percent, Guarantors and other contributors fifteen percent. Shares publish; contributions are commitments to stability, never payments for passage.</w:t>
      </w:r>
    </w:p>
    <w:p w14:paraId="1F68B952" w14:textId="77777777" w:rsidR="0027270B" w:rsidRDefault="00000000">
      <w:r>
        <w:rPr>
          <w:rFonts w:cs="Calibri"/>
          <w:szCs w:val="21"/>
        </w:rPr>
        <w:t>O.3 Escrow thresholds. Dual-custodian countersignature applies to disbursements above the published threshold; routine reimbursements within the Catalog flow on single-custodian processing against confirmed claims. The contingency reserve releases only on joint written request of the Coastal Principals or on the Chief Technical Officer's certification of cost overrun above ten percent, with every release logged and justified.</w:t>
      </w:r>
    </w:p>
    <w:p w14:paraId="0F9A46F3" w14:textId="77777777" w:rsidR="0027270B" w:rsidRDefault="00000000">
      <w:r>
        <w:rPr>
          <w:rFonts w:cs="Calibri"/>
          <w:szCs w:val="21"/>
        </w:rPr>
        <w:lastRenderedPageBreak/>
        <w:t>O.4 Seafarer Welfare Fund capitalization. One percent of Insurance Channel inflows, plus voluntary contributions, capitalizes the Fund. The Ombudsman holds a standing warrant for abandoned-crew cases; draws report to the Council within seventy-two hours and publish quarterly. The Fund's first allocation at Blue Opening addresses the legacy caseload of seafarers stranded during the 2026 disruption, in coordination with the International Maritime Organization's evacuation framework.</w:t>
      </w:r>
    </w:p>
    <w:p w14:paraId="2CA088AF" w14:textId="77777777" w:rsidR="0027270B" w:rsidRDefault="00000000">
      <w:r>
        <w:rPr>
          <w:rFonts w:cs="Calibri"/>
          <w:szCs w:val="21"/>
        </w:rPr>
        <w:t>O.5 Heavy-User Cap and Green Discount parameters. The cap fixes annually at the cost of an operator class's twenty highest-use vessels' average Catalog consumption, published ninety days before each operating year. The Green Discount stands at twenty percent of Catalog reimbursements for Annex S certified vessels, funded from the Insurance Channel's green allocation, with uptake published quarterly.</w:t>
      </w:r>
    </w:p>
    <w:p w14:paraId="25A86217" w14:textId="77777777" w:rsidR="0027270B" w:rsidRDefault="00000000">
      <w:r>
        <w:rPr>
          <w:rFonts w:cs="Calibri"/>
          <w:szCs w:val="21"/>
        </w:rPr>
        <w:t>O.6 Rapid-confirmation bonus and verification credits. The bonus for twelve-hour claim confirmation adds five percent to the claim's reimbursement, funded from the Fund's efficiency allocation. Verification credit pricing for challenges and second opinions publishes in the Fund's credit schedule; credits hold in escrow and forfeit or return under Annex J's ladder, in full view on the portal.</w:t>
      </w:r>
    </w:p>
    <w:p w14:paraId="47C7CEE4" w14:textId="77777777" w:rsidR="0027270B" w:rsidRDefault="00000000">
      <w:pPr>
        <w:pStyle w:val="Heading2"/>
      </w:pPr>
      <w:bookmarkStart w:id="122" w:name="_Toc237648571"/>
      <w:r>
        <w:rPr>
          <w:rFonts w:cs="Calibri"/>
          <w:szCs w:val="25"/>
        </w:rPr>
        <w:t>Annex P: The Prosperity Window and Development Facility Term Sheet</w:t>
      </w:r>
      <w:bookmarkEnd w:id="122"/>
    </w:p>
    <w:p w14:paraId="5758E60E" w14:textId="77777777" w:rsidR="0027270B" w:rsidRDefault="00000000">
      <w:r>
        <w:rPr>
          <w:rFonts w:cs="Calibri"/>
          <w:szCs w:val="21"/>
        </w:rPr>
        <w:t>P.1 Prosperity Window project categories. The Window of Article 44 finances the following categories, and only the following: port and anchorage rehabilitation; aids to navigation and hydrographic capacity; environmental remediation of conflict-affected coastal areas; desalination and water-security works; search and rescue facilities and vessels; fishing-fleet recovery and small-harbor repair; and maritime vocational training. Every project serves civilians, excludes every military purpose, and passes the Perimeter Test before listing.</w:t>
      </w:r>
    </w:p>
    <w:p w14:paraId="087E9024" w14:textId="77777777" w:rsidR="0027270B" w:rsidRDefault="00000000">
      <w:r>
        <w:rPr>
          <w:rFonts w:cs="Calibri"/>
          <w:szCs w:val="21"/>
        </w:rPr>
        <w:t>P.2 Window mechanics. Projects list on the portal with scope, location, cost, contractor eligibility, and verification standard. Funding flows from contributing states and institutions through the Financial Custodian directly to contractors against certified milestones: milestone certified by the Neutral Watch Office's works inspector, payment released within fourteen days, every flow logged and published. No funds pass to or through any government of the region; no funds touch any sanctioned entity; external counsel's compliance opinion accompanies every tranche. The Window acknowledges damage and need without adjudicating responsibility, and its listing of a project settles no claim and creates no precedent.</w:t>
      </w:r>
    </w:p>
    <w:p w14:paraId="7A6C5B83" w14:textId="77777777" w:rsidR="0027270B" w:rsidRDefault="00000000">
      <w:r>
        <w:rPr>
          <w:rFonts w:cs="Calibri"/>
          <w:szCs w:val="21"/>
        </w:rPr>
        <w:t>P.3 Window governance. A small project board administers the pipeline: one member each for the Coastal Principals, one for the contributing states, one for the Financial Custodian as chair, and the Ombudsman as standing observer for community impact. The board publishes a quarterly pipeline report: projects listed, milestones certified, payments released, audits complete. The Window operates for five years from Blue Opening, with a final public accounting at closure.</w:t>
      </w:r>
    </w:p>
    <w:p w14:paraId="29FFB7C3" w14:textId="77777777" w:rsidR="0027270B" w:rsidRDefault="00000000">
      <w:r>
        <w:rPr>
          <w:rFonts w:cs="Calibri"/>
          <w:szCs w:val="21"/>
        </w:rPr>
        <w:t>P.4 Development Facility eligibility. The Facility of Article 45 finances commercially viable infrastructure across the Strait region: ports and logistics zones, ship-repair and dry-dock capacity, renewable-energy installations, desalination plants, and maritime-training academies. Eligibility requires: bankable economics verified by independent review; open international procurement; environmental and social standards matching International Finance Corporation performance standards; and balance discipline across both coasts of the Strait, measured on a rolling three-year basis.</w:t>
      </w:r>
    </w:p>
    <w:p w14:paraId="52398164" w14:textId="77777777" w:rsidR="0027270B" w:rsidRDefault="00000000">
      <w:r>
        <w:rPr>
          <w:rFonts w:cs="Calibri"/>
          <w:szCs w:val="21"/>
        </w:rPr>
        <w:lastRenderedPageBreak/>
        <w:t>P.5 Facility structure. The Facility capitalizes through Gulf development funds, sovereign investors, multilateral development banks, and private infrastructure capital, under the Financial Custodian's structuring. It invests through equity, debt, and guarantees at market and concessional terms, holds no controlling position in any strategic asset, and exits on commercial schedules. United States institutions and firms participate where their law allows, on the same open terms as every other contributor. The Facility reports publicly twice yearly: portfolio, disbursements, procurement awards by nationality, and development impact indicators.</w:t>
      </w:r>
    </w:p>
    <w:p w14:paraId="0325B319" w14:textId="77777777" w:rsidR="0027270B" w:rsidRDefault="00000000">
      <w:r>
        <w:rPr>
          <w:rFonts w:cs="Calibri"/>
          <w:szCs w:val="21"/>
        </w:rPr>
        <w:t>P.6 The firewall disciplines. Neither the Window nor the Facility touches: any sector on any contributor's prohibited list; any entity on any major jurisdiction's sanctions list, as the custodians screen; any dual-use infrastructure without an enhanced compliance review published to the Council; or any project conditioned on any political position of any state. Economic normalization under this Accord means development that every contributor's law defends, in daylight, on the record.</w:t>
      </w:r>
    </w:p>
    <w:p w14:paraId="58546A6C" w14:textId="77777777" w:rsidR="0027270B" w:rsidRDefault="00000000">
      <w:pPr>
        <w:pStyle w:val="Heading2"/>
      </w:pPr>
      <w:bookmarkStart w:id="123" w:name="_Toc237648572"/>
      <w:r>
        <w:rPr>
          <w:rFonts w:cs="Calibri"/>
          <w:szCs w:val="25"/>
        </w:rPr>
        <w:t>Annex Q: The Accession Protocol</w:t>
      </w:r>
      <w:bookmarkEnd w:id="123"/>
    </w:p>
    <w:p w14:paraId="39838EBF" w14:textId="77777777" w:rsidR="0027270B" w:rsidRDefault="00000000">
      <w:r>
        <w:rPr>
          <w:rFonts w:cs="Calibri"/>
          <w:szCs w:val="21"/>
        </w:rPr>
        <w:t>Q.1 Instruments. Accession executes by deposit of the matching instrument with the Depositary: Observer Accession for GCC states and Iraq and equivalent regional states; Endorsement Declaration for Endorsing Stakeholders; Technical Adhesion for Technical Participants; Guarantor Adhesion for Guarantors. Each instrument incorporates the Accord and Annexes verbatim and states the acceding party's tier, functions, and any red lines it registers under Article 7.4.</w:t>
      </w:r>
    </w:p>
    <w:p w14:paraId="07081A3E" w14:textId="77777777" w:rsidR="0027270B" w:rsidRDefault="00000000">
      <w:r>
        <w:rPr>
          <w:rFonts w:cs="Calibri"/>
          <w:szCs w:val="21"/>
        </w:rPr>
        <w:t>Q.2 Preconditions. Accession accepts without reservation: the Ten Blue Principles, the Zero-Toll Rule, the Nuclear Firewall, the Humanitarian Firewall, and the Red Lines Register as it stands. Reservations to any of these have no effect; the Depositary declines to register them and invites the acceding party to re-execute.</w:t>
      </w:r>
    </w:p>
    <w:p w14:paraId="5CE382BB" w14:textId="77777777" w:rsidR="0027270B" w:rsidRDefault="00000000">
      <w:r>
        <w:rPr>
          <w:rFonts w:cs="Calibri"/>
          <w:szCs w:val="21"/>
        </w:rPr>
        <w:t>Q.3 Tracks. Gulf and regional states accede on the fast track: provisional participation on deposit, full participation on completion of technical integration within twelve months. Technical integration comprises: hotline node installation, Registry access provisioning, observer accreditation, and contribution agreement under Annex O. Other states and organizations accede on the standard track on identical terms, never longer than twelve months.</w:t>
      </w:r>
    </w:p>
    <w:p w14:paraId="1F1B2158" w14:textId="77777777" w:rsidR="0027270B" w:rsidRDefault="00000000">
      <w:r>
        <w:rPr>
          <w:rFonts w:cs="Calibri"/>
          <w:szCs w:val="21"/>
        </w:rPr>
        <w:t>Q.4 Handover protocol. Where an acceding or withdrawing party performs a function, the handover protocol runs: function inventory, ninety-day shadow period, paired operation for thirty days, certification by the Neutral Watch Office, and public notice. No function ever drops between hands; the framework's memory of every handover lives in the Registry.</w:t>
      </w:r>
    </w:p>
    <w:p w14:paraId="6EDAE589" w14:textId="77777777" w:rsidR="0027270B" w:rsidRDefault="00000000">
      <w:r>
        <w:rPr>
          <w:rFonts w:cs="Calibri"/>
          <w:szCs w:val="21"/>
        </w:rPr>
        <w:t>Q.5 Non-discrimination. Accession decisions follow this Protocol mechanically. No Participant vetoes an accession; no Council debates an applicant's politics; the architecture admits every party that executes the instrument and meets the preconditions. The Strait's governance grows by arithmetic, not by audition.</w:t>
      </w:r>
    </w:p>
    <w:p w14:paraId="5EA4BE4A" w14:textId="77777777" w:rsidR="0027270B" w:rsidRDefault="00000000">
      <w:pPr>
        <w:pStyle w:val="Heading2"/>
      </w:pPr>
      <w:bookmarkStart w:id="124" w:name="_Toc237648573"/>
      <w:r>
        <w:rPr>
          <w:rFonts w:cs="Calibri"/>
          <w:szCs w:val="25"/>
        </w:rPr>
        <w:t>Annex R: The Transparency Portal Data Infrastructure</w:t>
      </w:r>
      <w:bookmarkEnd w:id="124"/>
    </w:p>
    <w:p w14:paraId="71251118" w14:textId="77777777" w:rsidR="0027270B" w:rsidRDefault="00000000">
      <w:r>
        <w:rPr>
          <w:rFonts w:cs="Calibri"/>
          <w:szCs w:val="21"/>
        </w:rPr>
        <w:t xml:space="preserve">R.1 Systems. The portal infrastructure comprises: the public portal, open without login; the participant portal, credentialed for Council, observers, and stakeholders; the insurer interface, machine-readable </w:t>
      </w:r>
      <w:r>
        <w:rPr>
          <w:rFonts w:cs="Calibri"/>
          <w:szCs w:val="21"/>
        </w:rPr>
        <w:lastRenderedPageBreak/>
        <w:t>certification and incident data; and the Registry itself, which feeds all three. Hosting mirrors across three jurisdictions, replicates within sixty seconds, and fails over within one hour, with integrity monitoring by the Red Team under Annex J.9.</w:t>
      </w:r>
    </w:p>
    <w:p w14:paraId="360DBB5B" w14:textId="77777777" w:rsidR="0027270B" w:rsidRDefault="00000000">
      <w:r>
        <w:rPr>
          <w:rFonts w:cs="Calibri"/>
          <w:szCs w:val="21"/>
        </w:rPr>
        <w:t>R.2 Publication classes. Open data: corridor status, Blue Flag tier, convoy clock, filing statistics, incident logs, diversion digests, audit reports, compliance classifications, Fund accounts, rate card, Window pipeline, Daily Strait Note, and public reports. Protected data: operational-security details certified by both corridor coordinators, crew personal data, and routing intentions of individual vessels before transit completion. Withholding requires a written reason, a named withholder, and a thirty-day expiry, published in the withholding log itself.</w:t>
      </w:r>
    </w:p>
    <w:p w14:paraId="47D972CA" w14:textId="77777777" w:rsidR="0027270B" w:rsidRDefault="00000000">
      <w:r>
        <w:rPr>
          <w:rFonts w:cs="Calibri"/>
          <w:szCs w:val="21"/>
        </w:rPr>
        <w:t>R.3 Insurer interface. The interface delivers, in real time: Blue Flag tier and history, incident data in structured form, corridor geometry, audit metrics, and the loss-record summary of Annex G.5. Insurers contribute anonymized policy and claims aggregates back to the pool file. The interface follows open standards, documents fully, and charges nothing: market confidence is a public good this framework provides for free.</w:t>
      </w:r>
    </w:p>
    <w:p w14:paraId="7C159C53" w14:textId="77777777" w:rsidR="0027270B" w:rsidRDefault="00000000">
      <w:r>
        <w:rPr>
          <w:rFonts w:cs="Calibri"/>
          <w:szCs w:val="21"/>
        </w:rPr>
        <w:t>R.4 Integrity and continuity. Portal data derives from the golden record through signed publication pipelines, so published data inherits the record's chain of custody. A discrepancy between portal and record triggers automatic republication from the record and a Level Two review. The portal never goes dark: Article 57 protects its operations from every dispute, suspension, and compliance event, because a framework the world cannot watch is a framework the world stops trusting.</w:t>
      </w:r>
    </w:p>
    <w:p w14:paraId="641B2066" w14:textId="77777777" w:rsidR="0027270B" w:rsidRDefault="00000000">
      <w:pPr>
        <w:pStyle w:val="Heading2"/>
      </w:pPr>
      <w:bookmarkStart w:id="125" w:name="_Toc237648574"/>
      <w:r>
        <w:rPr>
          <w:rFonts w:cs="Calibri"/>
          <w:szCs w:val="25"/>
        </w:rPr>
        <w:t>Annex S: The Environmental Protection Protocol</w:t>
      </w:r>
      <w:bookmarkEnd w:id="125"/>
    </w:p>
    <w:p w14:paraId="7FB6D9D1" w14:textId="77777777" w:rsidR="0027270B" w:rsidRDefault="00000000">
      <w:r>
        <w:rPr>
          <w:rFonts w:cs="Calibri"/>
          <w:szCs w:val="21"/>
        </w:rPr>
        <w:t>S.1 Standing environmental watch. The corridor coordinators operate a continuous pollution watch: satellite slick detection, vessel-reported observations, and coastal sensor stations, logging to the golden record and publishing on the portal. Every detected event receives a response assignment within one hour and a joint response roster deploys within two hours, with shared equipment stockpiles at Khasab and Bandar Abbas.</w:t>
      </w:r>
    </w:p>
    <w:p w14:paraId="24CF354B" w14:textId="77777777" w:rsidR="0027270B" w:rsidRDefault="00000000">
      <w:r>
        <w:rPr>
          <w:rFonts w:cs="Calibri"/>
          <w:szCs w:val="21"/>
        </w:rPr>
        <w:t>S.2 Vessel-source standards. Vessels transiting the Governance Area observe International Maritime Organization instruments on discharge, ballast water, and emissions, with the Green Discount rewarding performance beyond compliance. Hazardous cargo declares on the Filing, follows the escort and monitoring options of the Catalog, and observes the routing advisories for the marine sensitive zones of S.4.</w:t>
      </w:r>
    </w:p>
    <w:p w14:paraId="3C3C3638" w14:textId="77777777" w:rsidR="0027270B" w:rsidRDefault="00000000">
      <w:r>
        <w:rPr>
          <w:rFonts w:cs="Calibri"/>
          <w:szCs w:val="21"/>
        </w:rPr>
        <w:t>S.3 Spill response. The joint spill-response roster pairs Iranian and Omani response teams with international support on call: shared command under the Twin Key, published response-time standards, annual joint exercise, and cost recovery from polluters under the Catalog's emergency-response service at cost with zero margin, pursued through the insurers of record. Polluters pay for response; nobody pays for passage.</w:t>
      </w:r>
    </w:p>
    <w:p w14:paraId="6CF8D01E" w14:textId="77777777" w:rsidR="0027270B" w:rsidRDefault="00000000">
      <w:r>
        <w:rPr>
          <w:rFonts w:cs="Calibri"/>
          <w:szCs w:val="21"/>
        </w:rPr>
        <w:t xml:space="preserve">S.4 Marine sensitive zones. The protocol designates advisory protection zones around the Musandam inlets, the Larak and Hengam approaches, and the Qeshm coastal shallows: recommended speed reductions, anchoring restrictions, and enhanced monitoring. The zones carry advisory status for transit </w:t>
      </w:r>
      <w:r>
        <w:rPr>
          <w:rFonts w:cs="Calibri"/>
          <w:szCs w:val="21"/>
        </w:rPr>
        <w:lastRenderedPageBreak/>
        <w:t>and binding status for framework-funded activities, and the environmental watch reports their condition quarterly.</w:t>
      </w:r>
    </w:p>
    <w:p w14:paraId="2054FD92" w14:textId="77777777" w:rsidR="0027270B" w:rsidRDefault="00000000">
      <w:r>
        <w:rPr>
          <w:rFonts w:cs="Calibri"/>
          <w:szCs w:val="21"/>
        </w:rPr>
        <w:t>S.5 Climate and emissions trajectory. The Green Corridor program of Article 46 aggregates its discount data, priority data, and emissions reporting into an annual environmental report to the International Maritime Organization, tracking the Strait's contribution to cleaner shipping. A strait that a fifth of the world's energy crosses owes the climate its best behavior, and this protocol collects the debt, quarterly, in public.</w:t>
      </w:r>
    </w:p>
    <w:p w14:paraId="77908874" w14:textId="77777777" w:rsidR="0027270B" w:rsidRDefault="00000000">
      <w:pPr>
        <w:pStyle w:val="Heading2"/>
      </w:pPr>
      <w:bookmarkStart w:id="126" w:name="_Toc237648575"/>
      <w:r>
        <w:rPr>
          <w:rFonts w:cs="Calibri"/>
          <w:szCs w:val="25"/>
        </w:rPr>
        <w:t>Annex T: The Registry of Mirrored Consent</w:t>
      </w:r>
      <w:bookmarkEnd w:id="126"/>
    </w:p>
    <w:p w14:paraId="7ECFAFBD" w14:textId="77777777" w:rsidR="0027270B" w:rsidRDefault="00000000">
      <w:r>
        <w:rPr>
          <w:rFonts w:cs="Calibri"/>
          <w:szCs w:val="21"/>
        </w:rPr>
        <w:t>T.1 Registry contents. The Registry holds: the Coastal Instrument; every Endorsement Declaration; every Observer Accession; every Technical Adhesion and Guarantor Adhesion; every synchronized certification under the Relief Track; every Twin Key concurrence executed by mirrored deposit; every notice of accession, amendment, withdrawal, or renewal; and the Depositary's certifications of each. The Registry constitutes the authoritative record of consent under this Accord.</w:t>
      </w:r>
    </w:p>
    <w:p w14:paraId="0095F18E" w14:textId="77777777" w:rsidR="0027270B" w:rsidRDefault="00000000">
      <w:r>
        <w:rPr>
          <w:rFonts w:cs="Calibri"/>
          <w:szCs w:val="21"/>
        </w:rPr>
        <w:t>T.2 Text-identity verification. On every deposit, the Depositary verifies that the deposited text matches the authentic text of this Accord and its Annexes, in any of the three languages, and issues a text-identity certificate. A deposit failing verification returns for correction without effect; a deposit passing registers with timestamp and certificate number.</w:t>
      </w:r>
    </w:p>
    <w:p w14:paraId="13608CDC" w14:textId="77777777" w:rsidR="0027270B" w:rsidRDefault="00000000">
      <w:r>
        <w:rPr>
          <w:rFonts w:cs="Calibri"/>
          <w:szCs w:val="21"/>
        </w:rPr>
        <w:t>T.3 Simultaneous release. Where this Accord pairs two acts, the Depositary holds both certifications and releases them simultaneously at the scheduled hour, issuing the paired certificate. The release mechanism is mechanical: the Depositary holds no discretion to advance, delay, or condition a release whose conditions stand met, and every release logs with its evidence.</w:t>
      </w:r>
    </w:p>
    <w:p w14:paraId="7A089735" w14:textId="77777777" w:rsidR="0027270B" w:rsidRDefault="00000000">
      <w:r>
        <w:rPr>
          <w:rFonts w:cs="Calibri"/>
          <w:szCs w:val="21"/>
        </w:rPr>
        <w:t>T.4 Public record. The Registry publishes its index on the portal: every instrument, every executor, every date, every certificate. The full texts of instruments publish except where an executor's law requires redaction of signature blocks, and even then the certificate and index publish in full. Consent to this Accord is a public fact, permanently, for every Participant, in identical terms.</w:t>
      </w:r>
    </w:p>
    <w:p w14:paraId="369DB5F1" w14:textId="77777777" w:rsidR="0027270B" w:rsidRDefault="00000000">
      <w:r>
        <w:rPr>
          <w:rFonts w:cs="Calibri"/>
          <w:szCs w:val="21"/>
        </w:rPr>
        <w:t>T.5 Model clause for Endorsement Declarations. The endorsing state declares that it incorporates the Blue Passage Peace Accord and its Annexes by reference, verbatim; that it accedes as an Endorsing Stakeholder under Article 34.2 with the functions and bounds there stated; that it accepts the Zero-Toll Rule, the Nuclear Firewall, and the Red Lines Register without reservation; and that its execution binds it to every other executor through the Depositary from the date of the Certificate of Mirrored Consent. Declarations execute severally, and no declaration requires any other state's signature, presence, or prior act.</w:t>
      </w:r>
    </w:p>
    <w:p w14:paraId="5B59AD26" w14:textId="77777777" w:rsidR="0027270B" w:rsidRDefault="00000000">
      <w:pPr>
        <w:pStyle w:val="Heading2"/>
      </w:pPr>
      <w:bookmarkStart w:id="127" w:name="_Toc237648576"/>
      <w:r>
        <w:rPr>
          <w:rFonts w:cs="Calibri"/>
          <w:szCs w:val="25"/>
        </w:rPr>
        <w:t>Annex U: Definitions</w:t>
      </w:r>
      <w:bookmarkEnd w:id="127"/>
    </w:p>
    <w:p w14:paraId="1A547967" w14:textId="77777777" w:rsidR="0027270B" w:rsidRDefault="00000000">
      <w:r>
        <w:rPr>
          <w:rFonts w:cs="Calibri"/>
          <w:szCs w:val="21"/>
        </w:rPr>
        <w:t>U.1 In this Accord and its Annexes, the following terms carry the following meanings.</w:t>
      </w:r>
    </w:p>
    <w:tbl>
      <w:tblPr>
        <w:tblW w:w="5000" w:type="pct"/>
        <w:tblInd w:w="80" w:type="dxa"/>
        <w:tblBorders>
          <w:top w:val="single" w:sz="12" w:space="0" w:color="3E6B8F"/>
          <w:left w:val="nil"/>
          <w:bottom w:val="single" w:sz="12" w:space="0" w:color="3E6B8F"/>
          <w:right w:val="nil"/>
          <w:insideH w:val="single" w:sz="4" w:space="0" w:color="C9D6DF"/>
          <w:insideV w:val="nil"/>
        </w:tblBorders>
        <w:tblCellMar>
          <w:left w:w="10" w:type="dxa"/>
          <w:right w:w="10" w:type="dxa"/>
        </w:tblCellMar>
        <w:tblLook w:val="04A0" w:firstRow="1" w:lastRow="0" w:firstColumn="1" w:lastColumn="0" w:noHBand="0" w:noVBand="1"/>
      </w:tblPr>
      <w:tblGrid>
        <w:gridCol w:w="2565"/>
        <w:gridCol w:w="6621"/>
      </w:tblGrid>
      <w:tr w:rsidR="0027270B" w14:paraId="0A05E2FE" w14:textId="77777777">
        <w:tblPrEx>
          <w:tblCellMar>
            <w:top w:w="0" w:type="dxa"/>
            <w:bottom w:w="0" w:type="dxa"/>
          </w:tblCellMar>
        </w:tblPrEx>
        <w:trPr>
          <w:tblHeader/>
        </w:trPr>
        <w:tc>
          <w:tcPr>
            <w:tcW w:w="2600" w:type="dxa"/>
            <w:shd w:val="clear" w:color="auto" w:fill="E8EFF4"/>
            <w:tcMar>
              <w:top w:w="60" w:type="dxa"/>
              <w:left w:w="80" w:type="dxa"/>
              <w:bottom w:w="60" w:type="dxa"/>
              <w:right w:w="80" w:type="dxa"/>
            </w:tcMar>
          </w:tcPr>
          <w:p w14:paraId="35C21BCA" w14:textId="77777777" w:rsidR="0027270B" w:rsidRDefault="00000000">
            <w:pPr>
              <w:spacing w:after="0" w:line="260" w:lineRule="auto"/>
            </w:pPr>
            <w:r>
              <w:rPr>
                <w:rFonts w:cs="Calibri"/>
                <w:b/>
                <w:color w:val="1B3A5C"/>
                <w:sz w:val="20"/>
                <w:szCs w:val="20"/>
              </w:rPr>
              <w:t>Term</w:t>
            </w:r>
          </w:p>
        </w:tc>
        <w:tc>
          <w:tcPr>
            <w:tcW w:w="6760" w:type="dxa"/>
            <w:shd w:val="clear" w:color="auto" w:fill="E8EFF4"/>
            <w:tcMar>
              <w:top w:w="60" w:type="dxa"/>
              <w:left w:w="80" w:type="dxa"/>
              <w:bottom w:w="60" w:type="dxa"/>
              <w:right w:w="80" w:type="dxa"/>
            </w:tcMar>
          </w:tcPr>
          <w:p w14:paraId="72B0F723" w14:textId="77777777" w:rsidR="0027270B" w:rsidRDefault="00000000">
            <w:pPr>
              <w:spacing w:after="0" w:line="260" w:lineRule="auto"/>
            </w:pPr>
            <w:r>
              <w:rPr>
                <w:rFonts w:cs="Calibri"/>
                <w:b/>
                <w:color w:val="1B3A5C"/>
                <w:sz w:val="20"/>
                <w:szCs w:val="20"/>
              </w:rPr>
              <w:t>Meaning</w:t>
            </w:r>
          </w:p>
        </w:tc>
      </w:tr>
      <w:tr w:rsidR="0027270B" w14:paraId="314A4109" w14:textId="77777777">
        <w:tblPrEx>
          <w:tblCellMar>
            <w:top w:w="0" w:type="dxa"/>
            <w:bottom w:w="0" w:type="dxa"/>
          </w:tblCellMar>
        </w:tblPrEx>
        <w:tc>
          <w:tcPr>
            <w:tcW w:w="2600" w:type="dxa"/>
            <w:tcMar>
              <w:top w:w="50" w:type="dxa"/>
              <w:left w:w="80" w:type="dxa"/>
              <w:bottom w:w="50" w:type="dxa"/>
              <w:right w:w="80" w:type="dxa"/>
            </w:tcMar>
          </w:tcPr>
          <w:p w14:paraId="1EE1E5B2" w14:textId="77777777" w:rsidR="0027270B" w:rsidRDefault="00000000">
            <w:pPr>
              <w:spacing w:after="0" w:line="260" w:lineRule="auto"/>
            </w:pPr>
            <w:r>
              <w:rPr>
                <w:rFonts w:cs="Calibri"/>
                <w:sz w:val="20"/>
                <w:szCs w:val="20"/>
              </w:rPr>
              <w:t>Accord</w:t>
            </w:r>
          </w:p>
        </w:tc>
        <w:tc>
          <w:tcPr>
            <w:tcW w:w="6760" w:type="dxa"/>
            <w:tcMar>
              <w:top w:w="50" w:type="dxa"/>
              <w:left w:w="80" w:type="dxa"/>
              <w:bottom w:w="50" w:type="dxa"/>
              <w:right w:w="80" w:type="dxa"/>
            </w:tcMar>
          </w:tcPr>
          <w:p w14:paraId="5B3592B6" w14:textId="77777777" w:rsidR="0027270B" w:rsidRDefault="00000000">
            <w:pPr>
              <w:spacing w:after="0" w:line="260" w:lineRule="auto"/>
            </w:pPr>
            <w:r>
              <w:rPr>
                <w:rFonts w:cs="Calibri"/>
                <w:sz w:val="20"/>
                <w:szCs w:val="20"/>
              </w:rPr>
              <w:t>The Blue Passage Peace Accord, including its Annexes, as amended under Article 70</w:t>
            </w:r>
          </w:p>
        </w:tc>
      </w:tr>
      <w:tr w:rsidR="0027270B" w14:paraId="4626F3D6" w14:textId="77777777">
        <w:tblPrEx>
          <w:tblCellMar>
            <w:top w:w="0" w:type="dxa"/>
            <w:bottom w:w="0" w:type="dxa"/>
          </w:tblCellMar>
        </w:tblPrEx>
        <w:tc>
          <w:tcPr>
            <w:tcW w:w="2600" w:type="dxa"/>
            <w:tcMar>
              <w:top w:w="50" w:type="dxa"/>
              <w:left w:w="80" w:type="dxa"/>
              <w:bottom w:w="50" w:type="dxa"/>
              <w:right w:w="80" w:type="dxa"/>
            </w:tcMar>
          </w:tcPr>
          <w:p w14:paraId="08ADC5D9" w14:textId="77777777" w:rsidR="0027270B" w:rsidRDefault="00000000">
            <w:pPr>
              <w:spacing w:after="0" w:line="260" w:lineRule="auto"/>
            </w:pPr>
            <w:r>
              <w:rPr>
                <w:rFonts w:cs="Calibri"/>
                <w:sz w:val="20"/>
                <w:szCs w:val="20"/>
              </w:rPr>
              <w:lastRenderedPageBreak/>
              <w:t>Blue Beacon</w:t>
            </w:r>
          </w:p>
        </w:tc>
        <w:tc>
          <w:tcPr>
            <w:tcW w:w="6760" w:type="dxa"/>
            <w:tcMar>
              <w:top w:w="50" w:type="dxa"/>
              <w:left w:w="80" w:type="dxa"/>
              <w:bottom w:w="50" w:type="dxa"/>
              <w:right w:w="80" w:type="dxa"/>
            </w:tcMar>
          </w:tcPr>
          <w:p w14:paraId="0D8BC591" w14:textId="77777777" w:rsidR="0027270B" w:rsidRDefault="00000000">
            <w:pPr>
              <w:spacing w:after="0" w:line="260" w:lineRule="auto"/>
            </w:pPr>
            <w:r>
              <w:rPr>
                <w:rFonts w:cs="Calibri"/>
                <w:sz w:val="20"/>
                <w:szCs w:val="20"/>
              </w:rPr>
              <w:t>The automated corridor guidance broadcast service of Annex A.8</w:t>
            </w:r>
          </w:p>
        </w:tc>
      </w:tr>
      <w:tr w:rsidR="0027270B" w14:paraId="5B6860BE" w14:textId="77777777">
        <w:tblPrEx>
          <w:tblCellMar>
            <w:top w:w="0" w:type="dxa"/>
            <w:bottom w:w="0" w:type="dxa"/>
          </w:tblCellMar>
        </w:tblPrEx>
        <w:tc>
          <w:tcPr>
            <w:tcW w:w="2600" w:type="dxa"/>
            <w:tcMar>
              <w:top w:w="50" w:type="dxa"/>
              <w:left w:w="80" w:type="dxa"/>
              <w:bottom w:w="50" w:type="dxa"/>
              <w:right w:w="80" w:type="dxa"/>
            </w:tcMar>
          </w:tcPr>
          <w:p w14:paraId="5F65405E" w14:textId="77777777" w:rsidR="0027270B" w:rsidRDefault="00000000">
            <w:pPr>
              <w:spacing w:after="0" w:line="260" w:lineRule="auto"/>
            </w:pPr>
            <w:r>
              <w:rPr>
                <w:rFonts w:cs="Calibri"/>
                <w:sz w:val="20"/>
                <w:szCs w:val="20"/>
              </w:rPr>
              <w:t>Blue Flag</w:t>
            </w:r>
          </w:p>
        </w:tc>
        <w:tc>
          <w:tcPr>
            <w:tcW w:w="6760" w:type="dxa"/>
            <w:tcMar>
              <w:top w:w="50" w:type="dxa"/>
              <w:left w:w="80" w:type="dxa"/>
              <w:bottom w:w="50" w:type="dxa"/>
              <w:right w:w="80" w:type="dxa"/>
            </w:tcMar>
          </w:tcPr>
          <w:p w14:paraId="4A633801" w14:textId="77777777" w:rsidR="0027270B" w:rsidRDefault="00000000">
            <w:pPr>
              <w:spacing w:after="0" w:line="260" w:lineRule="auto"/>
            </w:pPr>
            <w:r>
              <w:rPr>
                <w:rFonts w:cs="Calibri"/>
                <w:sz w:val="20"/>
                <w:szCs w:val="20"/>
              </w:rPr>
              <w:t>The corridor certification tier of Article 43, issued by the Neutral Watch Office on audit metrics</w:t>
            </w:r>
          </w:p>
        </w:tc>
      </w:tr>
      <w:tr w:rsidR="0027270B" w14:paraId="3EF74BBB" w14:textId="77777777">
        <w:tblPrEx>
          <w:tblCellMar>
            <w:top w:w="0" w:type="dxa"/>
            <w:bottom w:w="0" w:type="dxa"/>
          </w:tblCellMar>
        </w:tblPrEx>
        <w:tc>
          <w:tcPr>
            <w:tcW w:w="2600" w:type="dxa"/>
            <w:tcMar>
              <w:top w:w="50" w:type="dxa"/>
              <w:left w:w="80" w:type="dxa"/>
              <w:bottom w:w="50" w:type="dxa"/>
              <w:right w:w="80" w:type="dxa"/>
            </w:tcMar>
          </w:tcPr>
          <w:p w14:paraId="4E5445D2" w14:textId="77777777" w:rsidR="0027270B" w:rsidRDefault="00000000">
            <w:pPr>
              <w:spacing w:after="0" w:line="260" w:lineRule="auto"/>
            </w:pPr>
            <w:r>
              <w:rPr>
                <w:rFonts w:cs="Calibri"/>
                <w:sz w:val="20"/>
                <w:szCs w:val="20"/>
              </w:rPr>
              <w:t>Blue Opening</w:t>
            </w:r>
          </w:p>
        </w:tc>
        <w:tc>
          <w:tcPr>
            <w:tcW w:w="6760" w:type="dxa"/>
            <w:tcMar>
              <w:top w:w="50" w:type="dxa"/>
              <w:left w:w="80" w:type="dxa"/>
              <w:bottom w:w="50" w:type="dxa"/>
              <w:right w:w="80" w:type="dxa"/>
            </w:tcMar>
          </w:tcPr>
          <w:p w14:paraId="1207593E" w14:textId="77777777" w:rsidR="0027270B" w:rsidRDefault="00000000">
            <w:pPr>
              <w:spacing w:after="0" w:line="260" w:lineRule="auto"/>
            </w:pPr>
            <w:r>
              <w:rPr>
                <w:rFonts w:cs="Calibri"/>
                <w:sz w:val="20"/>
                <w:szCs w:val="20"/>
              </w:rPr>
              <w:t>The completion of Gate Seven of the Blue Opening Protocol at Hour 72</w:t>
            </w:r>
          </w:p>
        </w:tc>
      </w:tr>
      <w:tr w:rsidR="0027270B" w14:paraId="72EF76EE" w14:textId="77777777">
        <w:tblPrEx>
          <w:tblCellMar>
            <w:top w:w="0" w:type="dxa"/>
            <w:bottom w:w="0" w:type="dxa"/>
          </w:tblCellMar>
        </w:tblPrEx>
        <w:tc>
          <w:tcPr>
            <w:tcW w:w="2600" w:type="dxa"/>
            <w:tcMar>
              <w:top w:w="50" w:type="dxa"/>
              <w:left w:w="80" w:type="dxa"/>
              <w:bottom w:w="50" w:type="dxa"/>
              <w:right w:w="80" w:type="dxa"/>
            </w:tcMar>
          </w:tcPr>
          <w:p w14:paraId="30212538" w14:textId="77777777" w:rsidR="0027270B" w:rsidRDefault="00000000">
            <w:pPr>
              <w:spacing w:after="0" w:line="260" w:lineRule="auto"/>
            </w:pPr>
            <w:r>
              <w:rPr>
                <w:rFonts w:cs="Calibri"/>
                <w:sz w:val="20"/>
                <w:szCs w:val="20"/>
              </w:rPr>
              <w:t>Catalog</w:t>
            </w:r>
          </w:p>
        </w:tc>
        <w:tc>
          <w:tcPr>
            <w:tcW w:w="6760" w:type="dxa"/>
            <w:tcMar>
              <w:top w:w="50" w:type="dxa"/>
              <w:left w:w="80" w:type="dxa"/>
              <w:bottom w:w="50" w:type="dxa"/>
              <w:right w:w="80" w:type="dxa"/>
            </w:tcMar>
          </w:tcPr>
          <w:p w14:paraId="029D987C" w14:textId="77777777" w:rsidR="0027270B" w:rsidRDefault="00000000">
            <w:pPr>
              <w:spacing w:after="0" w:line="260" w:lineRule="auto"/>
            </w:pPr>
            <w:r>
              <w:rPr>
                <w:rFonts w:cs="Calibri"/>
                <w:sz w:val="20"/>
                <w:szCs w:val="20"/>
              </w:rPr>
              <w:t>The Blue Services Catalog of Annex E, the closed list of chargeable services</w:t>
            </w:r>
          </w:p>
        </w:tc>
      </w:tr>
      <w:tr w:rsidR="0027270B" w14:paraId="4502AC6E" w14:textId="77777777">
        <w:tblPrEx>
          <w:tblCellMar>
            <w:top w:w="0" w:type="dxa"/>
            <w:bottom w:w="0" w:type="dxa"/>
          </w:tblCellMar>
        </w:tblPrEx>
        <w:tc>
          <w:tcPr>
            <w:tcW w:w="2600" w:type="dxa"/>
            <w:tcMar>
              <w:top w:w="50" w:type="dxa"/>
              <w:left w:w="80" w:type="dxa"/>
              <w:bottom w:w="50" w:type="dxa"/>
              <w:right w:w="80" w:type="dxa"/>
            </w:tcMar>
          </w:tcPr>
          <w:p w14:paraId="67B276E8" w14:textId="77777777" w:rsidR="0027270B" w:rsidRDefault="00000000">
            <w:pPr>
              <w:spacing w:after="0" w:line="260" w:lineRule="auto"/>
            </w:pPr>
            <w:r>
              <w:rPr>
                <w:rFonts w:cs="Calibri"/>
                <w:sz w:val="20"/>
                <w:szCs w:val="20"/>
              </w:rPr>
              <w:t>Central Blue Buffer</w:t>
            </w:r>
          </w:p>
        </w:tc>
        <w:tc>
          <w:tcPr>
            <w:tcW w:w="6760" w:type="dxa"/>
            <w:tcMar>
              <w:top w:w="50" w:type="dxa"/>
              <w:left w:w="80" w:type="dxa"/>
              <w:bottom w:w="50" w:type="dxa"/>
              <w:right w:w="80" w:type="dxa"/>
            </w:tcMar>
          </w:tcPr>
          <w:p w14:paraId="44888928" w14:textId="77777777" w:rsidR="0027270B" w:rsidRDefault="00000000">
            <w:pPr>
              <w:spacing w:after="0" w:line="260" w:lineRule="auto"/>
            </w:pPr>
            <w:r>
              <w:rPr>
                <w:rFonts w:cs="Calibri"/>
                <w:sz w:val="20"/>
                <w:szCs w:val="20"/>
              </w:rPr>
              <w:t>The median lane of Article 9.4, operating as separation zone and, after certification, as two-way lane</w:t>
            </w:r>
          </w:p>
        </w:tc>
      </w:tr>
      <w:tr w:rsidR="0027270B" w14:paraId="7A647F35" w14:textId="77777777">
        <w:tblPrEx>
          <w:tblCellMar>
            <w:top w:w="0" w:type="dxa"/>
            <w:bottom w:w="0" w:type="dxa"/>
          </w:tblCellMar>
        </w:tblPrEx>
        <w:tc>
          <w:tcPr>
            <w:tcW w:w="2600" w:type="dxa"/>
            <w:tcMar>
              <w:top w:w="50" w:type="dxa"/>
              <w:left w:w="80" w:type="dxa"/>
              <w:bottom w:w="50" w:type="dxa"/>
              <w:right w:w="80" w:type="dxa"/>
            </w:tcMar>
          </w:tcPr>
          <w:p w14:paraId="129DDD31" w14:textId="77777777" w:rsidR="0027270B" w:rsidRDefault="00000000">
            <w:pPr>
              <w:spacing w:after="0" w:line="260" w:lineRule="auto"/>
            </w:pPr>
            <w:r>
              <w:rPr>
                <w:rFonts w:cs="Calibri"/>
                <w:sz w:val="20"/>
                <w:szCs w:val="20"/>
              </w:rPr>
              <w:t>Coastal Principals</w:t>
            </w:r>
          </w:p>
        </w:tc>
        <w:tc>
          <w:tcPr>
            <w:tcW w:w="6760" w:type="dxa"/>
            <w:tcMar>
              <w:top w:w="50" w:type="dxa"/>
              <w:left w:w="80" w:type="dxa"/>
              <w:bottom w:w="50" w:type="dxa"/>
              <w:right w:w="80" w:type="dxa"/>
            </w:tcMar>
          </w:tcPr>
          <w:p w14:paraId="4D3B637D" w14:textId="77777777" w:rsidR="0027270B" w:rsidRDefault="00000000">
            <w:pPr>
              <w:spacing w:after="0" w:line="260" w:lineRule="auto"/>
            </w:pPr>
            <w:r>
              <w:rPr>
                <w:rFonts w:cs="Calibri"/>
                <w:sz w:val="20"/>
                <w:szCs w:val="20"/>
              </w:rPr>
              <w:t>The Islamic Republic of Iran and the Sultanate of Oman</w:t>
            </w:r>
          </w:p>
        </w:tc>
      </w:tr>
      <w:tr w:rsidR="0027270B" w14:paraId="229775A5" w14:textId="77777777">
        <w:tblPrEx>
          <w:tblCellMar>
            <w:top w:w="0" w:type="dxa"/>
            <w:bottom w:w="0" w:type="dxa"/>
          </w:tblCellMar>
        </w:tblPrEx>
        <w:tc>
          <w:tcPr>
            <w:tcW w:w="2600" w:type="dxa"/>
            <w:tcMar>
              <w:top w:w="50" w:type="dxa"/>
              <w:left w:w="80" w:type="dxa"/>
              <w:bottom w:w="50" w:type="dxa"/>
              <w:right w:w="80" w:type="dxa"/>
            </w:tcMar>
          </w:tcPr>
          <w:p w14:paraId="7C711B6C" w14:textId="77777777" w:rsidR="0027270B" w:rsidRDefault="00000000">
            <w:pPr>
              <w:spacing w:after="0" w:line="260" w:lineRule="auto"/>
            </w:pPr>
            <w:r>
              <w:rPr>
                <w:rFonts w:cs="Calibri"/>
                <w:sz w:val="20"/>
                <w:szCs w:val="20"/>
              </w:rPr>
              <w:t>Cothrom Blue</w:t>
            </w:r>
          </w:p>
        </w:tc>
        <w:tc>
          <w:tcPr>
            <w:tcW w:w="6760" w:type="dxa"/>
            <w:tcMar>
              <w:top w:w="50" w:type="dxa"/>
              <w:left w:w="80" w:type="dxa"/>
              <w:bottom w:w="50" w:type="dxa"/>
              <w:right w:w="80" w:type="dxa"/>
            </w:tcMar>
          </w:tcPr>
          <w:p w14:paraId="1A35F227" w14:textId="77777777" w:rsidR="0027270B" w:rsidRDefault="00000000">
            <w:pPr>
              <w:spacing w:after="0" w:line="260" w:lineRule="auto"/>
            </w:pPr>
            <w:r>
              <w:rPr>
                <w:rFonts w:cs="Calibri"/>
                <w:sz w:val="20"/>
                <w:szCs w:val="20"/>
              </w:rPr>
              <w:t>The verification method of Article 47 and Annex J: balanced, reciprocal, human-anchored verification without snapback</w:t>
            </w:r>
          </w:p>
        </w:tc>
      </w:tr>
      <w:tr w:rsidR="0027270B" w14:paraId="0A0A6FD4" w14:textId="77777777">
        <w:tblPrEx>
          <w:tblCellMar>
            <w:top w:w="0" w:type="dxa"/>
            <w:bottom w:w="0" w:type="dxa"/>
          </w:tblCellMar>
        </w:tblPrEx>
        <w:tc>
          <w:tcPr>
            <w:tcW w:w="2600" w:type="dxa"/>
            <w:tcMar>
              <w:top w:w="50" w:type="dxa"/>
              <w:left w:w="80" w:type="dxa"/>
              <w:bottom w:w="50" w:type="dxa"/>
              <w:right w:w="80" w:type="dxa"/>
            </w:tcMar>
          </w:tcPr>
          <w:p w14:paraId="27890C9D" w14:textId="77777777" w:rsidR="0027270B" w:rsidRDefault="00000000">
            <w:pPr>
              <w:spacing w:after="0" w:line="260" w:lineRule="auto"/>
            </w:pPr>
            <w:r>
              <w:rPr>
                <w:rFonts w:cs="Calibri"/>
                <w:sz w:val="20"/>
                <w:szCs w:val="20"/>
              </w:rPr>
              <w:t>Depositary</w:t>
            </w:r>
          </w:p>
        </w:tc>
        <w:tc>
          <w:tcPr>
            <w:tcW w:w="6760" w:type="dxa"/>
            <w:tcMar>
              <w:top w:w="50" w:type="dxa"/>
              <w:left w:w="80" w:type="dxa"/>
              <w:bottom w:w="50" w:type="dxa"/>
              <w:right w:w="80" w:type="dxa"/>
            </w:tcMar>
          </w:tcPr>
          <w:p w14:paraId="4FB5BC6D" w14:textId="77777777" w:rsidR="0027270B" w:rsidRDefault="00000000">
            <w:pPr>
              <w:spacing w:after="0" w:line="260" w:lineRule="auto"/>
            </w:pPr>
            <w:r>
              <w:rPr>
                <w:rFonts w:cs="Calibri"/>
                <w:sz w:val="20"/>
                <w:szCs w:val="20"/>
              </w:rPr>
              <w:t>The Sultanate of Oman, seated in Muscat, holding the instruments and the Registry of Mirrored Consent</w:t>
            </w:r>
          </w:p>
        </w:tc>
      </w:tr>
      <w:tr w:rsidR="0027270B" w14:paraId="36EC955C" w14:textId="77777777">
        <w:tblPrEx>
          <w:tblCellMar>
            <w:top w:w="0" w:type="dxa"/>
            <w:bottom w:w="0" w:type="dxa"/>
          </w:tblCellMar>
        </w:tblPrEx>
        <w:tc>
          <w:tcPr>
            <w:tcW w:w="2600" w:type="dxa"/>
            <w:tcMar>
              <w:top w:w="50" w:type="dxa"/>
              <w:left w:w="80" w:type="dxa"/>
              <w:bottom w:w="50" w:type="dxa"/>
              <w:right w:w="80" w:type="dxa"/>
            </w:tcMar>
          </w:tcPr>
          <w:p w14:paraId="4D70BD68" w14:textId="77777777" w:rsidR="0027270B" w:rsidRDefault="00000000">
            <w:pPr>
              <w:spacing w:after="0" w:line="260" w:lineRule="auto"/>
            </w:pPr>
            <w:r>
              <w:rPr>
                <w:rFonts w:cs="Calibri"/>
                <w:sz w:val="20"/>
                <w:szCs w:val="20"/>
              </w:rPr>
              <w:t>Endorsing Stakeholder</w:t>
            </w:r>
          </w:p>
        </w:tc>
        <w:tc>
          <w:tcPr>
            <w:tcW w:w="6760" w:type="dxa"/>
            <w:tcMar>
              <w:top w:w="50" w:type="dxa"/>
              <w:left w:w="80" w:type="dxa"/>
              <w:bottom w:w="50" w:type="dxa"/>
              <w:right w:w="80" w:type="dxa"/>
            </w:tcMar>
          </w:tcPr>
          <w:p w14:paraId="791F0AC1" w14:textId="77777777" w:rsidR="0027270B" w:rsidRDefault="00000000">
            <w:pPr>
              <w:spacing w:after="0" w:line="260" w:lineRule="auto"/>
            </w:pPr>
            <w:r>
              <w:rPr>
                <w:rFonts w:cs="Calibri"/>
                <w:sz w:val="20"/>
                <w:szCs w:val="20"/>
              </w:rPr>
              <w:t>A state participating under Article 34.2 with transparency and bounded functions, without vote or command</w:t>
            </w:r>
          </w:p>
        </w:tc>
      </w:tr>
      <w:tr w:rsidR="0027270B" w14:paraId="750A2821" w14:textId="77777777">
        <w:tblPrEx>
          <w:tblCellMar>
            <w:top w:w="0" w:type="dxa"/>
            <w:bottom w:w="0" w:type="dxa"/>
          </w:tblCellMar>
        </w:tblPrEx>
        <w:tc>
          <w:tcPr>
            <w:tcW w:w="2600" w:type="dxa"/>
            <w:tcMar>
              <w:top w:w="50" w:type="dxa"/>
              <w:left w:w="80" w:type="dxa"/>
              <w:bottom w:w="50" w:type="dxa"/>
              <w:right w:w="80" w:type="dxa"/>
            </w:tcMar>
          </w:tcPr>
          <w:p w14:paraId="2D2ABF04" w14:textId="77777777" w:rsidR="0027270B" w:rsidRDefault="00000000">
            <w:pPr>
              <w:spacing w:after="0" w:line="260" w:lineRule="auto"/>
            </w:pPr>
            <w:r>
              <w:rPr>
                <w:rFonts w:cs="Calibri"/>
                <w:sz w:val="20"/>
                <w:szCs w:val="20"/>
              </w:rPr>
              <w:t>Filing</w:t>
            </w:r>
          </w:p>
        </w:tc>
        <w:tc>
          <w:tcPr>
            <w:tcW w:w="6760" w:type="dxa"/>
            <w:tcMar>
              <w:top w:w="50" w:type="dxa"/>
              <w:left w:w="80" w:type="dxa"/>
              <w:bottom w:w="50" w:type="dxa"/>
              <w:right w:w="80" w:type="dxa"/>
            </w:tcMar>
          </w:tcPr>
          <w:p w14:paraId="5BEED910" w14:textId="77777777" w:rsidR="0027270B" w:rsidRDefault="00000000">
            <w:pPr>
              <w:spacing w:after="0" w:line="260" w:lineRule="auto"/>
            </w:pPr>
            <w:r>
              <w:rPr>
                <w:rFonts w:cs="Calibri"/>
                <w:sz w:val="20"/>
                <w:szCs w:val="20"/>
              </w:rPr>
              <w:t>The transit notification of Article 12 and Form BPP-1</w:t>
            </w:r>
          </w:p>
        </w:tc>
      </w:tr>
      <w:tr w:rsidR="0027270B" w14:paraId="32AE4F53" w14:textId="77777777">
        <w:tblPrEx>
          <w:tblCellMar>
            <w:top w:w="0" w:type="dxa"/>
            <w:bottom w:w="0" w:type="dxa"/>
          </w:tblCellMar>
        </w:tblPrEx>
        <w:tc>
          <w:tcPr>
            <w:tcW w:w="2600" w:type="dxa"/>
            <w:tcMar>
              <w:top w:w="50" w:type="dxa"/>
              <w:left w:w="80" w:type="dxa"/>
              <w:bottom w:w="50" w:type="dxa"/>
              <w:right w:w="80" w:type="dxa"/>
            </w:tcMar>
          </w:tcPr>
          <w:p w14:paraId="21B27AB8" w14:textId="77777777" w:rsidR="0027270B" w:rsidRDefault="00000000">
            <w:pPr>
              <w:spacing w:after="0" w:line="260" w:lineRule="auto"/>
            </w:pPr>
            <w:r>
              <w:rPr>
                <w:rFonts w:cs="Calibri"/>
                <w:sz w:val="20"/>
                <w:szCs w:val="20"/>
              </w:rPr>
              <w:t>Forward Drift Archive</w:t>
            </w:r>
          </w:p>
        </w:tc>
        <w:tc>
          <w:tcPr>
            <w:tcW w:w="6760" w:type="dxa"/>
            <w:tcMar>
              <w:top w:w="50" w:type="dxa"/>
              <w:left w:w="80" w:type="dxa"/>
              <w:bottom w:w="50" w:type="dxa"/>
              <w:right w:w="80" w:type="dxa"/>
            </w:tcMar>
          </w:tcPr>
          <w:p w14:paraId="571A9AB7" w14:textId="77777777" w:rsidR="0027270B" w:rsidRDefault="00000000">
            <w:pPr>
              <w:spacing w:after="0" w:line="260" w:lineRule="auto"/>
            </w:pPr>
            <w:r>
              <w:rPr>
                <w:rFonts w:cs="Calibri"/>
                <w:sz w:val="20"/>
                <w:szCs w:val="20"/>
              </w:rPr>
              <w:t>The permanent lock record of verified structural gains under Article 52</w:t>
            </w:r>
          </w:p>
        </w:tc>
      </w:tr>
      <w:tr w:rsidR="0027270B" w14:paraId="27AE9374" w14:textId="77777777">
        <w:tblPrEx>
          <w:tblCellMar>
            <w:top w:w="0" w:type="dxa"/>
            <w:bottom w:w="0" w:type="dxa"/>
          </w:tblCellMar>
        </w:tblPrEx>
        <w:tc>
          <w:tcPr>
            <w:tcW w:w="2600" w:type="dxa"/>
            <w:tcMar>
              <w:top w:w="50" w:type="dxa"/>
              <w:left w:w="80" w:type="dxa"/>
              <w:bottom w:w="50" w:type="dxa"/>
              <w:right w:w="80" w:type="dxa"/>
            </w:tcMar>
          </w:tcPr>
          <w:p w14:paraId="6425EBC2" w14:textId="77777777" w:rsidR="0027270B" w:rsidRDefault="00000000">
            <w:pPr>
              <w:spacing w:after="0" w:line="260" w:lineRule="auto"/>
            </w:pPr>
            <w:r>
              <w:rPr>
                <w:rFonts w:cs="Calibri"/>
                <w:sz w:val="20"/>
                <w:szCs w:val="20"/>
              </w:rPr>
              <w:t>Golden record</w:t>
            </w:r>
          </w:p>
        </w:tc>
        <w:tc>
          <w:tcPr>
            <w:tcW w:w="6760" w:type="dxa"/>
            <w:tcMar>
              <w:top w:w="50" w:type="dxa"/>
              <w:left w:w="80" w:type="dxa"/>
              <w:bottom w:w="50" w:type="dxa"/>
              <w:right w:w="80" w:type="dxa"/>
            </w:tcMar>
          </w:tcPr>
          <w:p w14:paraId="1DD24BB1" w14:textId="77777777" w:rsidR="0027270B" w:rsidRDefault="00000000">
            <w:pPr>
              <w:spacing w:after="0" w:line="260" w:lineRule="auto"/>
            </w:pPr>
            <w:r>
              <w:rPr>
                <w:rFonts w:cs="Calibri"/>
                <w:sz w:val="20"/>
                <w:szCs w:val="20"/>
              </w:rPr>
              <w:t>The unalterable, cryptographically sealed data stream of Article 47.2, logged in the Shared Digital Registry</w:t>
            </w:r>
          </w:p>
        </w:tc>
      </w:tr>
      <w:tr w:rsidR="0027270B" w14:paraId="611597BF" w14:textId="77777777">
        <w:tblPrEx>
          <w:tblCellMar>
            <w:top w:w="0" w:type="dxa"/>
            <w:bottom w:w="0" w:type="dxa"/>
          </w:tblCellMar>
        </w:tblPrEx>
        <w:tc>
          <w:tcPr>
            <w:tcW w:w="2600" w:type="dxa"/>
            <w:tcMar>
              <w:top w:w="50" w:type="dxa"/>
              <w:left w:w="80" w:type="dxa"/>
              <w:bottom w:w="50" w:type="dxa"/>
              <w:right w:w="80" w:type="dxa"/>
            </w:tcMar>
          </w:tcPr>
          <w:p w14:paraId="6F5B8DEC" w14:textId="77777777" w:rsidR="0027270B" w:rsidRDefault="00000000">
            <w:pPr>
              <w:spacing w:after="0" w:line="260" w:lineRule="auto"/>
            </w:pPr>
            <w:r>
              <w:rPr>
                <w:rFonts w:cs="Calibri"/>
                <w:sz w:val="20"/>
                <w:szCs w:val="20"/>
              </w:rPr>
              <w:t>Governance Area</w:t>
            </w:r>
          </w:p>
        </w:tc>
        <w:tc>
          <w:tcPr>
            <w:tcW w:w="6760" w:type="dxa"/>
            <w:tcMar>
              <w:top w:w="50" w:type="dxa"/>
              <w:left w:w="80" w:type="dxa"/>
              <w:bottom w:w="50" w:type="dxa"/>
              <w:right w:w="80" w:type="dxa"/>
            </w:tcMar>
          </w:tcPr>
          <w:p w14:paraId="26608D33" w14:textId="77777777" w:rsidR="0027270B" w:rsidRDefault="00000000">
            <w:pPr>
              <w:spacing w:after="0" w:line="260" w:lineRule="auto"/>
            </w:pPr>
            <w:r>
              <w:rPr>
                <w:rFonts w:cs="Calibri"/>
                <w:sz w:val="20"/>
                <w:szCs w:val="20"/>
              </w:rPr>
              <w:t>The waters of the polygon of Annex A.2, serving navigation exclusively</w:t>
            </w:r>
          </w:p>
        </w:tc>
      </w:tr>
      <w:tr w:rsidR="0027270B" w14:paraId="4D890ADE" w14:textId="77777777">
        <w:tblPrEx>
          <w:tblCellMar>
            <w:top w:w="0" w:type="dxa"/>
            <w:bottom w:w="0" w:type="dxa"/>
          </w:tblCellMar>
        </w:tblPrEx>
        <w:tc>
          <w:tcPr>
            <w:tcW w:w="2600" w:type="dxa"/>
            <w:tcMar>
              <w:top w:w="50" w:type="dxa"/>
              <w:left w:w="80" w:type="dxa"/>
              <w:bottom w:w="50" w:type="dxa"/>
              <w:right w:w="80" w:type="dxa"/>
            </w:tcMar>
          </w:tcPr>
          <w:p w14:paraId="146B5966" w14:textId="77777777" w:rsidR="0027270B" w:rsidRDefault="00000000">
            <w:pPr>
              <w:spacing w:after="0" w:line="260" w:lineRule="auto"/>
            </w:pPr>
            <w:r>
              <w:rPr>
                <w:rFonts w:cs="Calibri"/>
                <w:sz w:val="20"/>
                <w:szCs w:val="20"/>
              </w:rPr>
              <w:t>Guarantor Matrix</w:t>
            </w:r>
          </w:p>
        </w:tc>
        <w:tc>
          <w:tcPr>
            <w:tcW w:w="6760" w:type="dxa"/>
            <w:tcMar>
              <w:top w:w="50" w:type="dxa"/>
              <w:left w:w="80" w:type="dxa"/>
              <w:bottom w:w="50" w:type="dxa"/>
              <w:right w:w="80" w:type="dxa"/>
            </w:tcMar>
          </w:tcPr>
          <w:p w14:paraId="75515DD1" w14:textId="77777777" w:rsidR="0027270B" w:rsidRDefault="00000000">
            <w:pPr>
              <w:spacing w:after="0" w:line="260" w:lineRule="auto"/>
            </w:pPr>
            <w:r>
              <w:rPr>
                <w:rFonts w:cs="Calibri"/>
                <w:sz w:val="20"/>
                <w:szCs w:val="20"/>
              </w:rPr>
              <w:t>The convening of Guarantors under Article 34.4 for referred matters</w:t>
            </w:r>
          </w:p>
        </w:tc>
      </w:tr>
      <w:tr w:rsidR="0027270B" w14:paraId="701C6306" w14:textId="77777777">
        <w:tblPrEx>
          <w:tblCellMar>
            <w:top w:w="0" w:type="dxa"/>
            <w:bottom w:w="0" w:type="dxa"/>
          </w:tblCellMar>
        </w:tblPrEx>
        <w:tc>
          <w:tcPr>
            <w:tcW w:w="2600" w:type="dxa"/>
            <w:tcMar>
              <w:top w:w="50" w:type="dxa"/>
              <w:left w:w="80" w:type="dxa"/>
              <w:bottom w:w="50" w:type="dxa"/>
              <w:right w:w="80" w:type="dxa"/>
            </w:tcMar>
          </w:tcPr>
          <w:p w14:paraId="1D72CEE0" w14:textId="77777777" w:rsidR="0027270B" w:rsidRDefault="00000000">
            <w:pPr>
              <w:spacing w:after="0" w:line="260" w:lineRule="auto"/>
            </w:pPr>
            <w:r>
              <w:rPr>
                <w:rFonts w:cs="Calibri"/>
                <w:sz w:val="20"/>
                <w:szCs w:val="20"/>
              </w:rPr>
              <w:t>Humanitarian Firewall</w:t>
            </w:r>
          </w:p>
        </w:tc>
        <w:tc>
          <w:tcPr>
            <w:tcW w:w="6760" w:type="dxa"/>
            <w:tcMar>
              <w:top w:w="50" w:type="dxa"/>
              <w:left w:w="80" w:type="dxa"/>
              <w:bottom w:w="50" w:type="dxa"/>
              <w:right w:w="80" w:type="dxa"/>
            </w:tcMar>
          </w:tcPr>
          <w:p w14:paraId="58773440" w14:textId="77777777" w:rsidR="0027270B" w:rsidRDefault="00000000">
            <w:pPr>
              <w:spacing w:after="0" w:line="260" w:lineRule="auto"/>
            </w:pPr>
            <w:r>
              <w:rPr>
                <w:rFonts w:cs="Calibri"/>
                <w:sz w:val="20"/>
                <w:szCs w:val="20"/>
              </w:rPr>
              <w:t>The absolute protection of humanitarian flows under Article 53.5</w:t>
            </w:r>
          </w:p>
        </w:tc>
      </w:tr>
      <w:tr w:rsidR="0027270B" w14:paraId="449C22C4" w14:textId="77777777">
        <w:tblPrEx>
          <w:tblCellMar>
            <w:top w:w="0" w:type="dxa"/>
            <w:bottom w:w="0" w:type="dxa"/>
          </w:tblCellMar>
        </w:tblPrEx>
        <w:tc>
          <w:tcPr>
            <w:tcW w:w="2600" w:type="dxa"/>
            <w:tcMar>
              <w:top w:w="50" w:type="dxa"/>
              <w:left w:w="80" w:type="dxa"/>
              <w:bottom w:w="50" w:type="dxa"/>
              <w:right w:w="80" w:type="dxa"/>
            </w:tcMar>
          </w:tcPr>
          <w:p w14:paraId="0C0FCCFA" w14:textId="77777777" w:rsidR="0027270B" w:rsidRDefault="00000000">
            <w:pPr>
              <w:spacing w:after="0" w:line="260" w:lineRule="auto"/>
            </w:pPr>
            <w:r>
              <w:rPr>
                <w:rFonts w:cs="Calibri"/>
                <w:sz w:val="20"/>
                <w:szCs w:val="20"/>
              </w:rPr>
              <w:t>Joint Watch Floor</w:t>
            </w:r>
          </w:p>
        </w:tc>
        <w:tc>
          <w:tcPr>
            <w:tcW w:w="6760" w:type="dxa"/>
            <w:tcMar>
              <w:top w:w="50" w:type="dxa"/>
              <w:left w:w="80" w:type="dxa"/>
              <w:bottom w:w="50" w:type="dxa"/>
              <w:right w:w="80" w:type="dxa"/>
            </w:tcMar>
          </w:tcPr>
          <w:p w14:paraId="55374698" w14:textId="77777777" w:rsidR="0027270B" w:rsidRDefault="00000000">
            <w:pPr>
              <w:spacing w:after="0" w:line="260" w:lineRule="auto"/>
            </w:pPr>
            <w:r>
              <w:rPr>
                <w:rFonts w:cs="Calibri"/>
                <w:sz w:val="20"/>
                <w:szCs w:val="20"/>
              </w:rPr>
              <w:t>The operational center at Khasab under Article 30, with its Mirror Floor in Bandar Abbas</w:t>
            </w:r>
          </w:p>
        </w:tc>
      </w:tr>
      <w:tr w:rsidR="0027270B" w14:paraId="19C0A439" w14:textId="77777777">
        <w:tblPrEx>
          <w:tblCellMar>
            <w:top w:w="0" w:type="dxa"/>
            <w:bottom w:w="0" w:type="dxa"/>
          </w:tblCellMar>
        </w:tblPrEx>
        <w:tc>
          <w:tcPr>
            <w:tcW w:w="2600" w:type="dxa"/>
            <w:tcMar>
              <w:top w:w="50" w:type="dxa"/>
              <w:left w:w="80" w:type="dxa"/>
              <w:bottom w:w="50" w:type="dxa"/>
              <w:right w:w="80" w:type="dxa"/>
            </w:tcMar>
          </w:tcPr>
          <w:p w14:paraId="34EE821C" w14:textId="77777777" w:rsidR="0027270B" w:rsidRDefault="00000000">
            <w:pPr>
              <w:spacing w:after="0" w:line="260" w:lineRule="auto"/>
            </w:pPr>
            <w:r>
              <w:rPr>
                <w:rFonts w:cs="Calibri"/>
                <w:sz w:val="20"/>
                <w:szCs w:val="20"/>
              </w:rPr>
              <w:t>Lantern pair</w:t>
            </w:r>
          </w:p>
        </w:tc>
        <w:tc>
          <w:tcPr>
            <w:tcW w:w="6760" w:type="dxa"/>
            <w:tcMar>
              <w:top w:w="50" w:type="dxa"/>
              <w:left w:w="80" w:type="dxa"/>
              <w:bottom w:w="50" w:type="dxa"/>
              <w:right w:w="80" w:type="dxa"/>
            </w:tcMar>
          </w:tcPr>
          <w:p w14:paraId="3D023BE5" w14:textId="77777777" w:rsidR="0027270B" w:rsidRDefault="00000000">
            <w:pPr>
              <w:spacing w:after="0" w:line="260" w:lineRule="auto"/>
            </w:pPr>
            <w:r>
              <w:rPr>
                <w:rFonts w:cs="Calibri"/>
                <w:sz w:val="20"/>
                <w:szCs w:val="20"/>
              </w:rPr>
              <w:t>The reciprocal observer pair of Article 36</w:t>
            </w:r>
          </w:p>
        </w:tc>
      </w:tr>
      <w:tr w:rsidR="0027270B" w14:paraId="64691955" w14:textId="77777777">
        <w:tblPrEx>
          <w:tblCellMar>
            <w:top w:w="0" w:type="dxa"/>
            <w:bottom w:w="0" w:type="dxa"/>
          </w:tblCellMar>
        </w:tblPrEx>
        <w:tc>
          <w:tcPr>
            <w:tcW w:w="2600" w:type="dxa"/>
            <w:tcMar>
              <w:top w:w="50" w:type="dxa"/>
              <w:left w:w="80" w:type="dxa"/>
              <w:bottom w:w="50" w:type="dxa"/>
              <w:right w:w="80" w:type="dxa"/>
            </w:tcMar>
          </w:tcPr>
          <w:p w14:paraId="0E68E4FE" w14:textId="77777777" w:rsidR="0027270B" w:rsidRDefault="00000000">
            <w:pPr>
              <w:spacing w:after="0" w:line="260" w:lineRule="auto"/>
            </w:pPr>
            <w:r>
              <w:rPr>
                <w:rFonts w:cs="Calibri"/>
                <w:sz w:val="20"/>
                <w:szCs w:val="20"/>
              </w:rPr>
              <w:t>Mirrored Instrument</w:t>
            </w:r>
          </w:p>
        </w:tc>
        <w:tc>
          <w:tcPr>
            <w:tcW w:w="6760" w:type="dxa"/>
            <w:tcMar>
              <w:top w:w="50" w:type="dxa"/>
              <w:left w:w="80" w:type="dxa"/>
              <w:bottom w:w="50" w:type="dxa"/>
              <w:right w:w="80" w:type="dxa"/>
            </w:tcMar>
          </w:tcPr>
          <w:p w14:paraId="6925A648" w14:textId="77777777" w:rsidR="0027270B" w:rsidRDefault="00000000">
            <w:pPr>
              <w:spacing w:after="0" w:line="260" w:lineRule="auto"/>
            </w:pPr>
            <w:r>
              <w:rPr>
                <w:rFonts w:cs="Calibri"/>
                <w:sz w:val="20"/>
                <w:szCs w:val="20"/>
              </w:rPr>
              <w:t>One of the parallel execution texts of Article 59</w:t>
            </w:r>
          </w:p>
        </w:tc>
      </w:tr>
      <w:tr w:rsidR="0027270B" w14:paraId="75F6A808" w14:textId="77777777">
        <w:tblPrEx>
          <w:tblCellMar>
            <w:top w:w="0" w:type="dxa"/>
            <w:bottom w:w="0" w:type="dxa"/>
          </w:tblCellMar>
        </w:tblPrEx>
        <w:tc>
          <w:tcPr>
            <w:tcW w:w="2600" w:type="dxa"/>
            <w:tcMar>
              <w:top w:w="50" w:type="dxa"/>
              <w:left w:w="80" w:type="dxa"/>
              <w:bottom w:w="50" w:type="dxa"/>
              <w:right w:w="80" w:type="dxa"/>
            </w:tcMar>
          </w:tcPr>
          <w:p w14:paraId="2EFDB16A" w14:textId="77777777" w:rsidR="0027270B" w:rsidRDefault="00000000">
            <w:pPr>
              <w:spacing w:after="0" w:line="260" w:lineRule="auto"/>
            </w:pPr>
            <w:r>
              <w:rPr>
                <w:rFonts w:cs="Calibri"/>
                <w:sz w:val="20"/>
                <w:szCs w:val="20"/>
              </w:rPr>
              <w:t>Neutral Watch Office</w:t>
            </w:r>
          </w:p>
        </w:tc>
        <w:tc>
          <w:tcPr>
            <w:tcW w:w="6760" w:type="dxa"/>
            <w:tcMar>
              <w:top w:w="50" w:type="dxa"/>
              <w:left w:w="80" w:type="dxa"/>
              <w:bottom w:w="50" w:type="dxa"/>
              <w:right w:w="80" w:type="dxa"/>
            </w:tcMar>
          </w:tcPr>
          <w:p w14:paraId="558BF9B0" w14:textId="77777777" w:rsidR="0027270B" w:rsidRDefault="00000000">
            <w:pPr>
              <w:spacing w:after="0" w:line="260" w:lineRule="auto"/>
            </w:pPr>
            <w:r>
              <w:rPr>
                <w:rFonts w:cs="Calibri"/>
                <w:sz w:val="20"/>
                <w:szCs w:val="20"/>
              </w:rPr>
              <w:t>The independent verification and audit body of Article 32</w:t>
            </w:r>
          </w:p>
        </w:tc>
      </w:tr>
      <w:tr w:rsidR="0027270B" w14:paraId="15BAEB3E" w14:textId="77777777">
        <w:tblPrEx>
          <w:tblCellMar>
            <w:top w:w="0" w:type="dxa"/>
            <w:bottom w:w="0" w:type="dxa"/>
          </w:tblCellMar>
        </w:tblPrEx>
        <w:tc>
          <w:tcPr>
            <w:tcW w:w="2600" w:type="dxa"/>
            <w:tcMar>
              <w:top w:w="50" w:type="dxa"/>
              <w:left w:w="80" w:type="dxa"/>
              <w:bottom w:w="50" w:type="dxa"/>
              <w:right w:w="80" w:type="dxa"/>
            </w:tcMar>
          </w:tcPr>
          <w:p w14:paraId="1299259B" w14:textId="77777777" w:rsidR="0027270B" w:rsidRDefault="00000000">
            <w:pPr>
              <w:spacing w:after="0" w:line="260" w:lineRule="auto"/>
            </w:pPr>
            <w:r>
              <w:rPr>
                <w:rFonts w:cs="Calibri"/>
                <w:sz w:val="20"/>
                <w:szCs w:val="20"/>
              </w:rPr>
              <w:t>Nuclear Firewall</w:t>
            </w:r>
          </w:p>
        </w:tc>
        <w:tc>
          <w:tcPr>
            <w:tcW w:w="6760" w:type="dxa"/>
            <w:tcMar>
              <w:top w:w="50" w:type="dxa"/>
              <w:left w:w="80" w:type="dxa"/>
              <w:bottom w:w="50" w:type="dxa"/>
              <w:right w:w="80" w:type="dxa"/>
            </w:tcMar>
          </w:tcPr>
          <w:p w14:paraId="184477F7" w14:textId="77777777" w:rsidR="0027270B" w:rsidRDefault="00000000">
            <w:pPr>
              <w:spacing w:after="0" w:line="260" w:lineRule="auto"/>
            </w:pPr>
            <w:r>
              <w:rPr>
                <w:rFonts w:cs="Calibri"/>
                <w:sz w:val="20"/>
                <w:szCs w:val="20"/>
              </w:rPr>
              <w:t>The quarantine protocol of Article 6 keeping nuclear matters outside this Accord</w:t>
            </w:r>
          </w:p>
        </w:tc>
      </w:tr>
      <w:tr w:rsidR="0027270B" w14:paraId="3B033BC7" w14:textId="77777777">
        <w:tblPrEx>
          <w:tblCellMar>
            <w:top w:w="0" w:type="dxa"/>
            <w:bottom w:w="0" w:type="dxa"/>
          </w:tblCellMar>
        </w:tblPrEx>
        <w:tc>
          <w:tcPr>
            <w:tcW w:w="2600" w:type="dxa"/>
            <w:tcMar>
              <w:top w:w="50" w:type="dxa"/>
              <w:left w:w="80" w:type="dxa"/>
              <w:bottom w:w="50" w:type="dxa"/>
              <w:right w:w="80" w:type="dxa"/>
            </w:tcMar>
          </w:tcPr>
          <w:p w14:paraId="3EDF58F4" w14:textId="77777777" w:rsidR="0027270B" w:rsidRDefault="00000000">
            <w:pPr>
              <w:spacing w:after="0" w:line="260" w:lineRule="auto"/>
            </w:pPr>
            <w:r>
              <w:rPr>
                <w:rFonts w:cs="Calibri"/>
                <w:sz w:val="20"/>
                <w:szCs w:val="20"/>
              </w:rPr>
              <w:t>Perimeter Test</w:t>
            </w:r>
          </w:p>
        </w:tc>
        <w:tc>
          <w:tcPr>
            <w:tcW w:w="6760" w:type="dxa"/>
            <w:tcMar>
              <w:top w:w="50" w:type="dxa"/>
              <w:left w:w="80" w:type="dxa"/>
              <w:bottom w:w="50" w:type="dxa"/>
              <w:right w:w="80" w:type="dxa"/>
            </w:tcMar>
          </w:tcPr>
          <w:p w14:paraId="196461A8" w14:textId="77777777" w:rsidR="0027270B" w:rsidRDefault="00000000">
            <w:pPr>
              <w:spacing w:after="0" w:line="260" w:lineRule="auto"/>
            </w:pPr>
            <w:r>
              <w:rPr>
                <w:rFonts w:cs="Calibri"/>
                <w:sz w:val="20"/>
                <w:szCs w:val="20"/>
              </w:rPr>
              <w:t>The screening procedure of Article 7.2 against the Red Lines Register</w:t>
            </w:r>
          </w:p>
        </w:tc>
      </w:tr>
      <w:tr w:rsidR="0027270B" w14:paraId="0ADEF10F" w14:textId="77777777">
        <w:tblPrEx>
          <w:tblCellMar>
            <w:top w:w="0" w:type="dxa"/>
            <w:bottom w:w="0" w:type="dxa"/>
          </w:tblCellMar>
        </w:tblPrEx>
        <w:tc>
          <w:tcPr>
            <w:tcW w:w="2600" w:type="dxa"/>
            <w:tcMar>
              <w:top w:w="50" w:type="dxa"/>
              <w:left w:w="80" w:type="dxa"/>
              <w:bottom w:w="50" w:type="dxa"/>
              <w:right w:w="80" w:type="dxa"/>
            </w:tcMar>
          </w:tcPr>
          <w:p w14:paraId="061921A8" w14:textId="77777777" w:rsidR="0027270B" w:rsidRDefault="00000000">
            <w:pPr>
              <w:spacing w:after="0" w:line="260" w:lineRule="auto"/>
            </w:pPr>
            <w:r>
              <w:rPr>
                <w:rFonts w:cs="Calibri"/>
                <w:sz w:val="20"/>
                <w:szCs w:val="20"/>
              </w:rPr>
              <w:t>Shared Digital Registry</w:t>
            </w:r>
          </w:p>
        </w:tc>
        <w:tc>
          <w:tcPr>
            <w:tcW w:w="6760" w:type="dxa"/>
            <w:tcMar>
              <w:top w:w="50" w:type="dxa"/>
              <w:left w:w="80" w:type="dxa"/>
              <w:bottom w:w="50" w:type="dxa"/>
              <w:right w:w="80" w:type="dxa"/>
            </w:tcMar>
          </w:tcPr>
          <w:p w14:paraId="0D2CCDC7" w14:textId="77777777" w:rsidR="0027270B" w:rsidRDefault="00000000">
            <w:pPr>
              <w:spacing w:after="0" w:line="260" w:lineRule="auto"/>
            </w:pPr>
            <w:r>
              <w:rPr>
                <w:rFonts w:cs="Calibri"/>
                <w:sz w:val="20"/>
                <w:szCs w:val="20"/>
              </w:rPr>
              <w:t>The framework's single source of truth under Article 48</w:t>
            </w:r>
          </w:p>
        </w:tc>
      </w:tr>
      <w:tr w:rsidR="0027270B" w14:paraId="2063C858" w14:textId="77777777">
        <w:tblPrEx>
          <w:tblCellMar>
            <w:top w:w="0" w:type="dxa"/>
            <w:bottom w:w="0" w:type="dxa"/>
          </w:tblCellMar>
        </w:tblPrEx>
        <w:tc>
          <w:tcPr>
            <w:tcW w:w="2600" w:type="dxa"/>
            <w:tcMar>
              <w:top w:w="50" w:type="dxa"/>
              <w:left w:w="80" w:type="dxa"/>
              <w:bottom w:w="50" w:type="dxa"/>
              <w:right w:w="80" w:type="dxa"/>
            </w:tcMar>
          </w:tcPr>
          <w:p w14:paraId="25D294E8" w14:textId="77777777" w:rsidR="0027270B" w:rsidRDefault="00000000">
            <w:pPr>
              <w:spacing w:after="0" w:line="260" w:lineRule="auto"/>
            </w:pPr>
            <w:r>
              <w:rPr>
                <w:rFonts w:cs="Calibri"/>
                <w:sz w:val="20"/>
                <w:szCs w:val="20"/>
              </w:rPr>
              <w:t>Step-back</w:t>
            </w:r>
          </w:p>
        </w:tc>
        <w:tc>
          <w:tcPr>
            <w:tcW w:w="6760" w:type="dxa"/>
            <w:tcMar>
              <w:top w:w="50" w:type="dxa"/>
              <w:left w:w="80" w:type="dxa"/>
              <w:bottom w:w="50" w:type="dxa"/>
              <w:right w:w="80" w:type="dxa"/>
            </w:tcMar>
          </w:tcPr>
          <w:p w14:paraId="1AA75490" w14:textId="77777777" w:rsidR="0027270B" w:rsidRDefault="00000000">
            <w:pPr>
              <w:spacing w:after="0" w:line="260" w:lineRule="auto"/>
            </w:pPr>
            <w:r>
              <w:rPr>
                <w:rFonts w:cs="Calibri"/>
                <w:sz w:val="20"/>
                <w:szCs w:val="20"/>
              </w:rPr>
              <w:t>The graduated, reversible benefit adjustment of Article 51</w:t>
            </w:r>
          </w:p>
        </w:tc>
      </w:tr>
      <w:tr w:rsidR="0027270B" w14:paraId="471D9D38" w14:textId="77777777">
        <w:tblPrEx>
          <w:tblCellMar>
            <w:top w:w="0" w:type="dxa"/>
            <w:bottom w:w="0" w:type="dxa"/>
          </w:tblCellMar>
        </w:tblPrEx>
        <w:tc>
          <w:tcPr>
            <w:tcW w:w="2600" w:type="dxa"/>
            <w:tcMar>
              <w:top w:w="50" w:type="dxa"/>
              <w:left w:w="80" w:type="dxa"/>
              <w:bottom w:w="50" w:type="dxa"/>
              <w:right w:w="80" w:type="dxa"/>
            </w:tcMar>
          </w:tcPr>
          <w:p w14:paraId="2F099C01" w14:textId="77777777" w:rsidR="0027270B" w:rsidRDefault="00000000">
            <w:pPr>
              <w:spacing w:after="0" w:line="260" w:lineRule="auto"/>
            </w:pPr>
            <w:r>
              <w:rPr>
                <w:rFonts w:cs="Calibri"/>
                <w:sz w:val="20"/>
                <w:szCs w:val="20"/>
              </w:rPr>
              <w:t>Substance Test</w:t>
            </w:r>
          </w:p>
        </w:tc>
        <w:tc>
          <w:tcPr>
            <w:tcW w:w="6760" w:type="dxa"/>
            <w:tcMar>
              <w:top w:w="50" w:type="dxa"/>
              <w:left w:w="80" w:type="dxa"/>
              <w:bottom w:w="50" w:type="dxa"/>
              <w:right w:w="80" w:type="dxa"/>
            </w:tcMar>
          </w:tcPr>
          <w:p w14:paraId="1EB2A982" w14:textId="77777777" w:rsidR="0027270B" w:rsidRDefault="00000000">
            <w:pPr>
              <w:spacing w:after="0" w:line="260" w:lineRule="auto"/>
            </w:pPr>
            <w:r>
              <w:rPr>
                <w:rFonts w:cs="Calibri"/>
                <w:sz w:val="20"/>
                <w:szCs w:val="20"/>
              </w:rPr>
              <w:t>The functional test of Article 41 classifying any price-of-passage payment as a toll</w:t>
            </w:r>
          </w:p>
        </w:tc>
      </w:tr>
      <w:tr w:rsidR="0027270B" w14:paraId="255D87DE" w14:textId="77777777">
        <w:tblPrEx>
          <w:tblCellMar>
            <w:top w:w="0" w:type="dxa"/>
            <w:bottom w:w="0" w:type="dxa"/>
          </w:tblCellMar>
        </w:tblPrEx>
        <w:tc>
          <w:tcPr>
            <w:tcW w:w="2600" w:type="dxa"/>
            <w:tcMar>
              <w:top w:w="50" w:type="dxa"/>
              <w:left w:w="80" w:type="dxa"/>
              <w:bottom w:w="50" w:type="dxa"/>
              <w:right w:w="80" w:type="dxa"/>
            </w:tcMar>
          </w:tcPr>
          <w:p w14:paraId="562541A3" w14:textId="77777777" w:rsidR="0027270B" w:rsidRDefault="00000000">
            <w:pPr>
              <w:spacing w:after="0" w:line="260" w:lineRule="auto"/>
            </w:pPr>
            <w:r>
              <w:rPr>
                <w:rFonts w:cs="Calibri"/>
                <w:sz w:val="20"/>
                <w:szCs w:val="20"/>
              </w:rPr>
              <w:t>Synchronized Relief Track</w:t>
            </w:r>
          </w:p>
        </w:tc>
        <w:tc>
          <w:tcPr>
            <w:tcW w:w="6760" w:type="dxa"/>
            <w:tcMar>
              <w:top w:w="50" w:type="dxa"/>
              <w:left w:w="80" w:type="dxa"/>
              <w:bottom w:w="50" w:type="dxa"/>
              <w:right w:w="80" w:type="dxa"/>
            </w:tcMar>
          </w:tcPr>
          <w:p w14:paraId="6E53F150" w14:textId="77777777" w:rsidR="0027270B" w:rsidRDefault="00000000">
            <w:pPr>
              <w:spacing w:after="0" w:line="260" w:lineRule="auto"/>
            </w:pPr>
            <w:r>
              <w:rPr>
                <w:rFonts w:cs="Calibri"/>
                <w:sz w:val="20"/>
                <w:szCs w:val="20"/>
              </w:rPr>
              <w:t>The paired maritime-and-relief execution schedule of Article 17 and Annex D.3</w:t>
            </w:r>
          </w:p>
        </w:tc>
      </w:tr>
      <w:tr w:rsidR="0027270B" w14:paraId="4FCE7254" w14:textId="77777777">
        <w:tblPrEx>
          <w:tblCellMar>
            <w:top w:w="0" w:type="dxa"/>
            <w:bottom w:w="0" w:type="dxa"/>
          </w:tblCellMar>
        </w:tblPrEx>
        <w:tc>
          <w:tcPr>
            <w:tcW w:w="2600" w:type="dxa"/>
            <w:tcMar>
              <w:top w:w="50" w:type="dxa"/>
              <w:left w:w="80" w:type="dxa"/>
              <w:bottom w:w="50" w:type="dxa"/>
              <w:right w:w="80" w:type="dxa"/>
            </w:tcMar>
          </w:tcPr>
          <w:p w14:paraId="10322897" w14:textId="77777777" w:rsidR="0027270B" w:rsidRDefault="00000000">
            <w:pPr>
              <w:spacing w:after="0" w:line="260" w:lineRule="auto"/>
            </w:pPr>
            <w:r>
              <w:rPr>
                <w:rFonts w:cs="Calibri"/>
                <w:sz w:val="20"/>
                <w:szCs w:val="20"/>
              </w:rPr>
              <w:t>Toll</w:t>
            </w:r>
          </w:p>
        </w:tc>
        <w:tc>
          <w:tcPr>
            <w:tcW w:w="6760" w:type="dxa"/>
            <w:tcMar>
              <w:top w:w="50" w:type="dxa"/>
              <w:left w:w="80" w:type="dxa"/>
              <w:bottom w:w="50" w:type="dxa"/>
              <w:right w:w="80" w:type="dxa"/>
            </w:tcMar>
          </w:tcPr>
          <w:p w14:paraId="6F4BF3A2" w14:textId="77777777" w:rsidR="0027270B" w:rsidRDefault="00000000">
            <w:pPr>
              <w:spacing w:after="0" w:line="260" w:lineRule="auto"/>
            </w:pPr>
            <w:r>
              <w:rPr>
                <w:rFonts w:cs="Calibri"/>
                <w:sz w:val="20"/>
                <w:szCs w:val="20"/>
              </w:rPr>
              <w:t>Any charge that functions as a condition or price of passage, as the Substance Test determines</w:t>
            </w:r>
          </w:p>
        </w:tc>
      </w:tr>
      <w:tr w:rsidR="0027270B" w14:paraId="2BB570BE" w14:textId="77777777">
        <w:tblPrEx>
          <w:tblCellMar>
            <w:top w:w="0" w:type="dxa"/>
            <w:bottom w:w="0" w:type="dxa"/>
          </w:tblCellMar>
        </w:tblPrEx>
        <w:tc>
          <w:tcPr>
            <w:tcW w:w="2600" w:type="dxa"/>
            <w:tcMar>
              <w:top w:w="50" w:type="dxa"/>
              <w:left w:w="80" w:type="dxa"/>
              <w:bottom w:w="50" w:type="dxa"/>
              <w:right w:w="80" w:type="dxa"/>
            </w:tcMar>
          </w:tcPr>
          <w:p w14:paraId="3E04F0AF" w14:textId="77777777" w:rsidR="0027270B" w:rsidRDefault="00000000">
            <w:pPr>
              <w:spacing w:after="0" w:line="260" w:lineRule="auto"/>
            </w:pPr>
            <w:r>
              <w:rPr>
                <w:rFonts w:cs="Calibri"/>
                <w:sz w:val="20"/>
                <w:szCs w:val="20"/>
              </w:rPr>
              <w:t>Twin Key</w:t>
            </w:r>
          </w:p>
        </w:tc>
        <w:tc>
          <w:tcPr>
            <w:tcW w:w="6760" w:type="dxa"/>
            <w:tcMar>
              <w:top w:w="50" w:type="dxa"/>
              <w:left w:w="80" w:type="dxa"/>
              <w:bottom w:w="50" w:type="dxa"/>
              <w:right w:w="80" w:type="dxa"/>
            </w:tcMar>
          </w:tcPr>
          <w:p w14:paraId="5E924031" w14:textId="77777777" w:rsidR="0027270B" w:rsidRDefault="00000000">
            <w:pPr>
              <w:spacing w:after="0" w:line="260" w:lineRule="auto"/>
            </w:pPr>
            <w:r>
              <w:rPr>
                <w:rFonts w:cs="Calibri"/>
                <w:sz w:val="20"/>
                <w:szCs w:val="20"/>
              </w:rPr>
              <w:t>The paired concurrence rule of Article 19</w:t>
            </w:r>
          </w:p>
        </w:tc>
      </w:tr>
      <w:tr w:rsidR="0027270B" w14:paraId="2418D15F" w14:textId="77777777">
        <w:tblPrEx>
          <w:tblCellMar>
            <w:top w:w="0" w:type="dxa"/>
            <w:bottom w:w="0" w:type="dxa"/>
          </w:tblCellMar>
        </w:tblPrEx>
        <w:tc>
          <w:tcPr>
            <w:tcW w:w="2600" w:type="dxa"/>
            <w:tcMar>
              <w:top w:w="50" w:type="dxa"/>
              <w:left w:w="80" w:type="dxa"/>
              <w:bottom w:w="50" w:type="dxa"/>
              <w:right w:w="80" w:type="dxa"/>
            </w:tcMar>
          </w:tcPr>
          <w:p w14:paraId="6AB2F3CD" w14:textId="77777777" w:rsidR="0027270B" w:rsidRDefault="00000000">
            <w:pPr>
              <w:spacing w:after="0" w:line="260" w:lineRule="auto"/>
            </w:pPr>
            <w:r>
              <w:rPr>
                <w:rFonts w:cs="Calibri"/>
                <w:sz w:val="20"/>
                <w:szCs w:val="20"/>
              </w:rPr>
              <w:t>Umbrella</w:t>
            </w:r>
          </w:p>
        </w:tc>
        <w:tc>
          <w:tcPr>
            <w:tcW w:w="6760" w:type="dxa"/>
            <w:tcMar>
              <w:top w:w="50" w:type="dxa"/>
              <w:left w:w="80" w:type="dxa"/>
              <w:bottom w:w="50" w:type="dxa"/>
              <w:right w:w="80" w:type="dxa"/>
            </w:tcMar>
          </w:tcPr>
          <w:p w14:paraId="6E3FE3F3" w14:textId="77777777" w:rsidR="0027270B" w:rsidRDefault="00000000">
            <w:pPr>
              <w:spacing w:after="0" w:line="260" w:lineRule="auto"/>
            </w:pPr>
            <w:r>
              <w:rPr>
                <w:rFonts w:cs="Calibri"/>
                <w:sz w:val="20"/>
                <w:szCs w:val="20"/>
              </w:rPr>
              <w:t>The United States Transitional Security Umbrella of Article 20 and Annex L</w:t>
            </w:r>
          </w:p>
        </w:tc>
      </w:tr>
      <w:tr w:rsidR="0027270B" w14:paraId="521B5F68" w14:textId="77777777">
        <w:tblPrEx>
          <w:tblCellMar>
            <w:top w:w="0" w:type="dxa"/>
            <w:bottom w:w="0" w:type="dxa"/>
          </w:tblCellMar>
        </w:tblPrEx>
        <w:tc>
          <w:tcPr>
            <w:tcW w:w="2600" w:type="dxa"/>
            <w:tcMar>
              <w:top w:w="50" w:type="dxa"/>
              <w:left w:w="80" w:type="dxa"/>
              <w:bottom w:w="50" w:type="dxa"/>
              <w:right w:w="80" w:type="dxa"/>
            </w:tcMar>
          </w:tcPr>
          <w:p w14:paraId="6724F929" w14:textId="77777777" w:rsidR="0027270B" w:rsidRDefault="00000000">
            <w:pPr>
              <w:spacing w:after="0" w:line="260" w:lineRule="auto"/>
            </w:pPr>
            <w:r>
              <w:rPr>
                <w:rFonts w:cs="Calibri"/>
                <w:sz w:val="20"/>
                <w:szCs w:val="20"/>
              </w:rPr>
              <w:t>Zero-Toll Rule</w:t>
            </w:r>
          </w:p>
        </w:tc>
        <w:tc>
          <w:tcPr>
            <w:tcW w:w="6760" w:type="dxa"/>
            <w:tcMar>
              <w:top w:w="50" w:type="dxa"/>
              <w:left w:w="80" w:type="dxa"/>
              <w:bottom w:w="50" w:type="dxa"/>
              <w:right w:w="80" w:type="dxa"/>
            </w:tcMar>
          </w:tcPr>
          <w:p w14:paraId="107776F5" w14:textId="77777777" w:rsidR="0027270B" w:rsidRDefault="00000000">
            <w:pPr>
              <w:spacing w:after="0" w:line="260" w:lineRule="auto"/>
            </w:pPr>
            <w:r>
              <w:rPr>
                <w:rFonts w:cs="Calibri"/>
                <w:sz w:val="20"/>
                <w:szCs w:val="20"/>
              </w:rPr>
              <w:t>The absolute prohibition of passage charges under Article 37</w:t>
            </w:r>
          </w:p>
        </w:tc>
      </w:tr>
    </w:tbl>
    <w:p w14:paraId="7F2800C7" w14:textId="77777777" w:rsidR="0027270B" w:rsidRDefault="0027270B"/>
    <w:p w14:paraId="3CB2D6FE" w14:textId="77777777" w:rsidR="0027270B" w:rsidRDefault="00000000">
      <w:r>
        <w:rPr>
          <w:rFonts w:cs="Calibri"/>
          <w:szCs w:val="21"/>
        </w:rPr>
        <w:t>U.2 Interpretive notes. References to days and hours follow Article 2.3. The singular includes the plural. References to an organ include its mirror, deputy, or successor performing the same function. Where a term appears in an Annex with a technical meaning narrower than its main-text meaning, the Annex meaning governs within that Annex.</w:t>
      </w:r>
    </w:p>
    <w:p w14:paraId="33EE9C20" w14:textId="77777777" w:rsidR="0027270B" w:rsidRDefault="00000000">
      <w:r>
        <w:rPr>
          <w:rFonts w:cs="Calibri"/>
          <w:szCs w:val="21"/>
        </w:rPr>
        <w:t>U.3 The closing principle. Every definition in this Annex serves one purpose: a Strait that stays open, stays free, stays safe, and stays boring. Where any term admits two readings, the reading that better serves that purpose prevails.</w:t>
      </w:r>
    </w:p>
    <w:p w14:paraId="63E846E6" w14:textId="77777777" w:rsidR="0027270B" w:rsidRDefault="00000000">
      <w:pPr>
        <w:pStyle w:val="Heading2"/>
      </w:pPr>
      <w:bookmarkStart w:id="128" w:name="_Toc237648577"/>
      <w:r>
        <w:rPr>
          <w:rFonts w:cs="Calibri"/>
          <w:szCs w:val="25"/>
        </w:rPr>
        <w:t>Annex V: The Reinsurance and Guarantee Pool</w:t>
      </w:r>
      <w:bookmarkEnd w:id="128"/>
    </w:p>
    <w:p w14:paraId="60F4C623" w14:textId="77777777" w:rsidR="0027270B" w:rsidRDefault="00000000">
      <w:r>
        <w:rPr>
          <w:rFonts w:cs="Calibri"/>
          <w:szCs w:val="21"/>
        </w:rPr>
        <w:t>V.1 Purpose and structure. The insurance backstop of Annex G operates through two standing layers so that coverage persists through political cycles and market shocks. Layer one is commercial: a panel of internationally recognized reinsurance markets, including Lloyd's syndicates and their global equivalents, each participating under a standard treaty with the Backstop. Layer two is sovereign: a regional guarantee pool subscribed by Gulf states and other Guarantors, absorbing only the certified tail risk that the commercial layer declines.</w:t>
      </w:r>
    </w:p>
    <w:p w14:paraId="29620BBA" w14:textId="77777777" w:rsidR="0027270B" w:rsidRDefault="00000000">
      <w:r>
        <w:rPr>
          <w:rFonts w:cs="Calibri"/>
          <w:szCs w:val="21"/>
        </w:rPr>
        <w:t>V.2 Commercial treaty terms. The standard reinsurance treaty fixes: perils covered (war-risk, mine, seizure, and pollution liabilities arising from corridor transit); the attachment point tied to the Blue Flag tier; capacity committed per syndicate per year; premium cession formulas; and a claims-payment deadline of thirty days from certification. The Backstop administrator re-tenders one third of the panel each year, keeping pricing honest and capacity competitive.</w:t>
      </w:r>
    </w:p>
    <w:p w14:paraId="31689E56" w14:textId="77777777" w:rsidR="0027270B" w:rsidRDefault="00000000">
      <w:r>
        <w:rPr>
          <w:rFonts w:cs="Calibri"/>
          <w:szCs w:val="21"/>
        </w:rPr>
        <w:t>V.3 Sovereign guarantee pool. The pool opens with committed capital from at least four Guarantors, sized against the modeled tail scenario of a ninety-day corridor suspension with full traffic restoration. Draws follow the same certification pipeline as commercial claims, with the Neutral Watch Office certifying loss events and the Financial Custodian executing payments. The pool never substitutes for commercial capacity; it backstops only certified shortfalls, and its terms publish in full.</w:t>
      </w:r>
    </w:p>
    <w:p w14:paraId="158F12D3" w14:textId="77777777" w:rsidR="0027270B" w:rsidRDefault="00000000">
      <w:r>
        <w:rPr>
          <w:rFonts w:cs="Calibri"/>
          <w:szCs w:val="21"/>
        </w:rPr>
        <w:t>V.4 Anti-capture rules. No reinsurer or guarantor gains any governance role, vote, or data access beyond the public portal by virtue of participation. Panel membership terminates on thirty days notice for cause, and the standard treaty forbids any political condition on claims payment. Capital serves the corridor; it never steers it.</w:t>
      </w:r>
    </w:p>
    <w:p w14:paraId="2CD1EA5E" w14:textId="77777777" w:rsidR="0027270B" w:rsidRDefault="00000000">
      <w:r>
        <w:rPr>
          <w:rFonts w:cs="Calibri"/>
          <w:szCs w:val="21"/>
        </w:rPr>
        <w:t>V.5 Continuity standard. The Backstop maintains twelve months of committed capacity at all times. A withdrawal by any participant triggers a replacement tender within thirty days, and the sovereign pool bridges any interim gap automatically. Premiums and coverage terms publish quarterly, so the market prices the Strait on facts, not on fear.</w:t>
      </w:r>
    </w:p>
    <w:p w14:paraId="0C18D717" w14:textId="77777777" w:rsidR="0027270B" w:rsidRDefault="00000000">
      <w:pPr>
        <w:pStyle w:val="Heading2"/>
      </w:pPr>
      <w:bookmarkStart w:id="129" w:name="_Toc237648578"/>
      <w:r>
        <w:rPr>
          <w:rFonts w:cs="Calibri"/>
          <w:szCs w:val="25"/>
        </w:rPr>
        <w:t>Annex W: The Sanctions Compatibility Protocol</w:t>
      </w:r>
      <w:bookmarkEnd w:id="129"/>
    </w:p>
    <w:p w14:paraId="30005703" w14:textId="77777777" w:rsidR="0027270B" w:rsidRDefault="00000000">
      <w:r>
        <w:rPr>
          <w:rFonts w:cs="Calibri"/>
          <w:szCs w:val="21"/>
        </w:rPr>
        <w:t xml:space="preserve">W.1 Purpose. Every financial flow under this Accord clears the sanctions regimes of the United States, the European Union, the United Kingdom, and the United Nations without improvisation. This Annex maps </w:t>
      </w:r>
      <w:r>
        <w:rPr>
          <w:rFonts w:cs="Calibri"/>
          <w:szCs w:val="21"/>
        </w:rPr>
        <w:lastRenderedPageBreak/>
        <w:t>each flow to its lawful channel, names the screening standard, and fixes responsibility, so that compliance officers at any bank in any major jurisdiction approve Blue Passage business from documentation alone.</w:t>
      </w:r>
    </w:p>
    <w:p w14:paraId="1816D6C6" w14:textId="77777777" w:rsidR="0027270B" w:rsidRDefault="00000000">
      <w:r>
        <w:rPr>
          <w:rFonts w:cs="Calibri"/>
          <w:szCs w:val="21"/>
        </w:rPr>
        <w:t>W.2 Flow mapping. The Fund's dual-custody structure of Annex F segregates flows by nature: service fees and insurance surcharges route through the Muscat and Zurich custodians; Prosperity Window disbursements flow directly to certified contractors; Development Facility investments follow their own screened vehicles. No flow touches any entity designated under United Nations sanctions, and no framework account intermediates any bilateral transfer between states under each other's unilateral measures.</w:t>
      </w:r>
    </w:p>
    <w:p w14:paraId="3F3A24C0" w14:textId="77777777" w:rsidR="0027270B" w:rsidRDefault="00000000">
      <w:r>
        <w:rPr>
          <w:rFonts w:cs="Calibri"/>
          <w:szCs w:val="21"/>
        </w:rPr>
        <w:t>W.3 Screening standard. Every counterparty passes screening against consolidated United Nations, United States, European Union, and United Kingdom lists at onboarding and quarterly thereafter, executed by the custodians' compliance functions with independent verification by the auditor of Article 42. Screening records archive for ten years and open to the authorities of the four regimes on lawful request.</w:t>
      </w:r>
    </w:p>
    <w:p w14:paraId="34A0A3C8" w14:textId="77777777" w:rsidR="0027270B" w:rsidRDefault="00000000">
      <w:r>
        <w:rPr>
          <w:rFonts w:cs="Calibri"/>
          <w:szCs w:val="21"/>
        </w:rPr>
        <w:t>W.4 Exemption reliance. Where a flow relies on a standing exemption or general license, including humanitarian and safety-of-navigation carve-outs, the Fund's counsel documents the basis in writing before the first transaction and renews the analysis on every material change of law. Where doubt persists, the flow reroutes or waits; the framework never bets a bank's license on an interpretation.</w:t>
      </w:r>
    </w:p>
    <w:p w14:paraId="11B7F4D1" w14:textId="77777777" w:rsidR="0027270B" w:rsidRDefault="00000000">
      <w:r>
        <w:rPr>
          <w:rFonts w:cs="Calibri"/>
          <w:szCs w:val="21"/>
        </w:rPr>
        <w:t>W.5 Unilateral measures interface. This Accord takes no position on unilateral sanctions and prejudices none. Participants applying such measures administer them outside framework channels, and the Relief Track of Article 17 sequences any modification through its own paired certifications. The compatibility protocol keeps the Strait's plumbing lawful in every capital at once, which is precisely why it stays boring.</w:t>
      </w:r>
    </w:p>
    <w:p w14:paraId="5937C280" w14:textId="77777777" w:rsidR="0027270B" w:rsidRDefault="00000000">
      <w:r>
        <w:rPr>
          <w:rFonts w:cs="Calibri"/>
          <w:szCs w:val="21"/>
        </w:rPr>
        <w:t>W.6 Annual compatibility report. The Financial Custodian publishes an annual report: flows by channel, screening volumes and hit rates, exemption reliance, and audit outcomes. Regulators of the four regimes receive the underlying data on request. Sunlight is the compliance strategy.</w:t>
      </w:r>
    </w:p>
    <w:p w14:paraId="4B2D9AC4" w14:textId="77777777" w:rsidR="0027270B" w:rsidRDefault="00000000">
      <w:pPr>
        <w:pStyle w:val="Heading2"/>
      </w:pPr>
      <w:bookmarkStart w:id="130" w:name="_Toc237648579"/>
      <w:r>
        <w:rPr>
          <w:rFonts w:cs="Calibri"/>
          <w:szCs w:val="25"/>
        </w:rPr>
        <w:t>Annex X: The Public Narrative Toolkit</w:t>
      </w:r>
      <w:bookmarkEnd w:id="130"/>
    </w:p>
    <w:p w14:paraId="2F972B1E" w14:textId="77777777" w:rsidR="0027270B" w:rsidRDefault="00000000">
      <w:r>
        <w:rPr>
          <w:rFonts w:cs="Calibri"/>
          <w:szCs w:val="21"/>
        </w:rPr>
        <w:t>X.1 Purpose. Article 65 guarantees domestic framing autonomy; this Annex equips every government to exercise it well. The toolkit gives communications offices accurate, ready-made materials, so that domestic audiences hear the Accord explained by their own leaders, in their own language, without distortion and without contradiction of fact.</w:t>
      </w:r>
    </w:p>
    <w:p w14:paraId="555DF68A" w14:textId="77777777" w:rsidR="0027270B" w:rsidRDefault="00000000">
      <w:r>
        <w:rPr>
          <w:rFonts w:cs="Calibri"/>
          <w:szCs w:val="21"/>
        </w:rPr>
        <w:t>X.2 Core talking points. The Secretariat maintains a living set of talking points in Arabic, English, and Persian: what the Accord does, what it costs, what it forbids, what it never touches, and how each Participant's registered red lines hold. Points update after every Council session and every incident, version-stamped and archived.</w:t>
      </w:r>
    </w:p>
    <w:p w14:paraId="10C7E168" w14:textId="77777777" w:rsidR="0027270B" w:rsidRDefault="00000000">
      <w:r>
        <w:rPr>
          <w:rFonts w:cs="Calibri"/>
          <w:szCs w:val="21"/>
        </w:rPr>
        <w:t>X.3 Visual explainers. The toolkit includes: the corridor map with the three Blue Corridors; the Twin Key decision diagram; the 72-hour Blue Opening timeline; the funding architecture chart; the step-back and earn-back ladder; and the verification pipeline schematic. All graphics release under an open license for government and press use.</w:t>
      </w:r>
    </w:p>
    <w:p w14:paraId="5F1EFB04" w14:textId="77777777" w:rsidR="0027270B" w:rsidRDefault="00000000">
      <w:r>
        <w:rPr>
          <w:rFonts w:cs="Calibri"/>
          <w:szCs w:val="21"/>
        </w:rPr>
        <w:t xml:space="preserve">X.4 Crisis-communication templates. Pre-drafted templates cover the twelve most probable crisis scenarios, from mine strike to congestion event to breach classification. Each template fixes the verified </w:t>
      </w:r>
      <w:r>
        <w:rPr>
          <w:rFonts w:cs="Calibri"/>
          <w:szCs w:val="21"/>
        </w:rPr>
        <w:lastRenderedPageBreak/>
        <w:t>facts, marks the unknowns as unknown, commits to the next update time, and leaves framing space for each government's voice. Speed with accuracy beats speed with spin, and the templates deliver the first because they prevent the second.</w:t>
      </w:r>
    </w:p>
    <w:p w14:paraId="4290B70C" w14:textId="77777777" w:rsidR="0027270B" w:rsidRDefault="00000000">
      <w:r>
        <w:rPr>
          <w:rFonts w:cs="Calibri"/>
          <w:szCs w:val="21"/>
        </w:rPr>
        <w:t>X.5 Red-line mapping sheets. For every entry in the Red Lines Register of Annex M, a one-page sheet shows how the framework's architecture respects it, with citations to Articles and Annexes. Governments answer domestic critics from these sheets without exposing negotiating positions.</w:t>
      </w:r>
    </w:p>
    <w:p w14:paraId="44CB2518" w14:textId="77777777" w:rsidR="0027270B" w:rsidRDefault="00000000">
      <w:r>
        <w:rPr>
          <w:rFonts w:cs="Calibri"/>
          <w:szCs w:val="21"/>
        </w:rPr>
        <w:t>X.6 Misinformation response. The counter-misinformation protocol of Article 64 draws on this toolkit: the Secretariat issues corrections within seventy-two hours in seven languages, and Participants amplify through their own channels. The corrections log publishes on the portal, so the record of truth outlasts the rumor.</w:t>
      </w:r>
    </w:p>
    <w:p w14:paraId="405AEC79" w14:textId="77777777" w:rsidR="0027270B" w:rsidRDefault="00000000">
      <w:pPr>
        <w:pStyle w:val="Heading2"/>
      </w:pPr>
      <w:bookmarkStart w:id="131" w:name="_Toc237648580"/>
      <w:r>
        <w:rPr>
          <w:rFonts w:cs="Calibri"/>
          <w:szCs w:val="25"/>
        </w:rPr>
        <w:t>Annex Y: The Green Pilot Corridor</w:t>
      </w:r>
      <w:bookmarkEnd w:id="131"/>
    </w:p>
    <w:p w14:paraId="7B2EC73A" w14:textId="77777777" w:rsidR="0027270B" w:rsidRDefault="00000000">
      <w:r>
        <w:rPr>
          <w:rFonts w:cs="Calibri"/>
          <w:szCs w:val="21"/>
        </w:rPr>
        <w:t>Y.1 Designation. A green pilot lane operates within the Outbound Blue Corridor's southern half, open to vessels meeting the Green Discount standard of Article 46, from Day 90 after Blue Opening. The pilot lane tests dedicated low-emission routing at full operational scale before any permanent designation.</w:t>
      </w:r>
    </w:p>
    <w:p w14:paraId="4C9E0424" w14:textId="77777777" w:rsidR="0027270B" w:rsidRDefault="00000000">
      <w:r>
        <w:rPr>
          <w:rFonts w:cs="Calibri"/>
          <w:szCs w:val="21"/>
        </w:rPr>
        <w:t>Y.2 Emissions-monitoring buoys. A chain of instrumented buoys along the pilot lane measures sulphur oxides, nitrogen oxides, particulates, and carbon intensity per transit, streaming readings to the golden record. Vessel-specific data feeds each operator's Green Discount file; only aggregates publish. Buoy maintenance falls to the Authority within the Annex O ceilings.</w:t>
      </w:r>
    </w:p>
    <w:p w14:paraId="6511AD85" w14:textId="77777777" w:rsidR="0027270B" w:rsidRDefault="00000000">
      <w:r>
        <w:rPr>
          <w:rFonts w:cs="Calibri"/>
          <w:szCs w:val="21"/>
        </w:rPr>
        <w:t>Y.3 Preferential scheduling. Certified green vessels receive priority slots in the Blue Convoy Clock and first allocation on schedule disruptions, ahead of non-certified peers but behind the Humanitarian Bridge at all times. The preference publishes in the slot algorithm of Article 75, so every operator sees exactly what cleanliness buys.</w:t>
      </w:r>
    </w:p>
    <w:p w14:paraId="723ABC5A" w14:textId="77777777" w:rsidR="0027270B" w:rsidRDefault="00000000">
      <w:r>
        <w:rPr>
          <w:rFonts w:cs="Calibri"/>
          <w:szCs w:val="21"/>
        </w:rPr>
        <w:t>Y.4 Evaluation and expansion. The Neutral Watch Office evaluates the pilot after twelve months: emissions per ton-mile against the corridor average, safety metrics, slot-fairness effects, and insurer response. On certified success, the Council expands green routing through the Annex-update track of Article 70. The pilot exists to prove, not to posture.</w:t>
      </w:r>
    </w:p>
    <w:p w14:paraId="5258BE42" w14:textId="77777777" w:rsidR="0027270B" w:rsidRDefault="00000000">
      <w:r>
        <w:rPr>
          <w:rFonts w:cs="Calibri"/>
          <w:szCs w:val="21"/>
        </w:rPr>
        <w:t>Y.5 Shore-side linkage. The pilot coordinates with shore-power readiness at Khasab and with the Development Facility's renewable-energy projects of Annex P, aligning vessel incentives with port infrastructure on one published roadmap.</w:t>
      </w:r>
    </w:p>
    <w:p w14:paraId="3187C3AB" w14:textId="77777777" w:rsidR="0027270B" w:rsidRDefault="00000000">
      <w:pPr>
        <w:pStyle w:val="Heading2"/>
      </w:pPr>
      <w:bookmarkStart w:id="132" w:name="_Toc237648581"/>
      <w:r>
        <w:rPr>
          <w:rFonts w:cs="Calibri"/>
          <w:szCs w:val="25"/>
        </w:rPr>
        <w:t>Annex Z: The Mine-Risk Early Warning Mesh</w:t>
      </w:r>
      <w:bookmarkEnd w:id="132"/>
    </w:p>
    <w:p w14:paraId="406A3ADB" w14:textId="77777777" w:rsidR="0027270B" w:rsidRDefault="00000000">
      <w:r>
        <w:rPr>
          <w:rFonts w:cs="Calibri"/>
          <w:szCs w:val="21"/>
        </w:rPr>
        <w:t>Z.1 Purpose. Annex K clears mines; this Annex watches for new ones. The Mesh detects, classifies, and broadcasts mine-like contacts across the Governance Area before any hull meets one.</w:t>
      </w:r>
    </w:p>
    <w:p w14:paraId="4660C531" w14:textId="77777777" w:rsidR="0027270B" w:rsidRDefault="00000000">
      <w:r>
        <w:rPr>
          <w:rFonts w:cs="Calibri"/>
          <w:szCs w:val="21"/>
        </w:rPr>
        <w:t>Z.2 Architecture. The Mesh combines: seabed acoustic arrays along the corridor edges; synthetic-aperture sonar on patrol and survey assets; drifting smart buoys in the Central Blue Buffer; and satellite surface surveillance. All streams fuse at the Joint Watch Floor, with the Mirror Floor holding an identical picture.</w:t>
      </w:r>
    </w:p>
    <w:p w14:paraId="0979B648" w14:textId="77777777" w:rsidR="0027270B" w:rsidRDefault="00000000">
      <w:r>
        <w:rPr>
          <w:rFonts w:cs="Calibri"/>
          <w:szCs w:val="21"/>
        </w:rPr>
        <w:lastRenderedPageBreak/>
        <w:t>Z.3 Automated alert cascade. A confirmed mine-like contact triggers: immediate Notice to Mariners and portal alert within fifteen minutes; automatic re-routing advisories through the Blue Beacon; tasking of survey assets under Annex K; and logging to the golden record. Alerts classify as suspect, probable, or confirmed, with the classification method published.</w:t>
      </w:r>
    </w:p>
    <w:p w14:paraId="1D529497" w14:textId="77777777" w:rsidR="0027270B" w:rsidRDefault="00000000">
      <w:r>
        <w:rPr>
          <w:rFonts w:cs="Calibri"/>
          <w:szCs w:val="21"/>
        </w:rPr>
        <w:t>Z.4 False-alarm discipline. Every alert resolves to a verdict, and false-alarm rates publish monthly. A rate above the certified threshold for two consecutive months triggers recalibration of the detection chain and a Red Team review of sensor integrity.</w:t>
      </w:r>
    </w:p>
    <w:p w14:paraId="041B33AF" w14:textId="77777777" w:rsidR="0027270B" w:rsidRDefault="00000000">
      <w:r>
        <w:rPr>
          <w:rFonts w:cs="Calibri"/>
          <w:szCs w:val="21"/>
        </w:rPr>
        <w:t>Z.5 Data ownership and integrity. Mesh data belongs to the framework, sits in the Shared Digital Registry under the integrity audit of Article 74, and feeds the insurance pricing of Annexes G and V. Detection is a public good here: every vessel in the Strait receives every alert, regardless of flag, fee status, or politics.</w:t>
      </w:r>
    </w:p>
    <w:sectPr w:rsidR="0027270B">
      <w:headerReference w:type="default" r:id="rId8"/>
      <w:footerReference w:type="default" r:id="rId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2420" w14:textId="77777777" w:rsidR="00343AC4" w:rsidRDefault="00343AC4">
      <w:pPr>
        <w:spacing w:after="0" w:line="240" w:lineRule="auto"/>
      </w:pPr>
      <w:r>
        <w:separator/>
      </w:r>
    </w:p>
  </w:endnote>
  <w:endnote w:type="continuationSeparator" w:id="0">
    <w:p w14:paraId="715C88F6" w14:textId="77777777" w:rsidR="00343AC4" w:rsidRDefault="00343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F677" w14:textId="77777777" w:rsidR="0027270B" w:rsidRDefault="00000000">
    <w:pPr>
      <w:spacing w:after="0"/>
      <w:jc w:val="center"/>
    </w:pPr>
    <w:r>
      <w:rPr>
        <w:color w:val="51656F"/>
        <w:sz w:val="18"/>
      </w:rPr>
      <w:fldChar w:fldCharType="begin"/>
    </w:r>
    <w:r>
      <w:rPr>
        <w:color w:val="51656F"/>
        <w:sz w:val="18"/>
      </w:rPr>
      <w:instrText xml:space="preserve"> PAGE </w:instrText>
    </w:r>
    <w:r>
      <w:rPr>
        <w:color w:val="51656F"/>
        <w:sz w:val="18"/>
      </w:rPr>
      <w:fldChar w:fldCharType="separate"/>
    </w:r>
    <w:r>
      <w:rPr>
        <w:color w:val="51656F"/>
        <w:sz w:val="18"/>
      </w:rPr>
      <w:t>1</w:t>
    </w:r>
    <w:r>
      <w:rPr>
        <w:color w:val="51656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8201" w14:textId="77777777" w:rsidR="0027270B" w:rsidRDefault="00000000">
    <w:pPr>
      <w:spacing w:after="0"/>
      <w:jc w:val="center"/>
    </w:pPr>
    <w:r>
      <w:rPr>
        <w:color w:val="51656F"/>
        <w:sz w:val="18"/>
      </w:rPr>
      <w:fldChar w:fldCharType="begin"/>
    </w:r>
    <w:r>
      <w:rPr>
        <w:color w:val="51656F"/>
        <w:sz w:val="18"/>
      </w:rPr>
      <w:instrText xml:space="preserve"> PAGE </w:instrText>
    </w:r>
    <w:r>
      <w:rPr>
        <w:color w:val="51656F"/>
        <w:sz w:val="18"/>
      </w:rPr>
      <w:fldChar w:fldCharType="separate"/>
    </w:r>
    <w:r>
      <w:rPr>
        <w:color w:val="51656F"/>
        <w:sz w:val="18"/>
      </w:rPr>
      <w:t>1</w:t>
    </w:r>
    <w:r>
      <w:rPr>
        <w:color w:val="51656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CA3BD" w14:textId="77777777" w:rsidR="00343AC4" w:rsidRDefault="00343AC4">
      <w:pPr>
        <w:spacing w:after="0" w:line="240" w:lineRule="auto"/>
      </w:pPr>
      <w:r>
        <w:separator/>
      </w:r>
    </w:p>
  </w:footnote>
  <w:footnote w:type="continuationSeparator" w:id="0">
    <w:p w14:paraId="00583B84" w14:textId="77777777" w:rsidR="00343AC4" w:rsidRDefault="00343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0A31" w14:textId="77777777" w:rsidR="0027270B" w:rsidRDefault="00000000">
    <w:pPr>
      <w:spacing w:after="0"/>
      <w:jc w:val="center"/>
    </w:pPr>
    <w:r>
      <w:rPr>
        <w:color w:val="7FA3BF"/>
        <w:sz w:val="18"/>
      </w:rPr>
      <w:t>The Blue Passage Peace Accord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BDEF" w14:textId="77777777" w:rsidR="0027270B" w:rsidRDefault="00000000">
    <w:pPr>
      <w:spacing w:after="0"/>
      <w:jc w:val="center"/>
    </w:pPr>
    <w:r>
      <w:rPr>
        <w:color w:val="7FA3BF"/>
        <w:sz w:val="18"/>
      </w:rPr>
      <w:t>The Blue Passage Peace Accord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270B"/>
    <w:rsid w:val="0027270B"/>
    <w:rsid w:val="00343AC4"/>
    <w:rsid w:val="003E3D83"/>
    <w:rsid w:val="00D72D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7282"/>
  <w15:docId w15:val="{C5D33DC9-E24A-4AFF-A3E9-B368082C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jc w:val="both"/>
    </w:pPr>
    <w:rPr>
      <w:rFonts w:ascii="Calibri" w:eastAsia="Microsoft YaHei" w:hAnsi="Calibri"/>
      <w:color w:val="24313D"/>
      <w:sz w:val="21"/>
    </w:rPr>
  </w:style>
  <w:style w:type="paragraph" w:styleId="Heading1">
    <w:name w:val="heading 1"/>
    <w:basedOn w:val="Normal"/>
    <w:uiPriority w:val="9"/>
    <w:qFormat/>
    <w:pPr>
      <w:keepNext/>
      <w:keepLines/>
      <w:pageBreakBefore/>
      <w:spacing w:before="480" w:after="200"/>
      <w:outlineLvl w:val="0"/>
    </w:pPr>
    <w:rPr>
      <w:b/>
      <w:color w:val="1B3A5C"/>
      <w:sz w:val="30"/>
    </w:rPr>
  </w:style>
  <w:style w:type="paragraph" w:styleId="Heading2">
    <w:name w:val="heading 2"/>
    <w:basedOn w:val="Normal"/>
    <w:uiPriority w:val="9"/>
    <w:unhideWhenUsed/>
    <w:qFormat/>
    <w:pPr>
      <w:keepNext/>
      <w:keepLines/>
      <w:spacing w:before="320" w:after="140"/>
      <w:outlineLvl w:val="1"/>
    </w:pPr>
    <w:rPr>
      <w:b/>
      <w:color w:val="3E6B8F"/>
      <w:sz w:val="25"/>
    </w:rPr>
  </w:style>
  <w:style w:type="paragraph" w:styleId="Heading3">
    <w:name w:val="heading 3"/>
    <w:basedOn w:val="Normal"/>
    <w:uiPriority w:val="9"/>
    <w:semiHidden/>
    <w:unhideWhenUsed/>
    <w:qFormat/>
    <w:pPr>
      <w:keepNext/>
      <w:keepLines/>
      <w:spacing w:before="240" w:after="100"/>
      <w:outlineLvl w:val="2"/>
    </w:pPr>
    <w:rPr>
      <w:b/>
      <w:color w:val="51656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7FA3BF"/>
      <w:sz w:val="19"/>
    </w:rPr>
  </w:style>
  <w:style w:type="paragraph" w:styleId="TOC1">
    <w:name w:val="toc 1"/>
    <w:basedOn w:val="Normal"/>
    <w:uiPriority w:val="39"/>
    <w:pPr>
      <w:tabs>
        <w:tab w:val="right" w:leader="dot" w:pos="9350"/>
      </w:tabs>
      <w:spacing w:before="160" w:after="40"/>
    </w:pPr>
    <w:rPr>
      <w:b/>
      <w:color w:val="1B3A5C"/>
    </w:rPr>
  </w:style>
  <w:style w:type="paragraph" w:styleId="TOC2">
    <w:name w:val="toc 2"/>
    <w:basedOn w:val="Normal"/>
    <w:uiPriority w:val="39"/>
    <w:pPr>
      <w:tabs>
        <w:tab w:val="right" w:leader="dot" w:pos="9350"/>
      </w:tabs>
      <w:spacing w:before="40" w:after="40"/>
      <w:ind w:left="360"/>
    </w:pPr>
    <w:rPr>
      <w:color w:val="51656F"/>
    </w:rPr>
  </w:style>
  <w:style w:type="paragraph" w:styleId="TOC3">
    <w:name w:val="toc 3"/>
    <w:basedOn w:val="Normal"/>
    <w:uiPriority w:val="39"/>
    <w:pPr>
      <w:tabs>
        <w:tab w:val="right" w:leader="dot" w:pos="9350"/>
      </w:tabs>
      <w:spacing w:before="20" w:after="40"/>
      <w:ind w:left="720"/>
    </w:pPr>
    <w:rPr>
      <w:color w:val="51656F"/>
    </w:rPr>
  </w:style>
  <w:style w:type="paragraph" w:styleId="TOC4">
    <w:name w:val="toc 4"/>
    <w:basedOn w:val="Normal"/>
    <w:next w:val="Normal"/>
    <w:autoRedefine/>
    <w:uiPriority w:val="39"/>
    <w:unhideWhenUsed/>
    <w:rsid w:val="00D72D24"/>
    <w:pPr>
      <w:spacing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D72D24"/>
    <w:pPr>
      <w:spacing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D72D24"/>
    <w:pPr>
      <w:spacing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D72D24"/>
    <w:pPr>
      <w:spacing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D72D24"/>
    <w:pPr>
      <w:spacing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D72D24"/>
    <w:pPr>
      <w:spacing w:after="100" w:line="278" w:lineRule="auto"/>
      <w:ind w:left="1920"/>
      <w:jc w:val="left"/>
    </w:pPr>
    <w:rPr>
      <w:rFonts w:asciiTheme="minorHAnsi" w:eastAsiaTheme="minorEastAsia" w:hAnsiTheme="minorHAnsi"/>
      <w:color w:val="auto"/>
      <w:sz w:val="24"/>
    </w:rPr>
  </w:style>
  <w:style w:type="character" w:styleId="Hyperlink">
    <w:name w:val="Hyperlink"/>
    <w:basedOn w:val="DefaultParagraphFont"/>
    <w:uiPriority w:val="99"/>
    <w:unhideWhenUsed/>
    <w:rsid w:val="00D72D24"/>
    <w:rPr>
      <w:color w:val="467886" w:themeColor="hyperlink"/>
      <w:u w:val="single"/>
    </w:rPr>
  </w:style>
  <w:style w:type="character" w:styleId="UnresolvedMention">
    <w:name w:val="Unresolved Mention"/>
    <w:basedOn w:val="DefaultParagraphFont"/>
    <w:uiPriority w:val="99"/>
    <w:semiHidden/>
    <w:unhideWhenUsed/>
    <w:rsid w:val="00D72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34384</Words>
  <Characters>195995</Characters>
  <Application>Microsoft Office Word</Application>
  <DocSecurity>0</DocSecurity>
  <Lines>1633</Lines>
  <Paragraphs>459</Paragraphs>
  <ScaleCrop>false</ScaleCrop>
  <Company/>
  <LinksUpToDate>false</LinksUpToDate>
  <CharactersWithSpaces>229920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2026-08-15T05:07:00Z</dcterms:created>
  <dcterms:modified xsi:type="dcterms:W3CDTF">2026-08-15T05:07:00Z</dcterms:modified>
</cp:coreProperties>
</file>