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2450" w:after="0"/>
        <w:jc w:val="center"/>
        <w:rPr/>
      </w:pPr>
      <w:r>
        <w:rPr>
          <w:rFonts w:eastAsia="Calibri" w:cs="Calibri" w:ascii="Calibri" w:hAnsi="Calibri"/>
          <w:caps/>
          <w:color w:val="78909C"/>
          <w:spacing w:val="30"/>
          <w:sz w:val="18"/>
          <w:szCs w:val="24"/>
          <w:lang w:val="en-US" w:eastAsia="en-US" w:bidi="ar-SA"/>
        </w:rPr>
        <w:t>A Bilateral Maritime Governance Framework</w:t>
      </w:r>
    </w:p>
    <w:p>
      <w:pPr>
        <w:pStyle w:val="Normal"/>
        <w:spacing w:lineRule="auto" w:line="300" w:before="360" w:after="0"/>
        <w:jc w:val="center"/>
        <w:rPr/>
      </w:pPr>
      <w:r>
        <w:rPr>
          <w:rFonts w:eastAsia="Calibri" w:cs="Calibri" w:ascii="Calibri" w:hAnsi="Calibri"/>
          <w:b/>
          <w:color w:val="37474F"/>
          <w:spacing w:val="35"/>
          <w:sz w:val="54"/>
          <w:szCs w:val="24"/>
          <w:lang w:val="en-US" w:eastAsia="en-US" w:bidi="ar-SA"/>
        </w:rPr>
        <w:t>THE HORMUZ BILATERAL CORRIDOR</w:t>
      </w:r>
    </w:p>
    <w:p>
      <w:pPr>
        <w:pStyle w:val="Normal"/>
        <w:spacing w:lineRule="auto" w:line="300" w:before="0" w:after="0"/>
        <w:jc w:val="center"/>
        <w:rPr/>
      </w:pPr>
      <w:r>
        <w:rPr>
          <w:rFonts w:eastAsia="Calibri" w:cs="Calibri" w:ascii="Calibri" w:hAnsi="Calibri"/>
          <w:b/>
          <w:color w:val="37474F"/>
          <w:spacing w:val="35"/>
          <w:sz w:val="54"/>
          <w:szCs w:val="24"/>
          <w:lang w:val="en-US" w:eastAsia="en-US" w:bidi="ar-SA"/>
        </w:rPr>
        <w:t>AND STEWARDSHIP AGREEMENT</w:t>
      </w:r>
    </w:p>
    <w:p>
      <w:pPr>
        <w:pStyle w:val="Normal"/>
        <w:spacing w:lineRule="auto" w:line="300" w:before="180" w:after="500"/>
        <w:jc w:val="center"/>
        <w:rPr/>
      </w:pPr>
      <w:r>
        <w:rPr>
          <w:rFonts w:eastAsia="Calibri" w:cs="Calibri" w:ascii="Calibri" w:hAnsi="Calibri"/>
          <w:i/>
          <w:color w:val="546E7A"/>
          <w:sz w:val="26"/>
          <w:szCs w:val="24"/>
          <w:lang w:val="en-US" w:eastAsia="en-US" w:bidi="ar-SA"/>
        </w:rPr>
        <w:t>A Joint Architecture for the Administration, Safety, and Cooperative Stewardship of Navigation through the Strait of Hormuz</w:t>
      </w:r>
    </w:p>
    <w:p>
      <w:pPr>
        <w:pStyle w:val="Normal"/>
        <w:pBdr>
          <w:bottom w:val="single" w:sz="6" w:space="0" w:color="546E7A"/>
        </w:pBdr>
        <w:spacing w:lineRule="auto" w:line="300" w:before="0" w:after="460"/>
        <w:ind w:left="2400" w:right="2400" w:hanging="0"/>
        <w:jc w:val="both"/>
        <w:rPr/>
      </w:pPr>
      <w:r>
        <w:rPr/>
      </w:r>
    </w:p>
    <w:p>
      <w:pPr>
        <w:pStyle w:val="Normal"/>
        <w:spacing w:lineRule="auto" w:line="300" w:before="0" w:after="140"/>
        <w:jc w:val="center"/>
        <w:rPr/>
      </w:pPr>
      <w:r>
        <w:rPr>
          <w:rFonts w:eastAsia="Calibri" w:cs="Calibri" w:ascii="Calibri" w:hAnsi="Calibri"/>
          <w:color w:val="212121"/>
          <w:sz w:val="24"/>
          <w:szCs w:val="24"/>
          <w:lang w:val="en-US" w:eastAsia="en-US" w:bidi="ar-SA"/>
        </w:rPr>
        <w:t>HBCSA  ·  Version 1.0  ·  August 2026</w:t>
      </w:r>
    </w:p>
    <w:p>
      <w:pPr>
        <w:pStyle w:val="Normal"/>
        <w:spacing w:lineRule="auto" w:line="300" w:before="0" w:after="140"/>
        <w:jc w:val="center"/>
        <w:rPr/>
      </w:pPr>
      <w:r>
        <w:rPr>
          <w:rFonts w:eastAsia="Calibri" w:cs="Calibri" w:ascii="Calibri" w:hAnsi="Calibri"/>
          <w:color w:val="546E7A"/>
          <w:sz w:val="22"/>
          <w:szCs w:val="24"/>
          <w:lang w:val="en-US" w:eastAsia="en-US" w:bidi="ar-SA"/>
        </w:rPr>
        <w:t>Muscat, Sultanate of Oman</w:t>
      </w:r>
    </w:p>
    <w:p>
      <w:pPr>
        <w:pStyle w:val="Normal"/>
        <w:spacing w:lineRule="auto" w:line="300" w:before="0" w:after="1650"/>
        <w:jc w:val="center"/>
        <w:rPr/>
      </w:pPr>
      <w:r>
        <w:rPr>
          <w:rFonts w:eastAsia="Calibri" w:cs="Calibri" w:ascii="Calibri" w:hAnsi="Calibri"/>
          <w:i/>
          <w:color w:val="78909C"/>
          <w:sz w:val="20"/>
          <w:szCs w:val="24"/>
          <w:lang w:val="en-US" w:eastAsia="en-US" w:bidi="ar-SA"/>
        </w:rPr>
        <w:t>Two Coasts. One Strait. Shared Stewardship.</w:t>
      </w:r>
    </w:p>
    <w:p>
      <w:pPr>
        <w:pStyle w:val="Normal"/>
        <w:spacing w:lineRule="auto" w:line="300" w:before="0" w:after="140"/>
        <w:jc w:val="center"/>
        <w:rPr/>
      </w:pPr>
      <w:r>
        <w:rPr>
          <w:rFonts w:eastAsia="Calibri" w:cs="Calibri" w:ascii="Calibri" w:hAnsi="Calibri"/>
          <w:b/>
          <w:color w:val="37474F"/>
          <w:sz w:val="22"/>
          <w:szCs w:val="24"/>
          <w:lang w:val="en-US" w:eastAsia="en-US" w:bidi="ar-SA"/>
        </w:rPr>
        <w:t>The Islamic Republic of Iran  ·  The Sultanate of Oman</w:t>
      </w:r>
    </w:p>
    <w:p>
      <w:pPr>
        <w:pStyle w:val="Normal"/>
        <w:spacing w:lineRule="auto" w:line="300" w:before="0" w:after="120"/>
        <w:jc w:val="center"/>
        <w:rPr/>
      </w:pPr>
      <w:r>
        <w:rPr>
          <w:rFonts w:eastAsia="Calibri" w:cs="Calibri" w:ascii="Calibri" w:hAnsi="Calibri"/>
          <w:color w:val="546E7A"/>
          <w:sz w:val="20"/>
          <w:szCs w:val="24"/>
          <w:lang w:val="en-US" w:eastAsia="en-US" w:bidi="ar-SA"/>
        </w:rPr>
        <w:t>Technical Observer of Record: The International Maritime Organization</w:t>
      </w:r>
    </w:p>
    <w:p>
      <w:pPr>
        <w:pStyle w:val="Normal"/>
        <w:spacing w:lineRule="auto" w:line="300" w:before="0" w:after="120"/>
        <w:jc w:val="center"/>
        <w:rPr/>
      </w:pPr>
      <w:r>
        <w:rPr>
          <w:rFonts w:eastAsia="Calibri" w:cs="Calibri" w:ascii="Calibri" w:hAnsi="Calibri"/>
          <w:color w:val="546E7A"/>
          <w:sz w:val="20"/>
          <w:szCs w:val="24"/>
          <w:lang w:val="en-US" w:eastAsia="en-US" w:bidi="ar-SA"/>
        </w:rPr>
        <w:t>Depositary and Neutral Administrator: The Swiss Confederation</w:t>
      </w:r>
    </w:p>
    <w:p>
      <w:pPr>
        <w:sectPr>
          <w:type w:val="nextPage"/>
          <w:pgSz w:w="12240" w:h="15840"/>
          <w:pgMar w:left="1134" w:right="1134" w:gutter="0" w:header="0" w:top="1134" w:footer="0" w:bottom="1134"/>
          <w:pgNumType w:fmt="decimal"/>
          <w:formProt w:val="false"/>
          <w:textDirection w:val="lrTb"/>
          <w:docGrid w:type="default" w:linePitch="100" w:charSpace="0"/>
        </w:sectPr>
        <w:pStyle w:val="Normal"/>
        <w:spacing w:lineRule="auto" w:line="300" w:before="0" w:after="0"/>
        <w:jc w:val="center"/>
        <w:rPr/>
      </w:pPr>
      <w:r>
        <w:rPr>
          <w:rFonts w:eastAsia="Calibri" w:cs="Calibri" w:ascii="Calibri" w:hAnsi="Calibri"/>
          <w:i/>
          <w:color w:val="78909C"/>
          <w:sz w:val="18"/>
          <w:szCs w:val="24"/>
          <w:lang w:val="en-US" w:eastAsia="en-US" w:bidi="ar-SA"/>
        </w:rPr>
        <w:t>Parts I–XIV  ·  Annexes A–P</w:t>
      </w:r>
    </w:p>
    <w:p>
      <w:pPr>
        <w:pStyle w:val="Normal"/>
        <w:keepNext w:val="true"/>
        <w:spacing w:lineRule="auto" w:line="300" w:before="0" w:after="360"/>
        <w:jc w:val="left"/>
        <w:rPr/>
      </w:pPr>
      <w:r>
        <w:rPr>
          <w:rFonts w:eastAsia="Calibri" w:cs="Calibri" w:ascii="Calibri" w:hAnsi="Calibri"/>
          <w:b/>
          <w:caps/>
          <w:color w:val="37474F"/>
          <w:sz w:val="32"/>
          <w:szCs w:val="24"/>
          <w:lang w:val="en-US" w:eastAsia="en-US" w:bidi="ar-SA"/>
        </w:rPr>
        <w:t>Table of Contents</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rPr>
            <w:instrText xml:space="preserve"> TOC \z \o "1-2" \u \h</w:instrText>
          </w:r>
          <w:r>
            <w:rPr>
              <w:webHidden/>
              <w:rStyle w:val="IndexLink"/>
            </w:rPr>
            <w:fldChar w:fldCharType="separate"/>
          </w:r>
          <w:hyperlink w:anchor="__RefHeading___Toc6053_3918200752">
            <w:r>
              <w:rPr>
                <w:webHidden/>
                <w:rStyle w:val="IndexLink"/>
              </w:rPr>
              <w:t>DOCUMENT CONTROL</w:t>
              <w:tab/>
              <w:t>6</w:t>
            </w:r>
          </w:hyperlink>
        </w:p>
        <w:p>
          <w:pPr>
            <w:pStyle w:val="Contents1"/>
            <w:tabs>
              <w:tab w:val="clear" w:pos="720"/>
              <w:tab w:val="right" w:pos="9360" w:leader="dot"/>
            </w:tabs>
            <w:rPr/>
          </w:pPr>
          <w:hyperlink w:anchor="__RefHeading___Toc6055_3918200752">
            <w:r>
              <w:rPr>
                <w:webHidden/>
                <w:rStyle w:val="IndexLink"/>
              </w:rPr>
              <w:t>PREAMBLE</w:t>
              <w:tab/>
              <w:t>6</w:t>
            </w:r>
          </w:hyperlink>
        </w:p>
        <w:p>
          <w:pPr>
            <w:pStyle w:val="Contents1"/>
            <w:tabs>
              <w:tab w:val="clear" w:pos="720"/>
              <w:tab w:val="right" w:pos="9360" w:leader="dot"/>
            </w:tabs>
            <w:rPr/>
          </w:pPr>
          <w:hyperlink w:anchor="__RefHeading___Toc6057_3918200752">
            <w:r>
              <w:rPr>
                <w:webHidden/>
                <w:rStyle w:val="IndexLink"/>
              </w:rPr>
              <w:t>PART I. FOUNDATIONS</w:t>
              <w:tab/>
              <w:t>8</w:t>
            </w:r>
          </w:hyperlink>
        </w:p>
        <w:p>
          <w:pPr>
            <w:pStyle w:val="Contents2"/>
            <w:tabs>
              <w:tab w:val="clear" w:pos="720"/>
              <w:tab w:val="right" w:pos="9360" w:leader="dot"/>
            </w:tabs>
            <w:rPr/>
          </w:pPr>
          <w:hyperlink w:anchor="__RefHeading___Toc6059_3918200752">
            <w:r>
              <w:rPr>
                <w:webHidden/>
                <w:rStyle w:val="IndexLink"/>
              </w:rPr>
              <w:t>Article 1. Establishment, Purpose, and Scope</w:t>
              <w:tab/>
              <w:t>8</w:t>
            </w:r>
          </w:hyperlink>
        </w:p>
        <w:p>
          <w:pPr>
            <w:pStyle w:val="Contents2"/>
            <w:tabs>
              <w:tab w:val="clear" w:pos="720"/>
              <w:tab w:val="right" w:pos="9360" w:leader="dot"/>
            </w:tabs>
            <w:rPr/>
          </w:pPr>
          <w:hyperlink w:anchor="__RefHeading___Toc6061_3918200752">
            <w:r>
              <w:rPr>
                <w:webHidden/>
                <w:rStyle w:val="IndexLink"/>
              </w:rPr>
              <w:t>Article 2. Definitions and Interpretation</w:t>
              <w:tab/>
              <w:t>8</w:t>
            </w:r>
          </w:hyperlink>
        </w:p>
        <w:p>
          <w:pPr>
            <w:pStyle w:val="Contents2"/>
            <w:tabs>
              <w:tab w:val="clear" w:pos="720"/>
              <w:tab w:val="right" w:pos="9360" w:leader="dot"/>
            </w:tabs>
            <w:rPr/>
          </w:pPr>
          <w:hyperlink w:anchor="__RefHeading___Toc6063_3918200752">
            <w:r>
              <w:rPr>
                <w:webHidden/>
                <w:rStyle w:val="IndexLink"/>
              </w:rPr>
              <w:t>Article 3. Legal Foundations and the Non-Prejudice Architecture</w:t>
              <w:tab/>
              <w:t>9</w:t>
            </w:r>
          </w:hyperlink>
        </w:p>
        <w:p>
          <w:pPr>
            <w:pStyle w:val="Contents2"/>
            <w:tabs>
              <w:tab w:val="clear" w:pos="720"/>
              <w:tab w:val="right" w:pos="9360" w:leader="dot"/>
            </w:tabs>
            <w:rPr/>
          </w:pPr>
          <w:hyperlink w:anchor="__RefHeading___Toc6065_3918200752">
            <w:r>
              <w:rPr>
                <w:webHidden/>
                <w:rStyle w:val="IndexLink"/>
              </w:rPr>
              <w:t>Article 4. Core Operating Principles</w:t>
              <w:tab/>
              <w:t>10</w:t>
            </w:r>
          </w:hyperlink>
        </w:p>
        <w:p>
          <w:pPr>
            <w:pStyle w:val="Contents1"/>
            <w:tabs>
              <w:tab w:val="clear" w:pos="720"/>
              <w:tab w:val="right" w:pos="9360" w:leader="dot"/>
            </w:tabs>
            <w:rPr/>
          </w:pPr>
          <w:hyperlink w:anchor="__RefHeading___Toc6067_3918200752">
            <w:r>
              <w:rPr>
                <w:webHidden/>
                <w:rStyle w:val="IndexLink"/>
              </w:rPr>
              <w:t>PART II. THE CORRIDOR ARCHITECTURE</w:t>
              <w:tab/>
              <w:t>11</w:t>
            </w:r>
          </w:hyperlink>
        </w:p>
        <w:p>
          <w:pPr>
            <w:pStyle w:val="Contents2"/>
            <w:tabs>
              <w:tab w:val="clear" w:pos="720"/>
              <w:tab w:val="right" w:pos="9360" w:leader="dot"/>
            </w:tabs>
            <w:rPr/>
          </w:pPr>
          <w:hyperlink w:anchor="__RefHeading___Toc6069_3918200752">
            <w:r>
              <w:rPr>
                <w:webHidden/>
                <w:rStyle w:val="IndexLink"/>
              </w:rPr>
              <w:t>Article 5. The Governance Area and the Two-Corridor Geometry</w:t>
              <w:tab/>
              <w:t>11</w:t>
            </w:r>
          </w:hyperlink>
        </w:p>
        <w:p>
          <w:pPr>
            <w:pStyle w:val="Contents2"/>
            <w:tabs>
              <w:tab w:val="clear" w:pos="720"/>
              <w:tab w:val="right" w:pos="9360" w:leader="dot"/>
            </w:tabs>
            <w:rPr/>
          </w:pPr>
          <w:hyperlink w:anchor="__RefHeading___Toc6071_3918200752">
            <w:r>
              <w:rPr>
                <w:webHidden/>
                <w:rStyle w:val="IndexLink"/>
              </w:rPr>
              <w:t>Article 6. Corridor One and Corridor Three: Lead Functions and Shared Discipline</w:t>
              <w:tab/>
              <w:t>12</w:t>
            </w:r>
          </w:hyperlink>
        </w:p>
        <w:p>
          <w:pPr>
            <w:pStyle w:val="Contents2"/>
            <w:tabs>
              <w:tab w:val="clear" w:pos="720"/>
              <w:tab w:val="right" w:pos="9360" w:leader="dot"/>
            </w:tabs>
            <w:rPr/>
          </w:pPr>
          <w:hyperlink w:anchor="__RefHeading___Toc6073_3918200752">
            <w:r>
              <w:rPr>
                <w:webHidden/>
                <w:rStyle w:val="IndexLink"/>
              </w:rPr>
              <w:t>Article 7. Corridor Two: The Central Corridor Development Path</w:t>
              <w:tab/>
              <w:t>13</w:t>
            </w:r>
          </w:hyperlink>
        </w:p>
        <w:p>
          <w:pPr>
            <w:pStyle w:val="Contents2"/>
            <w:tabs>
              <w:tab w:val="clear" w:pos="720"/>
              <w:tab w:val="right" w:pos="9360" w:leader="dot"/>
            </w:tabs>
            <w:rPr/>
          </w:pPr>
          <w:hyperlink w:anchor="__RefHeading___Toc6075_3918200752">
            <w:r>
              <w:rPr>
                <w:webHidden/>
                <w:rStyle w:val="IndexLink"/>
              </w:rPr>
              <w:t>Article 8. Aids to Navigation and Charting</w:t>
              <w:tab/>
              <w:t>13</w:t>
            </w:r>
          </w:hyperlink>
        </w:p>
        <w:p>
          <w:pPr>
            <w:pStyle w:val="Contents1"/>
            <w:tabs>
              <w:tab w:val="clear" w:pos="720"/>
              <w:tab w:val="right" w:pos="9360" w:leader="dot"/>
            </w:tabs>
            <w:rPr/>
          </w:pPr>
          <w:hyperlink w:anchor="__RefHeading___Toc6077_3918200752">
            <w:r>
              <w:rPr>
                <w:webHidden/>
                <w:rStyle w:val="IndexLink"/>
              </w:rPr>
              <w:t>PART III. THE JOINT INSTITUTIONS</w:t>
              <w:tab/>
              <w:t>14</w:t>
            </w:r>
          </w:hyperlink>
        </w:p>
        <w:p>
          <w:pPr>
            <w:pStyle w:val="Contents2"/>
            <w:tabs>
              <w:tab w:val="clear" w:pos="720"/>
              <w:tab w:val="right" w:pos="9360" w:leader="dot"/>
            </w:tabs>
            <w:rPr/>
          </w:pPr>
          <w:hyperlink w:anchor="__RefHeading___Toc6079_3918200752">
            <w:r>
              <w:rPr>
                <w:webHidden/>
                <w:rStyle w:val="IndexLink"/>
              </w:rPr>
              <w:t>Article 9. The Joint Committee</w:t>
              <w:tab/>
              <w:t>14</w:t>
            </w:r>
          </w:hyperlink>
        </w:p>
        <w:p>
          <w:pPr>
            <w:pStyle w:val="Contents2"/>
            <w:tabs>
              <w:tab w:val="clear" w:pos="720"/>
              <w:tab w:val="right" w:pos="9360" w:leader="dot"/>
            </w:tabs>
            <w:rPr/>
          </w:pPr>
          <w:hyperlink w:anchor="__RefHeading___Toc6081_3918200752">
            <w:r>
              <w:rPr>
                <w:webHidden/>
                <w:rStyle w:val="IndexLink"/>
              </w:rPr>
              <w:t>Article 10. The Joint Operations Center</w:t>
              <w:tab/>
              <w:t>15</w:t>
            </w:r>
          </w:hyperlink>
        </w:p>
        <w:p>
          <w:pPr>
            <w:pStyle w:val="Contents2"/>
            <w:tabs>
              <w:tab w:val="clear" w:pos="720"/>
              <w:tab w:val="right" w:pos="9360" w:leader="dot"/>
            </w:tabs>
            <w:rPr/>
          </w:pPr>
          <w:hyperlink w:anchor="__RefHeading___Toc6083_3918200752">
            <w:r>
              <w:rPr>
                <w:webHidden/>
                <w:rStyle w:val="IndexLink"/>
              </w:rPr>
              <w:t>Article 11. Working Groups and Technical Bodies</w:t>
              <w:tab/>
              <w:t>16</w:t>
            </w:r>
          </w:hyperlink>
        </w:p>
        <w:p>
          <w:pPr>
            <w:pStyle w:val="Contents2"/>
            <w:tabs>
              <w:tab w:val="clear" w:pos="720"/>
              <w:tab w:val="right" w:pos="9360" w:leader="dot"/>
            </w:tabs>
            <w:rPr/>
          </w:pPr>
          <w:hyperlink w:anchor="__RefHeading___Toc6085_3918200752">
            <w:r>
              <w:rPr>
                <w:webHidden/>
                <w:rStyle w:val="IndexLink"/>
              </w:rPr>
              <w:t>Article 12. Institutional Support, Depositary Functions, and Budget</w:t>
              <w:tab/>
              <w:t>16</w:t>
            </w:r>
          </w:hyperlink>
        </w:p>
        <w:p>
          <w:pPr>
            <w:pStyle w:val="Contents1"/>
            <w:tabs>
              <w:tab w:val="clear" w:pos="720"/>
              <w:tab w:val="right" w:pos="9360" w:leader="dot"/>
            </w:tabs>
            <w:rPr/>
          </w:pPr>
          <w:hyperlink w:anchor="__RefHeading___Toc6087_3918200752">
            <w:r>
              <w:rPr>
                <w:webHidden/>
                <w:rStyle w:val="IndexLink"/>
              </w:rPr>
              <w:t>PART IV. THE NOTIFICATION AND COORDINATION PROTOCOL</w:t>
              <w:tab/>
              <w:t>17</w:t>
            </w:r>
          </w:hyperlink>
        </w:p>
        <w:p>
          <w:pPr>
            <w:pStyle w:val="Contents2"/>
            <w:tabs>
              <w:tab w:val="clear" w:pos="720"/>
              <w:tab w:val="right" w:pos="9360" w:leader="dot"/>
            </w:tabs>
            <w:rPr/>
          </w:pPr>
          <w:hyperlink w:anchor="__RefHeading___Toc6089_3918200752">
            <w:r>
              <w:rPr>
                <w:webHidden/>
                <w:rStyle w:val="IndexLink"/>
              </w:rPr>
              <w:t>Article 13. The Notification-Based System</w:t>
              <w:tab/>
              <w:t>17</w:t>
            </w:r>
          </w:hyperlink>
        </w:p>
        <w:p>
          <w:pPr>
            <w:pStyle w:val="Contents2"/>
            <w:tabs>
              <w:tab w:val="clear" w:pos="720"/>
              <w:tab w:val="right" w:pos="9360" w:leader="dot"/>
            </w:tabs>
            <w:rPr/>
          </w:pPr>
          <w:hyperlink w:anchor="__RefHeading___Toc6091_3918200752">
            <w:r>
              <w:rPr>
                <w:webHidden/>
                <w:rStyle w:val="IndexLink"/>
              </w:rPr>
              <w:t>Article 14. Registration and Vetting</w:t>
              <w:tab/>
              <w:t>18</w:t>
            </w:r>
          </w:hyperlink>
        </w:p>
        <w:p>
          <w:pPr>
            <w:pStyle w:val="Contents2"/>
            <w:tabs>
              <w:tab w:val="clear" w:pos="720"/>
              <w:tab w:val="right" w:pos="9360" w:leader="dot"/>
            </w:tabs>
            <w:rPr/>
          </w:pPr>
          <w:hyperlink w:anchor="__RefHeading___Toc6093_3918200752">
            <w:r>
              <w:rPr>
                <w:webHidden/>
                <w:rStyle w:val="IndexLink"/>
              </w:rPr>
              <w:t>Article 15. Data Protection and Confidentiality</w:t>
              <w:tab/>
              <w:t>18</w:t>
            </w:r>
          </w:hyperlink>
        </w:p>
        <w:p>
          <w:pPr>
            <w:pStyle w:val="Contents2"/>
            <w:tabs>
              <w:tab w:val="clear" w:pos="720"/>
              <w:tab w:val="right" w:pos="9360" w:leader="dot"/>
            </w:tabs>
            <w:rPr/>
          </w:pPr>
          <w:hyperlink w:anchor="__RefHeading___Toc6095_3918200752">
            <w:r>
              <w:rPr>
                <w:webHidden/>
                <w:rStyle w:val="IndexLink"/>
              </w:rPr>
              <w:t>Article 16. The Standing Logbook and the Non-Suspension Guarantee</w:t>
              <w:tab/>
              <w:t>19</w:t>
            </w:r>
          </w:hyperlink>
        </w:p>
        <w:p>
          <w:pPr>
            <w:pStyle w:val="Contents1"/>
            <w:tabs>
              <w:tab w:val="clear" w:pos="720"/>
              <w:tab w:val="right" w:pos="9360" w:leader="dot"/>
            </w:tabs>
            <w:rPr/>
          </w:pPr>
          <w:hyperlink w:anchor="__RefHeading___Toc6097_3918200752">
            <w:r>
              <w:rPr>
                <w:webHidden/>
                <w:rStyle w:val="IndexLink"/>
              </w:rPr>
              <w:t>PART V. SERVICES, FEES, AND THE COST-RECOVERY ARCHITECTURE</w:t>
              <w:tab/>
              <w:t>19</w:t>
            </w:r>
          </w:hyperlink>
        </w:p>
        <w:p>
          <w:pPr>
            <w:pStyle w:val="Contents2"/>
            <w:tabs>
              <w:tab w:val="clear" w:pos="720"/>
              <w:tab w:val="right" w:pos="9360" w:leader="dot"/>
            </w:tabs>
            <w:rPr/>
          </w:pPr>
          <w:hyperlink w:anchor="__RefHeading___Toc6099_3918200752">
            <w:r>
              <w:rPr>
                <w:webHidden/>
                <w:rStyle w:val="IndexLink"/>
              </w:rPr>
              <w:t>Article 17. The Service-Fee Distinction</w:t>
              <w:tab/>
              <w:t>19</w:t>
            </w:r>
          </w:hyperlink>
        </w:p>
        <w:p>
          <w:pPr>
            <w:pStyle w:val="Contents2"/>
            <w:tabs>
              <w:tab w:val="clear" w:pos="720"/>
              <w:tab w:val="right" w:pos="9360" w:leader="dot"/>
            </w:tabs>
            <w:rPr/>
          </w:pPr>
          <w:hyperlink w:anchor="__RefHeading___Toc6101_3918200752">
            <w:r>
              <w:rPr>
                <w:webHidden/>
                <w:rStyle w:val="IndexLink"/>
              </w:rPr>
              <w:t>Article 18. The Verified Services Catalog</w:t>
              <w:tab/>
              <w:t>20</w:t>
            </w:r>
          </w:hyperlink>
        </w:p>
        <w:p>
          <w:pPr>
            <w:pStyle w:val="Contents2"/>
            <w:tabs>
              <w:tab w:val="clear" w:pos="720"/>
              <w:tab w:val="right" w:pos="9360" w:leader="dot"/>
            </w:tabs>
            <w:rPr/>
          </w:pPr>
          <w:hyperlink w:anchor="__RefHeading___Toc6103_3918200752">
            <w:r>
              <w:rPr>
                <w:webHidden/>
                <w:rStyle w:val="IndexLink"/>
              </w:rPr>
              <w:t>Article 19. The Stewardship Fund and Voluntary Contributions</w:t>
              <w:tab/>
              <w:t>21</w:t>
            </w:r>
          </w:hyperlink>
        </w:p>
        <w:p>
          <w:pPr>
            <w:pStyle w:val="Contents2"/>
            <w:tabs>
              <w:tab w:val="clear" w:pos="720"/>
              <w:tab w:val="right" w:pos="9360" w:leader="dot"/>
            </w:tabs>
            <w:rPr/>
          </w:pPr>
          <w:hyperlink w:anchor="__RefHeading___Toc6105_3918200752">
            <w:r>
              <w:rPr>
                <w:webHidden/>
                <w:rStyle w:val="IndexLink"/>
              </w:rPr>
              <w:t>Article 20. Revenue Sharing and the Escrow System</w:t>
              <w:tab/>
              <w:t>22</w:t>
            </w:r>
          </w:hyperlink>
        </w:p>
        <w:p>
          <w:pPr>
            <w:pStyle w:val="Contents2"/>
            <w:tabs>
              <w:tab w:val="clear" w:pos="720"/>
              <w:tab w:val="right" w:pos="9360" w:leader="dot"/>
            </w:tabs>
            <w:rPr/>
          </w:pPr>
          <w:hyperlink w:anchor="__RefHeading___Toc6107_3918200752">
            <w:r>
              <w:rPr>
                <w:webHidden/>
                <w:rStyle w:val="IndexLink"/>
              </w:rPr>
              <w:t>Article 20A. Insurance, War-Risk, and Economic Continuity</w:t>
              <w:tab/>
              <w:t>22</w:t>
            </w:r>
          </w:hyperlink>
        </w:p>
        <w:p>
          <w:pPr>
            <w:pStyle w:val="Contents1"/>
            <w:tabs>
              <w:tab w:val="clear" w:pos="720"/>
              <w:tab w:val="right" w:pos="9360" w:leader="dot"/>
            </w:tabs>
            <w:rPr/>
          </w:pPr>
          <w:hyperlink w:anchor="__RefHeading___Toc6109_3918200752">
            <w:r>
              <w:rPr>
                <w:webHidden/>
                <w:rStyle w:val="IndexLink"/>
              </w:rPr>
              <w:t>PART VI. HAZARD SURVEY, MINE CLEARANCE, AND CERTIFICATION</w:t>
              <w:tab/>
              <w:t>23</w:t>
            </w:r>
          </w:hyperlink>
        </w:p>
        <w:p>
          <w:pPr>
            <w:pStyle w:val="Contents2"/>
            <w:tabs>
              <w:tab w:val="clear" w:pos="720"/>
              <w:tab w:val="right" w:pos="9360" w:leader="dot"/>
            </w:tabs>
            <w:rPr/>
          </w:pPr>
          <w:hyperlink w:anchor="__RefHeading___Toc6111_3918200752">
            <w:r>
              <w:rPr>
                <w:webHidden/>
                <w:rStyle w:val="IndexLink"/>
              </w:rPr>
              <w:t>Article 21. The Hazard Survey</w:t>
              <w:tab/>
              <w:t>23</w:t>
            </w:r>
          </w:hyperlink>
        </w:p>
        <w:p>
          <w:pPr>
            <w:pStyle w:val="Contents2"/>
            <w:tabs>
              <w:tab w:val="clear" w:pos="720"/>
              <w:tab w:val="right" w:pos="9360" w:leader="dot"/>
            </w:tabs>
            <w:rPr/>
          </w:pPr>
          <w:hyperlink w:anchor="__RefHeading___Toc6113_3918200752">
            <w:r>
              <w:rPr>
                <w:webHidden/>
                <w:rStyle w:val="IndexLink"/>
              </w:rPr>
              <w:t>Article 22. Clearance Responsibilities</w:t>
              <w:tab/>
              <w:t>24</w:t>
            </w:r>
          </w:hyperlink>
        </w:p>
        <w:p>
          <w:pPr>
            <w:pStyle w:val="Contents2"/>
            <w:tabs>
              <w:tab w:val="clear" w:pos="720"/>
              <w:tab w:val="right" w:pos="9360" w:leader="dot"/>
            </w:tabs>
            <w:rPr/>
          </w:pPr>
          <w:hyperlink w:anchor="__RefHeading___Toc6115_3918200752">
            <w:r>
              <w:rPr>
                <w:webHidden/>
                <w:rStyle w:val="IndexLink"/>
              </w:rPr>
              <w:t>Article 23. Verification and Certification</w:t>
              <w:tab/>
              <w:t>24</w:t>
            </w:r>
          </w:hyperlink>
        </w:p>
        <w:p>
          <w:pPr>
            <w:pStyle w:val="Contents2"/>
            <w:tabs>
              <w:tab w:val="clear" w:pos="720"/>
              <w:tab w:val="right" w:pos="9360" w:leader="dot"/>
            </w:tabs>
            <w:rPr/>
          </w:pPr>
          <w:hyperlink w:anchor="__RefHeading___Toc6117_3918200752">
            <w:r>
              <w:rPr>
                <w:webHidden/>
                <w:rStyle w:val="IndexLink"/>
              </w:rPr>
              <w:t>Article 24. Opening Gates and the Corridor Activation Sequence</w:t>
              <w:tab/>
              <w:t>25</w:t>
            </w:r>
          </w:hyperlink>
        </w:p>
        <w:p>
          <w:pPr>
            <w:pStyle w:val="Contents1"/>
            <w:tabs>
              <w:tab w:val="clear" w:pos="720"/>
              <w:tab w:val="right" w:pos="9360" w:leader="dot"/>
            </w:tabs>
            <w:rPr/>
          </w:pPr>
          <w:hyperlink w:anchor="__RefHeading___Toc6119_3918200752">
            <w:r>
              <w:rPr>
                <w:webHidden/>
                <w:rStyle w:val="IndexLink"/>
              </w:rPr>
              <w:t>PART VII. SECURITY, STAND-DOWN, AND DECONFLICTION</w:t>
              <w:tab/>
              <w:t>26</w:t>
            </w:r>
          </w:hyperlink>
        </w:p>
        <w:p>
          <w:pPr>
            <w:pStyle w:val="Contents2"/>
            <w:tabs>
              <w:tab w:val="clear" w:pos="720"/>
              <w:tab w:val="right" w:pos="9360" w:leader="dot"/>
            </w:tabs>
            <w:rPr/>
          </w:pPr>
          <w:hyperlink w:anchor="__RefHeading___Toc6121_3918200752">
            <w:r>
              <w:rPr>
                <w:webHidden/>
                <w:rStyle w:val="IndexLink"/>
              </w:rPr>
              <w:t>Article 25. The Military Stand-Down within the Governance Area</w:t>
              <w:tab/>
              <w:t>26</w:t>
            </w:r>
          </w:hyperlink>
        </w:p>
        <w:p>
          <w:pPr>
            <w:pStyle w:val="Contents2"/>
            <w:tabs>
              <w:tab w:val="clear" w:pos="720"/>
              <w:tab w:val="right" w:pos="9360" w:leader="dot"/>
            </w:tabs>
            <w:rPr/>
          </w:pPr>
          <w:hyperlink w:anchor="__RefHeading___Toc6123_3918200752">
            <w:r>
              <w:rPr>
                <w:webHidden/>
                <w:rStyle w:val="IndexLink"/>
              </w:rPr>
              <w:t>Article 26. The Deconfliction Hotline and Emergency Routing</w:t>
              <w:tab/>
              <w:t>26</w:t>
            </w:r>
          </w:hyperlink>
        </w:p>
        <w:p>
          <w:pPr>
            <w:pStyle w:val="Contents2"/>
            <w:tabs>
              <w:tab w:val="clear" w:pos="720"/>
              <w:tab w:val="right" w:pos="9360" w:leader="dot"/>
            </w:tabs>
            <w:rPr/>
          </w:pPr>
          <w:hyperlink w:anchor="__RefHeading___Toc6125_3918200752">
            <w:r>
              <w:rPr>
                <w:webHidden/>
                <w:rStyle w:val="IndexLink"/>
              </w:rPr>
              <w:t>Article 27. Coordinated Surveillance</w:t>
              <w:tab/>
              <w:t>27</w:t>
            </w:r>
          </w:hyperlink>
        </w:p>
        <w:p>
          <w:pPr>
            <w:pStyle w:val="Contents2"/>
            <w:tabs>
              <w:tab w:val="clear" w:pos="720"/>
              <w:tab w:val="right" w:pos="9360" w:leader="dot"/>
            </w:tabs>
            <w:rPr/>
          </w:pPr>
          <w:hyperlink w:anchor="__RefHeading___Toc6127_3918200752">
            <w:r>
              <w:rPr>
                <w:webHidden/>
                <w:rStyle w:val="IndexLink"/>
              </w:rPr>
              <w:t>Article 28. Incident Protocol</w:t>
              <w:tab/>
              <w:t>28</w:t>
            </w:r>
          </w:hyperlink>
        </w:p>
        <w:p>
          <w:pPr>
            <w:pStyle w:val="Contents2"/>
            <w:tabs>
              <w:tab w:val="clear" w:pos="720"/>
              <w:tab w:val="right" w:pos="9360" w:leader="dot"/>
            </w:tabs>
            <w:rPr/>
          </w:pPr>
          <w:hyperlink w:anchor="__RefHeading___Toc6129_3918200752">
            <w:r>
              <w:rPr>
                <w:webHidden/>
                <w:rStyle w:val="IndexLink"/>
              </w:rPr>
              <w:t>Article 28A. Crisis Management and Strategic De-escalation</w:t>
              <w:tab/>
              <w:t>28</w:t>
            </w:r>
          </w:hyperlink>
        </w:p>
        <w:p>
          <w:pPr>
            <w:pStyle w:val="Contents1"/>
            <w:tabs>
              <w:tab w:val="clear" w:pos="720"/>
              <w:tab w:val="right" w:pos="9360" w:leader="dot"/>
            </w:tabs>
            <w:rPr/>
          </w:pPr>
          <w:hyperlink w:anchor="__RefHeading___Toc6131_3918200752">
            <w:r>
              <w:rPr>
                <w:webHidden/>
                <w:rStyle w:val="IndexLink"/>
              </w:rPr>
              <w:t>PART VIII. ENVIRONMENTAL PROTECTION, SAFETY, AND SEARCH AND RESCUE</w:t>
              <w:tab/>
              <w:t>29</w:t>
            </w:r>
          </w:hyperlink>
        </w:p>
        <w:p>
          <w:pPr>
            <w:pStyle w:val="Contents2"/>
            <w:tabs>
              <w:tab w:val="clear" w:pos="720"/>
              <w:tab w:val="right" w:pos="9360" w:leader="dot"/>
            </w:tabs>
            <w:rPr/>
          </w:pPr>
          <w:hyperlink w:anchor="__RefHeading___Toc6133_3918200752">
            <w:r>
              <w:rPr>
                <w:webHidden/>
                <w:rStyle w:val="IndexLink"/>
              </w:rPr>
              <w:t>Article 29. The Environmental Regime</w:t>
              <w:tab/>
              <w:t>29</w:t>
            </w:r>
          </w:hyperlink>
        </w:p>
        <w:p>
          <w:pPr>
            <w:pStyle w:val="Contents2"/>
            <w:tabs>
              <w:tab w:val="clear" w:pos="720"/>
              <w:tab w:val="right" w:pos="9360" w:leader="dot"/>
            </w:tabs>
            <w:rPr/>
          </w:pPr>
          <w:hyperlink w:anchor="__RefHeading___Toc6135_3918200752">
            <w:r>
              <w:rPr>
                <w:webHidden/>
                <w:rStyle w:val="IndexLink"/>
              </w:rPr>
              <w:t>Article 30. Spill Response and the Joint Roster</w:t>
              <w:tab/>
              <w:t>29</w:t>
            </w:r>
          </w:hyperlink>
        </w:p>
        <w:p>
          <w:pPr>
            <w:pStyle w:val="Contents2"/>
            <w:tabs>
              <w:tab w:val="clear" w:pos="720"/>
              <w:tab w:val="right" w:pos="9360" w:leader="dot"/>
            </w:tabs>
            <w:rPr/>
          </w:pPr>
          <w:hyperlink w:anchor="__RefHeading___Toc6137_3918200752">
            <w:r>
              <w:rPr>
                <w:webHidden/>
                <w:rStyle w:val="IndexLink"/>
              </w:rPr>
              <w:t>Article 31. Green Incentives</w:t>
              <w:tab/>
              <w:t>30</w:t>
            </w:r>
          </w:hyperlink>
        </w:p>
        <w:p>
          <w:pPr>
            <w:pStyle w:val="Contents1"/>
            <w:tabs>
              <w:tab w:val="clear" w:pos="720"/>
              <w:tab w:val="right" w:pos="9360" w:leader="dot"/>
            </w:tabs>
            <w:rPr/>
          </w:pPr>
          <w:hyperlink w:anchor="__RefHeading___Toc6139_3918200752">
            <w:r>
              <w:rPr>
                <w:webHidden/>
                <w:rStyle w:val="IndexLink"/>
              </w:rPr>
              <w:t>PART IX. THE HUMANITARIAN BRIDGE</w:t>
              <w:tab/>
              <w:t>30</w:t>
            </w:r>
          </w:hyperlink>
        </w:p>
        <w:p>
          <w:pPr>
            <w:pStyle w:val="Contents2"/>
            <w:tabs>
              <w:tab w:val="clear" w:pos="720"/>
              <w:tab w:val="right" w:pos="9360" w:leader="dot"/>
            </w:tabs>
            <w:rPr/>
          </w:pPr>
          <w:hyperlink w:anchor="__RefHeading___Toc6141_3918200752">
            <w:r>
              <w:rPr>
                <w:webHidden/>
                <w:rStyle w:val="IndexLink"/>
              </w:rPr>
              <w:t>Article 32. Humanitarian Priority and Seafarer Welfare</w:t>
              <w:tab/>
              <w:t>30</w:t>
            </w:r>
          </w:hyperlink>
        </w:p>
        <w:p>
          <w:pPr>
            <w:pStyle w:val="Contents1"/>
            <w:tabs>
              <w:tab w:val="clear" w:pos="720"/>
              <w:tab w:val="right" w:pos="9360" w:leader="dot"/>
            </w:tabs>
            <w:rPr/>
          </w:pPr>
          <w:hyperlink w:anchor="__RefHeading___Toc6143_3918200752">
            <w:r>
              <w:rPr>
                <w:webHidden/>
                <w:rStyle w:val="IndexLink"/>
              </w:rPr>
              <w:t>PART X. VERIFICATION, TRANSPARENCY, AND COMPLIANCE</w:t>
              <w:tab/>
              <w:t>31</w:t>
            </w:r>
          </w:hyperlink>
        </w:p>
        <w:p>
          <w:pPr>
            <w:pStyle w:val="Contents2"/>
            <w:tabs>
              <w:tab w:val="clear" w:pos="720"/>
              <w:tab w:val="right" w:pos="9360" w:leader="dot"/>
            </w:tabs>
            <w:rPr/>
          </w:pPr>
          <w:hyperlink w:anchor="__RefHeading___Toc6145_3918200752">
            <w:r>
              <w:rPr>
                <w:webHidden/>
                <w:rStyle w:val="IndexLink"/>
              </w:rPr>
              <w:t>Article 33. Verification Architecture</w:t>
              <w:tab/>
              <w:t>31</w:t>
            </w:r>
          </w:hyperlink>
        </w:p>
        <w:p>
          <w:pPr>
            <w:pStyle w:val="Contents2"/>
            <w:tabs>
              <w:tab w:val="clear" w:pos="720"/>
              <w:tab w:val="right" w:pos="9360" w:leader="dot"/>
            </w:tabs>
            <w:rPr/>
          </w:pPr>
          <w:hyperlink w:anchor="__RefHeading___Toc6147_3918200752">
            <w:r>
              <w:rPr>
                <w:webHidden/>
                <w:rStyle w:val="IndexLink"/>
              </w:rPr>
              <w:t>Article 34. Compliance Monitoring</w:t>
              <w:tab/>
              <w:t>32</w:t>
            </w:r>
          </w:hyperlink>
        </w:p>
        <w:p>
          <w:pPr>
            <w:pStyle w:val="Contents2"/>
            <w:tabs>
              <w:tab w:val="clear" w:pos="720"/>
              <w:tab w:val="right" w:pos="9360" w:leader="dot"/>
            </w:tabs>
            <w:rPr/>
          </w:pPr>
          <w:hyperlink w:anchor="__RefHeading___Toc6149_3918200752">
            <w:r>
              <w:rPr>
                <w:webHidden/>
                <w:rStyle w:val="IndexLink"/>
              </w:rPr>
              <w:t>Article 35. The Compliance Ladder</w:t>
              <w:tab/>
              <w:t>32</w:t>
            </w:r>
          </w:hyperlink>
        </w:p>
        <w:p>
          <w:pPr>
            <w:pStyle w:val="Contents1"/>
            <w:tabs>
              <w:tab w:val="clear" w:pos="720"/>
              <w:tab w:val="right" w:pos="9360" w:leader="dot"/>
            </w:tabs>
            <w:rPr/>
          </w:pPr>
          <w:hyperlink w:anchor="__RefHeading___Toc6151_3918200752">
            <w:r>
              <w:rPr>
                <w:webHidden/>
                <w:rStyle w:val="IndexLink"/>
              </w:rPr>
              <w:t>PART XI. TRANSITION, REVIEW, AND THE SUNSET OF INTERIM ROUTES</w:t>
              <w:tab/>
              <w:t>33</w:t>
            </w:r>
          </w:hyperlink>
        </w:p>
        <w:p>
          <w:pPr>
            <w:pStyle w:val="Contents2"/>
            <w:tabs>
              <w:tab w:val="clear" w:pos="720"/>
              <w:tab w:val="right" w:pos="9360" w:leader="dot"/>
            </w:tabs>
            <w:rPr/>
          </w:pPr>
          <w:hyperlink w:anchor="__RefHeading___Toc6153_3918200752">
            <w:r>
              <w:rPr>
                <w:webHidden/>
                <w:rStyle w:val="IndexLink"/>
              </w:rPr>
              <w:t>Article 36. The Transition Period</w:t>
              <w:tab/>
              <w:t>33</w:t>
            </w:r>
          </w:hyperlink>
        </w:p>
        <w:p>
          <w:pPr>
            <w:pStyle w:val="Contents2"/>
            <w:tabs>
              <w:tab w:val="clear" w:pos="720"/>
              <w:tab w:val="right" w:pos="9360" w:leader="dot"/>
            </w:tabs>
            <w:rPr/>
          </w:pPr>
          <w:hyperlink w:anchor="__RefHeading___Toc6155_3918200752">
            <w:r>
              <w:rPr>
                <w:webHidden/>
                <w:rStyle w:val="IndexLink"/>
              </w:rPr>
              <w:t>Article 37. Review Cycles</w:t>
              <w:tab/>
              <w:t>33</w:t>
            </w:r>
          </w:hyperlink>
        </w:p>
        <w:p>
          <w:pPr>
            <w:pStyle w:val="Contents1"/>
            <w:tabs>
              <w:tab w:val="clear" w:pos="720"/>
              <w:tab w:val="right" w:pos="9360" w:leader="dot"/>
            </w:tabs>
            <w:rPr/>
          </w:pPr>
          <w:hyperlink w:anchor="__RefHeading___Toc6157_3918200752">
            <w:r>
              <w:rPr>
                <w:webHidden/>
                <w:rStyle w:val="IndexLink"/>
              </w:rPr>
              <w:t>PART XII. DISPUTE RESOLUTION</w:t>
              <w:tab/>
              <w:t>34</w:t>
            </w:r>
          </w:hyperlink>
        </w:p>
        <w:p>
          <w:pPr>
            <w:pStyle w:val="Contents2"/>
            <w:tabs>
              <w:tab w:val="clear" w:pos="720"/>
              <w:tab w:val="right" w:pos="9360" w:leader="dot"/>
            </w:tabs>
            <w:rPr/>
          </w:pPr>
          <w:hyperlink w:anchor="__RefHeading___Toc6159_3918200752">
            <w:r>
              <w:rPr>
                <w:webHidden/>
                <w:rStyle w:val="IndexLink"/>
              </w:rPr>
              <w:t>Article 38. The Consultation Ladder</w:t>
              <w:tab/>
              <w:t>34</w:t>
            </w:r>
          </w:hyperlink>
        </w:p>
        <w:p>
          <w:pPr>
            <w:pStyle w:val="Contents2"/>
            <w:tabs>
              <w:tab w:val="clear" w:pos="720"/>
              <w:tab w:val="right" w:pos="9360" w:leader="dot"/>
            </w:tabs>
            <w:rPr/>
          </w:pPr>
          <w:hyperlink w:anchor="__RefHeading___Toc6161_3918200752">
            <w:r>
              <w:rPr>
                <w:webHidden/>
                <w:rStyle w:val="IndexLink"/>
              </w:rPr>
              <w:t>Article 39. Technical Panels and Arbitration</w:t>
              <w:tab/>
              <w:t>34</w:t>
            </w:r>
          </w:hyperlink>
        </w:p>
        <w:p>
          <w:pPr>
            <w:pStyle w:val="Contents2"/>
            <w:tabs>
              <w:tab w:val="clear" w:pos="720"/>
              <w:tab w:val="right" w:pos="9360" w:leader="dot"/>
            </w:tabs>
            <w:rPr/>
          </w:pPr>
          <w:hyperlink w:anchor="__RefHeading___Toc6163_3918200752">
            <w:r>
              <w:rPr>
                <w:webHidden/>
                <w:rStyle w:val="IndexLink"/>
              </w:rPr>
              <w:t>Article 40. Interpretation Disputes</w:t>
              <w:tab/>
              <w:t>35</w:t>
            </w:r>
          </w:hyperlink>
        </w:p>
        <w:p>
          <w:pPr>
            <w:pStyle w:val="Contents1"/>
            <w:tabs>
              <w:tab w:val="clear" w:pos="720"/>
              <w:tab w:val="right" w:pos="9360" w:leader="dot"/>
            </w:tabs>
            <w:rPr/>
          </w:pPr>
          <w:hyperlink w:anchor="__RefHeading___Toc6165_3918200752">
            <w:r>
              <w:rPr>
                <w:webHidden/>
                <w:rStyle w:val="IndexLink"/>
              </w:rPr>
              <w:t>PART XIII. RELATIONSHIP TO OTHER INSTRUMENTS</w:t>
              <w:tab/>
              <w:t>35</w:t>
            </w:r>
          </w:hyperlink>
        </w:p>
        <w:p>
          <w:pPr>
            <w:pStyle w:val="Contents2"/>
            <w:tabs>
              <w:tab w:val="clear" w:pos="720"/>
              <w:tab w:val="right" w:pos="9360" w:leader="dot"/>
            </w:tabs>
            <w:rPr/>
          </w:pPr>
          <w:hyperlink w:anchor="__RefHeading___Toc6167_3918200752">
            <w:r>
              <w:rPr>
                <w:webHidden/>
                <w:rStyle w:val="IndexLink"/>
              </w:rPr>
              <w:t>Article 41. Relationship to Other Negotiations and Instruments</w:t>
              <w:tab/>
              <w:t>35</w:t>
            </w:r>
          </w:hyperlink>
        </w:p>
        <w:p>
          <w:pPr>
            <w:pStyle w:val="Contents1"/>
            <w:tabs>
              <w:tab w:val="clear" w:pos="720"/>
              <w:tab w:val="right" w:pos="9360" w:leader="dot"/>
            </w:tabs>
            <w:rPr/>
          </w:pPr>
          <w:hyperlink w:anchor="__RefHeading___Toc6169_3918200752">
            <w:r>
              <w:rPr>
                <w:webHidden/>
                <w:rStyle w:val="IndexLink"/>
              </w:rPr>
              <w:t>PART XIV. FINAL PROVISIONS</w:t>
              <w:tab/>
              <w:t>36</w:t>
            </w:r>
          </w:hyperlink>
        </w:p>
        <w:p>
          <w:pPr>
            <w:pStyle w:val="Contents2"/>
            <w:tabs>
              <w:tab w:val="clear" w:pos="720"/>
              <w:tab w:val="right" w:pos="9360" w:leader="dot"/>
            </w:tabs>
            <w:rPr/>
          </w:pPr>
          <w:hyperlink w:anchor="__RefHeading___Toc6171_3918200752">
            <w:r>
              <w:rPr>
                <w:webHidden/>
                <w:rStyle w:val="IndexLink"/>
              </w:rPr>
              <w:t>Article 42. Signature, Entry into Force, and Deposit</w:t>
              <w:tab/>
              <w:t>36</w:t>
            </w:r>
          </w:hyperlink>
        </w:p>
        <w:p>
          <w:pPr>
            <w:pStyle w:val="Contents2"/>
            <w:tabs>
              <w:tab w:val="clear" w:pos="720"/>
              <w:tab w:val="right" w:pos="9360" w:leader="dot"/>
            </w:tabs>
            <w:rPr/>
          </w:pPr>
          <w:hyperlink w:anchor="__RefHeading___Toc6173_3918200752">
            <w:r>
              <w:rPr>
                <w:webHidden/>
                <w:rStyle w:val="IndexLink"/>
              </w:rPr>
              <w:t>Article 43. Amendment and Accession of Instruments</w:t>
              <w:tab/>
              <w:t>36</w:t>
            </w:r>
          </w:hyperlink>
        </w:p>
        <w:p>
          <w:pPr>
            <w:pStyle w:val="Contents2"/>
            <w:tabs>
              <w:tab w:val="clear" w:pos="720"/>
              <w:tab w:val="right" w:pos="9360" w:leader="dot"/>
            </w:tabs>
            <w:rPr/>
          </w:pPr>
          <w:hyperlink w:anchor="__RefHeading___Toc6175_3918200752">
            <w:r>
              <w:rPr>
                <w:webHidden/>
                <w:rStyle w:val="IndexLink"/>
              </w:rPr>
              <w:t>Article 44. Relationship of Parts and Severability</w:t>
              <w:tab/>
              <w:t>36</w:t>
            </w:r>
          </w:hyperlink>
        </w:p>
        <w:p>
          <w:pPr>
            <w:pStyle w:val="Contents2"/>
            <w:tabs>
              <w:tab w:val="clear" w:pos="720"/>
              <w:tab w:val="right" w:pos="9360" w:leader="dot"/>
            </w:tabs>
            <w:rPr/>
          </w:pPr>
          <w:hyperlink w:anchor="__RefHeading___Toc6177_3918200752">
            <w:r>
              <w:rPr>
                <w:webHidden/>
                <w:rStyle w:val="IndexLink"/>
              </w:rPr>
              <w:t>Article 45. Languages</w:t>
              <w:tab/>
              <w:t>36</w:t>
            </w:r>
          </w:hyperlink>
        </w:p>
        <w:p>
          <w:pPr>
            <w:pStyle w:val="Contents1"/>
            <w:tabs>
              <w:tab w:val="clear" w:pos="720"/>
              <w:tab w:val="right" w:pos="9360" w:leader="dot"/>
            </w:tabs>
            <w:rPr/>
          </w:pPr>
          <w:hyperlink w:anchor="__RefHeading___Toc6179_3918200752">
            <w:r>
              <w:rPr>
                <w:webHidden/>
                <w:rStyle w:val="IndexLink"/>
              </w:rPr>
              <w:t>SIGNATURE PAGES</w:t>
              <w:tab/>
              <w:t>37</w:t>
            </w:r>
          </w:hyperlink>
        </w:p>
        <w:p>
          <w:pPr>
            <w:pStyle w:val="Contents1"/>
            <w:tabs>
              <w:tab w:val="clear" w:pos="720"/>
              <w:tab w:val="right" w:pos="9360" w:leader="dot"/>
            </w:tabs>
            <w:rPr/>
          </w:pPr>
          <w:hyperlink w:anchor="__RefHeading___Toc6181_3918200752">
            <w:r>
              <w:rPr>
                <w:webHidden/>
                <w:rStyle w:val="IndexLink"/>
              </w:rPr>
              <w:t>ANNEX A. CORRIDOR COORDINATES, WAYPOINTS, AND CHARTLET REGISTER</w:t>
              <w:tab/>
              <w:t>38</w:t>
            </w:r>
          </w:hyperlink>
        </w:p>
        <w:p>
          <w:pPr>
            <w:pStyle w:val="Contents2"/>
            <w:tabs>
              <w:tab w:val="clear" w:pos="720"/>
              <w:tab w:val="right" w:pos="9360" w:leader="dot"/>
            </w:tabs>
            <w:rPr/>
          </w:pPr>
          <w:hyperlink w:anchor="__RefHeading___Toc6183_3918200752">
            <w:r>
              <w:rPr>
                <w:webHidden/>
                <w:rStyle w:val="IndexLink"/>
              </w:rPr>
              <w:t>A.1 Purpose and status</w:t>
              <w:tab/>
              <w:t>38</w:t>
            </w:r>
          </w:hyperlink>
        </w:p>
        <w:p>
          <w:pPr>
            <w:pStyle w:val="Contents2"/>
            <w:tabs>
              <w:tab w:val="clear" w:pos="720"/>
              <w:tab w:val="right" w:pos="9360" w:leader="dot"/>
            </w:tabs>
            <w:rPr/>
          </w:pPr>
          <w:hyperlink w:anchor="__RefHeading___Toc6185_3918200752">
            <w:r>
              <w:rPr>
                <w:webHidden/>
                <w:rStyle w:val="IndexLink"/>
              </w:rPr>
              <w:t>A.2 Corridor One — Northern Stewardship Corridor (Inbound)</w:t>
              <w:tab/>
              <w:t>38</w:t>
            </w:r>
          </w:hyperlink>
        </w:p>
        <w:p>
          <w:pPr>
            <w:pStyle w:val="Contents2"/>
            <w:tabs>
              <w:tab w:val="clear" w:pos="720"/>
              <w:tab w:val="right" w:pos="9360" w:leader="dot"/>
            </w:tabs>
            <w:rPr/>
          </w:pPr>
          <w:hyperlink w:anchor="__RefHeading___Toc6187_3918200752">
            <w:r>
              <w:rPr>
                <w:webHidden/>
                <w:rStyle w:val="IndexLink"/>
              </w:rPr>
              <w:t>A.3 Corridor Three — Southern Assurance Corridor (Outbound)</w:t>
              <w:tab/>
              <w:t>39</w:t>
            </w:r>
          </w:hyperlink>
        </w:p>
        <w:p>
          <w:pPr>
            <w:pStyle w:val="Contents2"/>
            <w:tabs>
              <w:tab w:val="clear" w:pos="720"/>
              <w:tab w:val="right" w:pos="9360" w:leader="dot"/>
            </w:tabs>
            <w:rPr/>
          </w:pPr>
          <w:hyperlink w:anchor="__RefHeading___Toc6189_3918200752">
            <w:r>
              <w:rPr>
                <w:webHidden/>
                <w:rStyle w:val="IndexLink"/>
              </w:rPr>
              <w:t>A.4 Separation and buffer geometry</w:t>
              <w:tab/>
              <w:t>39</w:t>
            </w:r>
          </w:hyperlink>
        </w:p>
        <w:p>
          <w:pPr>
            <w:pStyle w:val="Contents2"/>
            <w:tabs>
              <w:tab w:val="clear" w:pos="720"/>
              <w:tab w:val="right" w:pos="9360" w:leader="dot"/>
            </w:tabs>
            <w:rPr/>
          </w:pPr>
          <w:hyperlink w:anchor="__RefHeading___Toc6191_3918200752">
            <w:r>
              <w:rPr>
                <w:webHidden/>
                <w:rStyle w:val="IndexLink"/>
              </w:rPr>
              <w:t>A.5 Corridor Two — Central Corridor (design track)</w:t>
              <w:tab/>
              <w:t>40</w:t>
            </w:r>
          </w:hyperlink>
        </w:p>
        <w:p>
          <w:pPr>
            <w:pStyle w:val="Contents2"/>
            <w:tabs>
              <w:tab w:val="clear" w:pos="720"/>
              <w:tab w:val="right" w:pos="9360" w:leader="dot"/>
            </w:tabs>
            <w:rPr/>
          </w:pPr>
          <w:hyperlink w:anchor="__RefHeading___Toc6193_3918200752">
            <w:r>
              <w:rPr>
                <w:webHidden/>
                <w:rStyle w:val="IndexLink"/>
              </w:rPr>
              <w:t>A.6 Waiting areas and anchorages</w:t>
              <w:tab/>
              <w:t>40</w:t>
            </w:r>
          </w:hyperlink>
        </w:p>
        <w:p>
          <w:pPr>
            <w:pStyle w:val="Contents2"/>
            <w:tabs>
              <w:tab w:val="clear" w:pos="720"/>
              <w:tab w:val="right" w:pos="9360" w:leader="dot"/>
            </w:tabs>
            <w:rPr/>
          </w:pPr>
          <w:hyperlink w:anchor="__RefHeading___Toc6195_3918200752">
            <w:r>
              <w:rPr>
                <w:webHidden/>
                <w:rStyle w:val="IndexLink"/>
              </w:rPr>
              <w:t>A.7 Deconfliction belt</w:t>
              <w:tab/>
              <w:t>40</w:t>
            </w:r>
          </w:hyperlink>
        </w:p>
        <w:p>
          <w:pPr>
            <w:pStyle w:val="Contents2"/>
            <w:tabs>
              <w:tab w:val="clear" w:pos="720"/>
              <w:tab w:val="right" w:pos="9360" w:leader="dot"/>
            </w:tabs>
            <w:rPr/>
          </w:pPr>
          <w:hyperlink w:anchor="__RefHeading___Toc6197_3918200752">
            <w:r>
              <w:rPr>
                <w:webHidden/>
                <w:rStyle w:val="IndexLink"/>
              </w:rPr>
              <w:t>A.8 Reporting points and communications</w:t>
              <w:tab/>
              <w:t>40</w:t>
            </w:r>
          </w:hyperlink>
        </w:p>
        <w:p>
          <w:pPr>
            <w:pStyle w:val="Contents2"/>
            <w:tabs>
              <w:tab w:val="clear" w:pos="720"/>
              <w:tab w:val="right" w:pos="9360" w:leader="dot"/>
            </w:tabs>
            <w:rPr/>
          </w:pPr>
          <w:hyperlink w:anchor="__RefHeading___Toc6199_3918200752">
            <w:r>
              <w:rPr>
                <w:webHidden/>
                <w:rStyle w:val="IndexLink"/>
              </w:rPr>
              <w:t>A.9 Chartlet register</w:t>
              <w:tab/>
              <w:t>41</w:t>
            </w:r>
          </w:hyperlink>
        </w:p>
        <w:p>
          <w:pPr>
            <w:pStyle w:val="Contents1"/>
            <w:tabs>
              <w:tab w:val="clear" w:pos="720"/>
              <w:tab w:val="right" w:pos="9360" w:leader="dot"/>
            </w:tabs>
            <w:rPr/>
          </w:pPr>
          <w:hyperlink w:anchor="__RefHeading___Toc6201_3918200752">
            <w:r>
              <w:rPr>
                <w:webHidden/>
                <w:rStyle w:val="IndexLink"/>
              </w:rPr>
              <w:t>ANNEX B. NOTIFICATION MESSAGE FORMATS AND DATA FIELDS</w:t>
              <w:tab/>
              <w:t>41</w:t>
            </w:r>
          </w:hyperlink>
        </w:p>
        <w:p>
          <w:pPr>
            <w:pStyle w:val="Contents2"/>
            <w:tabs>
              <w:tab w:val="clear" w:pos="720"/>
              <w:tab w:val="right" w:pos="9360" w:leader="dot"/>
            </w:tabs>
            <w:rPr/>
          </w:pPr>
          <w:hyperlink w:anchor="__RefHeading___Toc6203_3918200752">
            <w:r>
              <w:rPr>
                <w:webHidden/>
                <w:rStyle w:val="IndexLink"/>
              </w:rPr>
              <w:t>B.1 General rules</w:t>
              <w:tab/>
              <w:t>41</w:t>
            </w:r>
          </w:hyperlink>
        </w:p>
        <w:p>
          <w:pPr>
            <w:pStyle w:val="Contents2"/>
            <w:tabs>
              <w:tab w:val="clear" w:pos="720"/>
              <w:tab w:val="right" w:pos="9360" w:leader="dot"/>
            </w:tabs>
            <w:rPr/>
          </w:pPr>
          <w:hyperlink w:anchor="__RefHeading___Toc6205_3918200752">
            <w:r>
              <w:rPr>
                <w:webHidden/>
                <w:rStyle w:val="IndexLink"/>
              </w:rPr>
              <w:t>B.2 T-48 Transit Notice (mandatory fields)</w:t>
              <w:tab/>
              <w:t>41</w:t>
            </w:r>
          </w:hyperlink>
        </w:p>
        <w:p>
          <w:pPr>
            <w:pStyle w:val="Contents2"/>
            <w:tabs>
              <w:tab w:val="clear" w:pos="720"/>
              <w:tab w:val="right" w:pos="9360" w:leader="dot"/>
            </w:tabs>
            <w:rPr/>
          </w:pPr>
          <w:hyperlink w:anchor="__RefHeading___Toc6207_3918200752">
            <w:r>
              <w:rPr>
                <w:webHidden/>
                <w:rStyle w:val="IndexLink"/>
              </w:rPr>
              <w:t>B.3 T-6 Approach Report (mandatory fields)</w:t>
              <w:tab/>
              <w:t>41</w:t>
            </w:r>
          </w:hyperlink>
        </w:p>
        <w:p>
          <w:pPr>
            <w:pStyle w:val="Contents2"/>
            <w:tabs>
              <w:tab w:val="clear" w:pos="720"/>
              <w:tab w:val="right" w:pos="9360" w:leader="dot"/>
            </w:tabs>
            <w:rPr/>
          </w:pPr>
          <w:hyperlink w:anchor="__RefHeading___Toc6209_3918200752">
            <w:r>
              <w:rPr>
                <w:webHidden/>
                <w:rStyle w:val="IndexLink"/>
              </w:rPr>
              <w:t>B.4 Entry Report and in-transit reports</w:t>
              <w:tab/>
              <w:t>42</w:t>
            </w:r>
          </w:hyperlink>
        </w:p>
        <w:p>
          <w:pPr>
            <w:pStyle w:val="Contents2"/>
            <w:tabs>
              <w:tab w:val="clear" w:pos="720"/>
              <w:tab w:val="right" w:pos="9360" w:leader="dot"/>
            </w:tabs>
            <w:rPr/>
          </w:pPr>
          <w:hyperlink w:anchor="__RefHeading___Toc6211_3918200752">
            <w:r>
              <w:rPr>
                <w:webHidden/>
                <w:rStyle w:val="IndexLink"/>
              </w:rPr>
              <w:t>B.5 Standard cargo category codes</w:t>
              <w:tab/>
              <w:t>42</w:t>
            </w:r>
          </w:hyperlink>
        </w:p>
        <w:p>
          <w:pPr>
            <w:pStyle w:val="Contents2"/>
            <w:tabs>
              <w:tab w:val="clear" w:pos="720"/>
              <w:tab w:val="right" w:pos="9360" w:leader="dot"/>
            </w:tabs>
            <w:rPr/>
          </w:pPr>
          <w:hyperlink w:anchor="__RefHeading___Toc6213_3918200752">
            <w:r>
              <w:rPr>
                <w:webHidden/>
                <w:rStyle w:val="IndexLink"/>
              </w:rPr>
              <w:t>B.6 Humanitarian shipment streamlining</w:t>
              <w:tab/>
              <w:t>42</w:t>
            </w:r>
          </w:hyperlink>
        </w:p>
        <w:p>
          <w:pPr>
            <w:pStyle w:val="Contents2"/>
            <w:tabs>
              <w:tab w:val="clear" w:pos="720"/>
              <w:tab w:val="right" w:pos="9360" w:leader="dot"/>
            </w:tabs>
            <w:rPr/>
          </w:pPr>
          <w:hyperlink w:anchor="__RefHeading___Toc6215_3918200752">
            <w:r>
              <w:rPr>
                <w:webHidden/>
                <w:rStyle w:val="IndexLink"/>
              </w:rPr>
              <w:t>B.7 Vessel Registry data fields and vetting criteria</w:t>
              <w:tab/>
              <w:t>42</w:t>
            </w:r>
          </w:hyperlink>
        </w:p>
        <w:p>
          <w:pPr>
            <w:pStyle w:val="Contents2"/>
            <w:tabs>
              <w:tab w:val="clear" w:pos="720"/>
              <w:tab w:val="right" w:pos="9360" w:leader="dot"/>
            </w:tabs>
            <w:rPr/>
          </w:pPr>
          <w:hyperlink w:anchor="__RefHeading___Toc6217_3918200752">
            <w:r>
              <w:rPr>
                <w:webHidden/>
                <w:rStyle w:val="IndexLink"/>
              </w:rPr>
              <w:t>B.8 Message security</w:t>
              <w:tab/>
              <w:t>43</w:t>
            </w:r>
          </w:hyperlink>
        </w:p>
        <w:p>
          <w:pPr>
            <w:pStyle w:val="Contents1"/>
            <w:tabs>
              <w:tab w:val="clear" w:pos="720"/>
              <w:tab w:val="right" w:pos="9360" w:leader="dot"/>
            </w:tabs>
            <w:rPr/>
          </w:pPr>
          <w:hyperlink w:anchor="__RefHeading___Toc6219_3918200752">
            <w:r>
              <w:rPr>
                <w:webHidden/>
                <w:rStyle w:val="IndexLink"/>
              </w:rPr>
              <w:t>ANNEX C. THE VERIFIED SERVICES CATALOG AND CHARGE SCHEDULE</w:t>
              <w:tab/>
              <w:t>43</w:t>
            </w:r>
          </w:hyperlink>
        </w:p>
        <w:p>
          <w:pPr>
            <w:pStyle w:val="Contents2"/>
            <w:tabs>
              <w:tab w:val="clear" w:pos="720"/>
              <w:tab w:val="right" w:pos="9360" w:leader="dot"/>
            </w:tabs>
            <w:rPr/>
          </w:pPr>
          <w:hyperlink w:anchor="__RefHeading___Toc6221_3918200752">
            <w:r>
              <w:rPr>
                <w:webHidden/>
                <w:rStyle w:val="IndexLink"/>
              </w:rPr>
              <w:t>C.1 Catalog structure</w:t>
              <w:tab/>
              <w:t>43</w:t>
            </w:r>
          </w:hyperlink>
        </w:p>
        <w:p>
          <w:pPr>
            <w:pStyle w:val="Contents2"/>
            <w:tabs>
              <w:tab w:val="clear" w:pos="720"/>
              <w:tab w:val="right" w:pos="9360" w:leader="dot"/>
            </w:tabs>
            <w:rPr/>
          </w:pPr>
          <w:hyperlink w:anchor="__RefHeading___Toc6223_3918200752">
            <w:r>
              <w:rPr>
                <w:webHidden/>
                <w:rStyle w:val="IndexLink"/>
              </w:rPr>
              <w:t>C.2 Charge schedule (entry-into-force edition)</w:t>
              <w:tab/>
              <w:t>43</w:t>
            </w:r>
          </w:hyperlink>
        </w:p>
        <w:p>
          <w:pPr>
            <w:pStyle w:val="Contents2"/>
            <w:tabs>
              <w:tab w:val="clear" w:pos="720"/>
              <w:tab w:val="right" w:pos="9360" w:leader="dot"/>
            </w:tabs>
            <w:rPr/>
          </w:pPr>
          <w:hyperlink w:anchor="__RefHeading___Toc6225_3918200752">
            <w:r>
              <w:rPr>
                <w:webHidden/>
                <w:rStyle w:val="IndexLink"/>
              </w:rPr>
              <w:t>C.3 Cost-orientation and margin</w:t>
              <w:tab/>
              <w:t>44</w:t>
            </w:r>
          </w:hyperlink>
        </w:p>
        <w:p>
          <w:pPr>
            <w:pStyle w:val="Contents2"/>
            <w:tabs>
              <w:tab w:val="clear" w:pos="720"/>
              <w:tab w:val="right" w:pos="9360" w:leader="dot"/>
            </w:tabs>
            <w:rPr/>
          </w:pPr>
          <w:hyperlink w:anchor="__RefHeading___Toc6227_3918200752">
            <w:r>
              <w:rPr>
                <w:webHidden/>
                <w:rStyle w:val="IndexLink"/>
              </w:rPr>
              <w:t>C.4 Priority-window allocation rule</w:t>
              <w:tab/>
              <w:t>44</w:t>
            </w:r>
          </w:hyperlink>
        </w:p>
        <w:p>
          <w:pPr>
            <w:pStyle w:val="Contents2"/>
            <w:tabs>
              <w:tab w:val="clear" w:pos="720"/>
              <w:tab w:val="right" w:pos="9360" w:leader="dot"/>
            </w:tabs>
            <w:rPr/>
          </w:pPr>
          <w:hyperlink w:anchor="__RefHeading___Toc6229_3918200752">
            <w:r>
              <w:rPr>
                <w:webHidden/>
                <w:rStyle w:val="IndexLink"/>
              </w:rPr>
              <w:t>C.5 Green Discount rates</w:t>
              <w:tab/>
              <w:t>44</w:t>
            </w:r>
          </w:hyperlink>
        </w:p>
        <w:p>
          <w:pPr>
            <w:pStyle w:val="Contents2"/>
            <w:tabs>
              <w:tab w:val="clear" w:pos="720"/>
              <w:tab w:val="right" w:pos="9360" w:leader="dot"/>
            </w:tabs>
            <w:rPr/>
          </w:pPr>
          <w:hyperlink w:anchor="__RefHeading___Toc6231_3918200752">
            <w:r>
              <w:rPr>
                <w:webHidden/>
                <w:rStyle w:val="IndexLink"/>
              </w:rPr>
              <w:t>C.6 Non-election baseline</w:t>
              <w:tab/>
              <w:t>44</w:t>
            </w:r>
          </w:hyperlink>
        </w:p>
        <w:p>
          <w:pPr>
            <w:pStyle w:val="Contents2"/>
            <w:tabs>
              <w:tab w:val="clear" w:pos="720"/>
              <w:tab w:val="right" w:pos="9360" w:leader="dot"/>
            </w:tabs>
            <w:rPr/>
          </w:pPr>
          <w:hyperlink w:anchor="__RefHeading___Toc6233_3918200752">
            <w:r>
              <w:rPr>
                <w:webHidden/>
                <w:rStyle w:val="IndexLink"/>
              </w:rPr>
              <w:t>C.7 Amendment cycle</w:t>
              <w:tab/>
              <w:t>45</w:t>
            </w:r>
          </w:hyperlink>
        </w:p>
        <w:p>
          <w:pPr>
            <w:pStyle w:val="Contents2"/>
            <w:tabs>
              <w:tab w:val="clear" w:pos="720"/>
              <w:tab w:val="right" w:pos="9360" w:leader="dot"/>
            </w:tabs>
            <w:rPr/>
          </w:pPr>
          <w:hyperlink w:anchor="__RefHeading___Toc6235_3918200752">
            <w:r>
              <w:rPr>
                <w:webHidden/>
                <w:rStyle w:val="IndexLink"/>
              </w:rPr>
              <w:t>C.8 Service delivery protocols (selected)</w:t>
              <w:tab/>
              <w:t>45</w:t>
            </w:r>
          </w:hyperlink>
        </w:p>
        <w:p>
          <w:pPr>
            <w:pStyle w:val="Contents1"/>
            <w:tabs>
              <w:tab w:val="clear" w:pos="720"/>
              <w:tab w:val="right" w:pos="9360" w:leader="dot"/>
            </w:tabs>
            <w:rPr/>
          </w:pPr>
          <w:hyperlink w:anchor="__RefHeading___Toc6237_3918200752">
            <w:r>
              <w:rPr>
                <w:webHidden/>
                <w:rStyle w:val="IndexLink"/>
              </w:rPr>
              <w:t>ANNEX D. ESCROW, REVENUE-SHARING, AND AUDIT RULES</w:t>
              <w:tab/>
              <w:t>45</w:t>
            </w:r>
          </w:hyperlink>
        </w:p>
        <w:p>
          <w:pPr>
            <w:pStyle w:val="Contents2"/>
            <w:tabs>
              <w:tab w:val="clear" w:pos="720"/>
              <w:tab w:val="right" w:pos="9360" w:leader="dot"/>
            </w:tabs>
            <w:rPr/>
          </w:pPr>
          <w:hyperlink w:anchor="__RefHeading___Toc6239_3918200752">
            <w:r>
              <w:rPr>
                <w:webHidden/>
                <w:rStyle w:val="IndexLink"/>
              </w:rPr>
              <w:t>D.1 Accounts architecture</w:t>
              <w:tab/>
              <w:t>45</w:t>
            </w:r>
          </w:hyperlink>
        </w:p>
        <w:p>
          <w:pPr>
            <w:pStyle w:val="Contents2"/>
            <w:tabs>
              <w:tab w:val="clear" w:pos="720"/>
              <w:tab w:val="right" w:pos="9360" w:leader="dot"/>
            </w:tabs>
            <w:rPr/>
          </w:pPr>
          <w:hyperlink w:anchor="__RefHeading___Toc6241_3918200752">
            <w:r>
              <w:rPr>
                <w:webHidden/>
                <w:rStyle w:val="IndexLink"/>
              </w:rPr>
              <w:t>D.2 Flow rules</w:t>
              <w:tab/>
              <w:t>45</w:t>
            </w:r>
          </w:hyperlink>
        </w:p>
        <w:p>
          <w:pPr>
            <w:pStyle w:val="Contents2"/>
            <w:tabs>
              <w:tab w:val="clear" w:pos="720"/>
              <w:tab w:val="right" w:pos="9360" w:leader="dot"/>
            </w:tabs>
            <w:rPr/>
          </w:pPr>
          <w:hyperlink w:anchor="__RefHeading___Toc6243_3918200752">
            <w:r>
              <w:rPr>
                <w:webHidden/>
                <w:rStyle w:val="IndexLink"/>
              </w:rPr>
              <w:t>D.3 Sanctions-compliance screening</w:t>
              <w:tab/>
              <w:t>46</w:t>
            </w:r>
          </w:hyperlink>
        </w:p>
        <w:p>
          <w:pPr>
            <w:pStyle w:val="Contents2"/>
            <w:tabs>
              <w:tab w:val="clear" w:pos="720"/>
              <w:tab w:val="right" w:pos="9360" w:leader="dot"/>
            </w:tabs>
            <w:rPr/>
          </w:pPr>
          <w:hyperlink w:anchor="__RefHeading___Toc6245_3918200752">
            <w:r>
              <w:rPr>
                <w:webHidden/>
                <w:rStyle w:val="IndexLink"/>
              </w:rPr>
              <w:t>D.4 Settlement currencies and routing</w:t>
              <w:tab/>
              <w:t>46</w:t>
            </w:r>
          </w:hyperlink>
        </w:p>
        <w:p>
          <w:pPr>
            <w:pStyle w:val="Contents2"/>
            <w:tabs>
              <w:tab w:val="clear" w:pos="720"/>
              <w:tab w:val="right" w:pos="9360" w:leader="dot"/>
            </w:tabs>
            <w:rPr/>
          </w:pPr>
          <w:hyperlink w:anchor="__RefHeading___Toc6247_3918200752">
            <w:r>
              <w:rPr>
                <w:webHidden/>
                <w:rStyle w:val="IndexLink"/>
              </w:rPr>
              <w:t>D.5 In-kind valuation</w:t>
              <w:tab/>
              <w:t>46</w:t>
            </w:r>
          </w:hyperlink>
        </w:p>
        <w:p>
          <w:pPr>
            <w:pStyle w:val="Contents2"/>
            <w:tabs>
              <w:tab w:val="clear" w:pos="720"/>
              <w:tab w:val="right" w:pos="9360" w:leader="dot"/>
            </w:tabs>
            <w:rPr/>
          </w:pPr>
          <w:hyperlink w:anchor="__RefHeading___Toc6249_3918200752">
            <w:r>
              <w:rPr>
                <w:webHidden/>
                <w:rStyle w:val="IndexLink"/>
              </w:rPr>
              <w:t>D.6 Audit panel and standards</w:t>
              <w:tab/>
              <w:t>46</w:t>
            </w:r>
          </w:hyperlink>
        </w:p>
        <w:p>
          <w:pPr>
            <w:pStyle w:val="Contents2"/>
            <w:tabs>
              <w:tab w:val="clear" w:pos="720"/>
              <w:tab w:val="right" w:pos="9360" w:leader="dot"/>
            </w:tabs>
            <w:rPr/>
          </w:pPr>
          <w:hyperlink w:anchor="__RefHeading___Toc6251_3918200752">
            <w:r>
              <w:rPr>
                <w:webHidden/>
                <w:rStyle w:val="IndexLink"/>
              </w:rPr>
              <w:t>D.7 Thresholds</w:t>
              <w:tab/>
              <w:t>46</w:t>
            </w:r>
          </w:hyperlink>
        </w:p>
        <w:p>
          <w:pPr>
            <w:pStyle w:val="Contents1"/>
            <w:tabs>
              <w:tab w:val="clear" w:pos="720"/>
              <w:tab w:val="right" w:pos="9360" w:leader="dot"/>
            </w:tabs>
            <w:rPr/>
          </w:pPr>
          <w:hyperlink w:anchor="__RefHeading___Toc6253_3918200752">
            <w:r>
              <w:rPr>
                <w:webHidden/>
                <w:rStyle w:val="IndexLink"/>
              </w:rPr>
              <w:t>ANNEX E. MINE CLEARANCE AND CORRIDOR CERTIFICATION PROTOCOL</w:t>
              <w:tab/>
              <w:t>46</w:t>
            </w:r>
          </w:hyperlink>
        </w:p>
        <w:p>
          <w:pPr>
            <w:pStyle w:val="Contents2"/>
            <w:tabs>
              <w:tab w:val="clear" w:pos="720"/>
              <w:tab w:val="right" w:pos="9360" w:leader="dot"/>
            </w:tabs>
            <w:rPr/>
          </w:pPr>
          <w:hyperlink w:anchor="__RefHeading___Toc6255_3918200752">
            <w:r>
              <w:rPr>
                <w:webHidden/>
                <w:rStyle w:val="IndexLink"/>
              </w:rPr>
              <w:t>E.1 Segmentation</w:t>
              <w:tab/>
              <w:t>46</w:t>
            </w:r>
          </w:hyperlink>
        </w:p>
        <w:p>
          <w:pPr>
            <w:pStyle w:val="Contents2"/>
            <w:tabs>
              <w:tab w:val="clear" w:pos="720"/>
              <w:tab w:val="right" w:pos="9360" w:leader="dot"/>
            </w:tabs>
            <w:rPr/>
          </w:pPr>
          <w:hyperlink w:anchor="__RefHeading___Toc6257_3918200752">
            <w:r>
              <w:rPr>
                <w:webHidden/>
                <w:rStyle w:val="IndexLink"/>
              </w:rPr>
              <w:t>E.2 Clearance standards</w:t>
              <w:tab/>
              <w:t>46</w:t>
            </w:r>
          </w:hyperlink>
        </w:p>
        <w:p>
          <w:pPr>
            <w:pStyle w:val="Contents2"/>
            <w:tabs>
              <w:tab w:val="clear" w:pos="720"/>
              <w:tab w:val="right" w:pos="9360" w:leader="dot"/>
            </w:tabs>
            <w:rPr/>
          </w:pPr>
          <w:hyperlink w:anchor="__RefHeading___Toc6259_3918200752">
            <w:r>
              <w:rPr>
                <w:webHidden/>
                <w:rStyle w:val="IndexLink"/>
              </w:rPr>
              <w:t>E.3 Clearance sequence logic</w:t>
              <w:tab/>
              <w:t>47</w:t>
            </w:r>
          </w:hyperlink>
        </w:p>
        <w:p>
          <w:pPr>
            <w:pStyle w:val="Contents2"/>
            <w:tabs>
              <w:tab w:val="clear" w:pos="720"/>
              <w:tab w:val="right" w:pos="9360" w:leader="dot"/>
            </w:tabs>
            <w:rPr/>
          </w:pPr>
          <w:hyperlink w:anchor="__RefHeading___Toc6261_3918200752">
            <w:r>
              <w:rPr>
                <w:webHidden/>
                <w:rStyle w:val="IndexLink"/>
              </w:rPr>
              <w:t>E.4 Joint verification teams</w:t>
              <w:tab/>
              <w:t>47</w:t>
            </w:r>
          </w:hyperlink>
        </w:p>
        <w:p>
          <w:pPr>
            <w:pStyle w:val="Contents2"/>
            <w:tabs>
              <w:tab w:val="clear" w:pos="720"/>
              <w:tab w:val="right" w:pos="9360" w:leader="dot"/>
            </w:tabs>
            <w:rPr/>
          </w:pPr>
          <w:hyperlink w:anchor="__RefHeading___Toc6263_3918200752">
            <w:r>
              <w:rPr>
                <w:webHidden/>
                <w:rStyle w:val="IndexLink"/>
              </w:rPr>
              <w:t>E.5 Certification</w:t>
              <w:tab/>
              <w:t>47</w:t>
            </w:r>
          </w:hyperlink>
        </w:p>
        <w:p>
          <w:pPr>
            <w:pStyle w:val="Contents2"/>
            <w:tabs>
              <w:tab w:val="clear" w:pos="720"/>
              <w:tab w:val="right" w:pos="9360" w:leader="dot"/>
            </w:tabs>
            <w:rPr/>
          </w:pPr>
          <w:hyperlink w:anchor="__RefHeading___Toc6265_3918200752">
            <w:r>
              <w:rPr>
                <w:webHidden/>
                <w:rStyle w:val="IndexLink"/>
              </w:rPr>
              <w:t>E.6 Residual-risk management</w:t>
              <w:tab/>
              <w:t>47</w:t>
            </w:r>
          </w:hyperlink>
        </w:p>
        <w:p>
          <w:pPr>
            <w:pStyle w:val="Contents2"/>
            <w:tabs>
              <w:tab w:val="clear" w:pos="720"/>
              <w:tab w:val="right" w:pos="9360" w:leader="dot"/>
            </w:tabs>
            <w:rPr/>
          </w:pPr>
          <w:hyperlink w:anchor="__RefHeading___Toc6267_3918200752">
            <w:r>
              <w:rPr>
                <w:webHidden/>
                <w:rStyle w:val="IndexLink"/>
              </w:rPr>
              <w:t>E.7 Records</w:t>
              <w:tab/>
              <w:t>47</w:t>
            </w:r>
          </w:hyperlink>
        </w:p>
        <w:p>
          <w:pPr>
            <w:pStyle w:val="Contents1"/>
            <w:tabs>
              <w:tab w:val="clear" w:pos="720"/>
              <w:tab w:val="right" w:pos="9360" w:leader="dot"/>
            </w:tabs>
            <w:rPr/>
          </w:pPr>
          <w:hyperlink w:anchor="__RefHeading___Toc6269_3918200752">
            <w:r>
              <w:rPr>
                <w:webHidden/>
                <w:rStyle w:val="IndexLink"/>
              </w:rPr>
              <w:t>ANNEX F. DECONFLICTION, HOTLINE, AND INCIDENT PROCEDURES</w:t>
              <w:tab/>
              <w:t>48</w:t>
            </w:r>
          </w:hyperlink>
        </w:p>
        <w:p>
          <w:pPr>
            <w:pStyle w:val="Contents2"/>
            <w:tabs>
              <w:tab w:val="clear" w:pos="720"/>
              <w:tab w:val="right" w:pos="9360" w:leader="dot"/>
            </w:tabs>
            <w:rPr/>
          </w:pPr>
          <w:hyperlink w:anchor="__RefHeading___Toc6271_3918200752">
            <w:r>
              <w:rPr>
                <w:webHidden/>
                <w:rStyle w:val="IndexLink"/>
              </w:rPr>
              <w:t>F.1 Hotline architecture</w:t>
              <w:tab/>
              <w:t>48</w:t>
            </w:r>
          </w:hyperlink>
        </w:p>
        <w:p>
          <w:pPr>
            <w:pStyle w:val="Contents2"/>
            <w:tabs>
              <w:tab w:val="clear" w:pos="720"/>
              <w:tab w:val="right" w:pos="9360" w:leader="dot"/>
            </w:tabs>
            <w:rPr/>
          </w:pPr>
          <w:hyperlink w:anchor="__RefHeading___Toc6273_3918200752">
            <w:r>
              <w:rPr>
                <w:webHidden/>
                <w:rStyle w:val="IndexLink"/>
              </w:rPr>
              <w:t>F.2 Hotline message precedence</w:t>
              <w:tab/>
              <w:t>48</w:t>
            </w:r>
          </w:hyperlink>
        </w:p>
        <w:p>
          <w:pPr>
            <w:pStyle w:val="Contents2"/>
            <w:tabs>
              <w:tab w:val="clear" w:pos="720"/>
              <w:tab w:val="right" w:pos="9360" w:leader="dot"/>
            </w:tabs>
            <w:rPr/>
          </w:pPr>
          <w:hyperlink w:anchor="__RefHeading___Toc6275_3918200752">
            <w:r>
              <w:rPr>
                <w:webHidden/>
                <w:rStyle w:val="IndexLink"/>
              </w:rPr>
              <w:t>F.3 Dual-key electronic form</w:t>
              <w:tab/>
              <w:t>48</w:t>
            </w:r>
          </w:hyperlink>
        </w:p>
        <w:p>
          <w:pPr>
            <w:pStyle w:val="Contents2"/>
            <w:tabs>
              <w:tab w:val="clear" w:pos="720"/>
              <w:tab w:val="right" w:pos="9360" w:leader="dot"/>
            </w:tabs>
            <w:rPr/>
          </w:pPr>
          <w:hyperlink w:anchor="__RefHeading___Toc6277_3918200752">
            <w:r>
              <w:rPr>
                <w:webHidden/>
                <w:rStyle w:val="IndexLink"/>
              </w:rPr>
              <w:t>F.4 Communications plan</w:t>
              <w:tab/>
              <w:t>48</w:t>
            </w:r>
          </w:hyperlink>
        </w:p>
        <w:p>
          <w:pPr>
            <w:pStyle w:val="Contents2"/>
            <w:tabs>
              <w:tab w:val="clear" w:pos="720"/>
              <w:tab w:val="right" w:pos="9360" w:leader="dot"/>
            </w:tabs>
            <w:rPr/>
          </w:pPr>
          <w:hyperlink w:anchor="__RefHeading___Toc6279_3918200752">
            <w:r>
              <w:rPr>
                <w:webHidden/>
                <w:rStyle w:val="IndexLink"/>
              </w:rPr>
              <w:t>F.5 Incident classification and response ladder</w:t>
              <w:tab/>
              <w:t>48</w:t>
            </w:r>
          </w:hyperlink>
        </w:p>
        <w:p>
          <w:pPr>
            <w:pStyle w:val="Contents2"/>
            <w:tabs>
              <w:tab w:val="clear" w:pos="720"/>
              <w:tab w:val="right" w:pos="9360" w:leader="dot"/>
            </w:tabs>
            <w:rPr/>
          </w:pPr>
          <w:hyperlink w:anchor="__RefHeading___Toc6281_3918200752">
            <w:r>
              <w:rPr>
                <w:webHidden/>
                <w:rStyle w:val="IndexLink"/>
              </w:rPr>
              <w:t>F.6 Rehearsals</w:t>
              <w:tab/>
              <w:t>49</w:t>
            </w:r>
          </w:hyperlink>
        </w:p>
        <w:p>
          <w:pPr>
            <w:pStyle w:val="Contents1"/>
            <w:tabs>
              <w:tab w:val="clear" w:pos="720"/>
              <w:tab w:val="right" w:pos="9360" w:leader="dot"/>
            </w:tabs>
            <w:rPr/>
          </w:pPr>
          <w:hyperlink w:anchor="__RefHeading___Toc6283_3918200752">
            <w:r>
              <w:rPr>
                <w:webHidden/>
                <w:rStyle w:val="IndexLink"/>
              </w:rPr>
              <w:t>ANNEX G. ENVIRONMENTAL AND SEARCH-AND-RESCUE PROTOCOLS</w:t>
              <w:tab/>
              <w:t>49</w:t>
            </w:r>
          </w:hyperlink>
        </w:p>
        <w:p>
          <w:pPr>
            <w:pStyle w:val="Contents2"/>
            <w:tabs>
              <w:tab w:val="clear" w:pos="720"/>
              <w:tab w:val="right" w:pos="9360" w:leader="dot"/>
            </w:tabs>
            <w:rPr/>
          </w:pPr>
          <w:hyperlink w:anchor="__RefHeading___Toc6285_3918200752">
            <w:r>
              <w:rPr>
                <w:webHidden/>
                <w:rStyle w:val="IndexLink"/>
              </w:rPr>
              <w:t>G.1 Monitoring stations</w:t>
              <w:tab/>
              <w:t>49</w:t>
            </w:r>
          </w:hyperlink>
        </w:p>
        <w:p>
          <w:pPr>
            <w:pStyle w:val="Contents2"/>
            <w:tabs>
              <w:tab w:val="clear" w:pos="720"/>
              <w:tab w:val="right" w:pos="9360" w:leader="dot"/>
            </w:tabs>
            <w:rPr/>
          </w:pPr>
          <w:hyperlink w:anchor="__RefHeading___Toc6287_3918200752">
            <w:r>
              <w:rPr>
                <w:webHidden/>
                <w:rStyle w:val="IndexLink"/>
              </w:rPr>
              <w:t>G.2 Sensitive areas and seasonal measures</w:t>
              <w:tab/>
              <w:t>49</w:t>
            </w:r>
          </w:hyperlink>
        </w:p>
        <w:p>
          <w:pPr>
            <w:pStyle w:val="Contents2"/>
            <w:tabs>
              <w:tab w:val="clear" w:pos="720"/>
              <w:tab w:val="right" w:pos="9360" w:leader="dot"/>
            </w:tabs>
            <w:rPr/>
          </w:pPr>
          <w:hyperlink w:anchor="__RefHeading___Toc6289_3918200752">
            <w:r>
              <w:rPr>
                <w:webHidden/>
                <w:rStyle w:val="IndexLink"/>
              </w:rPr>
              <w:t>G.3 Spill-response roster and standards</w:t>
              <w:tab/>
              <w:t>49</w:t>
            </w:r>
          </w:hyperlink>
        </w:p>
        <w:p>
          <w:pPr>
            <w:pStyle w:val="Contents2"/>
            <w:tabs>
              <w:tab w:val="clear" w:pos="720"/>
              <w:tab w:val="right" w:pos="9360" w:leader="dot"/>
            </w:tabs>
            <w:rPr/>
          </w:pPr>
          <w:hyperlink w:anchor="__RefHeading___Toc6291_3918200752">
            <w:r>
              <w:rPr>
                <w:webHidden/>
                <w:rStyle w:val="IndexLink"/>
              </w:rPr>
              <w:t>G.4 Search and rescue</w:t>
              <w:tab/>
              <w:t>50</w:t>
            </w:r>
          </w:hyperlink>
        </w:p>
        <w:p>
          <w:pPr>
            <w:pStyle w:val="Contents2"/>
            <w:tabs>
              <w:tab w:val="clear" w:pos="720"/>
              <w:tab w:val="right" w:pos="9360" w:leader="dot"/>
            </w:tabs>
            <w:rPr/>
          </w:pPr>
          <w:hyperlink w:anchor="__RefHeading___Toc6293_3918200752">
            <w:r>
              <w:rPr>
                <w:webHidden/>
                <w:rStyle w:val="IndexLink"/>
              </w:rPr>
              <w:t>G.5 Ballast and waste</w:t>
              <w:tab/>
              <w:t>50</w:t>
            </w:r>
          </w:hyperlink>
        </w:p>
        <w:p>
          <w:pPr>
            <w:pStyle w:val="Contents2"/>
            <w:tabs>
              <w:tab w:val="clear" w:pos="720"/>
              <w:tab w:val="right" w:pos="9360" w:leader="dot"/>
            </w:tabs>
            <w:rPr/>
          </w:pPr>
          <w:hyperlink w:anchor="__RefHeading___Toc6295_3918200752">
            <w:r>
              <w:rPr>
                <w:webHidden/>
                <w:rStyle w:val="IndexLink"/>
              </w:rPr>
              <w:t>G.6 Seismic and storm protocols</w:t>
              <w:tab/>
              <w:t>50</w:t>
            </w:r>
          </w:hyperlink>
        </w:p>
        <w:p>
          <w:pPr>
            <w:pStyle w:val="Contents1"/>
            <w:tabs>
              <w:tab w:val="clear" w:pos="720"/>
              <w:tab w:val="right" w:pos="9360" w:leader="dot"/>
            </w:tabs>
            <w:rPr/>
          </w:pPr>
          <w:hyperlink w:anchor="__RefHeading___Toc6297_3918200752">
            <w:r>
              <w:rPr>
                <w:webHidden/>
                <w:rStyle w:val="IndexLink"/>
              </w:rPr>
              <w:t>ANNEX H. COMPLIANCE METRICS, REPORTING TEMPLATES, AND THE TRANSPARENCY PORTAL</w:t>
              <w:tab/>
              <w:t>50</w:t>
            </w:r>
          </w:hyperlink>
        </w:p>
        <w:p>
          <w:pPr>
            <w:pStyle w:val="Contents2"/>
            <w:tabs>
              <w:tab w:val="clear" w:pos="720"/>
              <w:tab w:val="right" w:pos="9360" w:leader="dot"/>
            </w:tabs>
            <w:rPr/>
          </w:pPr>
          <w:hyperlink w:anchor="__RefHeading___Toc6299_3918200752">
            <w:r>
              <w:rPr>
                <w:webHidden/>
                <w:rStyle w:val="IndexLink"/>
              </w:rPr>
              <w:t>H.1 Compliance metrics</w:t>
              <w:tab/>
              <w:t>50</w:t>
            </w:r>
          </w:hyperlink>
        </w:p>
        <w:p>
          <w:pPr>
            <w:pStyle w:val="Contents2"/>
            <w:tabs>
              <w:tab w:val="clear" w:pos="720"/>
              <w:tab w:val="right" w:pos="9360" w:leader="dot"/>
            </w:tabs>
            <w:rPr/>
          </w:pPr>
          <w:hyperlink w:anchor="__RefHeading___Toc6301_3918200752">
            <w:r>
              <w:rPr>
                <w:webHidden/>
                <w:rStyle w:val="IndexLink"/>
              </w:rPr>
              <w:t>H.2 Quasi-toll indicator tests</w:t>
              <w:tab/>
              <w:t>51</w:t>
            </w:r>
          </w:hyperlink>
        </w:p>
        <w:p>
          <w:pPr>
            <w:pStyle w:val="Contents2"/>
            <w:tabs>
              <w:tab w:val="clear" w:pos="720"/>
              <w:tab w:val="right" w:pos="9360" w:leader="dot"/>
            </w:tabs>
            <w:rPr/>
          </w:pPr>
          <w:hyperlink w:anchor="__RefHeading___Toc6303_3918200752">
            <w:r>
              <w:rPr>
                <w:webHidden/>
                <w:rStyle w:val="IndexLink"/>
              </w:rPr>
              <w:t>H.3 The Transparency Portal</w:t>
              <w:tab/>
              <w:t>51</w:t>
            </w:r>
          </w:hyperlink>
        </w:p>
        <w:p>
          <w:pPr>
            <w:pStyle w:val="Contents2"/>
            <w:tabs>
              <w:tab w:val="clear" w:pos="720"/>
              <w:tab w:val="right" w:pos="9360" w:leader="dot"/>
            </w:tabs>
            <w:rPr/>
          </w:pPr>
          <w:hyperlink w:anchor="__RefHeading___Toc6305_3918200752">
            <w:r>
              <w:rPr>
                <w:webHidden/>
                <w:rStyle w:val="IndexLink"/>
              </w:rPr>
              <w:t>H.4 Counter-misinformation procedure</w:t>
              <w:tab/>
              <w:t>51</w:t>
            </w:r>
          </w:hyperlink>
        </w:p>
        <w:p>
          <w:pPr>
            <w:pStyle w:val="Contents2"/>
            <w:tabs>
              <w:tab w:val="clear" w:pos="720"/>
              <w:tab w:val="right" w:pos="9360" w:leader="dot"/>
            </w:tabs>
            <w:rPr/>
          </w:pPr>
          <w:hyperlink w:anchor="__RefHeading___Toc6307_3918200752">
            <w:r>
              <w:rPr>
                <w:webHidden/>
                <w:rStyle w:val="IndexLink"/>
              </w:rPr>
              <w:t>H.5 Technical expert roster and arbitration rules</w:t>
              <w:tab/>
              <w:t>51</w:t>
            </w:r>
          </w:hyperlink>
        </w:p>
        <w:p>
          <w:pPr>
            <w:pStyle w:val="Contents2"/>
            <w:tabs>
              <w:tab w:val="clear" w:pos="720"/>
              <w:tab w:val="right" w:pos="9360" w:leader="dot"/>
            </w:tabs>
            <w:rPr/>
          </w:pPr>
          <w:hyperlink w:anchor="__RefHeading___Toc6309_3918200752">
            <w:r>
              <w:rPr>
                <w:webHidden/>
                <w:rStyle w:val="IndexLink"/>
              </w:rPr>
              <w:t>H.6 Reporting templates</w:t>
              <w:tab/>
              <w:t>51</w:t>
            </w:r>
          </w:hyperlink>
        </w:p>
        <w:p>
          <w:pPr>
            <w:pStyle w:val="Contents1"/>
            <w:tabs>
              <w:tab w:val="clear" w:pos="720"/>
              <w:tab w:val="right" w:pos="9360" w:leader="dot"/>
            </w:tabs>
            <w:rPr/>
          </w:pPr>
          <w:hyperlink w:anchor="__RefHeading___Toc6311_3918200752">
            <w:r>
              <w:rPr>
                <w:webHidden/>
                <w:rStyle w:val="IndexLink"/>
              </w:rPr>
              <w:t>ANNEX I. TRANSITION SCHEDULE AND SUNSET CALENDAR</w:t>
              <w:tab/>
              <w:t>52</w:t>
            </w:r>
          </w:hyperlink>
        </w:p>
        <w:p>
          <w:pPr>
            <w:pStyle w:val="Contents2"/>
            <w:tabs>
              <w:tab w:val="clear" w:pos="720"/>
              <w:tab w:val="right" w:pos="9360" w:leader="dot"/>
            </w:tabs>
            <w:rPr/>
          </w:pPr>
          <w:hyperlink w:anchor="__RefHeading___Toc6313_3918200752">
            <w:r>
              <w:rPr>
                <w:webHidden/>
                <w:rStyle w:val="IndexLink"/>
              </w:rPr>
              <w:t>I.1 Master timeline (days from Day 0)</w:t>
              <w:tab/>
              <w:t>52</w:t>
            </w:r>
          </w:hyperlink>
        </w:p>
        <w:p>
          <w:pPr>
            <w:pStyle w:val="Contents2"/>
            <w:tabs>
              <w:tab w:val="clear" w:pos="720"/>
              <w:tab w:val="right" w:pos="9360" w:leader="dot"/>
            </w:tabs>
            <w:rPr/>
          </w:pPr>
          <w:hyperlink w:anchor="__RefHeading___Toc6315_3918200752">
            <w:r>
              <w:rPr>
                <w:webHidden/>
                <w:rStyle w:val="IndexLink"/>
              </w:rPr>
              <w:t>I.2 Acceleration and slippage</w:t>
              <w:tab/>
              <w:t>52</w:t>
            </w:r>
          </w:hyperlink>
        </w:p>
        <w:p>
          <w:pPr>
            <w:pStyle w:val="Contents2"/>
            <w:tabs>
              <w:tab w:val="clear" w:pos="720"/>
              <w:tab w:val="right" w:pos="9360" w:leader="dot"/>
            </w:tabs>
            <w:rPr/>
          </w:pPr>
          <w:hyperlink w:anchor="__RefHeading___Toc6317_3918200752">
            <w:r>
              <w:rPr>
                <w:webHidden/>
                <w:rStyle w:val="IndexLink"/>
              </w:rPr>
              <w:t>I.3 Sunset detail</w:t>
              <w:tab/>
              <w:t>52</w:t>
            </w:r>
          </w:hyperlink>
        </w:p>
        <w:p>
          <w:pPr>
            <w:pStyle w:val="Contents1"/>
            <w:tabs>
              <w:tab w:val="clear" w:pos="720"/>
              <w:tab w:val="right" w:pos="9360" w:leader="dot"/>
            </w:tabs>
            <w:rPr/>
          </w:pPr>
          <w:hyperlink w:anchor="__RefHeading___Toc6319_3918200752">
            <w:r>
              <w:rPr>
                <w:webHidden/>
                <w:rStyle w:val="IndexLink"/>
              </w:rPr>
              <w:t>ANNEX J. DEFINITIONS AND ABBREVIATIONS</w:t>
              <w:tab/>
              <w:t>53</w:t>
            </w:r>
          </w:hyperlink>
        </w:p>
        <w:p>
          <w:pPr>
            <w:pStyle w:val="Contents2"/>
            <w:tabs>
              <w:tab w:val="clear" w:pos="720"/>
              <w:tab w:val="right" w:pos="9360" w:leader="dot"/>
            </w:tabs>
            <w:rPr/>
          </w:pPr>
          <w:hyperlink w:anchor="__RefHeading___Toc6321_3918200752">
            <w:r>
              <w:rPr>
                <w:webHidden/>
                <w:rStyle w:val="IndexLink"/>
              </w:rPr>
              <w:t>J.1 Abbreviations</w:t>
              <w:tab/>
              <w:t>53</w:t>
            </w:r>
          </w:hyperlink>
        </w:p>
        <w:p>
          <w:pPr>
            <w:pStyle w:val="Contents2"/>
            <w:tabs>
              <w:tab w:val="clear" w:pos="720"/>
              <w:tab w:val="right" w:pos="9360" w:leader="dot"/>
            </w:tabs>
            <w:rPr/>
          </w:pPr>
          <w:hyperlink w:anchor="__RefHeading___Toc6323_3918200752">
            <w:r>
              <w:rPr>
                <w:webHidden/>
                <w:rStyle w:val="IndexLink"/>
              </w:rPr>
              <w:t>J.2 Supplementary definitions</w:t>
              <w:tab/>
              <w:t>53</w:t>
            </w:r>
          </w:hyperlink>
        </w:p>
        <w:p>
          <w:pPr>
            <w:pStyle w:val="Contents1"/>
            <w:tabs>
              <w:tab w:val="clear" w:pos="720"/>
              <w:tab w:val="right" w:pos="9360" w:leader="dot"/>
            </w:tabs>
            <w:rPr/>
          </w:pPr>
          <w:hyperlink w:anchor="__RefHeading___Toc6325_3918200752">
            <w:r>
              <w:rPr>
                <w:webHidden/>
                <w:rStyle w:val="IndexLink"/>
              </w:rPr>
              <w:t>ANNEX K. POSITIONS ALIGNMENT MATRIX</w:t>
              <w:tab/>
              <w:t>53</w:t>
            </w:r>
          </w:hyperlink>
        </w:p>
        <w:p>
          <w:pPr>
            <w:pStyle w:val="Contents2"/>
            <w:tabs>
              <w:tab w:val="clear" w:pos="720"/>
              <w:tab w:val="right" w:pos="9360" w:leader="dot"/>
            </w:tabs>
            <w:rPr/>
          </w:pPr>
          <w:hyperlink w:anchor="__RefHeading___Toc6327_3918200752">
            <w:r>
              <w:rPr>
                <w:webHidden/>
                <w:rStyle w:val="IndexLink"/>
              </w:rPr>
              <w:t>K.1 Purpose</w:t>
              <w:tab/>
              <w:t>53</w:t>
            </w:r>
          </w:hyperlink>
        </w:p>
        <w:p>
          <w:pPr>
            <w:pStyle w:val="Contents2"/>
            <w:tabs>
              <w:tab w:val="clear" w:pos="720"/>
              <w:tab w:val="right" w:pos="9360" w:leader="dot"/>
            </w:tabs>
            <w:rPr/>
          </w:pPr>
          <w:hyperlink w:anchor="__RefHeading___Toc6329_3918200752">
            <w:r>
              <w:rPr>
                <w:webHidden/>
                <w:rStyle w:val="IndexLink"/>
              </w:rPr>
              <w:t>K.2 Matrix</w:t>
              <w:tab/>
              <w:t>53</w:t>
            </w:r>
          </w:hyperlink>
        </w:p>
        <w:p>
          <w:pPr>
            <w:pStyle w:val="Contents2"/>
            <w:tabs>
              <w:tab w:val="clear" w:pos="720"/>
              <w:tab w:val="right" w:pos="9360" w:leader="dot"/>
            </w:tabs>
            <w:rPr/>
          </w:pPr>
          <w:hyperlink w:anchor="__RefHeading___Toc6331_3918200752">
            <w:r>
              <w:rPr>
                <w:webHidden/>
                <w:rStyle w:val="IndexLink"/>
              </w:rPr>
              <w:t>K.3 Interpretive rule</w:t>
              <w:tab/>
              <w:t>55</w:t>
            </w:r>
          </w:hyperlink>
        </w:p>
        <w:p>
          <w:pPr>
            <w:pStyle w:val="Contents1"/>
            <w:tabs>
              <w:tab w:val="clear" w:pos="720"/>
              <w:tab w:val="right" w:pos="9360" w:leader="dot"/>
            </w:tabs>
            <w:rPr/>
          </w:pPr>
          <w:hyperlink w:anchor="__RefHeading___Toc6333_3918200752">
            <w:r>
              <w:rPr>
                <w:webHidden/>
                <w:rStyle w:val="IndexLink"/>
              </w:rPr>
              <w:t>ANNEX L. DAY-0 TO DAY-120 IMPLEMENTATION CHECKLIST</w:t>
              <w:tab/>
              <w:t>55</w:t>
            </w:r>
          </w:hyperlink>
        </w:p>
        <w:p>
          <w:pPr>
            <w:pStyle w:val="Contents2"/>
            <w:tabs>
              <w:tab w:val="clear" w:pos="720"/>
              <w:tab w:val="right" w:pos="9360" w:leader="dot"/>
            </w:tabs>
            <w:rPr/>
          </w:pPr>
          <w:hyperlink w:anchor="__RefHeading___Toc6335_3918200752">
            <w:r>
              <w:rPr>
                <w:webHidden/>
                <w:rStyle w:val="IndexLink"/>
              </w:rPr>
              <w:t>L.1 Purpose</w:t>
              <w:tab/>
              <w:t>55</w:t>
            </w:r>
          </w:hyperlink>
        </w:p>
        <w:p>
          <w:pPr>
            <w:pStyle w:val="Contents2"/>
            <w:tabs>
              <w:tab w:val="clear" w:pos="720"/>
              <w:tab w:val="right" w:pos="9360" w:leader="dot"/>
            </w:tabs>
            <w:rPr/>
          </w:pPr>
          <w:hyperlink w:anchor="__RefHeading___Toc6337_3918200752">
            <w:r>
              <w:rPr>
                <w:webHidden/>
                <w:rStyle w:val="IndexLink"/>
              </w:rPr>
              <w:t>L.2 Day 0 (Entry into force)</w:t>
              <w:tab/>
              <w:t>55</w:t>
            </w:r>
          </w:hyperlink>
        </w:p>
        <w:p>
          <w:pPr>
            <w:pStyle w:val="Contents2"/>
            <w:tabs>
              <w:tab w:val="clear" w:pos="720"/>
              <w:tab w:val="right" w:pos="9360" w:leader="dot"/>
            </w:tabs>
            <w:rPr/>
          </w:pPr>
          <w:hyperlink w:anchor="__RefHeading___Toc6339_3918200752">
            <w:r>
              <w:rPr>
                <w:webHidden/>
                <w:rStyle w:val="IndexLink"/>
              </w:rPr>
              <w:t>L.3 Days 1–14</w:t>
              <w:tab/>
              <w:t>56</w:t>
            </w:r>
          </w:hyperlink>
        </w:p>
        <w:p>
          <w:pPr>
            <w:pStyle w:val="Contents2"/>
            <w:tabs>
              <w:tab w:val="clear" w:pos="720"/>
              <w:tab w:val="right" w:pos="9360" w:leader="dot"/>
            </w:tabs>
            <w:rPr/>
          </w:pPr>
          <w:hyperlink w:anchor="__RefHeading___Toc6341_3918200752">
            <w:r>
              <w:rPr>
                <w:webHidden/>
                <w:rStyle w:val="IndexLink"/>
              </w:rPr>
              <w:t>L.4 Days 15–45</w:t>
              <w:tab/>
              <w:t>56</w:t>
            </w:r>
          </w:hyperlink>
        </w:p>
        <w:p>
          <w:pPr>
            <w:pStyle w:val="Contents2"/>
            <w:tabs>
              <w:tab w:val="clear" w:pos="720"/>
              <w:tab w:val="right" w:pos="9360" w:leader="dot"/>
            </w:tabs>
            <w:rPr/>
          </w:pPr>
          <w:hyperlink w:anchor="__RefHeading___Toc6343_3918200752">
            <w:r>
              <w:rPr>
                <w:webHidden/>
                <w:rStyle w:val="IndexLink"/>
              </w:rPr>
              <w:t>L.5 Days 46–90</w:t>
              <w:tab/>
              <w:t>57</w:t>
            </w:r>
          </w:hyperlink>
        </w:p>
        <w:p>
          <w:pPr>
            <w:pStyle w:val="Contents2"/>
            <w:tabs>
              <w:tab w:val="clear" w:pos="720"/>
              <w:tab w:val="right" w:pos="9360" w:leader="dot"/>
            </w:tabs>
            <w:rPr/>
          </w:pPr>
          <w:hyperlink w:anchor="__RefHeading___Toc6345_3918200752">
            <w:r>
              <w:rPr>
                <w:webHidden/>
                <w:rStyle w:val="IndexLink"/>
              </w:rPr>
              <w:t>L.6 Days 91–120</w:t>
              <w:tab/>
              <w:t>57</w:t>
            </w:r>
          </w:hyperlink>
        </w:p>
        <w:p>
          <w:pPr>
            <w:pStyle w:val="Contents1"/>
            <w:tabs>
              <w:tab w:val="clear" w:pos="720"/>
              <w:tab w:val="right" w:pos="9360" w:leader="dot"/>
            </w:tabs>
            <w:rPr/>
          </w:pPr>
          <w:hyperlink w:anchor="__RefHeading___Toc6347_3918200752">
            <w:r>
              <w:rPr>
                <w:webHidden/>
                <w:rStyle w:val="IndexLink"/>
              </w:rPr>
              <w:t>ANNEX M. INSURANCE POOL AND ECONOMIC CONTINUITY INSTRUMENTS</w:t>
              <w:tab/>
              <w:t>58</w:t>
            </w:r>
          </w:hyperlink>
        </w:p>
        <w:p>
          <w:pPr>
            <w:pStyle w:val="Contents2"/>
            <w:tabs>
              <w:tab w:val="clear" w:pos="720"/>
              <w:tab w:val="right" w:pos="9360" w:leader="dot"/>
            </w:tabs>
            <w:rPr/>
          </w:pPr>
          <w:hyperlink w:anchor="__RefHeading___Toc6349_3918200752">
            <w:r>
              <w:rPr>
                <w:webHidden/>
                <w:rStyle w:val="IndexLink"/>
              </w:rPr>
              <w:t>M.1 The War-Risk Reinsurance Backstop — structure</w:t>
              <w:tab/>
              <w:t>58</w:t>
            </w:r>
          </w:hyperlink>
        </w:p>
        <w:p>
          <w:pPr>
            <w:pStyle w:val="Contents2"/>
            <w:tabs>
              <w:tab w:val="clear" w:pos="720"/>
              <w:tab w:val="right" w:pos="9360" w:leader="dot"/>
            </w:tabs>
            <w:rPr/>
          </w:pPr>
          <w:hyperlink w:anchor="__RefHeading___Toc6351_3918200752">
            <w:r>
              <w:rPr>
                <w:webHidden/>
                <w:rStyle w:val="IndexLink"/>
              </w:rPr>
              <w:t>M.2 The insurance panel</w:t>
              <w:tab/>
              <w:t>58</w:t>
            </w:r>
          </w:hyperlink>
        </w:p>
        <w:p>
          <w:pPr>
            <w:pStyle w:val="Contents2"/>
            <w:tabs>
              <w:tab w:val="clear" w:pos="720"/>
              <w:tab w:val="right" w:pos="9360" w:leader="dot"/>
            </w:tabs>
            <w:rPr/>
          </w:pPr>
          <w:hyperlink w:anchor="__RefHeading___Toc6353_3918200752">
            <w:r>
              <w:rPr>
                <w:webHidden/>
                <w:rStyle w:val="IndexLink"/>
              </w:rPr>
              <w:t>M.3 Business Interruption Window</w:t>
              <w:tab/>
              <w:t>58</w:t>
            </w:r>
          </w:hyperlink>
        </w:p>
        <w:p>
          <w:pPr>
            <w:pStyle w:val="Contents2"/>
            <w:tabs>
              <w:tab w:val="clear" w:pos="720"/>
              <w:tab w:val="right" w:pos="9360" w:leader="dot"/>
            </w:tabs>
            <w:rPr/>
          </w:pPr>
          <w:hyperlink w:anchor="__RefHeading___Toc6355_3918200752">
            <w:r>
              <w:rPr>
                <w:webHidden/>
                <w:rStyle w:val="IndexLink"/>
              </w:rPr>
              <w:t>M.4 Charterparty Standard Clause (model text)</w:t>
              <w:tab/>
              <w:t>59</w:t>
            </w:r>
          </w:hyperlink>
        </w:p>
        <w:p>
          <w:pPr>
            <w:pStyle w:val="Contents2"/>
            <w:tabs>
              <w:tab w:val="clear" w:pos="720"/>
              <w:tab w:val="right" w:pos="9360" w:leader="dot"/>
            </w:tabs>
            <w:rPr/>
          </w:pPr>
          <w:hyperlink w:anchor="__RefHeading___Toc6357_3918200752">
            <w:r>
              <w:rPr>
                <w:webHidden/>
                <w:rStyle w:val="IndexLink"/>
              </w:rPr>
              <w:t>M.5 Cargo Continuity Protocol</w:t>
              <w:tab/>
              <w:t>59</w:t>
            </w:r>
          </w:hyperlink>
        </w:p>
        <w:p>
          <w:pPr>
            <w:pStyle w:val="Contents1"/>
            <w:tabs>
              <w:tab w:val="clear" w:pos="720"/>
              <w:tab w:val="right" w:pos="9360" w:leader="dot"/>
            </w:tabs>
            <w:rPr/>
          </w:pPr>
          <w:hyperlink w:anchor="__RefHeading___Toc6359_3918200752">
            <w:r>
              <w:rPr>
                <w:webHidden/>
                <w:rStyle w:val="IndexLink"/>
              </w:rPr>
              <w:t>ANNEX N. THE MARINER’S HANDBOOK (OPERATIONAL SUMMARY)</w:t>
              <w:tab/>
              <w:t>59</w:t>
            </w:r>
          </w:hyperlink>
        </w:p>
        <w:p>
          <w:pPr>
            <w:pStyle w:val="Contents2"/>
            <w:tabs>
              <w:tab w:val="clear" w:pos="720"/>
              <w:tab w:val="right" w:pos="9360" w:leader="dot"/>
            </w:tabs>
            <w:rPr/>
          </w:pPr>
          <w:hyperlink w:anchor="__RefHeading___Toc6361_3918200752">
            <w:r>
              <w:rPr>
                <w:webHidden/>
                <w:rStyle w:val="IndexLink"/>
              </w:rPr>
              <w:t>N.1 Purpose</w:t>
              <w:tab/>
              <w:t>59</w:t>
            </w:r>
          </w:hyperlink>
        </w:p>
        <w:p>
          <w:pPr>
            <w:pStyle w:val="Contents2"/>
            <w:tabs>
              <w:tab w:val="clear" w:pos="720"/>
              <w:tab w:val="right" w:pos="9360" w:leader="dot"/>
            </w:tabs>
            <w:rPr/>
          </w:pPr>
          <w:hyperlink w:anchor="__RefHeading___Toc6363_3918200752">
            <w:r>
              <w:rPr>
                <w:webHidden/>
                <w:rStyle w:val="IndexLink"/>
              </w:rPr>
              <w:t>N.2 Before you sail</w:t>
              <w:tab/>
              <w:t>59</w:t>
            </w:r>
          </w:hyperlink>
        </w:p>
        <w:p>
          <w:pPr>
            <w:pStyle w:val="Contents2"/>
            <w:tabs>
              <w:tab w:val="clear" w:pos="720"/>
              <w:tab w:val="right" w:pos="9360" w:leader="dot"/>
            </w:tabs>
            <w:rPr/>
          </w:pPr>
          <w:hyperlink w:anchor="__RefHeading___Toc6365_3918200752">
            <w:r>
              <w:rPr>
                <w:webHidden/>
                <w:rStyle w:val="IndexLink"/>
              </w:rPr>
              <w:t>N.3 Approaching the Strait</w:t>
              <w:tab/>
              <w:t>59</w:t>
            </w:r>
          </w:hyperlink>
        </w:p>
        <w:p>
          <w:pPr>
            <w:pStyle w:val="Contents2"/>
            <w:tabs>
              <w:tab w:val="clear" w:pos="720"/>
              <w:tab w:val="right" w:pos="9360" w:leader="dot"/>
            </w:tabs>
            <w:rPr/>
          </w:pPr>
          <w:hyperlink w:anchor="__RefHeading___Toc6367_3918200752">
            <w:r>
              <w:rPr>
                <w:webHidden/>
                <w:rStyle w:val="IndexLink"/>
              </w:rPr>
              <w:t>N.4 In the corridor</w:t>
              <w:tab/>
              <w:t>60</w:t>
            </w:r>
          </w:hyperlink>
        </w:p>
        <w:p>
          <w:pPr>
            <w:pStyle w:val="Contents2"/>
            <w:tabs>
              <w:tab w:val="clear" w:pos="720"/>
              <w:tab w:val="right" w:pos="9360" w:leader="dot"/>
            </w:tabs>
            <w:rPr/>
          </w:pPr>
          <w:hyperlink w:anchor="__RefHeading___Toc6369_3918200752">
            <w:r>
              <w:rPr>
                <w:webHidden/>
                <w:rStyle w:val="IndexLink"/>
              </w:rPr>
              <w:t>N.5 After transit</w:t>
              <w:tab/>
              <w:t>60</w:t>
            </w:r>
          </w:hyperlink>
        </w:p>
        <w:p>
          <w:pPr>
            <w:pStyle w:val="Contents2"/>
            <w:tabs>
              <w:tab w:val="clear" w:pos="720"/>
              <w:tab w:val="right" w:pos="9360" w:leader="dot"/>
            </w:tabs>
            <w:rPr/>
          </w:pPr>
          <w:hyperlink w:anchor="__RefHeading___Toc6371_3918200752">
            <w:r>
              <w:rPr>
                <w:webHidden/>
                <w:rStyle w:val="IndexLink"/>
              </w:rPr>
              <w:t>N.6 What the framework guarantees you</w:t>
              <w:tab/>
              <w:t>60</w:t>
            </w:r>
          </w:hyperlink>
        </w:p>
        <w:p>
          <w:pPr>
            <w:pStyle w:val="Contents1"/>
            <w:tabs>
              <w:tab w:val="clear" w:pos="720"/>
              <w:tab w:val="right" w:pos="9360" w:leader="dot"/>
            </w:tabs>
            <w:rPr/>
          </w:pPr>
          <w:hyperlink w:anchor="__RefHeading___Toc6373_3918200752">
            <w:r>
              <w:rPr>
                <w:webHidden/>
                <w:rStyle w:val="IndexLink"/>
              </w:rPr>
              <w:t>ANNEX O. THE JOINT EXERCISE AND TRAINING PROGRAM</w:t>
              <w:tab/>
              <w:t>60</w:t>
            </w:r>
          </w:hyperlink>
        </w:p>
        <w:p>
          <w:pPr>
            <w:pStyle w:val="Contents2"/>
            <w:tabs>
              <w:tab w:val="clear" w:pos="720"/>
              <w:tab w:val="right" w:pos="9360" w:leader="dot"/>
            </w:tabs>
            <w:rPr/>
          </w:pPr>
          <w:hyperlink w:anchor="__RefHeading___Toc6375_3918200752">
            <w:r>
              <w:rPr>
                <w:webHidden/>
                <w:rStyle w:val="IndexLink"/>
              </w:rPr>
              <w:t>O.1 Exercise calendar</w:t>
              <w:tab/>
              <w:t>60</w:t>
            </w:r>
          </w:hyperlink>
        </w:p>
        <w:p>
          <w:pPr>
            <w:pStyle w:val="Contents2"/>
            <w:tabs>
              <w:tab w:val="clear" w:pos="720"/>
              <w:tab w:val="right" w:pos="9360" w:leader="dot"/>
            </w:tabs>
            <w:rPr/>
          </w:pPr>
          <w:hyperlink w:anchor="__RefHeading___Toc6377_3918200752">
            <w:r>
              <w:rPr>
                <w:webHidden/>
                <w:rStyle w:val="IndexLink"/>
              </w:rPr>
              <w:t>O.2 Training institutions</w:t>
              <w:tab/>
              <w:t>61</w:t>
            </w:r>
          </w:hyperlink>
        </w:p>
        <w:p>
          <w:pPr>
            <w:pStyle w:val="Contents2"/>
            <w:tabs>
              <w:tab w:val="clear" w:pos="720"/>
              <w:tab w:val="right" w:pos="9360" w:leader="dot"/>
            </w:tabs>
            <w:rPr/>
          </w:pPr>
          <w:hyperlink w:anchor="__RefHeading___Toc6379_3918200752">
            <w:r>
              <w:rPr>
                <w:webHidden/>
                <w:rStyle w:val="IndexLink"/>
              </w:rPr>
              <w:t>O.3 Exercise reporting</w:t>
              <w:tab/>
              <w:t>61</w:t>
            </w:r>
          </w:hyperlink>
        </w:p>
        <w:p>
          <w:pPr>
            <w:pStyle w:val="Contents1"/>
            <w:tabs>
              <w:tab w:val="clear" w:pos="720"/>
              <w:tab w:val="right" w:pos="9360" w:leader="dot"/>
            </w:tabs>
            <w:rPr/>
          </w:pPr>
          <w:hyperlink w:anchor="__RefHeading___Toc6381_3918200752">
            <w:r>
              <w:rPr>
                <w:webHidden/>
                <w:rStyle w:val="IndexLink"/>
              </w:rPr>
              <w:t>ANNEX P. CLASSIFIED ANNEXES REGISTER AND DOCUMENT SECURITY</w:t>
              <w:tab/>
              <w:t>61</w:t>
            </w:r>
          </w:hyperlink>
        </w:p>
        <w:p>
          <w:pPr>
            <w:pStyle w:val="Contents2"/>
            <w:tabs>
              <w:tab w:val="clear" w:pos="720"/>
              <w:tab w:val="right" w:pos="9360" w:leader="dot"/>
            </w:tabs>
            <w:rPr/>
          </w:pPr>
          <w:hyperlink w:anchor="__RefHeading___Toc6383_3918200752">
            <w:r>
              <w:rPr>
                <w:webHidden/>
                <w:rStyle w:val="IndexLink"/>
              </w:rPr>
              <w:t>P.1 The classified set</w:t>
              <w:tab/>
              <w:t>61</w:t>
            </w:r>
          </w:hyperlink>
        </w:p>
        <w:p>
          <w:pPr>
            <w:pStyle w:val="Contents2"/>
            <w:tabs>
              <w:tab w:val="clear" w:pos="720"/>
              <w:tab w:val="right" w:pos="9360" w:leader="dot"/>
            </w:tabs>
            <w:rPr/>
          </w:pPr>
          <w:hyperlink w:anchor="__RefHeading___Toc6385_3918200752">
            <w:r>
              <w:rPr>
                <w:webHidden/>
                <w:rStyle w:val="IndexLink"/>
              </w:rPr>
              <w:t>P.2 Classification rules</w:t>
              <w:tab/>
              <w:t>62</w:t>
            </w:r>
          </w:hyperlink>
        </w:p>
        <w:p>
          <w:pPr>
            <w:pStyle w:val="Contents2"/>
            <w:tabs>
              <w:tab w:val="clear" w:pos="720"/>
              <w:tab w:val="right" w:pos="9360" w:leader="dot"/>
            </w:tabs>
            <w:rPr/>
          </w:pPr>
          <w:hyperlink w:anchor="__RefHeading___Toc6387_3918200752">
            <w:r>
              <w:rPr>
                <w:webHidden/>
                <w:rStyle w:val="IndexLink"/>
              </w:rPr>
              <w:t>P.3 Handling</w:t>
              <w:tab/>
              <w:t>62</w:t>
            </w:r>
          </w:hyperlink>
        </w:p>
        <w:p>
          <w:pPr>
            <w:pStyle w:val="Contents1"/>
            <w:tabs>
              <w:tab w:val="clear" w:pos="720"/>
              <w:tab w:val="right" w:pos="9360" w:leader="dot"/>
            </w:tabs>
            <w:rPr/>
          </w:pPr>
          <w:hyperlink w:anchor="__RefHeading___Toc6389_3918200752">
            <w:r>
              <w:rPr>
                <w:webHidden/>
                <w:rStyle w:val="IndexLink"/>
              </w:rPr>
              <w:t>CLOSING NOTE OF THE DRAFTING FACILITATORS</w:t>
              <w:tab/>
              <w:t>62</w:t>
            </w:r>
          </w:hyperlink>
          <w:r>
            <w:rPr>
              <w:rStyle w:val="IndexLink"/>
            </w:rPr>
            <w:fldChar w:fldCharType="end"/>
          </w:r>
        </w:p>
      </w:sdtContent>
    </w:sdt>
    <w:p>
      <w:pPr>
        <w:sectPr>
          <w:headerReference w:type="default" r:id="rId2"/>
          <w:footerReference w:type="default" r:id="rId3"/>
          <w:type w:val="nextPage"/>
          <w:pgSz w:w="12240" w:h="15840"/>
          <w:pgMar w:left="1440" w:right="1440" w:gutter="0" w:header="720" w:top="1440" w:footer="720" w:bottom="1440"/>
          <w:pgNumType w:start="1" w:fmt="decimal"/>
          <w:formProt w:val="false"/>
          <w:textDirection w:val="lrTb"/>
          <w:docGrid w:type="default" w:linePitch="100" w:charSpace="0"/>
        </w:sectPr>
        <w:pStyle w:val="Normal"/>
        <w:widowControl/>
        <w:bidi w:val="0"/>
        <w:spacing w:before="0" w:after="200"/>
        <w:jc w:val="left"/>
        <w:rPr/>
      </w:pPr>
      <w:r>
        <w:rPr/>
      </w:r>
    </w:p>
    <w:p>
      <w:pPr>
        <w:pStyle w:val="Heading1"/>
        <w:rPr/>
      </w:pPr>
      <w:bookmarkStart w:id="0" w:name="__RefHeading___Toc6053_3918200752"/>
      <w:bookmarkEnd w:id="0"/>
      <w:r>
        <w:rPr>
          <w:rFonts w:eastAsia="" w:cs="" w:cstheme="majorBidi" w:eastAsiaTheme="majorEastAsia"/>
          <w:b/>
          <w:color w:themeColor="accent1"/>
          <w:sz w:val="32"/>
          <w:szCs w:val="32"/>
          <w:lang w:val="en-US" w:eastAsia="en-US" w:bidi="ar-SA"/>
        </w:rPr>
        <w:t>DOCUMENT CONTROL</w:t>
      </w:r>
    </w:p>
    <w:p>
      <w:pPr>
        <w:pStyle w:val="FirstParagraph"/>
        <w:rPr/>
      </w:pPr>
      <w:r>
        <w:rPr>
          <w:b/>
          <w:sz w:val="24"/>
          <w:szCs w:val="24"/>
          <w:lang w:val="en-US" w:eastAsia="en-US" w:bidi="ar-SA"/>
        </w:rPr>
        <w:t>Instrument designation.</w:t>
      </w:r>
      <w:r>
        <w:rPr>
          <w:sz w:val="24"/>
          <w:szCs w:val="24"/>
          <w:lang w:val="en-US" w:eastAsia="en-US" w:bidi="ar-SA"/>
        </w:rPr>
        <w:t xml:space="preserve"> The Hormuz Bilateral Corridor and Stewardship Agreement, Version 1.0, drafted at Muscat and Bandar Abbas during the bilateral technical negotiations of July and August 2026, and opened for signature at Muscat in August 2026.</w:t>
      </w:r>
    </w:p>
    <w:p>
      <w:pPr>
        <w:pStyle w:val="FirstParagraph"/>
        <w:rPr/>
      </w:pPr>
      <w:r>
        <w:rPr>
          <w:b/>
          <w:sz w:val="24"/>
          <w:szCs w:val="24"/>
          <w:lang w:val="en-US" w:eastAsia="en-US" w:bidi="ar-SA"/>
        </w:rPr>
        <w:t>Interpretation note.</w:t>
      </w:r>
      <w:r>
        <w:rPr>
          <w:sz w:val="24"/>
          <w:szCs w:val="24"/>
          <w:lang w:val="en-US" w:eastAsia="en-US" w:bidi="ar-SA"/>
        </w:rPr>
        <w:t xml:space="preserve"> This Agreement uses the active present tense throughout. Every clause states an operational fact of the framework. Where this Agreement describes an action, the named actor performs that action as a standing rule of the system, not as a one-time command. Timelines stated in days run from the entry into force of this Agreement, designated Day 0. The word “shall” appears nowhere in this instrument by deliberate drafting choice: every obligation operates as a present-tense description of the system the Parties are building and agree to operate.</w:t>
      </w:r>
    </w:p>
    <w:p>
      <w:pPr>
        <w:pStyle w:val="FirstParagraph"/>
        <w:rPr/>
      </w:pPr>
      <w:r>
        <w:rPr>
          <w:b/>
          <w:sz w:val="24"/>
          <w:szCs w:val="24"/>
          <w:lang w:val="en-US" w:eastAsia="en-US" w:bidi="ar-SA"/>
        </w:rPr>
        <w:t>Reading order.</w:t>
      </w:r>
      <w:r>
        <w:rPr>
          <w:sz w:val="24"/>
          <w:szCs w:val="24"/>
          <w:lang w:val="en-US" w:eastAsia="en-US" w:bidi="ar-SA"/>
        </w:rPr>
        <w:t xml:space="preserve"> Parts I through XIV state the operative treaty text. Annexes A through K carry the same legal force as the Articles they implement and contain the technical schedules, coordinates, message formats, fee schedules, and procedural detail that the Articles incorporate by reference.</w:t>
      </w:r>
    </w:p>
    <w:p>
      <w:pPr>
        <w:pStyle w:val="FirstParagraph"/>
        <w:rPr/>
      </w:pPr>
      <w:r>
        <w:rPr>
          <w:b/>
          <w:sz w:val="24"/>
          <w:szCs w:val="24"/>
          <w:lang w:val="en-US" w:eastAsia="en-US" w:bidi="ar-SA"/>
        </w:rPr>
        <w:t>Relation to the negotiating record.</w:t>
      </w:r>
      <w:r>
        <w:rPr>
          <w:sz w:val="24"/>
          <w:szCs w:val="24"/>
          <w:lang w:val="en-US" w:eastAsia="en-US" w:bidi="ar-SA"/>
        </w:rPr>
        <w:t xml:space="preserve"> This Agreement consolidates the bilateral corridor understandings reached between the Islamic Republic of Iran and the Sultanate of Oman in the technical talks of July and August 2026, including the agreed corridor geometry, the notification-based transit protocol, the service-fee architecture, and the mine-clearance and certification sequence. It operates as a self-contained bilateral instrument and takes effect independently of every other negotiation track.</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 w:name="__RefHeading___Toc6055_3918200752"/>
      <w:bookmarkStart w:id="2" w:name="preamble"/>
      <w:bookmarkEnd w:id="1"/>
      <w:r>
        <w:rPr>
          <w:rFonts w:eastAsia="" w:cs="" w:cstheme="majorBidi" w:eastAsiaTheme="majorEastAsia"/>
          <w:b/>
          <w:color w:themeColor="accent1"/>
          <w:sz w:val="32"/>
          <w:szCs w:val="32"/>
          <w:lang w:val="en-US" w:eastAsia="en-US" w:bidi="ar-SA"/>
        </w:rPr>
        <w:t>PREAMBLE</w:t>
      </w:r>
    </w:p>
    <w:p>
      <w:pPr>
        <w:pStyle w:val="FirstParagraph"/>
        <w:rPr/>
      </w:pPr>
      <w:r>
        <w:rPr>
          <w:b/>
          <w:sz w:val="24"/>
          <w:szCs w:val="24"/>
          <w:lang w:val="en-US" w:eastAsia="en-US" w:bidi="ar-SA"/>
        </w:rPr>
        <w:t>The Islamic Republic of Iran and the Sultanate of Oman</w:t>
      </w:r>
      <w:r>
        <w:rPr>
          <w:sz w:val="24"/>
          <w:szCs w:val="24"/>
          <w:lang w:val="en-US" w:eastAsia="en-US" w:bidi="ar-SA"/>
        </w:rPr>
        <w:t xml:space="preserve"> (together, the “Coastal States” or the “Parties”),</w:t>
      </w:r>
    </w:p>
    <w:p>
      <w:pPr>
        <w:pStyle w:val="FirstParagraph"/>
        <w:rPr/>
      </w:pPr>
      <w:r>
        <w:rPr>
          <w:b/>
          <w:sz w:val="24"/>
          <w:szCs w:val="24"/>
          <w:lang w:val="en-US" w:eastAsia="en-US" w:bidi="ar-SA"/>
        </w:rPr>
        <w:t>Recalling</w:t>
      </w:r>
      <w:r>
        <w:rPr>
          <w:sz w:val="24"/>
          <w:szCs w:val="24"/>
          <w:lang w:val="en-US" w:eastAsia="en-US" w:bidi="ar-SA"/>
        </w:rPr>
        <w:t xml:space="preserve"> the Traffic Separation Scheme of 1968, adopted through the International Maritime Organization, which established the shipping routes through the Strait of Hormuz and provided the technical and legal solution to the geographic reality that the sovereign waters of the two Coastal States overlap within the Strait, leaving no neutral international waters in the middle of the passage,</w:t>
      </w:r>
    </w:p>
    <w:p>
      <w:pPr>
        <w:pStyle w:val="FirstParagraph"/>
        <w:rPr/>
      </w:pPr>
      <w:r>
        <w:rPr>
          <w:b/>
          <w:sz w:val="24"/>
          <w:szCs w:val="24"/>
          <w:lang w:val="en-US" w:eastAsia="en-US" w:bidi="ar-SA"/>
        </w:rPr>
        <w:t>Recalling</w:t>
      </w:r>
      <w:r>
        <w:rPr>
          <w:sz w:val="24"/>
          <w:szCs w:val="24"/>
          <w:lang w:val="en-US" w:eastAsia="en-US" w:bidi="ar-SA"/>
        </w:rPr>
        <w:t xml:space="preserve"> that the Strait of Hormuz constitutes a strait used for international navigation connecting the Arabian Gulf with the Gulf of Oman and the wider Indian Ocean, and that before the conflict of 2026 it carried approximately one-fifth of global petroleum trade and a substantial share of global liquefied natural gas,</w:t>
      </w:r>
    </w:p>
    <w:p>
      <w:pPr>
        <w:pStyle w:val="FirstParagraph"/>
        <w:rPr/>
      </w:pPr>
      <w:r>
        <w:rPr>
          <w:b/>
          <w:sz w:val="24"/>
          <w:szCs w:val="24"/>
          <w:lang w:val="en-US" w:eastAsia="en-US" w:bidi="ar-SA"/>
        </w:rPr>
        <w:t>Recalling</w:t>
      </w:r>
      <w:r>
        <w:rPr>
          <w:sz w:val="24"/>
          <w:szCs w:val="24"/>
          <w:lang w:val="en-US" w:eastAsia="en-US" w:bidi="ar-SA"/>
        </w:rPr>
        <w:t xml:space="preserve"> the conflict of February 2026 and its consequences for navigation, including the reported presence of naval mines, the degradation of aids to navigation, the suspension of the pre-war Traffic Separation Scheme, and the stranding of more than twenty thousand seafarers aboard more than two thousand commercial vessels,</w:t>
      </w:r>
    </w:p>
    <w:p>
      <w:pPr>
        <w:pStyle w:val="FirstParagraph"/>
        <w:rPr/>
      </w:pPr>
      <w:r>
        <w:rPr>
          <w:b/>
          <w:sz w:val="24"/>
          <w:szCs w:val="24"/>
          <w:lang w:val="en-US" w:eastAsia="en-US" w:bidi="ar-SA"/>
        </w:rPr>
        <w:t>Recalling</w:t>
      </w:r>
      <w:r>
        <w:rPr>
          <w:sz w:val="24"/>
          <w:szCs w:val="24"/>
          <w:lang w:val="en-US" w:eastAsia="en-US" w:bidi="ar-SA"/>
        </w:rPr>
        <w:t xml:space="preserve"> the Memorandum of Understanding of June 2026, facilitated by regional mediators, which extended the ceasefire and opened a sixty-day window for broader negotiations, and affirming that this Agreement operates independently of that window,</w:t>
      </w:r>
    </w:p>
    <w:p>
      <w:pPr>
        <w:pStyle w:val="FirstParagraph"/>
        <w:rPr/>
      </w:pPr>
      <w:r>
        <w:rPr>
          <w:b/>
          <w:sz w:val="24"/>
          <w:szCs w:val="24"/>
          <w:lang w:val="en-US" w:eastAsia="en-US" w:bidi="ar-SA"/>
        </w:rPr>
        <w:t>Noting</w:t>
      </w:r>
      <w:r>
        <w:rPr>
          <w:sz w:val="24"/>
          <w:szCs w:val="24"/>
          <w:lang w:val="en-US" w:eastAsia="en-US" w:bidi="ar-SA"/>
        </w:rPr>
        <w:t xml:space="preserve"> the determination of the International Maritime Organization that the existing Traffic Separation Scheme stands unusable in present conditions and that temporary corridors and routing instructions from the coastal states offer the only safe near-term basis for restored navigation,</w:t>
      </w:r>
    </w:p>
    <w:p>
      <w:pPr>
        <w:pStyle w:val="FirstParagraph"/>
        <w:rPr/>
      </w:pPr>
      <w:r>
        <w:rPr>
          <w:b/>
          <w:sz w:val="24"/>
          <w:szCs w:val="24"/>
          <w:lang w:val="en-US" w:eastAsia="en-US" w:bidi="ar-SA"/>
        </w:rPr>
        <w:t>Noting</w:t>
      </w:r>
      <w:r>
        <w:rPr>
          <w:sz w:val="24"/>
          <w:szCs w:val="24"/>
          <w:lang w:val="en-US" w:eastAsia="en-US" w:bidi="ar-SA"/>
        </w:rPr>
        <w:t xml:space="preserve"> the shared conviction of the Parties that the traditional routes through the Strait must change, that expert and technical talks on changing the routes have produced broad agreement on geographical coordinates, and that a durable regime for the Strait rests on the joint action of the two states whose waters compose it,</w:t>
      </w:r>
    </w:p>
    <w:p>
      <w:pPr>
        <w:pStyle w:val="FirstParagraph"/>
        <w:rPr/>
      </w:pPr>
      <w:r>
        <w:rPr>
          <w:b/>
          <w:sz w:val="24"/>
          <w:szCs w:val="24"/>
          <w:lang w:val="en-US" w:eastAsia="en-US" w:bidi="ar-SA"/>
        </w:rPr>
        <w:t>Affirming</w:t>
      </w:r>
      <w:r>
        <w:rPr>
          <w:sz w:val="24"/>
          <w:szCs w:val="24"/>
          <w:lang w:val="en-US" w:eastAsia="en-US" w:bidi="ar-SA"/>
        </w:rPr>
        <w:t xml:space="preserve"> the sovereign rights of each Coastal State over its territorial sea, consistent with applicable international law, and affirming that this Agreement allocates functions and responsibilities between the Parties and neither transfers nor prejudices sovereignty,</w:t>
      </w:r>
    </w:p>
    <w:p>
      <w:pPr>
        <w:pStyle w:val="FirstParagraph"/>
        <w:rPr/>
      </w:pPr>
      <w:r>
        <w:rPr>
          <w:b/>
          <w:sz w:val="24"/>
          <w:szCs w:val="24"/>
          <w:lang w:val="en-US" w:eastAsia="en-US" w:bidi="ar-SA"/>
        </w:rPr>
        <w:t>Affirming</w:t>
      </w:r>
      <w:r>
        <w:rPr>
          <w:sz w:val="24"/>
          <w:szCs w:val="24"/>
          <w:lang w:val="en-US" w:eastAsia="en-US" w:bidi="ar-SA"/>
        </w:rPr>
        <w:t xml:space="preserve"> the right of the Coastal States to regulate navigation, safety, traffic management, and environmental protection in the Strait, and affirming simultaneously the legal distinction between the regulation of how vessels transit and any decision about which vessels transit,</w:t>
      </w:r>
    </w:p>
    <w:p>
      <w:pPr>
        <w:pStyle w:val="FirstParagraph"/>
        <w:rPr/>
      </w:pPr>
      <w:r>
        <w:rPr>
          <w:b/>
          <w:sz w:val="24"/>
          <w:szCs w:val="24"/>
          <w:lang w:val="en-US" w:eastAsia="en-US" w:bidi="ar-SA"/>
        </w:rPr>
        <w:t>Affirming</w:t>
      </w:r>
      <w:r>
        <w:rPr>
          <w:sz w:val="24"/>
          <w:szCs w:val="24"/>
          <w:lang w:val="en-US" w:eastAsia="en-US" w:bidi="ar-SA"/>
        </w:rPr>
        <w:t xml:space="preserve"> that passage through the Strait remains free of any charge functioning as a condition of passage, and that charges attach only to specific services actually rendered at the election of the vessel,</w:t>
      </w:r>
    </w:p>
    <w:p>
      <w:pPr>
        <w:pStyle w:val="FirstParagraph"/>
        <w:rPr/>
      </w:pPr>
      <w:r>
        <w:rPr>
          <w:b/>
          <w:sz w:val="24"/>
          <w:szCs w:val="24"/>
          <w:lang w:val="en-US" w:eastAsia="en-US" w:bidi="ar-SA"/>
        </w:rPr>
        <w:t>Recognizing</w:t>
      </w:r>
      <w:r>
        <w:rPr>
          <w:sz w:val="24"/>
          <w:szCs w:val="24"/>
          <w:lang w:val="en-US" w:eastAsia="en-US" w:bidi="ar-SA"/>
        </w:rPr>
        <w:t xml:space="preserve"> that the strait’s geography binds the two Parties together operationally: no vessel transits the Strait of Hormuz without passing through waters under the sovereignty or jurisdiction of one or both Coastal States, and no durable regime operates without the active cooperation of both,</w:t>
      </w:r>
    </w:p>
    <w:p>
      <w:pPr>
        <w:pStyle w:val="FirstParagraph"/>
        <w:rPr/>
      </w:pPr>
      <w:r>
        <w:rPr>
          <w:b/>
          <w:sz w:val="24"/>
          <w:szCs w:val="24"/>
          <w:lang w:val="en-US" w:eastAsia="en-US" w:bidi="ar-SA"/>
        </w:rPr>
        <w:t>Determined</w:t>
      </w:r>
      <w:r>
        <w:rPr>
          <w:sz w:val="24"/>
          <w:szCs w:val="24"/>
          <w:lang w:val="en-US" w:eastAsia="en-US" w:bidi="ar-SA"/>
        </w:rPr>
        <w:t xml:space="preserve"> to establish a joint, coordinated, and verifiable framework for the safe, secure, efficient, and environmentally sound passage of vessels through the Strait of Hormuz, implemented through the expertise and operational coordination of both Coastal States,</w:t>
      </w:r>
    </w:p>
    <w:p>
      <w:pPr>
        <w:pStyle w:val="FirstParagraph"/>
        <w:rPr/>
      </w:pPr>
      <w:r>
        <w:rPr>
          <w:b/>
          <w:sz w:val="24"/>
          <w:szCs w:val="24"/>
          <w:lang w:val="en-US" w:eastAsia="en-US" w:bidi="ar-SA"/>
        </w:rPr>
        <w:t>Determined</w:t>
      </w:r>
      <w:r>
        <w:rPr>
          <w:sz w:val="24"/>
          <w:szCs w:val="24"/>
          <w:lang w:val="en-US" w:eastAsia="en-US" w:bidi="ar-SA"/>
        </w:rPr>
        <w:t xml:space="preserve"> to reopen the Strait to full commercial traffic on an accelerated schedule, to clear its hazards, to certify its corridors, and to hold it open through standing institutions rather than through unilateral assertion,</w:t>
      </w:r>
    </w:p>
    <w:p>
      <w:pPr>
        <w:pStyle w:val="FirstParagraph"/>
        <w:rPr/>
      </w:pPr>
      <w:r>
        <w:rPr>
          <w:b/>
          <w:sz w:val="24"/>
          <w:szCs w:val="24"/>
          <w:lang w:val="en-US" w:eastAsia="en-US" w:bidi="ar-SA"/>
        </w:rPr>
        <w:t>Agree as follows.</w:t>
      </w:r>
    </w:p>
    <w:p>
      <w:pPr>
        <w:pStyle w:val="Normal"/>
        <w:rPr/>
      </w:pPr>
      <w:bookmarkStart w:id="3" w:name="preambl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rPr/>
      </w:pPr>
      <w:bookmarkStart w:id="4" w:name="__RefHeading___Toc6057_3918200752"/>
      <w:bookmarkStart w:id="5" w:name="part-i.-foundations"/>
      <w:bookmarkEnd w:id="4"/>
      <w:r>
        <w:rPr>
          <w:rFonts w:eastAsia="" w:cs="" w:cstheme="majorBidi" w:eastAsiaTheme="majorEastAsia"/>
          <w:b/>
          <w:color w:themeColor="accent1"/>
          <w:sz w:val="32"/>
          <w:szCs w:val="32"/>
          <w:lang w:val="en-US" w:eastAsia="en-US" w:bidi="ar-SA"/>
        </w:rPr>
        <w:t>PART I. FOUNDATIONS</w:t>
      </w:r>
    </w:p>
    <w:p>
      <w:pPr>
        <w:pStyle w:val="Heading2"/>
        <w:rPr/>
      </w:pPr>
      <w:bookmarkStart w:id="6" w:name="__RefHeading___Toc6059_3918200752"/>
      <w:bookmarkStart w:id="7" w:name="X9797d66de64d1cca4f31a867640234309d2a800"/>
      <w:bookmarkEnd w:id="6"/>
      <w:r>
        <w:rPr>
          <w:rFonts w:eastAsia="" w:cs="" w:cstheme="majorBidi" w:eastAsiaTheme="majorEastAsia"/>
          <w:b/>
          <w:color w:themeColor="accent1"/>
          <w:sz w:val="28"/>
          <w:szCs w:val="28"/>
          <w:lang w:val="en-US" w:eastAsia="en-US" w:bidi="ar-SA"/>
        </w:rPr>
        <w:t>Article 1. Establishment, Purpose, and Scope</w:t>
      </w:r>
    </w:p>
    <w:p>
      <w:pPr>
        <w:pStyle w:val="FirstParagraph"/>
        <w:rPr/>
      </w:pPr>
      <w:r>
        <w:rPr>
          <w:b/>
          <w:sz w:val="24"/>
          <w:szCs w:val="24"/>
          <w:lang w:val="en-US" w:eastAsia="en-US" w:bidi="ar-SA"/>
        </w:rPr>
        <w:t>1.1 Establishment.</w:t>
      </w:r>
      <w:r>
        <w:rPr>
          <w:sz w:val="24"/>
          <w:szCs w:val="24"/>
          <w:lang w:val="en-US" w:eastAsia="en-US" w:bidi="ar-SA"/>
        </w:rPr>
        <w:t xml:space="preserve"> The Parties establish the Hormuz Bilateral Corridor and Stewardship Agreement as the standing bilateral framework for the administration and maritime services of the Strait of Hormuz. The framework defines the future administration and maritime services of the Strait in accordance with applicable international law and the sovereign rights of the Coastal States.</w:t>
      </w:r>
    </w:p>
    <w:p>
      <w:pPr>
        <w:pStyle w:val="FirstParagraph"/>
        <w:rPr/>
      </w:pPr>
      <w:r>
        <w:rPr>
          <w:b/>
          <w:sz w:val="24"/>
          <w:szCs w:val="24"/>
          <w:lang w:val="en-US" w:eastAsia="en-US" w:bidi="ar-SA"/>
        </w:rPr>
        <w:t>1.2 Purpose.</w:t>
      </w:r>
      <w:r>
        <w:rPr>
          <w:sz w:val="24"/>
          <w:szCs w:val="24"/>
          <w:lang w:val="en-US" w:eastAsia="en-US" w:bidi="ar-SA"/>
        </w:rPr>
        <w:t xml:space="preserve"> This Agreement governs: (a) the geometry, marking, and certification of navigation corridors through the Strait; (b) the notification, registration, and coordination protocol for transiting vessels; (c) the catalog and pricing of maritime services offered to transiting vessels; (d) the survey, clearance, and certification of mine and hazard remediation; (e) security stand-down and deconfliction within the Governance Area; (f) environmental protection and search and rescue; (g) verification, transparency, and compliance; and (h) the institutions through which the Parties perform these functions jointly.</w:t>
      </w:r>
    </w:p>
    <w:p>
      <w:pPr>
        <w:pStyle w:val="FirstParagraph"/>
        <w:rPr/>
      </w:pPr>
      <w:r>
        <w:rPr>
          <w:b/>
          <w:sz w:val="24"/>
          <w:szCs w:val="24"/>
          <w:lang w:val="en-US" w:eastAsia="en-US" w:bidi="ar-SA"/>
        </w:rPr>
        <w:t>1.3 Supersession.</w:t>
      </w:r>
      <w:r>
        <w:rPr>
          <w:sz w:val="24"/>
          <w:szCs w:val="24"/>
          <w:lang w:val="en-US" w:eastAsia="en-US" w:bidi="ar-SA"/>
        </w:rPr>
        <w:t xml:space="preserve"> Upon entry into force, this Agreement supersedes the Traffic Separation Scheme of 1968 as between the Parties and establishes the new shipping corridors described in Part II. The Parties jointly notify the International Maritime Organization of the new routing measures and request their recognition and adoption through the IMO’s established procedures for ships’ routeing.</w:t>
      </w:r>
    </w:p>
    <w:p>
      <w:pPr>
        <w:pStyle w:val="FirstParagraph"/>
        <w:rPr/>
      </w:pPr>
      <w:r>
        <w:rPr>
          <w:b/>
          <w:sz w:val="24"/>
          <w:szCs w:val="24"/>
          <w:lang w:val="en-US" w:eastAsia="en-US" w:bidi="ar-SA"/>
        </w:rPr>
        <w:t>1.4 The Governance Area.</w:t>
      </w:r>
      <w:r>
        <w:rPr>
          <w:sz w:val="24"/>
          <w:szCs w:val="24"/>
          <w:lang w:val="en-US" w:eastAsia="en-US" w:bidi="ar-SA"/>
        </w:rPr>
        <w:t xml:space="preserve"> This Agreement applies within the Governance Area defined in Article 5.5 and charted in Annex A, comprising the Strait of Hormuz and its approaches between the Arabian Gulf and the Gulf of Oman, together with the designated waiting areas, anchorages, and corridor buffer zones.</w:t>
      </w:r>
    </w:p>
    <w:p>
      <w:pPr>
        <w:pStyle w:val="FirstParagraph"/>
        <w:rPr/>
      </w:pPr>
      <w:r>
        <w:rPr>
          <w:b/>
          <w:sz w:val="24"/>
          <w:szCs w:val="24"/>
          <w:lang w:val="en-US" w:eastAsia="en-US" w:bidi="ar-SA"/>
        </w:rPr>
        <w:t>1.5 Functional allocation, not sovereignty.</w:t>
      </w:r>
      <w:r>
        <w:rPr>
          <w:sz w:val="24"/>
          <w:szCs w:val="24"/>
          <w:lang w:val="en-US" w:eastAsia="en-US" w:bidi="ar-SA"/>
        </w:rPr>
        <w:t xml:space="preserve"> Every provision of this Agreement allocates operational functions between the Parties. No provision transfers, cedes, pools, or prejudices the sovereignty of either Party over its territorial sea, airspace, or seabed, and no practice under this Agreement creates a basis for any such claim by any state or person.</w:t>
      </w:r>
    </w:p>
    <w:p>
      <w:pPr>
        <w:pStyle w:val="TextBody"/>
        <w:rPr/>
      </w:pPr>
      <w:r>
        <w:rPr>
          <w:b/>
          <w:bCs/>
        </w:rPr>
        <w:t>1.6 Temporal scope.</w:t>
      </w:r>
      <w:r>
        <w:rPr/>
        <w:t xml:space="preserve"> This Agreement operates without a fixed expiry date. Part XI governs its review cycle, and Article 44 governs amendment and withdrawal.</w:t>
      </w:r>
      <w:bookmarkEnd w:id="7"/>
    </w:p>
    <w:p>
      <w:pPr>
        <w:pStyle w:val="Heading2"/>
        <w:rPr/>
      </w:pPr>
      <w:bookmarkStart w:id="8" w:name="__RefHeading___Toc6061_3918200752"/>
      <w:bookmarkStart w:id="9" w:name="X0a00a6dcf84c8b5a90f989c5b2bfda0323e0b43"/>
      <w:bookmarkEnd w:id="8"/>
      <w:r>
        <w:rPr/>
        <w:t>Article 2. Definitions and Interpretation</w:t>
      </w:r>
    </w:p>
    <w:p>
      <w:pPr>
        <w:pStyle w:val="FirstParagraph"/>
        <w:rPr/>
      </w:pPr>
      <w:r>
        <w:rPr>
          <w:b/>
          <w:bCs/>
        </w:rPr>
        <w:t>2.1 Definitions.</w:t>
      </w:r>
      <w:r>
        <w:rPr/>
        <w:t xml:space="preserve"> In this Agreement:</w:t>
      </w:r>
    </w:p>
    <w:p>
      <w:pPr>
        <w:pStyle w:val="Normal"/>
        <w:numPr>
          <w:ilvl w:val="0"/>
          <w:numId w:val="24"/>
        </w:numPr>
        <w:rPr/>
      </w:pPr>
      <w:r>
        <w:rPr/>
        <w:t>“</w:t>
      </w:r>
      <w:r>
        <w:rPr/>
        <w:t>Agreement” means this Hormuz Bilateral Corridor and Stewardship Agreement, including its Annexes.</w:t>
      </w:r>
    </w:p>
    <w:p>
      <w:pPr>
        <w:pStyle w:val="Normal"/>
        <w:numPr>
          <w:ilvl w:val="0"/>
          <w:numId w:val="1"/>
        </w:numPr>
        <w:rPr/>
      </w:pPr>
      <w:r>
        <w:rPr/>
        <w:t>“</w:t>
      </w:r>
      <w:r>
        <w:rPr/>
        <w:t>Coastal State” means the Islamic Republic of Iran or the Sultanate of Oman, and “Coastal States” means both.</w:t>
      </w:r>
    </w:p>
    <w:p>
      <w:pPr>
        <w:pStyle w:val="Normal"/>
        <w:numPr>
          <w:ilvl w:val="0"/>
          <w:numId w:val="1"/>
        </w:numPr>
        <w:rPr/>
      </w:pPr>
      <w:r>
        <w:rPr/>
        <w:t>“</w:t>
      </w:r>
      <w:r>
        <w:rPr/>
        <w:t>Corridor One” means the Northern Stewardship Corridor described in Article 6 and Annex A, carrying inbound traffic toward the Arabian Gulf.</w:t>
      </w:r>
    </w:p>
    <w:p>
      <w:pPr>
        <w:pStyle w:val="Normal"/>
        <w:numPr>
          <w:ilvl w:val="0"/>
          <w:numId w:val="1"/>
        </w:numPr>
        <w:rPr/>
      </w:pPr>
      <w:r>
        <w:rPr/>
        <w:t>“</w:t>
      </w:r>
      <w:r>
        <w:rPr/>
        <w:t>Corridor Two” means the future central two-way corridor described in Article 7, developed during the Transition Period.</w:t>
      </w:r>
    </w:p>
    <w:p>
      <w:pPr>
        <w:pStyle w:val="Normal"/>
        <w:numPr>
          <w:ilvl w:val="0"/>
          <w:numId w:val="1"/>
        </w:numPr>
        <w:rPr/>
      </w:pPr>
      <w:r>
        <w:rPr/>
        <w:t>“</w:t>
      </w:r>
      <w:r>
        <w:rPr/>
        <w:t>Corridor Three” means the Southern Assurance Corridor described in Article 6 and Annex A, carrying outbound traffic away from the Arabian Gulf.</w:t>
      </w:r>
    </w:p>
    <w:p>
      <w:pPr>
        <w:pStyle w:val="Normal"/>
        <w:numPr>
          <w:ilvl w:val="0"/>
          <w:numId w:val="1"/>
        </w:numPr>
        <w:rPr/>
      </w:pPr>
      <w:r>
        <w:rPr/>
        <w:t>“</w:t>
      </w:r>
      <w:r>
        <w:rPr/>
        <w:t>Governance Area” means the maritime area defined in Article 5.5 and Annex A.</w:t>
      </w:r>
    </w:p>
    <w:p>
      <w:pPr>
        <w:pStyle w:val="Normal"/>
        <w:numPr>
          <w:ilvl w:val="0"/>
          <w:numId w:val="1"/>
        </w:numPr>
        <w:rPr/>
      </w:pPr>
      <w:r>
        <w:rPr/>
        <w:t>“</w:t>
      </w:r>
      <w:r>
        <w:rPr/>
        <w:t>Joint Committee” means the body established under Article 9.</w:t>
      </w:r>
    </w:p>
    <w:p>
      <w:pPr>
        <w:pStyle w:val="Normal"/>
        <w:numPr>
          <w:ilvl w:val="0"/>
          <w:numId w:val="1"/>
        </w:numPr>
        <w:rPr/>
      </w:pPr>
      <w:r>
        <w:rPr/>
        <w:t>“</w:t>
      </w:r>
      <w:r>
        <w:rPr/>
        <w:t>Joint Operations Center” or “JOC” means the twin-desk operational facility established under Article 10.</w:t>
      </w:r>
    </w:p>
    <w:p>
      <w:pPr>
        <w:pStyle w:val="Normal"/>
        <w:numPr>
          <w:ilvl w:val="0"/>
          <w:numId w:val="1"/>
        </w:numPr>
        <w:rPr/>
      </w:pPr>
      <w:r>
        <w:rPr/>
        <w:t>“</w:t>
      </w:r>
      <w:r>
        <w:rPr/>
        <w:t>Notification Protocol” means the vessel notification, registration, and coordination regime established under Part IV.</w:t>
      </w:r>
    </w:p>
    <w:p>
      <w:pPr>
        <w:pStyle w:val="Normal"/>
        <w:numPr>
          <w:ilvl w:val="0"/>
          <w:numId w:val="1"/>
        </w:numPr>
        <w:rPr/>
      </w:pPr>
      <w:r>
        <w:rPr/>
        <w:t>“</w:t>
      </w:r>
      <w:r>
        <w:rPr/>
        <w:t>Verified Services Catalog” means the closed list of chargeable services published under Article 18 and Annex C.</w:t>
      </w:r>
    </w:p>
    <w:p>
      <w:pPr>
        <w:pStyle w:val="Normal"/>
        <w:numPr>
          <w:ilvl w:val="0"/>
          <w:numId w:val="1"/>
        </w:numPr>
        <w:rPr/>
      </w:pPr>
      <w:r>
        <w:rPr/>
        <w:t>“</w:t>
      </w:r>
      <w:r>
        <w:rPr/>
        <w:t>Transit passage” means navigation through the Strait solely for the purpose of continuous and expeditious transit, consistent with applicable international law.</w:t>
      </w:r>
    </w:p>
    <w:p>
      <w:pPr>
        <w:pStyle w:val="Normal"/>
        <w:numPr>
          <w:ilvl w:val="0"/>
          <w:numId w:val="1"/>
        </w:numPr>
        <w:rPr/>
      </w:pPr>
      <w:r>
        <w:rPr/>
        <w:t>“</w:t>
      </w:r>
      <w:r>
        <w:rPr/>
        <w:t>Transit toll” means any charge, fee, levy, or exaction imposed as a condition of passage itself, as distinct from a charge for a specific service actually rendered at the vessel’s election.</w:t>
      </w:r>
    </w:p>
    <w:p>
      <w:pPr>
        <w:pStyle w:val="Normal"/>
        <w:numPr>
          <w:ilvl w:val="0"/>
          <w:numId w:val="1"/>
        </w:numPr>
        <w:rPr/>
      </w:pPr>
      <w:r>
        <w:rPr/>
        <w:t>“</w:t>
      </w:r>
      <w:r>
        <w:rPr/>
        <w:t>Day 0” means the date of entry into force under Article 42.</w:t>
      </w:r>
    </w:p>
    <w:p>
      <w:pPr>
        <w:pStyle w:val="Normal"/>
        <w:numPr>
          <w:ilvl w:val="0"/>
          <w:numId w:val="1"/>
        </w:numPr>
        <w:rPr/>
      </w:pPr>
      <w:r>
        <w:rPr/>
        <w:t>“</w:t>
      </w:r>
      <w:r>
        <w:rPr/>
        <w:t>Transition Period” means the period described in Article 36 during which the interim corridors operate and Corridor Two undergoes development.</w:t>
      </w:r>
    </w:p>
    <w:p>
      <w:pPr>
        <w:pStyle w:val="FirstParagraph"/>
        <w:rPr/>
      </w:pPr>
      <w:r>
        <w:rPr>
          <w:b/>
          <w:bCs/>
        </w:rPr>
        <w:t>2.2 Interpretation rules.</w:t>
      </w:r>
      <w:r>
        <w:rPr/>
        <w:t xml:space="preserve"> (a) Headings serve convenience only. (b) The Annexes carry the same legal force as the Articles, and the Articles prevail over the Annexes in any conflict. (c) References to days mean calendar days unless stated otherwise. (d) The singular includes the plural. (e) Nothing in this Agreement permits interpretation as a grant of permission-based control over transit passage, and every provision reads consistently with the legal distinction affirmed in the Preamble.</w:t>
      </w:r>
    </w:p>
    <w:p>
      <w:pPr>
        <w:pStyle w:val="TextBody"/>
        <w:rPr/>
      </w:pPr>
      <w:r>
        <w:rPr>
          <w:b/>
          <w:bCs/>
        </w:rPr>
        <w:t>2.3 Language of operations.</w:t>
      </w:r>
      <w:r>
        <w:rPr/>
        <w:t xml:space="preserve"> The working languages of the Joint Committee and the Joint Operations Center are English, Arabic, and Persian. Operational voice communications with vessels use English, consistent with the Standard Marine Communication Phrases of the International Maritime Organization.</w:t>
      </w:r>
      <w:bookmarkEnd w:id="9"/>
    </w:p>
    <w:p>
      <w:pPr>
        <w:pStyle w:val="Heading2"/>
        <w:rPr/>
      </w:pPr>
      <w:bookmarkStart w:id="10" w:name="__RefHeading___Toc6063_3918200752"/>
      <w:bookmarkStart w:id="11" w:name="Xc6cef9cc9c19208db3558a6e957285a3059d587"/>
      <w:bookmarkEnd w:id="10"/>
      <w:r>
        <w:rPr/>
        <w:t>Article 3. Legal Foundations and the Non-Prejudice Architecture</w:t>
      </w:r>
    </w:p>
    <w:p>
      <w:pPr>
        <w:pStyle w:val="FirstParagraph"/>
        <w:rPr/>
      </w:pPr>
      <w:r>
        <w:rPr>
          <w:b/>
          <w:bCs/>
        </w:rPr>
        <w:t>3.1 International law baseline.</w:t>
      </w:r>
      <w:r>
        <w:rPr/>
        <w:t xml:space="preserve"> The Parties implement this Agreement consistently with applicable international law, including the principles reflected in the United Nations Convention on the Law of the Sea concerning straits used for international navigation, the International Convention for the Safety of Life at Sea (SOLAS), the International Convention for the Prevention of Pollution from Ships (MARPOL), the International Convention on Standards of Training, Certification and Watchkeeping for Seafarers (STCW), and the Maritime Labour Convention.</w:t>
      </w:r>
    </w:p>
    <w:p>
      <w:pPr>
        <w:pStyle w:val="TextBody"/>
        <w:rPr/>
      </w:pPr>
      <w:r>
        <w:rPr>
          <w:b/>
          <w:bCs/>
        </w:rPr>
        <w:t>3.2 The regulation–selection distinction.</w:t>
      </w:r>
      <w:r>
        <w:rPr/>
        <w:t xml:space="preserve"> The Parties affirm the operative legal distinction on which this Agreement rests: (a) each Coastal State regulates how vessels transit its waters — routing, speed, reporting, separation, safety, and environmental protection; and (b) neither Coastal State, acting under this Agreement, decides which vessels enjoy the right of transit. Every measure under this Agreement falls within category (a). No measure under this Agreement suspends, hampers, or conditions transit passage.</w:t>
      </w:r>
    </w:p>
    <w:p>
      <w:pPr>
        <w:pStyle w:val="TextBody"/>
        <w:rPr/>
      </w:pPr>
      <w:r>
        <w:rPr>
          <w:b/>
          <w:bCs/>
        </w:rPr>
        <w:t>3.3 Non-prejudice to legal positions.</w:t>
      </w:r>
      <w:r>
        <w:rPr/>
        <w:t xml:space="preserve"> Nothing in this Agreement, and no act performed under it, prejudices: (a) either Party’s legal position on the applicable law of the sea, including positions on treaty membership or reservations; (b) either Party’s position in any other negotiation, including the strategic negotiations between the Islamic Republic of Iran and the United States of America and any regional multilateral charter process; (c) any claim, counterclaim, or position concerning compensation, reparations, frozen assets, or sanctions; or (d) the rights of third states under international law.</w:t>
      </w:r>
    </w:p>
    <w:p>
      <w:pPr>
        <w:pStyle w:val="TextBody"/>
        <w:rPr/>
      </w:pPr>
      <w:r>
        <w:rPr>
          <w:b/>
          <w:bCs/>
        </w:rPr>
        <w:t>3.4 Non-prejudice to sanctions positions.</w:t>
      </w:r>
      <w:r>
        <w:rPr/>
        <w:t xml:space="preserve"> The operation of the service and fee architecture under Part V occurs without prejudice to any Party’s or any third state’s legal position on sanctions. Annex D routes all financial flows through a neutral escrow administrator so that no paying party transacts directly with any sanctioned entity.</w:t>
      </w:r>
    </w:p>
    <w:p>
      <w:pPr>
        <w:pStyle w:val="TextBody"/>
        <w:rPr/>
      </w:pPr>
      <w:r>
        <w:rPr>
          <w:b/>
          <w:bCs/>
        </w:rPr>
        <w:t>3.5 IMO alignment.</w:t>
      </w:r>
      <w:r>
        <w:rPr/>
        <w:t xml:space="preserve"> The Parties design every routing measure under this Agreement for submission to, and adoption through, the International Maritime Organization under SOLAS regulation V/8 and the IMO’s procedures for ships’ routeing. The Parties transmit each corridor definition, traffic separation adjustment, and safety standard produced under this Agreement to the IMO upon adoption by the Joint Committee.</w:t>
      </w:r>
    </w:p>
    <w:p>
      <w:pPr>
        <w:pStyle w:val="TextBody"/>
        <w:rPr/>
      </w:pPr>
      <w:r>
        <w:rPr>
          <w:b/>
          <w:bCs/>
        </w:rPr>
        <w:t>3.6 No third-party obligations.</w:t>
      </w:r>
      <w:r>
        <w:rPr/>
        <w:t xml:space="preserve"> This Agreement creates no obligations for any third state or for vessels entitled to sovereign immunity, except as flag states adopt its procedures voluntarily or as independent obligations of international law provide.</w:t>
      </w:r>
      <w:bookmarkEnd w:id="11"/>
    </w:p>
    <w:p>
      <w:pPr>
        <w:pStyle w:val="Heading2"/>
        <w:rPr/>
      </w:pPr>
      <w:bookmarkStart w:id="12" w:name="__RefHeading___Toc6065_3918200752"/>
      <w:bookmarkStart w:id="13" w:name="article-4.-core-operating-principles"/>
      <w:bookmarkEnd w:id="12"/>
      <w:r>
        <w:rPr/>
        <w:t>Article 4. Core Operating Principles</w:t>
      </w:r>
    </w:p>
    <w:p>
      <w:pPr>
        <w:pStyle w:val="FirstParagraph"/>
        <w:rPr/>
      </w:pPr>
      <w:r>
        <w:rPr>
          <w:b/>
          <w:bCs/>
        </w:rPr>
        <w:t>4.1 The Six Standing Rules.</w:t>
      </w:r>
      <w:r>
        <w:rPr/>
        <w:t xml:space="preserve"> The Joint Committee, the Joint Operations Center, and every organ of this Agreement operate under six standing rules:</w:t>
      </w:r>
    </w:p>
    <w:p>
      <w:pPr>
        <w:pStyle w:val="Normal"/>
        <w:numPr>
          <w:ilvl w:val="0"/>
          <w:numId w:val="25"/>
        </w:numPr>
        <w:rPr/>
      </w:pPr>
      <w:r>
        <w:rPr>
          <w:b/>
          <w:bCs/>
        </w:rPr>
        <w:t>Safety first.</w:t>
      </w:r>
      <w:r>
        <w:rPr/>
        <w:t xml:space="preserve"> No schedule, fee, or political consideration outranks the safety of life at sea.</w:t>
      </w:r>
    </w:p>
    <w:p>
      <w:pPr>
        <w:pStyle w:val="Normal"/>
        <w:numPr>
          <w:ilvl w:val="0"/>
          <w:numId w:val="26"/>
        </w:numPr>
        <w:rPr/>
      </w:pPr>
      <w:r>
        <w:rPr>
          <w:b/>
          <w:bCs/>
        </w:rPr>
        <w:t>Free transit.</w:t>
      </w:r>
      <w:r>
        <w:rPr/>
        <w:t xml:space="preserve"> Passage remains free; services carry charges; passage itself never does.</w:t>
      </w:r>
    </w:p>
    <w:p>
      <w:pPr>
        <w:pStyle w:val="Normal"/>
        <w:numPr>
          <w:ilvl w:val="0"/>
          <w:numId w:val="27"/>
        </w:numPr>
        <w:rPr/>
      </w:pPr>
      <w:r>
        <w:rPr>
          <w:b/>
          <w:bCs/>
        </w:rPr>
        <w:t>Symmetry.</w:t>
      </w:r>
      <w:r>
        <w:rPr/>
        <w:t xml:space="preserve"> Each Party performs functions of equivalent weight; the framework burdens and benefits both Coastal States in balance, and revenue divides equally under Article 20.</w:t>
      </w:r>
    </w:p>
    <w:p>
      <w:pPr>
        <w:pStyle w:val="Normal"/>
        <w:numPr>
          <w:ilvl w:val="0"/>
          <w:numId w:val="28"/>
        </w:numPr>
        <w:rPr/>
      </w:pPr>
      <w:r>
        <w:rPr>
          <w:b/>
          <w:bCs/>
        </w:rPr>
        <w:t>Transparency.</w:t>
      </w:r>
      <w:r>
        <w:rPr/>
        <w:t xml:space="preserve"> Every corridor definition, fee, incident, and compliance finding enters the public record through the Transparency Portal under Annex H, subject only to the operational-security exceptions of Article 27.6.</w:t>
      </w:r>
    </w:p>
    <w:p>
      <w:pPr>
        <w:pStyle w:val="Normal"/>
        <w:numPr>
          <w:ilvl w:val="0"/>
          <w:numId w:val="29"/>
        </w:numPr>
        <w:rPr/>
      </w:pPr>
      <w:r>
        <w:rPr>
          <w:b/>
          <w:bCs/>
        </w:rPr>
        <w:t>Reversibility.</w:t>
      </w:r>
      <w:r>
        <w:rPr/>
        <w:t xml:space="preserve"> Every layer of this Agreement reverses cleanly: corridors revert to certified prior states, fees suspend, and institutions stand down, without prejudice to accrued rights.</w:t>
      </w:r>
    </w:p>
    <w:p>
      <w:pPr>
        <w:pStyle w:val="Normal"/>
        <w:numPr>
          <w:ilvl w:val="0"/>
          <w:numId w:val="30"/>
        </w:numPr>
        <w:rPr/>
      </w:pPr>
      <w:r>
        <w:rPr>
          <w:b/>
          <w:bCs/>
        </w:rPr>
        <w:t>No conditionality across tracks.</w:t>
      </w:r>
      <w:r>
        <w:rPr/>
        <w:t xml:space="preserve"> No Party conditions performance under this Agreement on progress in any other negotiation track, and no Party invokes breakdown elsewhere to suspend operations under this Agreement except through the crisis procedures of Part VII.</w:t>
      </w:r>
    </w:p>
    <w:p>
      <w:pPr>
        <w:pStyle w:val="FirstParagraph"/>
        <w:rPr/>
      </w:pPr>
      <w:r>
        <w:rPr>
          <w:b/>
          <w:bCs/>
        </w:rPr>
        <w:t>4.2 Good-faith performance.</w:t>
      </w:r>
      <w:r>
        <w:rPr/>
        <w:t xml:space="preserve"> Each Party performs its functions under this Agreement in good faith, refrains from acts that defeat the Agreement’s object and purpose, and resolves ambiguities through the consultation ladder of Part XII rather than through unilateral action.</w:t>
      </w:r>
    </w:p>
    <w:p>
      <w:pPr>
        <w:pStyle w:val="TextBody"/>
        <w:rPr/>
      </w:pPr>
      <w:r>
        <w:rPr>
          <w:b/>
          <w:bCs/>
        </w:rPr>
        <w:t>4.3 Mariner-facing simplicity.</w:t>
      </w:r>
      <w:r>
        <w:rPr/>
        <w:t xml:space="preserve"> The Parties express every operational requirement directed at vessels in a single consolidated Mariner’s Handbook issued by the Joint Operations Center and updated through Notices to Mariners, so that masters and owners face one document, one contact point, and one procedure.</w:t>
      </w:r>
    </w:p>
    <w:p>
      <w:pPr>
        <w:pStyle w:val="Normal"/>
        <w:rPr/>
      </w:pPr>
      <w:bookmarkStart w:id="14" w:name="part-i.-foundations"/>
      <w:bookmarkStart w:id="15" w:name="article-4.-core-operating-principle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1"/>
        <w:rPr/>
      </w:pPr>
      <w:bookmarkStart w:id="16" w:name="__RefHeading___Toc6067_3918200752"/>
      <w:bookmarkStart w:id="17" w:name="part-ii.-the-corridor-architecture"/>
      <w:bookmarkEnd w:id="16"/>
      <w:r>
        <w:rPr/>
        <w:t>PART II. THE CORRIDOR ARCHITECTURE</w:t>
      </w:r>
    </w:p>
    <w:p>
      <w:pPr>
        <w:pStyle w:val="Heading2"/>
        <w:rPr/>
      </w:pPr>
      <w:bookmarkStart w:id="18" w:name="__RefHeading___Toc6069_3918200752"/>
      <w:bookmarkStart w:id="19" w:name="X4cee686a805d2d36496a8289eb2eb2ddbe6ccb5"/>
      <w:bookmarkEnd w:id="18"/>
      <w:r>
        <w:rPr/>
        <w:t>Article 5. The Governance Area and the Two-Corridor Geometry</w:t>
      </w:r>
    </w:p>
    <w:p>
      <w:pPr>
        <w:pStyle w:val="FirstParagraph"/>
        <w:rPr/>
      </w:pPr>
      <w:r>
        <w:rPr>
          <w:b/>
          <w:bCs/>
        </w:rPr>
        <w:t>5.1 The operative structure.</w:t>
      </w:r>
      <w:r>
        <w:rPr/>
        <w:t xml:space="preserve"> The Parties establish two operating corridors through the Strait of Hormuz during the Interim Phase, and develop one permanent central corridor during the Transition Period:</w:t>
      </w:r>
    </w:p>
    <w:p>
      <w:pPr>
        <w:pStyle w:val="Normal"/>
        <w:numPr>
          <w:ilvl w:val="0"/>
          <w:numId w:val="31"/>
        </w:numPr>
        <w:rPr/>
      </w:pPr>
      <w:r>
        <w:rPr>
          <w:b/>
          <w:bCs/>
        </w:rPr>
        <w:t>Corridor One — the Northern Stewardship Corridor.</w:t>
      </w:r>
      <w:r>
        <w:rPr/>
        <w:t xml:space="preserve"> Inbound vessels bound for the Arabian Gulf transit through a channel adjacent to the Iranian coast. The Islamic Republic of Iran exercises the lead coordination function for Corridor One traffic.</w:t>
      </w:r>
    </w:p>
    <w:p>
      <w:pPr>
        <w:pStyle w:val="Normal"/>
        <w:numPr>
          <w:ilvl w:val="0"/>
          <w:numId w:val="32"/>
        </w:numPr>
        <w:rPr/>
      </w:pPr>
      <w:r>
        <w:rPr>
          <w:b/>
          <w:bCs/>
        </w:rPr>
        <w:t>Corridor Three — the Southern Assurance Corridor.</w:t>
      </w:r>
      <w:r>
        <w:rPr/>
        <w:t xml:space="preserve"> Outbound vessels departing the Arabian Gulf transit through a channel adjacent to the Omani coast. The Sultanate of Oman exercises the lead coordination function for Corridor Three traffic.</w:t>
      </w:r>
    </w:p>
    <w:p>
      <w:pPr>
        <w:pStyle w:val="Normal"/>
        <w:numPr>
          <w:ilvl w:val="0"/>
          <w:numId w:val="33"/>
        </w:numPr>
        <w:rPr/>
      </w:pPr>
      <w:r>
        <w:rPr>
          <w:b/>
          <w:bCs/>
        </w:rPr>
        <w:t>Corridor Two — the Central Corridor.</w:t>
      </w:r>
      <w:r>
        <w:rPr/>
        <w:t xml:space="preserve"> During the Transition Period, the Parties survey, clear, mark, and certify a central two-way corridor that succeeds Corridors One and Three as the permanent route structure upon certification under Article 36.</w:t>
      </w:r>
    </w:p>
    <w:p>
      <w:pPr>
        <w:pStyle w:val="FirstParagraph"/>
        <w:rPr/>
      </w:pPr>
      <w:r>
        <w:rPr>
          <w:b/>
          <w:bCs/>
        </w:rPr>
        <w:t>5.2 Why two corridors.</w:t>
      </w:r>
      <w:r>
        <w:rPr/>
        <w:t xml:space="preserve"> The Parties adopt the two-corridor structure as the operative compromise of the 2026 negotiations: it assigns each Coastal State lead responsibility for one direction of travel, mirrors the wartime lane discipline that kept limited traffic moving during the conflict, and consolidates the two wartime routes into a unified, jointly administered system rather than multiplying separate lanes. Corridor Two represents the Parties’ shared destination — a single surveyed, mine-certified, two-way central route — and the Parties treat the northern and southern lanes as the bridge to that destination, not as its replacement.</w:t>
      </w:r>
    </w:p>
    <w:p>
      <w:pPr>
        <w:pStyle w:val="TextBody"/>
        <w:rPr/>
      </w:pPr>
      <w:r>
        <w:rPr>
          <w:b/>
          <w:bCs/>
        </w:rPr>
        <w:t>5.3 The overlap reality.</w:t>
      </w:r>
      <w:r>
        <w:rPr/>
        <w:t xml:space="preserve"> The Parties acknowledge the geographic and legal reality that their territorial waters overlap within the Strait and that no neutral international water separates the corridors in the narrowest reaches. The corridor geometry in Annex A resolves this reality operationally: each waypoint, separation line, and buffer carries the joint signature of both Parties’ hydrographic authorities, and no corridor segment operates under the unilateral routing authority of one Party alone.</w:t>
      </w:r>
    </w:p>
    <w:p>
      <w:pPr>
        <w:pStyle w:val="TextBody"/>
        <w:rPr/>
      </w:pPr>
      <w:r>
        <w:rPr>
          <w:b/>
          <w:bCs/>
        </w:rPr>
        <w:t>5.4 Corridor dimensions.</w:t>
      </w:r>
      <w:r>
        <w:rPr/>
        <w:t xml:space="preserve"> Annex A states the coordinates, widths, depths, and buffer zones of each corridor. As baseline parameters: (a) each interim corridor provides a navigable width of not less than two nautical miles within its lane; (b) a separation buffer of not less than one nautical mile divides Corridor One from Corridor Three at their closest approach; (c) each corridor maintains a controlled depth of not less than 25 metres along its certified track; and (d) the Joint Committee adjusts these parameters only through the chart-amendment procedure of Article 23.5.</w:t>
      </w:r>
    </w:p>
    <w:p>
      <w:pPr>
        <w:pStyle w:val="TextBody"/>
        <w:rPr/>
      </w:pPr>
      <w:r>
        <w:rPr>
          <w:b/>
          <w:bCs/>
        </w:rPr>
        <w:t>5.5 Governance Area limits.</w:t>
      </w:r>
      <w:r>
        <w:rPr/>
        <w:t xml:space="preserve"> The Governance Area extends from the line joining Ra’s al Kuh to the Musandam Peninsula at the western approach, to the line joining the eastern limit of Oman’s Musandam territorial sea to the Iranian coast east of Bandar Abbas at the eastern approach, including the designated waiting areas listed in Annex A. The Governance Area includes no part of either Party’s internal waters, ports, or offshore terminals except by the express consent of that Party recorded in Annex A.</w:t>
      </w:r>
    </w:p>
    <w:p>
      <w:pPr>
        <w:pStyle w:val="TextBody"/>
        <w:rPr/>
      </w:pPr>
      <w:r>
        <w:rPr>
          <w:b/>
          <w:bCs/>
        </w:rPr>
        <w:t>5.6 Waiting areas.</w:t>
      </w:r>
      <w:r>
        <w:rPr/>
        <w:t xml:space="preserve"> The Parties designate: (a) a Western Waiting Area in the Arabian Gulf approach, coordinated by Iran; (b) an Eastern Waiting Area in the Gulf of Oman approach, coordinated by Oman; and (c) an Emergency Anchorage within Omani waters for vessels in distress, coordinated jointly. Vessels hold in waiting areas only as long as traffic sequencing requires, and the Joint Operations Center publishes current holding times every six hours.</w:t>
      </w:r>
      <w:bookmarkEnd w:id="19"/>
    </w:p>
    <w:p>
      <w:pPr>
        <w:pStyle w:val="Heading2"/>
        <w:rPr/>
      </w:pPr>
      <w:bookmarkStart w:id="20" w:name="__RefHeading___Toc6071_3918200752"/>
      <w:bookmarkStart w:id="21" w:name="Xd87c38d7423f0a4915bf421c1a4f37c1d678222"/>
      <w:bookmarkEnd w:id="20"/>
      <w:r>
        <w:rPr/>
        <w:t>Article 6. Corridor One and Corridor Three: Lead Functions and Shared Discipline</w:t>
      </w:r>
    </w:p>
    <w:p>
      <w:pPr>
        <w:pStyle w:val="FirstParagraph"/>
        <w:rPr/>
      </w:pPr>
      <w:r>
        <w:rPr>
          <w:b/>
          <w:bCs/>
        </w:rPr>
        <w:t>6.1 Iran’s lead function in Corridor One.</w:t>
      </w:r>
      <w:r>
        <w:rPr/>
        <w:t xml:space="preserve"> The Islamic Republic of Iran: (a) maintains the aids to navigation, radar coverage, and vessel traffic service for Corridor One; (b) issues routing instructions for inbound traffic through the Joint Operations Center; (c) monitors maritime traffic approaching and transiting Corridor One; and (d) protects its security interests within its own waters consistent with Part VII.</w:t>
      </w:r>
    </w:p>
    <w:p>
      <w:pPr>
        <w:pStyle w:val="TextBody"/>
        <w:rPr/>
      </w:pPr>
      <w:r>
        <w:rPr>
          <w:b/>
          <w:bCs/>
        </w:rPr>
        <w:t>6.2 Oman’s lead function in Corridor Three.</w:t>
      </w:r>
      <w:r>
        <w:rPr/>
        <w:t xml:space="preserve"> The Sultanate of Oman: (a) maintains the aids to navigation, radar coverage, and vessel traffic service for Corridor Three; (b) issues routing instructions for outbound traffic through the Joint Operations Center; (c) facilitates the safe and efficient flow of vessels transiting its adjacent waters; and (d) coordinates the Eastern Waiting Area and the Emergency Anchorage.</w:t>
      </w:r>
    </w:p>
    <w:p>
      <w:pPr>
        <w:pStyle w:val="TextBody"/>
        <w:rPr/>
      </w:pPr>
      <w:r>
        <w:rPr>
          <w:b/>
          <w:bCs/>
        </w:rPr>
        <w:t>6.3 One instruction stream.</w:t>
      </w:r>
      <w:r>
        <w:rPr/>
        <w:t xml:space="preserve"> Although each Party leads in its corridor, vessels receive a single, unified instruction stream. The Joint Operations Center merges both Parties’ traffic pictures into one queue, one sequence, and one voice channel plan, so that no master receives conflicting instructions from two authorities. Article 10 defines the twin-desk mechanism that produces this single stream.</w:t>
      </w:r>
    </w:p>
    <w:p>
      <w:pPr>
        <w:pStyle w:val="TextBody"/>
        <w:rPr/>
      </w:pPr>
      <w:r>
        <w:rPr>
          <w:b/>
          <w:bCs/>
        </w:rPr>
        <w:t>6.4 Handover seam.</w:t>
      </w:r>
      <w:r>
        <w:rPr/>
        <w:t xml:space="preserve"> At the corridor exchange points charted in Annex A — where an inbound vessel completes its transit or an outbound vessel begins — operational control passes from one Party’s desk to the other’s at the exact waypoint recorded in the Annex. The handover occurs without interruption of radar coverage, voice communication, or traffic separation. Each Party logs every handover in the Standing Logbook under Article 16.</w:t>
      </w:r>
    </w:p>
    <w:p>
      <w:pPr>
        <w:pStyle w:val="TextBody"/>
        <w:rPr/>
      </w:pPr>
      <w:r>
        <w:rPr>
          <w:b/>
          <w:bCs/>
        </w:rPr>
        <w:t>6.5 No unilateral alteration.</w:t>
      </w:r>
      <w:r>
        <w:rPr/>
        <w:t xml:space="preserve"> Neither Party alters corridor coordinates, separation buffers, reporting points, or speed regimes except through Joint Committee adoption under Article 11. A Party detecting an urgent hazard acts under the emergency routing procedure of Article 26.4, which preserves safety without amending the corridor geometry.</w:t>
      </w:r>
      <w:bookmarkEnd w:id="21"/>
    </w:p>
    <w:p>
      <w:pPr>
        <w:pStyle w:val="Heading2"/>
        <w:rPr/>
      </w:pPr>
      <w:bookmarkStart w:id="22" w:name="__RefHeading___Toc6073_3918200752"/>
      <w:bookmarkStart w:id="23" w:name="X689b4c3255f5ece5ce1c9fef57cbddcafdae85b"/>
      <w:bookmarkEnd w:id="22"/>
      <w:r>
        <w:rPr/>
        <w:t>Article 7. Corridor Two: The Central Corridor Development Path</w:t>
      </w:r>
    </w:p>
    <w:p>
      <w:pPr>
        <w:pStyle w:val="FirstParagraph"/>
        <w:rPr/>
      </w:pPr>
      <w:r>
        <w:rPr>
          <w:b/>
          <w:bCs/>
        </w:rPr>
        <w:t>7.1 The destination route.</w:t>
      </w:r>
      <w:r>
        <w:rPr/>
        <w:t xml:space="preserve"> Corridor Two constitutes the permanent, two-way, centrally located corridor that succeeds the interim lanes. The Parties develop Corridor Two in four stages: survey, clearance, marking, and certification, each governed by Part VI and scheduled in Annex I.</w:t>
      </w:r>
    </w:p>
    <w:p>
      <w:pPr>
        <w:pStyle w:val="TextBody"/>
        <w:rPr/>
      </w:pPr>
      <w:r>
        <w:rPr>
          <w:b/>
          <w:bCs/>
        </w:rPr>
        <w:t>7.2 Survey.</w:t>
      </w:r>
      <w:r>
        <w:rPr/>
        <w:t xml:space="preserve"> The joint hydrographic working group under Article 11.3 conducts a full modern survey of the Corridor Two track, including multibeam bathymetry, side-scan sonar coverage of the entire lane and buffers, and magnetometer runs along the certified track. The International Hydrographic Organization observes the survey and validates its standards.</w:t>
      </w:r>
    </w:p>
    <w:p>
      <w:pPr>
        <w:pStyle w:val="TextBody"/>
        <w:rPr/>
      </w:pPr>
      <w:r>
        <w:rPr>
          <w:b/>
          <w:bCs/>
        </w:rPr>
        <w:t>7.3 Clearance.</w:t>
      </w:r>
      <w:r>
        <w:rPr/>
        <w:t xml:space="preserve"> Mine and hazard clearance for Corridor Two follows the protocol of Annex E, with the Islamic Republic of Iran executing physical clearance under Article 22 and joint verification teams certifying each segment before marking begins.</w:t>
      </w:r>
    </w:p>
    <w:p>
      <w:pPr>
        <w:pStyle w:val="TextBody"/>
        <w:rPr/>
      </w:pPr>
      <w:r>
        <w:rPr>
          <w:b/>
          <w:bCs/>
        </w:rPr>
        <w:t>7.4 Marking.</w:t>
      </w:r>
      <w:r>
        <w:rPr/>
        <w:t xml:space="preserve"> The Parties install the physical and electronic aids to navigation for Corridor Two jointly: each Party funds half of the shared marking program from the Stewardship Fund under Article 19, and each Party’s lighthouse authority co-signs the final aid inventory.</w:t>
      </w:r>
    </w:p>
    <w:p>
      <w:pPr>
        <w:pStyle w:val="TextBody"/>
        <w:rPr/>
      </w:pPr>
      <w:r>
        <w:rPr>
          <w:b/>
          <w:bCs/>
        </w:rPr>
        <w:t>7.5 Certification and succession.</w:t>
      </w:r>
      <w:r>
        <w:rPr/>
        <w:t xml:space="preserve"> Corridor Two opens to traffic only upon joint certification under Article 24. Upon certification, the transition rule of Article 36.3 operates: Corridors One and Three close to routine transit on the sunset calendar in Annex I, and Corridor Two becomes the primary permanent route.</w:t>
      </w:r>
    </w:p>
    <w:p>
      <w:pPr>
        <w:pStyle w:val="TextBody"/>
        <w:rPr/>
      </w:pPr>
      <w:r>
        <w:rPr>
          <w:b/>
          <w:bCs/>
        </w:rPr>
        <w:t>7.6 Fallback integrity.</w:t>
      </w:r>
      <w:r>
        <w:rPr/>
        <w:t xml:space="preserve"> Until Corridor Two achieves certification, Corridors One and Three remain the only authorized transit routes. If Corridor Two certification fails or stalls beyond the outside date in Annex I, the interim corridors continue in force, and the Joint Committee convenes under Article 36.5 to reset the development schedule. No failure of Corridor Two suspends transit through the interim corridors.</w:t>
      </w:r>
      <w:bookmarkEnd w:id="23"/>
    </w:p>
    <w:p>
      <w:pPr>
        <w:pStyle w:val="Heading2"/>
        <w:rPr/>
      </w:pPr>
      <w:bookmarkStart w:id="24" w:name="__RefHeading___Toc6075_3918200752"/>
      <w:bookmarkStart w:id="25" w:name="X09cf458c30ef586ca1d9c6b45ac94f564d7e60c"/>
      <w:bookmarkEnd w:id="24"/>
      <w:r>
        <w:rPr/>
        <w:t>Article 8. Aids to Navigation and Charting</w:t>
      </w:r>
    </w:p>
    <w:p>
      <w:pPr>
        <w:pStyle w:val="FirstParagraph"/>
        <w:rPr/>
      </w:pPr>
      <w:r>
        <w:rPr>
          <w:b/>
          <w:bCs/>
        </w:rPr>
        <w:t>8.1 Aid inventory.</w:t>
      </w:r>
      <w:r>
        <w:rPr/>
        <w:t xml:space="preserve"> Annex A carries the joint inventory of aids to navigation for each corridor: buoys, beacons, racons, AIS aids-to-navigation, radar beacons, and leading lights. Each Party maintains the aids within its lead corridor; the Joint Committee audits the full inventory quarterly.</w:t>
      </w:r>
    </w:p>
    <w:p>
      <w:pPr>
        <w:pStyle w:val="TextBody"/>
        <w:rPr/>
      </w:pPr>
      <w:r>
        <w:rPr>
          <w:b/>
          <w:bCs/>
        </w:rPr>
        <w:t>8.2 Electronic navigation layer.</w:t>
      </w:r>
      <w:r>
        <w:rPr/>
        <w:t xml:space="preserve"> The Parties maintain a shared electronic navigation layer comprising: (a) virtual AIS aids marking every corridor waypoint; (b) a joint differential-GPS reference broadcast from shore stations at Bandar Abbas and at the Musandam station; (c) real-time broadcasting of corridor status through NAVTEX, SafetyNET, and the portal under Annex H.</w:t>
      </w:r>
    </w:p>
    <w:p>
      <w:pPr>
        <w:pStyle w:val="TextBody"/>
        <w:rPr/>
      </w:pPr>
      <w:r>
        <w:rPr>
          <w:b/>
          <w:bCs/>
        </w:rPr>
        <w:t>8.3 Charting.</w:t>
      </w:r>
      <w:r>
        <w:rPr/>
        <w:t xml:space="preserve"> The Parties jointly produce and maintain the official chart series for the Governance Area under International Hydrographic Organization standards. Each chart edition carries both Parties’ hydrographic seals. The Parties transmit every new edition and every chart correction to the IHO and to the IMO within seven days of adoption, and the Joint Operations Center distributes electronic navigational chart updates to registered vessels through the Notification Protocol.</w:t>
      </w:r>
    </w:p>
    <w:p>
      <w:pPr>
        <w:pStyle w:val="TextBody"/>
        <w:rPr/>
      </w:pPr>
      <w:r>
        <w:rPr>
          <w:b/>
          <w:bCs/>
        </w:rPr>
        <w:t>8.4 Degraded-navigation contingencies.</w:t>
      </w:r>
      <w:r>
        <w:rPr/>
        <w:t xml:space="preserve"> Where GPS interference or jamming degrades satellite navigation within the Governance Area, the Joint Operations Center activates the terrestrial backup layer: radar pilotage from shore stations, visual leading lines, and, at the vessel’s election, the pilotage service listed in the Verified Services Catalog. Neither Party conducts deliberate interference with satellite navigation signals within the Governance Area, and each Party reports detected interference to the hotline within one hour of detection.</w:t>
      </w:r>
    </w:p>
    <w:p>
      <w:pPr>
        <w:pStyle w:val="Normal"/>
        <w:rPr/>
      </w:pPr>
      <w:bookmarkStart w:id="26" w:name="part-ii.-the-corridor-architecture"/>
      <w:bookmarkStart w:id="27" w:name="X09cf458c30ef586ca1d9c6b45ac94f564d7e60c"/>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rPr/>
      </w:pPr>
      <w:bookmarkStart w:id="28" w:name="__RefHeading___Toc6077_3918200752"/>
      <w:bookmarkStart w:id="29" w:name="part-iii.-the-joint-institutions"/>
      <w:bookmarkEnd w:id="28"/>
      <w:r>
        <w:rPr/>
        <w:t>PART III. THE JOINT INSTITUTIONS</w:t>
      </w:r>
    </w:p>
    <w:p>
      <w:pPr>
        <w:pStyle w:val="Heading2"/>
        <w:rPr/>
      </w:pPr>
      <w:bookmarkStart w:id="30" w:name="__RefHeading___Toc6079_3918200752"/>
      <w:bookmarkStart w:id="31" w:name="article-9.-the-joint-committee"/>
      <w:bookmarkEnd w:id="30"/>
      <w:r>
        <w:rPr/>
        <w:t>Article 9. The Joint Committee</w:t>
      </w:r>
    </w:p>
    <w:p>
      <w:pPr>
        <w:pStyle w:val="FirstParagraph"/>
        <w:rPr/>
      </w:pPr>
      <w:r>
        <w:rPr>
          <w:b/>
          <w:bCs/>
        </w:rPr>
        <w:t>9.1 Establishment.</w:t>
      </w:r>
      <w:r>
        <w:rPr/>
        <w:t xml:space="preserve"> The Parties establish the Joint Committee for the Strait of Hormuz as the governing body of this Agreement. The Joint Committee oversees the implementation and operation of the entire framework: corridors, notifications, services, fees, clearance, security liaison, environment, verification, and transition.</w:t>
      </w:r>
    </w:p>
    <w:p>
      <w:pPr>
        <w:pStyle w:val="TextBody"/>
        <w:rPr/>
      </w:pPr>
      <w:r>
        <w:rPr>
          <w:b/>
          <w:bCs/>
        </w:rPr>
        <w:t>9.2 Composition.</w:t>
      </w:r>
      <w:r>
        <w:rPr/>
        <w:t xml:space="preserve"> Each Party appoints six members: (a) a co-chair holding senior authority from that Party’s maritime administration; (b) a hydrographic member; (c) a naval or coast-guard liaison member; (d) an environmental member; (e) a legal member; and (f) a finance member. Each Party notifies its appointments to the Depositary within ten days of Day 0 and maintains a full delegation at all times, replacing any departing member within fifteen days.</w:t>
      </w:r>
    </w:p>
    <w:p>
      <w:pPr>
        <w:pStyle w:val="TextBody"/>
        <w:rPr/>
      </w:pPr>
      <w:r>
        <w:rPr>
          <w:b/>
          <w:bCs/>
        </w:rPr>
        <w:t>9.3 Co-chairmanship.</w:t>
      </w:r>
      <w:r>
        <w:rPr/>
        <w:t xml:space="preserve"> Two co-chairs — one Iranian, one Omani — preside jointly. Meetings require both co-chairs’ presence or their designated alternates. The co-chairs alternate as presiding co-chair meeting by meeting, with Oman presiding at the first meeting.</w:t>
      </w:r>
    </w:p>
    <w:p>
      <w:pPr>
        <w:pStyle w:val="TextBody"/>
        <w:rPr/>
      </w:pPr>
      <w:r>
        <w:rPr>
          <w:b/>
          <w:bCs/>
        </w:rPr>
        <w:t>9.4 Meetings and quorum.</w:t>
      </w:r>
      <w:r>
        <w:rPr/>
        <w:t xml:space="preserve"> The Joint Committee meets in ordinary session at least monthly, alternating between Muscat and Bandar Abbas, and convenes in extraordinary session at the request of either co-chair within 48 hours. Quorum requires four members from each Party, including the co-chair or alternate. The Joint Committee conducts business by secure video link when movement restrictions apply, and such sessions carry full authority.</w:t>
      </w:r>
    </w:p>
    <w:p>
      <w:pPr>
        <w:pStyle w:val="TextBody"/>
        <w:rPr/>
      </w:pPr>
      <w:r>
        <w:rPr>
          <w:b/>
          <w:bCs/>
        </w:rPr>
        <w:t>9.5 Decision rule.</w:t>
      </w:r>
      <w:r>
        <w:rPr/>
        <w:t xml:space="preserve"> The Joint Committee decides by consensus, defined as the absence of a stated objection by either Party. Where consensus fails on an operational matter, the co-chairs record both positions in the Standing Logbook and escalate under Article 38. Where consensus fails on a matter affecting safety of life, the more conservative operational option applies provisionally until resolution, and neither Party treats provisional conservatism as precedent.</w:t>
      </w:r>
    </w:p>
    <w:p>
      <w:pPr>
        <w:pStyle w:val="TextBody"/>
        <w:rPr/>
      </w:pPr>
      <w:r>
        <w:rPr>
          <w:b/>
          <w:bCs/>
        </w:rPr>
        <w:t>9.6 Secretariat.</w:t>
      </w:r>
      <w:r>
        <w:rPr/>
        <w:t xml:space="preserve"> A joint secretariat of four Iranian and four Omani professional staff, housed at the Joint Operations Center, services the Joint Committee: drafting agendas, keeping the Standing Logbook, maintaining the Transparency Portal feed, and preparing the reports required by Part X. The Depositary provides a neutral secretary-general who manages the secretariat’s budget and personnel on a non-voting basis.</w:t>
      </w:r>
    </w:p>
    <w:p>
      <w:pPr>
        <w:pStyle w:val="TextBody"/>
        <w:rPr/>
      </w:pPr>
      <w:r>
        <w:rPr>
          <w:b/>
          <w:bCs/>
        </w:rPr>
        <w:t>9.7 IMO technical observer.</w:t>
      </w:r>
      <w:r>
        <w:rPr/>
        <w:t xml:space="preserve"> The Parties invite the International Maritime Organization to seat a technical observer, without vote, at all Joint Committee sessions and working groups. The observer receives every document the members receive, in the same timeframe.</w:t>
      </w:r>
      <w:bookmarkEnd w:id="31"/>
    </w:p>
    <w:p>
      <w:pPr>
        <w:pStyle w:val="Heading2"/>
        <w:rPr/>
      </w:pPr>
      <w:bookmarkStart w:id="32" w:name="__RefHeading___Toc6081_3918200752"/>
      <w:bookmarkStart w:id="33" w:name="article-10.-the-joint-operations-center"/>
      <w:bookmarkEnd w:id="32"/>
      <w:r>
        <w:rPr/>
        <w:t>Article 10. The Joint Operations Center</w:t>
      </w:r>
    </w:p>
    <w:p>
      <w:pPr>
        <w:pStyle w:val="FirstParagraph"/>
        <w:rPr/>
      </w:pPr>
      <w:r>
        <w:rPr>
          <w:b/>
          <w:bCs/>
        </w:rPr>
        <w:t>10.1 Twin-desk architecture.</w:t>
      </w:r>
      <w:r>
        <w:rPr/>
        <w:t xml:space="preserve"> The Parties operate the Joint Operations Center as a single functional unit with two physical desks: Desk North at Bandar Abbas and Desk South at Muscat. Each desk staffs Iranian and Omani watch officers together, around the clock, in watches of eight hours. The two desks mirror each other completely: identical traffic picture, identical authority, identical logs, connected by redundant dedicated circuits with satellite fallback.</w:t>
      </w:r>
    </w:p>
    <w:p>
      <w:pPr>
        <w:pStyle w:val="TextBody"/>
        <w:rPr/>
      </w:pPr>
      <w:r>
        <w:rPr>
          <w:b/>
          <w:bCs/>
        </w:rPr>
        <w:t>10.2 Functions.</w:t>
      </w:r>
      <w:r>
        <w:rPr/>
        <w:t xml:space="preserve"> The Joint Operations Center: (a) receives and acknowledges all notifications under Part IV; (b) maintains the single instruction stream of Article 6.3; (c) sequences traffic through both corridors and both waiting areas; (d) operates the deconfliction hotline of Article 26; (e) coordinates search and rescue under Annex G; (f) issues Notices to Mariners; (g) maintains the Standing Logbook; and (h) feeds the Transparency Portal.</w:t>
      </w:r>
    </w:p>
    <w:p>
      <w:pPr>
        <w:pStyle w:val="TextBody"/>
        <w:rPr/>
      </w:pPr>
      <w:r>
        <w:rPr>
          <w:b/>
          <w:bCs/>
        </w:rPr>
        <w:t>10.3 Watch officers.</w:t>
      </w:r>
      <w:r>
        <w:rPr/>
        <w:t xml:space="preserve"> Each watch comprises: one Iranian senior watch officer, one Omani senior watch officer, two assistant officers (one per Party), one communications rating per Party, and one duty environmental officer shared between desks. Senior watch officers hold master mariner or equivalent naval command qualifications. Each Party bears the personnel costs of its own officers; the Stewardship Fund bears shared facility costs under Annex D.</w:t>
      </w:r>
    </w:p>
    <w:p>
      <w:pPr>
        <w:pStyle w:val="TextBody"/>
        <w:rPr/>
      </w:pPr>
      <w:r>
        <w:rPr>
          <w:b/>
          <w:bCs/>
        </w:rPr>
        <w:t>10.4 Authority on the water.</w:t>
      </w:r>
      <w:r>
        <w:rPr/>
        <w:t xml:space="preserve"> Watch officers issue routing instructions, sequencing directions, and safety advisories binding on the operation of the corridors. Watch officers hold no authority to deny transit; a watch officer detecting an ineligible or non-compliant vessel applies Article 16 and never suspends the vessel’s transit passage.</w:t>
      </w:r>
    </w:p>
    <w:p>
      <w:pPr>
        <w:pStyle w:val="TextBody"/>
        <w:rPr/>
      </w:pPr>
      <w:r>
        <w:rPr>
          <w:b/>
          <w:bCs/>
        </w:rPr>
        <w:t>10.5 Single point of contact.</w:t>
      </w:r>
      <w:r>
        <w:rPr/>
        <w:t xml:space="preserve"> The Joint Operations Center publishes one 24/7 contact suite — VHF channels charted in Annex A, a dedicated satellite number, and a secure email gateway — as the single point of contact for all vessels, agents, flag states, and third parties. The IMO humanitarian desk and third-party maritime coordination centers route through this suite.</w:t>
      </w:r>
    </w:p>
    <w:p>
      <w:pPr>
        <w:pStyle w:val="TextBody"/>
        <w:rPr/>
      </w:pPr>
      <w:r>
        <w:rPr>
          <w:b/>
          <w:bCs/>
        </w:rPr>
        <w:t>10.6 Continuity of operations.</w:t>
      </w:r>
      <w:r>
        <w:rPr/>
        <w:t xml:space="preserve"> Each desk maintains the capability to operate the entire system alone for 72 hours in a communications-outage contingency, applying the last joint traffic plan. The desks rehearse this contingency monthly and log the rehearsal.</w:t>
      </w:r>
      <w:bookmarkEnd w:id="33"/>
    </w:p>
    <w:p>
      <w:pPr>
        <w:pStyle w:val="Heading2"/>
        <w:rPr/>
      </w:pPr>
      <w:bookmarkStart w:id="34" w:name="__RefHeading___Toc6083_3918200752"/>
      <w:bookmarkStart w:id="35" w:name="X4507e7658b6f4c429f944101c93625e19968e10"/>
      <w:bookmarkEnd w:id="34"/>
      <w:r>
        <w:rPr/>
        <w:t>Article 11. Working Groups and Technical Bodies</w:t>
      </w:r>
    </w:p>
    <w:p>
      <w:pPr>
        <w:pStyle w:val="FirstParagraph"/>
        <w:rPr/>
      </w:pPr>
      <w:r>
        <w:rPr>
          <w:b/>
          <w:bCs/>
        </w:rPr>
        <w:t>11.1 Standing working groups.</w:t>
      </w:r>
      <w:r>
        <w:rPr/>
        <w:t xml:space="preserve"> The Joint Committee establishes six standing working groups, each with four members per Party and an IMO technical observer:</w:t>
      </w:r>
    </w:p>
    <w:p>
      <w:pPr>
        <w:pStyle w:val="Normal"/>
        <w:numPr>
          <w:ilvl w:val="0"/>
          <w:numId w:val="34"/>
        </w:numPr>
        <w:rPr/>
      </w:pPr>
      <w:r>
        <w:rPr>
          <w:b/>
          <w:bCs/>
        </w:rPr>
        <w:t>Hydrographic and Charting Group</w:t>
      </w:r>
      <w:r>
        <w:rPr/>
        <w:t xml:space="preserve"> — surveys, charts, aids to navigation, and the Corridor Two survey program;</w:t>
      </w:r>
    </w:p>
    <w:p>
      <w:pPr>
        <w:pStyle w:val="Normal"/>
        <w:numPr>
          <w:ilvl w:val="0"/>
          <w:numId w:val="35"/>
        </w:numPr>
        <w:rPr/>
      </w:pPr>
      <w:r>
        <w:rPr>
          <w:b/>
          <w:bCs/>
        </w:rPr>
        <w:t>Traffic and Safety Group</w:t>
      </w:r>
      <w:r>
        <w:rPr/>
        <w:t xml:space="preserve"> — separation parameters, speed regimes, under-keel clearance, pilotage standards, and casualty analysis;</w:t>
      </w:r>
    </w:p>
    <w:p>
      <w:pPr>
        <w:pStyle w:val="Normal"/>
        <w:numPr>
          <w:ilvl w:val="0"/>
          <w:numId w:val="36"/>
        </w:numPr>
        <w:rPr/>
      </w:pPr>
      <w:r>
        <w:rPr>
          <w:b/>
          <w:bCs/>
        </w:rPr>
        <w:t>Environment Group</w:t>
      </w:r>
      <w:r>
        <w:rPr/>
        <w:t xml:space="preserve"> — monitoring, spill response readiness, ballast and waste regimes, and the Green Incentive program;</w:t>
      </w:r>
    </w:p>
    <w:p>
      <w:pPr>
        <w:pStyle w:val="Normal"/>
        <w:numPr>
          <w:ilvl w:val="0"/>
          <w:numId w:val="37"/>
        </w:numPr>
        <w:rPr/>
      </w:pPr>
      <w:r>
        <w:rPr>
          <w:b/>
          <w:bCs/>
        </w:rPr>
        <w:t>Fees and Finance Group</w:t>
      </w:r>
      <w:r>
        <w:rPr/>
        <w:t xml:space="preserve"> — the Verified Services Catalog, charge schedules, escrow oversight, and audit;</w:t>
      </w:r>
    </w:p>
    <w:p>
      <w:pPr>
        <w:pStyle w:val="Normal"/>
        <w:numPr>
          <w:ilvl w:val="0"/>
          <w:numId w:val="38"/>
        </w:numPr>
        <w:rPr/>
      </w:pPr>
      <w:r>
        <w:rPr>
          <w:b/>
          <w:bCs/>
        </w:rPr>
        <w:t>Security Liaison Group</w:t>
      </w:r>
      <w:r>
        <w:rPr/>
        <w:t xml:space="preserve"> — stand-down implementation, deconfliction procedures, incident investigation, and naval liaison;</w:t>
      </w:r>
    </w:p>
    <w:p>
      <w:pPr>
        <w:pStyle w:val="Normal"/>
        <w:numPr>
          <w:ilvl w:val="0"/>
          <w:numId w:val="39"/>
        </w:numPr>
        <w:rPr/>
      </w:pPr>
      <w:r>
        <w:rPr>
          <w:b/>
          <w:bCs/>
        </w:rPr>
        <w:t>Legal and Compliance Group</w:t>
      </w:r>
      <w:r>
        <w:rPr/>
        <w:t xml:space="preserve"> — interpretation questions, compliance findings, and preparation of Joint Committee decisions.</w:t>
      </w:r>
    </w:p>
    <w:p>
      <w:pPr>
        <w:pStyle w:val="FirstParagraph"/>
        <w:rPr/>
      </w:pPr>
      <w:r>
        <w:rPr>
          <w:b/>
          <w:bCs/>
        </w:rPr>
        <w:t>11.2 Reporting.</w:t>
      </w:r>
      <w:r>
        <w:rPr/>
        <w:t xml:space="preserve"> Each working group reports to every ordinary session of the Joint Committee in writing. Working-group proposals enter into force upon Joint Committee consensus and publication in the Standing Logbook and, where they affect mariners, by Notice to Mariners with not less than 14 days’ lead time except in safety emergencies.</w:t>
      </w:r>
    </w:p>
    <w:p>
      <w:pPr>
        <w:pStyle w:val="TextBody"/>
        <w:rPr/>
      </w:pPr>
      <w:r>
        <w:rPr>
          <w:b/>
          <w:bCs/>
        </w:rPr>
        <w:t>11.3 Joint hydrographic working group.</w:t>
      </w:r>
      <w:r>
        <w:rPr/>
        <w:t xml:space="preserve"> The Hydrographic and Charting Group doubles as the joint hydrographic working group for the Corridor Two program under Article 7.2 and holds a standing technical liaison with the International Hydrographic Organization.</w:t>
      </w:r>
    </w:p>
    <w:p>
      <w:pPr>
        <w:pStyle w:val="TextBody"/>
        <w:rPr/>
      </w:pPr>
      <w:r>
        <w:rPr>
          <w:b/>
          <w:bCs/>
        </w:rPr>
        <w:t>11.4 Ad hoc panels.</w:t>
      </w:r>
      <w:r>
        <w:rPr/>
        <w:t xml:space="preserve"> The Joint Committee convenes ad hoc technical panels for defined tasks — including the fee-schedule review of Article 18.6, the transition reset of Article 36.5, and casualty boards of inquiry under Article 28 — and dissolves each panel on delivery of its report.</w:t>
      </w:r>
      <w:bookmarkEnd w:id="35"/>
    </w:p>
    <w:p>
      <w:pPr>
        <w:pStyle w:val="Heading2"/>
        <w:rPr/>
      </w:pPr>
      <w:bookmarkStart w:id="36" w:name="__RefHeading___Toc6085_3918200752"/>
      <w:bookmarkStart w:id="37" w:name="Xf19376514e2c963ad5f44a6961a8f010bd54d29"/>
      <w:bookmarkEnd w:id="36"/>
      <w:r>
        <w:rPr/>
        <w:t>Article 12. Institutional Support, Depositary Functions, and Budget</w:t>
      </w:r>
    </w:p>
    <w:p>
      <w:pPr>
        <w:pStyle w:val="FirstParagraph"/>
        <w:rPr/>
      </w:pPr>
      <w:r>
        <w:rPr>
          <w:b/>
          <w:bCs/>
        </w:rPr>
        <w:t>12.1 Depositary.</w:t>
      </w:r>
      <w:r>
        <w:rPr/>
        <w:t xml:space="preserve"> The Swiss Confederation serves as Depositary and neutral administrator. The Depositary: (a) holds the original texts and instruments of signature and ratification; (b) administers the escrow accounts under Annex D; (c) provides the neutral secretary-general under Article 9.6; (d) transmits certified copies and notifications; and (e) performs the registration functions of Article 43.</w:t>
      </w:r>
    </w:p>
    <w:p>
      <w:pPr>
        <w:pStyle w:val="TextBody"/>
        <w:rPr/>
      </w:pPr>
      <w:r>
        <w:rPr>
          <w:b/>
          <w:bCs/>
        </w:rPr>
        <w:t>12.2 Administrative budget.</w:t>
      </w:r>
      <w:r>
        <w:rPr/>
        <w:t xml:space="preserve"> The Parties fund the institutions of this Agreement — the Joint Committee, the Joint Operations Center shared costs, the secretariat, and the Depositary’s administrative services — through the Stewardship Fund under Article 19, according to the annual budget adopted by the Joint Committee on the Fees and Finance Group’s recommendation. Each Party separately funds its own personnel, patrol assets, and national systems contributing to the framework.</w:t>
      </w:r>
    </w:p>
    <w:p>
      <w:pPr>
        <w:pStyle w:val="TextBody"/>
        <w:rPr/>
      </w:pPr>
      <w:r>
        <w:rPr>
          <w:b/>
          <w:bCs/>
        </w:rPr>
        <w:t>12.3 Procurement rule.</w:t>
      </w:r>
      <w:r>
        <w:rPr/>
        <w:t xml:space="preserve"> Joint procurement follows an open, documented process administered by the secretariat under Depositary oversight. Contracts above the threshold in Annex D require Joint Committee approval and post to the Transparency Portal with pricing.</w:t>
      </w:r>
    </w:p>
    <w:p>
      <w:pPr>
        <w:pStyle w:val="TextBody"/>
        <w:rPr/>
      </w:pPr>
      <w:r>
        <w:rPr>
          <w:b/>
          <w:bCs/>
        </w:rPr>
        <w:t>12.4 Privileges and immunities.</w:t>
      </w:r>
      <w:r>
        <w:rPr/>
        <w:t xml:space="preserve"> The Parties extend to each other’s institutional personnel, to Depositary staff, and to IMO observers the privileges and immunities necessary for their functions, including inviolability of official communications and freedom of movement between Muscat, Bandar Abbas, and the Governance Area for official duty.</w:t>
      </w:r>
    </w:p>
    <w:p>
      <w:pPr>
        <w:pStyle w:val="Normal"/>
        <w:rPr/>
      </w:pPr>
      <w:bookmarkStart w:id="38" w:name="part-iii.-the-joint-institutions"/>
      <w:bookmarkStart w:id="39" w:name="Xf19376514e2c963ad5f44a6961a8f010bd54d29"/>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rPr/>
      </w:pPr>
      <w:bookmarkStart w:id="40" w:name="__RefHeading___Toc6087_3918200752"/>
      <w:bookmarkStart w:id="41" w:name="X380803a140e1b0700900dcbce40741ec1c52124"/>
      <w:bookmarkEnd w:id="40"/>
      <w:r>
        <w:rPr/>
        <w:t>PART IV. THE NOTIFICATION AND COORDINATION PROTOCOL</w:t>
      </w:r>
    </w:p>
    <w:p>
      <w:pPr>
        <w:pStyle w:val="Heading2"/>
        <w:rPr/>
      </w:pPr>
      <w:bookmarkStart w:id="42" w:name="__RefHeading___Toc6089_3918200752"/>
      <w:bookmarkStart w:id="43" w:name="X03d3611f9c0982b53c2343daa6878e96d1f8fdc"/>
      <w:bookmarkEnd w:id="42"/>
      <w:r>
        <w:rPr/>
        <w:t>Article 13. The Notification-Based System</w:t>
      </w:r>
    </w:p>
    <w:p>
      <w:pPr>
        <w:pStyle w:val="FirstParagraph"/>
        <w:rPr/>
      </w:pPr>
      <w:r>
        <w:rPr>
          <w:b/>
          <w:bCs/>
        </w:rPr>
        <w:t>13.1 The core rule.</w:t>
      </w:r>
      <w:r>
        <w:rPr/>
        <w:t xml:space="preserve"> Vessels transiting the Strait under this Agreement provide advance notification to the Joint Operations Center. The system operates as a notification-based system, not a permission-based system: the Joint Operations Center acknowledges, sequences, and advises; it does not grant or withhold passage. Receipt of notification and issuance of a sequence number occur automatically and never function as authorization.</w:t>
      </w:r>
    </w:p>
    <w:p>
      <w:pPr>
        <w:pStyle w:val="TextBody"/>
        <w:rPr/>
      </w:pPr>
      <w:r>
        <w:rPr>
          <w:b/>
          <w:bCs/>
        </w:rPr>
        <w:t>13.2 Notification stages.</w:t>
      </w:r>
      <w:r>
        <w:rPr/>
        <w:t xml:space="preserve"> Each transiting vessel sends three standard messages in the formats of Annex B:</w:t>
      </w:r>
    </w:p>
    <w:p>
      <w:pPr>
        <w:pStyle w:val="Normal"/>
        <w:numPr>
          <w:ilvl w:val="0"/>
          <w:numId w:val="40"/>
        </w:numPr>
        <w:rPr/>
      </w:pPr>
      <w:r>
        <w:rPr>
          <w:b/>
          <w:bCs/>
        </w:rPr>
        <w:t>T-48 Transit Notice</w:t>
      </w:r>
      <w:r>
        <w:rPr/>
        <w:t xml:space="preserve"> — not less than 48 hours before arrival at a Governance Area limit: vessel identity, flag, IMO number, type, dimensions, draft, last port, next port, general cargo category (using the standard category list in Annex B), crew count, and confirmation of charts and equipment carriage;</w:t>
      </w:r>
    </w:p>
    <w:p>
      <w:pPr>
        <w:pStyle w:val="Normal"/>
        <w:numPr>
          <w:ilvl w:val="0"/>
          <w:numId w:val="41"/>
        </w:numPr>
        <w:rPr/>
      </w:pPr>
      <w:r>
        <w:rPr>
          <w:b/>
          <w:bCs/>
        </w:rPr>
        <w:t>T-6 Approach Report</w:t>
      </w:r>
      <w:r>
        <w:rPr/>
        <w:t xml:space="preserve"> — six hours before entry: updated position, speed, any change in draft or condition, and election of any services from the Verified Services Catalog;</w:t>
      </w:r>
    </w:p>
    <w:p>
      <w:pPr>
        <w:pStyle w:val="Normal"/>
        <w:numPr>
          <w:ilvl w:val="0"/>
          <w:numId w:val="42"/>
        </w:numPr>
        <w:rPr/>
      </w:pPr>
      <w:r>
        <w:rPr>
          <w:b/>
          <w:bCs/>
        </w:rPr>
        <w:t>Entry Report</w:t>
      </w:r>
      <w:r>
        <w:rPr/>
        <w:t xml:space="preserve"> — on reaching the entry waypoint: position, course, and speed.</w:t>
      </w:r>
    </w:p>
    <w:p>
      <w:pPr>
        <w:pStyle w:val="FirstParagraph"/>
        <w:rPr/>
      </w:pPr>
      <w:r>
        <w:rPr>
          <w:b/>
          <w:bCs/>
        </w:rPr>
        <w:t>13.3 Acknowledgement standard.</w:t>
      </w:r>
      <w:r>
        <w:rPr/>
        <w:t xml:space="preserve"> The Joint Operations Center acknowledges every message within 15 minutes of receipt and issues the vessel’s sequence position and routing instructions within two hours of the T-6 Approach Report. Silence never operates against the vessel: a vessel holding an acknowledged T-48 notice and no contrary safety instruction proceeds on the published default sequence.</w:t>
      </w:r>
    </w:p>
    <w:p>
      <w:pPr>
        <w:pStyle w:val="TextBody"/>
        <w:rPr/>
      </w:pPr>
      <w:r>
        <w:rPr>
          <w:b/>
          <w:bCs/>
        </w:rPr>
        <w:t>13.4 Departure-side notification.</w:t>
      </w:r>
      <w:r>
        <w:rPr/>
        <w:t xml:space="preserve"> Vessels departing Arabian Gulf ports send the equivalent outbound series through the Western reporting point, mirrored in Annex B.</w:t>
      </w:r>
    </w:p>
    <w:p>
      <w:pPr>
        <w:pStyle w:val="TextBody"/>
        <w:rPr/>
      </w:pPr>
      <w:r>
        <w:rPr>
          <w:b/>
          <w:bCs/>
        </w:rPr>
        <w:t>13.5 Continuous and expeditious transit.</w:t>
      </w:r>
      <w:r>
        <w:rPr/>
        <w:t xml:space="preserve"> Routing instructions serve sequencing and safety and always facilitate continuous and expeditious transit. The Joint Operations Center publishes average and maximum transit times weekly; a systemic drift toward delay triggers a compliance review under Article 34.</w:t>
      </w:r>
    </w:p>
    <w:p>
      <w:pPr>
        <w:pStyle w:val="TextBody"/>
        <w:rPr/>
      </w:pPr>
      <w:r>
        <w:rPr>
          <w:b/>
          <w:bCs/>
        </w:rPr>
        <w:t>13.6 Non-notifying vessels.</w:t>
      </w:r>
      <w:r>
        <w:rPr/>
        <w:t xml:space="preserve"> A vessel transiting without notification does not forfeit transit passage. The Joint Operations Center logs the omission, attempts contact on VHF and satellite, sequences the vessel into the corridor with additional separation, and reports the omission to the flag state and to the portal. Repeated non-notification by the same operator activates the compliance ladder of Article 35 against the operator, never against the right of transit.</w:t>
      </w:r>
      <w:bookmarkEnd w:id="43"/>
    </w:p>
    <w:p>
      <w:pPr>
        <w:pStyle w:val="Heading2"/>
        <w:rPr/>
      </w:pPr>
      <w:bookmarkStart w:id="44" w:name="__RefHeading___Toc6091_3918200752"/>
      <w:bookmarkStart w:id="45" w:name="article-14.-registration-and-vetting"/>
      <w:bookmarkEnd w:id="44"/>
      <w:r>
        <w:rPr/>
        <w:t>Article 14. Registration and Vetting</w:t>
      </w:r>
    </w:p>
    <w:p>
      <w:pPr>
        <w:pStyle w:val="FirstParagraph"/>
        <w:rPr/>
      </w:pPr>
      <w:r>
        <w:rPr>
          <w:b/>
          <w:bCs/>
        </w:rPr>
        <w:t>14.1 Registry purpose.</w:t>
      </w:r>
      <w:r>
        <w:rPr/>
        <w:t xml:space="preserve"> The Parties maintain a Vessel Registry to make notification fast and uniform. Registration remains voluntary and free of charge; registered vessels use a shortened T-6-only notification cycle. Registration functions as administrative facilitation and never as a gate.</w:t>
      </w:r>
    </w:p>
    <w:p>
      <w:pPr>
        <w:pStyle w:val="TextBody"/>
        <w:rPr/>
      </w:pPr>
      <w:r>
        <w:rPr>
          <w:b/>
          <w:bCs/>
        </w:rPr>
        <w:t>14.2 Registry content.</w:t>
      </w:r>
      <w:r>
        <w:rPr/>
        <w:t xml:space="preserve"> The Registry records only the data fields of Annex B, Section 3: identity, flag, class society, P&amp;I club, dimensions, and standard communications fit. The Registry records no ownership-structure details, no cargo manifests beyond standard categories, and no commercial terms.</w:t>
      </w:r>
    </w:p>
    <w:p>
      <w:pPr>
        <w:pStyle w:val="TextBody"/>
        <w:rPr/>
      </w:pPr>
      <w:r>
        <w:rPr>
          <w:b/>
          <w:bCs/>
        </w:rPr>
        <w:t>14.3 Vetting limits.</w:t>
      </w:r>
      <w:r>
        <w:rPr/>
        <w:t xml:space="preserve"> Vetting under this Article means automated consistency checks — valid IMO number, current class and insurance attestations, and sanctions-screening confirmation performed by the Depositary against public lists. Vetting applies transparently and uniformly under published criteria in Annex B, and vetting outcomes never determine whether a vessel transits. A failed consistency check generates a request for clarification, logged and answered within 24 hours, and the vessel transits in the interim under the standard protocol.</w:t>
      </w:r>
    </w:p>
    <w:p>
      <w:pPr>
        <w:pStyle w:val="TextBody"/>
        <w:rPr/>
      </w:pPr>
      <w:r>
        <w:rPr>
          <w:b/>
          <w:bCs/>
        </w:rPr>
        <w:t>14.4 Security screening firewalls.</w:t>
      </w:r>
      <w:r>
        <w:rPr/>
        <w:t xml:space="preserve"> Security-related queries concerning a specific vessel route only through the Security Liaison Group under the dual-key rule of Article 25.4: any security measure affecting a vessel requires the concurrence of both Parties’ senior watch officers and immediate logging. Neither Party conducts unilateral boarding, diversion, or detention of a transiting vessel within the Governance Area.</w:t>
      </w:r>
    </w:p>
    <w:p>
      <w:pPr>
        <w:pStyle w:val="TextBody"/>
        <w:rPr/>
      </w:pPr>
      <w:r>
        <w:rPr>
          <w:b/>
          <w:bCs/>
        </w:rPr>
        <w:t>14.5 Non-discrimination.</w:t>
      </w:r>
      <w:r>
        <w:rPr/>
        <w:t xml:space="preserve"> The Notification Protocol, the Registry, vetting, sequencing, services, and charges apply to all vessels on equal terms irrespective of flag, ownership, cargo origin or destination, or the political relations of any state. The only distinctions the system recognizes are the operational distinctions of vessel type, size, draft, hazardous cargo, and safety status.</w:t>
      </w:r>
      <w:bookmarkEnd w:id="45"/>
    </w:p>
    <w:p>
      <w:pPr>
        <w:pStyle w:val="Heading2"/>
        <w:rPr/>
      </w:pPr>
      <w:bookmarkStart w:id="46" w:name="__RefHeading___Toc6093_3918200752"/>
      <w:bookmarkStart w:id="47" w:name="X8017022c8929c85ab1b9e725cc12f421b7f3601"/>
      <w:bookmarkEnd w:id="46"/>
      <w:r>
        <w:rPr/>
        <w:t>Article 15. Data Protection and Confidentiality</w:t>
      </w:r>
    </w:p>
    <w:p>
      <w:pPr>
        <w:pStyle w:val="FirstParagraph"/>
        <w:rPr/>
      </w:pPr>
      <w:r>
        <w:rPr>
          <w:b/>
          <w:bCs/>
        </w:rPr>
        <w:t>15.1 Data minimization.</w:t>
      </w:r>
      <w:r>
        <w:rPr/>
        <w:t xml:space="preserve"> The framework collects only the data Annex B specifies. Neither Party requires extensive disclosure of commercial information — ownership structures, charter terms, cargo details beyond standard categories, or commercial counterparties — beyond what safety and security functions genuinely consume.</w:t>
      </w:r>
    </w:p>
    <w:p>
      <w:pPr>
        <w:pStyle w:val="TextBody"/>
        <w:rPr/>
      </w:pPr>
      <w:r>
        <w:rPr>
          <w:b/>
          <w:bCs/>
        </w:rPr>
        <w:t>15.2 Confidentiality protections.</w:t>
      </w:r>
      <w:r>
        <w:rPr/>
        <w:t xml:space="preserve"> All vessel data collected under this Agreement: (a) resides on mirrored servers under joint custody at both desks; (b) circulates only to the two Parties’ operational personnel, the Depositary for escrow functions, and the IMO observer for safety statistics; (c) publishes only in aggregated, anonymized form on the Transparency Portal; and (d) destroys identifiable records 24 months after the transit they describe, except records pertaining to an open incident or investigation.</w:t>
      </w:r>
    </w:p>
    <w:p>
      <w:pPr>
        <w:pStyle w:val="TextBody"/>
        <w:rPr/>
      </w:pPr>
      <w:r>
        <w:rPr>
          <w:b/>
          <w:bCs/>
        </w:rPr>
        <w:t>15.3 No third-party transfer.</w:t>
      </w:r>
      <w:r>
        <w:rPr/>
        <w:t xml:space="preserve"> Neither Party transfers vessel data to any third state or commercial entity, except: (a) to the flag state of the vessel concerned; (b) to search-and-rescue authorities during an emergency; or (c) under an order of a court of the Party holding the data, with 72 hours’ prior notice to the other Party and to the flag state, unless the order prohibits notice.</w:t>
      </w:r>
    </w:p>
    <w:p>
      <w:pPr>
        <w:pStyle w:val="TextBody"/>
        <w:rPr/>
      </w:pPr>
      <w:r>
        <w:rPr>
          <w:b/>
          <w:bCs/>
        </w:rPr>
        <w:t>15.4 Security of systems.</w:t>
      </w:r>
      <w:r>
        <w:rPr/>
        <w:t xml:space="preserve"> The Parties commission an annual independent cybersecurity audit of the Registry, the traffic system, and the escrow platform, publish the audit’s summary, and remediate critical findings within 90 days.</w:t>
      </w:r>
      <w:bookmarkEnd w:id="47"/>
    </w:p>
    <w:p>
      <w:pPr>
        <w:pStyle w:val="Heading2"/>
        <w:rPr/>
      </w:pPr>
      <w:bookmarkStart w:id="48" w:name="__RefHeading___Toc6095_3918200752"/>
      <w:bookmarkStart w:id="49" w:name="X0e913c3c1d0d7b0ceb9c81de9eefc5dcebb64dd"/>
      <w:bookmarkEnd w:id="48"/>
      <w:r>
        <w:rPr/>
        <w:t>Article 16. The Standing Logbook and the Non-Suspension Guarantee</w:t>
      </w:r>
    </w:p>
    <w:p>
      <w:pPr>
        <w:pStyle w:val="FirstParagraph"/>
        <w:rPr/>
      </w:pPr>
      <w:r>
        <w:rPr>
          <w:b/>
          <w:bCs/>
        </w:rPr>
        <w:t>16.1 The Standing Logbook.</w:t>
      </w:r>
      <w:r>
        <w:rPr/>
        <w:t xml:space="preserve"> The Joint Operations Center maintains a continuous, tamper-evident electronic log recording every notification, acknowledgement, sequence assignment, instruction, handover, incident, hotline event, fee transaction reference, and Joint Committee decision. Both desks hold identical copies; the Depositary holds a third, write-once copy synchronized hourly. The Logbook constitutes the authoritative operational record of the framework and the primary evidence base for Part X compliance review and Part XII dispute resolution.</w:t>
      </w:r>
    </w:p>
    <w:p>
      <w:pPr>
        <w:pStyle w:val="TextBody"/>
        <w:rPr/>
      </w:pPr>
      <w:r>
        <w:rPr>
          <w:b/>
          <w:bCs/>
        </w:rPr>
        <w:t>16.2 Non-suspension guarantee.</w:t>
      </w:r>
      <w:r>
        <w:rPr/>
        <w:t xml:space="preserve"> No organ of this Agreement suspends, hampers, or impedes transit passage through the Strait, and no dispute between the Parties suspends the operation of the corridors. Disagreements route to Part XII while traffic continues. The sole exception operates under Article 27.2: an immediate, localized safety suspension ordered jointly by both senior watch officers, limited to the affected segment, lifted within the shortest practicable time, and logged with reasons.</w:t>
      </w:r>
    </w:p>
    <w:p>
      <w:pPr>
        <w:pStyle w:val="TextBody"/>
        <w:rPr/>
      </w:pPr>
      <w:r>
        <w:rPr>
          <w:b/>
          <w:bCs/>
        </w:rPr>
        <w:t>16.3 Continuity during crisis.</w:t>
      </w:r>
      <w:r>
        <w:rPr/>
        <w:t xml:space="preserve"> The crisis procedures of Part VII and the compliance ladder of Part X preserve corridor operations as their first design objective. The Parties treat an operating, safe, jointly administered Strait as the central asset this Agreement protects — including from the Parties’ own disputes.</w:t>
      </w:r>
    </w:p>
    <w:p>
      <w:pPr>
        <w:pStyle w:val="Normal"/>
        <w:rPr/>
      </w:pPr>
      <w:bookmarkStart w:id="50" w:name="X380803a140e1b0700900dcbce40741ec1c52124"/>
      <w:bookmarkStart w:id="51" w:name="X0e913c3c1d0d7b0ceb9c81de9eefc5dcebb64dd"/>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1"/>
        <w:rPr/>
      </w:pPr>
      <w:bookmarkStart w:id="52" w:name="__RefHeading___Toc6097_3918200752"/>
      <w:bookmarkStart w:id="53" w:name="X014c47edc686e3a865f75238e418fd54bebd33b"/>
      <w:bookmarkEnd w:id="52"/>
      <w:r>
        <w:rPr/>
        <w:t>PART V. SERVICES, FEES, AND THE COST-RECOVERY ARCHITECTURE</w:t>
      </w:r>
    </w:p>
    <w:p>
      <w:pPr>
        <w:pStyle w:val="Heading2"/>
        <w:rPr/>
      </w:pPr>
      <w:bookmarkStart w:id="54" w:name="__RefHeading___Toc6099_3918200752"/>
      <w:bookmarkStart w:id="55" w:name="article-17.-the-service-fee-distinction"/>
      <w:bookmarkEnd w:id="54"/>
      <w:r>
        <w:rPr/>
        <w:t>Article 17. The Service-Fee Distinction</w:t>
      </w:r>
    </w:p>
    <w:p>
      <w:pPr>
        <w:pStyle w:val="FirstParagraph"/>
        <w:rPr/>
      </w:pPr>
      <w:r>
        <w:rPr>
          <w:b/>
          <w:bCs/>
        </w:rPr>
        <w:t>17.1 The fundamental rule.</w:t>
      </w:r>
      <w:r>
        <w:rPr/>
        <w:t xml:space="preserve"> Passage through the Strait remains free of any charge that functions as a condition of passage. The Parties levy charges only in exchange for specific services actually rendered at the vessel’s election. A charge amounting to a transit toll — a fee for the right to pass — stands incompatible with this Agreement, with the right of transit passage, and with the shared international position the Parties acknowledge in the Preamble. Neither Party imposes, collects, or countenances a transit toll in the Governance Area.</w:t>
      </w:r>
    </w:p>
    <w:p>
      <w:pPr>
        <w:pStyle w:val="TextBody"/>
        <w:rPr/>
      </w:pPr>
      <w:r>
        <w:rPr>
          <w:b/>
          <w:bCs/>
        </w:rPr>
        <w:t>17.2 The election principle.</w:t>
      </w:r>
      <w:r>
        <w:rPr/>
        <w:t xml:space="preserve"> Every chargeable service under this Agreement requires the vessel’s affirmative election, recorded in the T-6 Approach Report or in a standing service subscription. No election, no charge. A vessel transiting with no service election owes nothing and receives the full notification, sequencing, and safety service of Part IV without charge — those functions constitute the Parties’ sovereign discharge of their coastal-state responsibilities, funded through the architecture of Article 19.</w:t>
      </w:r>
    </w:p>
    <w:p>
      <w:pPr>
        <w:pStyle w:val="TextBody"/>
        <w:rPr/>
      </w:pPr>
      <w:r>
        <w:rPr>
          <w:b/>
          <w:bCs/>
        </w:rPr>
        <w:t>17.3 Quasi-toll prohibition.</w:t>
      </w:r>
      <w:r>
        <w:rPr/>
        <w:t xml:space="preserve"> The Parties prohibit any structure that reproduces a toll in substance: no bundled charge presented as a condition of entry, no fee calibrated to cargo value or tonnage as such, no “security contribution” demanded at the corridor limit, and no differential treatment of electing and non-electing vessels in sequencing, safety coverage, or routing quality. The Compliance Metrics of Annex H test for quasi-toll effects in practice, not merely in text.</w:t>
      </w:r>
    </w:p>
    <w:p>
      <w:pPr>
        <w:pStyle w:val="TextBody"/>
        <w:rPr/>
      </w:pPr>
      <w:r>
        <w:rPr>
          <w:b/>
          <w:bCs/>
        </w:rPr>
        <w:t>17.4 The political settlement recorded.</w:t>
      </w:r>
      <w:r>
        <w:rPr/>
        <w:t xml:space="preserve"> The Parties record the compromise this architecture embodies: the framework delivers real revenue to both Coastal States for real services and stewardship — through elected service charges and voluntary contributions — and it delivers to the international community the firm legal guarantee of free transit. The Parties defend this settlement jointly against reinterpretation in either direction.</w:t>
      </w:r>
      <w:bookmarkEnd w:id="55"/>
    </w:p>
    <w:p>
      <w:pPr>
        <w:pStyle w:val="Heading2"/>
        <w:rPr/>
      </w:pPr>
      <w:bookmarkStart w:id="56" w:name="__RefHeading___Toc6101_3918200752"/>
      <w:bookmarkStart w:id="57" w:name="X9fe099342aac7ae02cf8b57d1a9893f0d9c025d"/>
      <w:bookmarkEnd w:id="56"/>
      <w:r>
        <w:rPr/>
        <w:t>Article 18. The Verified Services Catalog</w:t>
      </w:r>
    </w:p>
    <w:p>
      <w:pPr>
        <w:pStyle w:val="FirstParagraph"/>
        <w:rPr/>
      </w:pPr>
      <w:r>
        <w:rPr>
          <w:b/>
          <w:bCs/>
        </w:rPr>
        <w:t>18.1 The closed list.</w:t>
      </w:r>
      <w:r>
        <w:rPr/>
        <w:t xml:space="preserve"> Annex C publishes the closed list of chargeable services — the Verified Services Catalog. No Party charges for any service outside the Catalog. The Catalog includes, at entry into force: (a) pilotage and pilot-boarding services; (b) route assurance data subscriptions — the verified safety, tracking, and hazard data stream of the Joint Operations Center; (c) escort and enhanced-separation services for vessels electing them; (d) bunkering and refueling coordination at designated anchorage services; (e) environmental protection services, including waste reception and ballast verification; (f) traffic-flow priority windows for time-critical vessels, allocated transparently under the Annex C auction rule; (g) survey, diving, and engineering support services; and (h) training and certification services for regional crews.</w:t>
      </w:r>
    </w:p>
    <w:p>
      <w:pPr>
        <w:pStyle w:val="TextBody"/>
        <w:rPr/>
      </w:pPr>
      <w:r>
        <w:rPr>
          <w:b/>
          <w:bCs/>
        </w:rPr>
        <w:t>18.2 Documentation rule.</w:t>
      </w:r>
      <w:r>
        <w:rPr/>
        <w:t xml:space="preserve"> Every charge ties to documented service delivery: a time-stamped service record in the Standing Logbook, a vessel-signed completion confirmation, and an invoice generated from the Logbook record. Undocumented charges carry no validity, and the escrow administrator rejects them.</w:t>
      </w:r>
    </w:p>
    <w:p>
      <w:pPr>
        <w:pStyle w:val="TextBody"/>
        <w:rPr/>
      </w:pPr>
      <w:r>
        <w:rPr>
          <w:b/>
          <w:bCs/>
        </w:rPr>
        <w:t>18.3 Pricing principles.</w:t>
      </w:r>
      <w:r>
        <w:rPr/>
        <w:t xml:space="preserve"> The Fees and Finance Group sets Catalog prices annually on three principles: (a) cost-orientation — prices track the documented cost of service delivery plus the published margin in Annex C; (b) uniformity — identical service, identical price, for all vessels; and (c) publication — the full schedule posts to the Transparency Portal 60 days before it takes effect.</w:t>
      </w:r>
    </w:p>
    <w:p>
      <w:pPr>
        <w:pStyle w:val="TextBody"/>
        <w:rPr/>
      </w:pPr>
      <w:r>
        <w:rPr>
          <w:b/>
          <w:bCs/>
        </w:rPr>
        <w:t>18.4 Security-services boundary.</w:t>
      </w:r>
      <w:r>
        <w:rPr/>
        <w:t xml:space="preserve"> The Catalog includes security-related services only in the elective forms of escort and enhanced separation. The baseline security environment of the corridors — stand-down, deconfliction, surveillance, and hazard information — constitutes a public good of the framework, funded under Article 19, and never appears on an invoice.</w:t>
      </w:r>
    </w:p>
    <w:p>
      <w:pPr>
        <w:pStyle w:val="TextBody"/>
        <w:rPr/>
      </w:pPr>
      <w:r>
        <w:rPr>
          <w:b/>
          <w:bCs/>
        </w:rPr>
        <w:t>18.5 Malacca-model supplement.</w:t>
      </w:r>
      <w:r>
        <w:rPr/>
        <w:t xml:space="preserve"> The Catalog operates alongside, and never as a substitute for, the voluntary contribution system of Article 19. The Parties design the combined architecture with explicit reference to the cooperative model of the Straits of Malacca and Singapore, adapted to the bilateral geography of Hormuz.</w:t>
      </w:r>
    </w:p>
    <w:p>
      <w:pPr>
        <w:pStyle w:val="TextBody"/>
        <w:rPr/>
      </w:pPr>
      <w:r>
        <w:rPr>
          <w:b/>
          <w:bCs/>
        </w:rPr>
        <w:t>18.6 Review.</w:t>
      </w:r>
      <w:r>
        <w:rPr/>
        <w:t xml:space="preserve"> The Fees and Finance Group reviews the Catalog annually, on the basis of audited costs, utilization data, and the compliance findings of Part X, and proposes amendments to the Joint Committee. The IMO technical observer receives the review file in full.</w:t>
      </w:r>
      <w:bookmarkEnd w:id="57"/>
    </w:p>
    <w:p>
      <w:pPr>
        <w:pStyle w:val="Heading2"/>
        <w:rPr/>
      </w:pPr>
      <w:bookmarkStart w:id="58" w:name="__RefHeading___Toc6103_3918200752"/>
      <w:bookmarkStart w:id="59" w:name="Xbd635d9dff301a66033131bc8840c46098ee752"/>
      <w:bookmarkEnd w:id="58"/>
      <w:r>
        <w:rPr/>
        <w:t>Article 19. The Stewardship Fund and Voluntary Contributions</w:t>
      </w:r>
    </w:p>
    <w:p>
      <w:pPr>
        <w:pStyle w:val="FirstParagraph"/>
        <w:rPr/>
      </w:pPr>
      <w:r>
        <w:rPr>
          <w:b/>
          <w:bCs/>
        </w:rPr>
        <w:t>19.1 The Fund.</w:t>
      </w:r>
      <w:r>
        <w:rPr/>
        <w:t xml:space="preserve"> The Parties establish the Hormuz Stewardship Fund, administered by the Depositary under Annex D, as the common financial engine of the framework. The Fund receives: (a) elected service charges under Article 18; (b) voluntary contributions from shipping companies, flag states, cargo interests, insurers, and other stakeholders, modeled on the Malacca cooperative mechanism; (c) in-kind contributions valued under Annex D rules, including patrol assets, radar equipment, survey capacity, and training; and (d) grants from any state or institution choosing to support the framework.</w:t>
      </w:r>
    </w:p>
    <w:p>
      <w:pPr>
        <w:pStyle w:val="TextBody"/>
        <w:rPr/>
      </w:pPr>
      <w:r>
        <w:rPr>
          <w:b/>
          <w:bCs/>
        </w:rPr>
        <w:t>19.2 Voluntary character.</w:t>
      </w:r>
      <w:r>
        <w:rPr/>
        <w:t xml:space="preserve"> Contributions under Article 19.1(b) remain genuinely voluntary: no contribution functions as a condition of passage, sequencing, safety coverage, or access to any non-chargeable function. The Fund publishes a recognition program for contributors, and Article 31 ties Green Incentives to documented environmental performance rather than to contributions.</w:t>
      </w:r>
    </w:p>
    <w:p>
      <w:pPr>
        <w:pStyle w:val="TextBody"/>
        <w:rPr/>
      </w:pPr>
      <w:r>
        <w:rPr>
          <w:b/>
          <w:bCs/>
        </w:rPr>
        <w:t>19.3 Realism clause.</w:t>
      </w:r>
      <w:r>
        <w:rPr/>
        <w:t xml:space="preserve"> The Parties acknowledge the published scale of voluntary models — on the order of tens of millions of dollars annually in the Malacca experience — and design the Fund’s budget accordingly. The Parties treat the Fund as a cost-recovery and stewardship instrument, not as a revenue-maximizing device, and they review its scale honestly against that benchmark in each annual review.</w:t>
      </w:r>
    </w:p>
    <w:p>
      <w:pPr>
        <w:pStyle w:val="TextBody"/>
        <w:rPr/>
      </w:pPr>
      <w:r>
        <w:rPr>
          <w:b/>
          <w:bCs/>
        </w:rPr>
        <w:t>19.4 Fund uses.</w:t>
      </w:r>
      <w:r>
        <w:rPr/>
        <w:t xml:space="preserve"> The Fund finances, in priority order: (a) mine clearance, survey, and certification under Part VI; (b) aids to navigation and the electronic navigation layer; (c) Joint Operations Center shared costs and the secretariat; (d) environmental monitoring and spill-response readiness; (e) search-and-rescue capability; (f) the seafarer welfare measures of Article 32.5; and (g) audit, transparency, and administration. Annex D states allocation floors and ceilings.</w:t>
      </w:r>
    </w:p>
    <w:p>
      <w:pPr>
        <w:pStyle w:val="TextBody"/>
        <w:rPr/>
      </w:pPr>
      <w:r>
        <w:rPr>
          <w:b/>
          <w:bCs/>
        </w:rPr>
        <w:t>19.5 In-kind firewall.</w:t>
      </w:r>
      <w:r>
        <w:rPr/>
        <w:t xml:space="preserve"> Where a Party contributes in-kind assets, the Annex D valuation rules apply, the Joint Committee approves the valuation, and the contribution enters the accounts transparently. In-kind contributions never substitute for a Party’s own baseline duty to maintain its national systems.</w:t>
      </w:r>
      <w:bookmarkEnd w:id="59"/>
    </w:p>
    <w:p>
      <w:pPr>
        <w:pStyle w:val="Heading2"/>
        <w:rPr/>
      </w:pPr>
      <w:bookmarkStart w:id="60" w:name="__RefHeading___Toc6105_3918200752"/>
      <w:bookmarkStart w:id="61" w:name="Xf3c5d74159e13c3d9a92923d035b9f564f51054"/>
      <w:bookmarkEnd w:id="60"/>
      <w:r>
        <w:rPr/>
        <w:t>Article 20. Revenue Sharing and the Escrow System</w:t>
      </w:r>
    </w:p>
    <w:p>
      <w:pPr>
        <w:pStyle w:val="FirstParagraph"/>
        <w:rPr/>
      </w:pPr>
      <w:r>
        <w:rPr>
          <w:b/>
          <w:bCs/>
        </w:rPr>
        <w:t>20.1 Equal shares.</w:t>
      </w:r>
      <w:r>
        <w:rPr/>
        <w:t xml:space="preserve"> Net revenues of the Stewardship Fund — after the Fund uses of Article 19.4 — divide equally between the two Coastal States, fifty percent to each. The Parties adopt equal division as a structural expression of the symmetry principle of Article 4.1(c), reflecting that both Parties’ waters compose the Strait and both Parties’ labor sustains it.</w:t>
      </w:r>
    </w:p>
    <w:p>
      <w:pPr>
        <w:pStyle w:val="TextBody"/>
        <w:rPr/>
      </w:pPr>
      <w:r>
        <w:rPr>
          <w:b/>
          <w:bCs/>
        </w:rPr>
        <w:t>20.2 Neutral escrow.</w:t>
      </w:r>
      <w:r>
        <w:rPr/>
        <w:t xml:space="preserve"> All monies of the framework flow through escrow accounts administered by the Depositary in Switzerland under Annex D. Payers pay the escrow administrator, never either Party directly; the escrow administrator distributes to the Parties’ designated accounts monthly, net of approved Fund allocations. This architecture firewalls every transaction from direct contact with any sanctions-affected entity and gives every payer a neutral, auditable counterparty.</w:t>
      </w:r>
    </w:p>
    <w:p>
      <w:pPr>
        <w:pStyle w:val="TextBody"/>
        <w:rPr/>
      </w:pPr>
      <w:r>
        <w:rPr>
          <w:b/>
          <w:bCs/>
        </w:rPr>
        <w:t>20.3 Currency and routing.</w:t>
      </w:r>
      <w:r>
        <w:rPr/>
        <w:t xml:space="preserve"> Annex D states the settlement currencies, the correspondent-bank routing, the sanctions-compliance screening the Depositary performs on every flow, and the fallback routing that activates when a correspondent channel closes. The Parties guarantee the convertibility and transferability of their respective distributions.</w:t>
      </w:r>
    </w:p>
    <w:p>
      <w:pPr>
        <w:pStyle w:val="TextBody"/>
        <w:rPr/>
      </w:pPr>
      <w:r>
        <w:rPr>
          <w:b/>
          <w:bCs/>
        </w:rPr>
        <w:t>20.4 Audit.</w:t>
      </w:r>
      <w:r>
        <w:rPr/>
        <w:t xml:space="preserve"> The Fund publishes quarterly accounts and an annual independently audited statement on the Transparency Portal. The auditor comes from the standing panel in Annex D, appointed by the Joint Committee on the Depositary’s nomination. Each Party may additionally commission its own audit at its own expense, with full access to Fund records.</w:t>
      </w:r>
    </w:p>
    <w:p>
      <w:pPr>
        <w:pStyle w:val="TextBody"/>
        <w:rPr/>
      </w:pPr>
      <w:r>
        <w:rPr>
          <w:b/>
          <w:bCs/>
        </w:rPr>
        <w:t>20.5 No diversion.</w:t>
      </w:r>
      <w:r>
        <w:rPr/>
        <w:t xml:space="preserve"> Neither Party attaches, freezes, or diverts Fund balances or the other Party’s distribution for any reason, including any dispute between them. The escrow administrator holds the funds in trust for the stated purposes, and Article 20.5 survives any suspension or termination of this Agreement as to balances then held.</w:t>
      </w:r>
      <w:bookmarkEnd w:id="61"/>
    </w:p>
    <w:p>
      <w:pPr>
        <w:pStyle w:val="Heading2"/>
        <w:rPr/>
      </w:pPr>
      <w:bookmarkStart w:id="62" w:name="__RefHeading___Toc6107_3918200752"/>
      <w:bookmarkStart w:id="63" w:name="X0aa8a2b8982778ed5cccf2612e68fc4af916710"/>
      <w:bookmarkEnd w:id="62"/>
      <w:r>
        <w:rPr/>
        <w:t>Article 20A. Insurance, War-Risk, and Economic Continuity</w:t>
      </w:r>
    </w:p>
    <w:p>
      <w:pPr>
        <w:pStyle w:val="FirstParagraph"/>
        <w:rPr/>
      </w:pPr>
      <w:r>
        <w:rPr>
          <w:b/>
          <w:bCs/>
        </w:rPr>
        <w:t>20A.1 The insurability objective.</w:t>
      </w:r>
      <w:r>
        <w:rPr/>
        <w:t xml:space="preserve"> The Parties recognize that the commercial reopening of the Strait depends on insurability as much as on geometry: war-risk premiums, P&amp;I cover, and hull underwriters’ willingness to write the transit determine whether ships sail. The Parties design the framework’s verification, certification, and transparency outputs expressly to give underwriters a decision-grade evidentiary basis, and they maintain the standing insurance interface of this Article to keep that basis current.</w:t>
      </w:r>
    </w:p>
    <w:p>
      <w:pPr>
        <w:pStyle w:val="TextBody"/>
        <w:rPr/>
      </w:pPr>
      <w:r>
        <w:rPr>
          <w:b/>
          <w:bCs/>
        </w:rPr>
        <w:t>20A.2 The War-Risk Reinsurance Backstop.</w:t>
      </w:r>
      <w:r>
        <w:rPr/>
        <w:t xml:space="preserve"> The Parties establish, within the Stewardship Fund, a War-Risk Reinsurance Backstop administered by the Depositary under the rules of Annex M. The Backstop stands behind commercial war-risk cover for certified-corridor transits: where private war-risk capacity withdraws or prices above the trigger band in Annex M, the Backstop offers reinsurance capacity at the published tariff, funded from the Reserve Account and from the premiums it collects. The Backstop never charges for the baseline safety coverage of the corridors and never functions as a condition of passage; it operates purely as a commercial insurance facility available on election.</w:t>
      </w:r>
    </w:p>
    <w:p>
      <w:pPr>
        <w:pStyle w:val="TextBody"/>
        <w:rPr/>
      </w:pPr>
      <w:r>
        <w:rPr>
          <w:b/>
          <w:bCs/>
        </w:rPr>
        <w:t>20A.3 The certification-to-premium linkage.</w:t>
      </w:r>
      <w:r>
        <w:rPr/>
        <w:t xml:space="preserve"> The Joint Committee transmits every gate declaration, segment certificate, re-verification result, and compliance report to the standing insurance panel of Annex M within 24 hours of publication. The panel — comprising representatives of the International Group of P&amp;I Clubs, the war-risk market, and the International Chamber of Shipping, seated as observers — receives quarterly technical briefings at the JOC and may conduct the verification visits Annex M describes. The Parties’ shared objective: corridor certification reads directly into reduced war-risk rating, and the compliance metrics of Annex H sustain that reduction.</w:t>
      </w:r>
    </w:p>
    <w:p>
      <w:pPr>
        <w:pStyle w:val="TextBody"/>
        <w:rPr/>
      </w:pPr>
      <w:r>
        <w:rPr>
          <w:b/>
          <w:bCs/>
        </w:rPr>
        <w:t>20A.4 Economic continuity instruments.</w:t>
      </w:r>
      <w:r>
        <w:rPr/>
        <w:t xml:space="preserve"> Annex M carries the framework’s economic continuity instruments: (a) the Business Interruption Window, under which a Party materially failing a compliance metric enters the corrective procedure with published timelines, giving charterers and insurers a predictable horizon; (b) the Charterparty Standard Clause, a model clause drafted with the shipping industry that allocates corridor-related delay and deviation costs, available for adoption in fixture contracts; and (c) the Cargo Continuity Protocol, under which a vessel disabled in the Governance Area receives priority towage, lightering, and cargo-forwarding coordination so that cargo delay never compounds casualty risk.</w:t>
      </w:r>
    </w:p>
    <w:p>
      <w:pPr>
        <w:pStyle w:val="TextBody"/>
        <w:rPr/>
      </w:pPr>
      <w:r>
        <w:rPr>
          <w:b/>
          <w:bCs/>
        </w:rPr>
        <w:t>20A.5 Premium transparency.</w:t>
      </w:r>
      <w:r>
        <w:rPr/>
        <w:t xml:space="preserve"> The insurance panel publishes, quarterly and anonymized, the prevailing war-risk additional premium range for Strait transits alongside the framework’s compliance data. The Parties treat a falling premium range as a headline success metric of this Agreement and a rising range as an automatic trigger for extraordinary review under Article 37.4.</w:t>
      </w:r>
    </w:p>
    <w:p>
      <w:pPr>
        <w:pStyle w:val="TextBody"/>
        <w:rPr/>
      </w:pPr>
      <w:r>
        <w:rPr>
          <w:b/>
          <w:bCs/>
        </w:rPr>
        <w:t>20A.6 No guarantee of safety.</w:t>
      </w:r>
      <w:r>
        <w:rPr/>
        <w:t xml:space="preserve"> The Backstop and the certification system state and manage risk honestly; nothing in this Agreement constitutes a guarantee by either Party of absolute safety, and the framework’s insurance instruments exist precisely to price and absorb residual risk rather than to deny it.</w:t>
      </w:r>
    </w:p>
    <w:p>
      <w:pPr>
        <w:pStyle w:val="Normal"/>
        <w:rPr/>
      </w:pPr>
      <w:bookmarkStart w:id="64" w:name="X014c47edc686e3a865f75238e418fd54bebd33b"/>
      <w:bookmarkStart w:id="65" w:name="X0aa8a2b8982778ed5cccf2612e68fc4af916710"/>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1"/>
        <w:rPr/>
      </w:pPr>
      <w:bookmarkStart w:id="66" w:name="__RefHeading___Toc6109_3918200752"/>
      <w:bookmarkStart w:id="67" w:name="X9bfffcf0d6c77902437a11aa12a6b2c7066b283"/>
      <w:bookmarkEnd w:id="66"/>
      <w:r>
        <w:rPr/>
        <w:t>PART VI. HAZARD SURVEY, MINE CLEARANCE, AND CERTIFICATION</w:t>
      </w:r>
    </w:p>
    <w:p>
      <w:pPr>
        <w:pStyle w:val="Heading2"/>
        <w:rPr/>
      </w:pPr>
      <w:bookmarkStart w:id="68" w:name="__RefHeading___Toc6111_3918200752"/>
      <w:bookmarkStart w:id="69" w:name="article-21.-the-hazard-survey"/>
      <w:bookmarkEnd w:id="68"/>
      <w:r>
        <w:rPr/>
        <w:t>Article 21. The Hazard Survey</w:t>
      </w:r>
    </w:p>
    <w:p>
      <w:pPr>
        <w:pStyle w:val="FirstParagraph"/>
        <w:rPr/>
      </w:pPr>
      <w:r>
        <w:rPr>
          <w:b/>
          <w:bCs/>
        </w:rPr>
        <w:t>21.1 Baseline survey.</w:t>
      </w:r>
      <w:r>
        <w:rPr/>
        <w:t xml:space="preserve"> Within 14 days of Day 0, the joint hydrographic working group commences a full hazard survey of both interim corridors and the Corridor Two track: multibeam bathymetry, side-scan sonar, magnetometry, and remotely operated vehicle investigation of every contact. The survey covers 100 percent of each lane and its buffers, repeated on the rolling cycle of Annex E.</w:t>
      </w:r>
    </w:p>
    <w:p>
      <w:pPr>
        <w:pStyle w:val="TextBody"/>
        <w:rPr/>
      </w:pPr>
      <w:r>
        <w:rPr>
          <w:b/>
          <w:bCs/>
        </w:rPr>
        <w:t>21.2 Information pooling.</w:t>
      </w:r>
      <w:r>
        <w:rPr/>
        <w:t xml:space="preserve"> Each Party contributes all hazard information in its possession, including minefield records, wreck positions, ordnance dumps, cable crossings, and conflict-era contact reports. Iran provides the laying records of any mines emplaced by its forces; each Party provides records of hazards reported within its waters by any source. The United Nations Mine Action Service receives an invitation to advise the survey program and to certify its methodology.</w:t>
      </w:r>
    </w:p>
    <w:p>
      <w:pPr>
        <w:pStyle w:val="TextBody"/>
        <w:rPr/>
      </w:pPr>
      <w:r>
        <w:rPr>
          <w:b/>
          <w:bCs/>
        </w:rPr>
        <w:t>21.3 The Hazard Register.</w:t>
      </w:r>
      <w:r>
        <w:rPr/>
        <w:t xml:space="preserve"> The survey produces the joint Hazard Register: a single, classified annex-level inventory of every confirmed or suspected hazard, with position, type assessment, and clearance priority. The Register updates daily during the Clearance Phase and posts its public subset — navigational hazards relevant to mariners — to the portal in real time.</w:t>
      </w:r>
    </w:p>
    <w:p>
      <w:pPr>
        <w:pStyle w:val="TextBody"/>
        <w:rPr/>
      </w:pPr>
      <w:r>
        <w:rPr>
          <w:b/>
          <w:bCs/>
        </w:rPr>
        <w:t>21.4 Interim routing protection.</w:t>
      </w:r>
      <w:r>
        <w:rPr/>
        <w:t xml:space="preserve"> Until clearance certifies a segment, the Joint Operations Center routes traffic around confirmed contacts using the emergency routing procedure of Article 26.4, with buffer distances set by Annex E.</w:t>
      </w:r>
      <w:bookmarkEnd w:id="69"/>
    </w:p>
    <w:p>
      <w:pPr>
        <w:pStyle w:val="Heading2"/>
        <w:rPr/>
      </w:pPr>
      <w:bookmarkStart w:id="70" w:name="__RefHeading___Toc6113_3918200752"/>
      <w:bookmarkStart w:id="71" w:name="article-22.-clearance-responsibilities"/>
      <w:bookmarkEnd w:id="70"/>
      <w:r>
        <w:rPr/>
        <w:t>Article 22. Clearance Responsibilities</w:t>
      </w:r>
    </w:p>
    <w:p>
      <w:pPr>
        <w:pStyle w:val="FirstParagraph"/>
        <w:rPr/>
      </w:pPr>
      <w:r>
        <w:rPr>
          <w:b/>
          <w:bCs/>
        </w:rPr>
        <w:t>22.1 Iran’s clearance responsibility.</w:t>
      </w:r>
      <w:r>
        <w:rPr/>
        <w:t xml:space="preserve"> The Islamic Republic of Iran takes responsibility for the physical clearance of naval mines within the Governance Area, particularly along the corridor tracks, consistent with the understandings of the 2026 negotiations. Iran executes clearance with its own assets, on the schedule of Annex I, in coordination with the Joint Committee and international technical bodies.</w:t>
      </w:r>
    </w:p>
    <w:p>
      <w:pPr>
        <w:pStyle w:val="TextBody"/>
        <w:rPr/>
      </w:pPr>
      <w:r>
        <w:rPr>
          <w:b/>
          <w:bCs/>
        </w:rPr>
        <w:t>22.2 Oman’s support role.</w:t>
      </w:r>
      <w:r>
        <w:rPr/>
        <w:t xml:space="preserve"> Oman provides: staging and logistics support at Musandam facilities; medical and evacuation support for clearance personnel; clearance of any hazards within waters it designates as its own responsibility in Annex E; and liaison with international mine-action partners.</w:t>
      </w:r>
    </w:p>
    <w:p>
      <w:pPr>
        <w:pStyle w:val="TextBody"/>
        <w:rPr/>
      </w:pPr>
      <w:r>
        <w:rPr>
          <w:b/>
          <w:bCs/>
        </w:rPr>
        <w:t>22.3 International technical support.</w:t>
      </w:r>
      <w:r>
        <w:rPr/>
        <w:t xml:space="preserve"> The Parties invite the United Nations Mine Action Service, the International Maritime Organization, and such specialized third-state capabilities as both Parties jointly accept to provide technical advice, quality assurance, and — where the Joint Committee decides by consensus — direct clearance support under joint operational control.</w:t>
      </w:r>
    </w:p>
    <w:p>
      <w:pPr>
        <w:pStyle w:val="TextBody"/>
        <w:rPr/>
      </w:pPr>
      <w:r>
        <w:rPr>
          <w:b/>
          <w:bCs/>
        </w:rPr>
        <w:t>22.4 Clearance standards.</w:t>
      </w:r>
      <w:r>
        <w:rPr/>
        <w:t xml:space="preserve"> Clearance executes to the International Mine Action Standards as adapted for maritime operations in Annex E: detection confidence levels, clearance depths relative to controlled corridor depth, disposal methods, and environmental safeguards for ordnance disposal.</w:t>
      </w:r>
    </w:p>
    <w:p>
      <w:pPr>
        <w:pStyle w:val="TextBody"/>
        <w:rPr/>
      </w:pPr>
      <w:r>
        <w:rPr>
          <w:b/>
          <w:bCs/>
        </w:rPr>
        <w:t>22.5 No re-seeding.</w:t>
      </w:r>
      <w:r>
        <w:rPr/>
        <w:t xml:space="preserve"> Neither Party emplaces, nor permits the emplacement from its territory of, any naval mine or analogous device within the Governance Area. This obligation binds permanently and survives the transition to Corridor Two.</w:t>
      </w:r>
    </w:p>
    <w:p>
      <w:pPr>
        <w:pStyle w:val="TextBody"/>
        <w:rPr/>
      </w:pPr>
      <w:r>
        <w:rPr>
          <w:b/>
          <w:bCs/>
        </w:rPr>
        <w:t>22.6 Clearance personnel safety.</w:t>
      </w:r>
      <w:r>
        <w:rPr/>
        <w:t xml:space="preserve"> Clearance units operate under the protection of the stand-down regime of Part VII. Each Party’s forces treat marked clearance vessels and their escorts as protected humanitarian-safety assets, and the deconfliction hotline carries their positions continuously.</w:t>
      </w:r>
      <w:bookmarkEnd w:id="71"/>
    </w:p>
    <w:p>
      <w:pPr>
        <w:pStyle w:val="Heading2"/>
        <w:rPr/>
      </w:pPr>
      <w:bookmarkStart w:id="72" w:name="__RefHeading___Toc6115_3918200752"/>
      <w:bookmarkStart w:id="73" w:name="X1603566aff2b733d670c3f35689ae0a714060bc"/>
      <w:bookmarkEnd w:id="72"/>
      <w:r>
        <w:rPr/>
        <w:t>Article 23. Verification and Certification</w:t>
      </w:r>
    </w:p>
    <w:p>
      <w:pPr>
        <w:pStyle w:val="FirstParagraph"/>
        <w:rPr/>
      </w:pPr>
      <w:r>
        <w:rPr>
          <w:b/>
          <w:bCs/>
        </w:rPr>
        <w:t>23.1 Segment-by-segment certification.</w:t>
      </w:r>
      <w:r>
        <w:rPr/>
        <w:t xml:space="preserve"> Each corridor segment — defined in Annex E as a ten-nautical-mile block — opens to traffic only after verification certifies it clear. Verification proceeds jointly: clearance divers and survey assets of both Parties, plus the invited international observers, re-survey each cleared segment and co-sign its certificate.</w:t>
      </w:r>
    </w:p>
    <w:p>
      <w:pPr>
        <w:pStyle w:val="TextBody"/>
        <w:rPr/>
      </w:pPr>
      <w:r>
        <w:rPr>
          <w:b/>
          <w:bCs/>
        </w:rPr>
        <w:t>23.2 The certificate.</w:t>
      </w:r>
      <w:r>
        <w:rPr/>
        <w:t xml:space="preserve"> A segment certificate records: the survey methods and dates; the detection confidence achieved; the residual-risk statement; the controlled depth; and the signatures of both Parties’ hydrographic authorities and the observing technical body. Certificates post to the Transparency Portal within 24 hours of signature.</w:t>
      </w:r>
    </w:p>
    <w:p>
      <w:pPr>
        <w:pStyle w:val="TextBody"/>
        <w:rPr/>
      </w:pPr>
      <w:r>
        <w:rPr>
          <w:b/>
          <w:bCs/>
        </w:rPr>
        <w:t>23.3 Dual-key certification.</w:t>
      </w:r>
      <w:r>
        <w:rPr/>
        <w:t xml:space="preserve"> No certificate takes effect without both Parties’ signatures. A disagreement over a segment’s status routes to the Security Liaison Group, then to the Joint Committee, with the segment remaining closed or restricted in the interim under the conservative-default rule of Article 9.5.</w:t>
      </w:r>
    </w:p>
    <w:p>
      <w:pPr>
        <w:pStyle w:val="TextBody"/>
        <w:rPr/>
      </w:pPr>
      <w:r>
        <w:rPr>
          <w:b/>
          <w:bCs/>
        </w:rPr>
        <w:t>23.4 Rolling re-verification.</w:t>
      </w:r>
      <w:r>
        <w:rPr/>
        <w:t xml:space="preserve"> Certified segments undergo re-verification on the cycle of Annex E — quarterly side-scan runs and annual full re-survey — and after any incident, any seismic event above the threshold in Annex G, or any credible report of new hazards.</w:t>
      </w:r>
    </w:p>
    <w:p>
      <w:pPr>
        <w:pStyle w:val="TextBody"/>
        <w:rPr/>
      </w:pPr>
      <w:r>
        <w:rPr>
          <w:b/>
          <w:bCs/>
        </w:rPr>
        <w:t>23.5 Chart amendment procedure.</w:t>
      </w:r>
      <w:r>
        <w:rPr/>
        <w:t xml:space="preserve"> Certification results feed the chart series of Article 8.3. Every corridor amendment follows the sequence: Joint Committee adoption, IMO notification, chart correction, Notice to Mariners, portal publication, and a minimum 14-day mariner lead time except in safety emergencies.</w:t>
      </w:r>
      <w:bookmarkEnd w:id="73"/>
    </w:p>
    <w:p>
      <w:pPr>
        <w:pStyle w:val="Heading2"/>
        <w:rPr/>
      </w:pPr>
      <w:bookmarkStart w:id="74" w:name="__RefHeading___Toc6117_3918200752"/>
      <w:bookmarkStart w:id="75" w:name="Xe39b021eedce659062b0f6d00fd78502ac5cb83"/>
      <w:bookmarkEnd w:id="74"/>
      <w:r>
        <w:rPr/>
        <w:t>Article 24. Opening Gates and the Corridor Activation Sequence</w:t>
      </w:r>
    </w:p>
    <w:p>
      <w:pPr>
        <w:pStyle w:val="FirstParagraph"/>
        <w:rPr/>
      </w:pPr>
      <w:r>
        <w:rPr>
          <w:b/>
          <w:bCs/>
        </w:rPr>
        <w:t>24.1 Gate structure.</w:t>
      </w:r>
      <w:r>
        <w:rPr/>
        <w:t xml:space="preserve"> Each corridor opens through three gates:</w:t>
      </w:r>
    </w:p>
    <w:p>
      <w:pPr>
        <w:pStyle w:val="Normal"/>
        <w:numPr>
          <w:ilvl w:val="0"/>
          <w:numId w:val="43"/>
        </w:numPr>
        <w:rPr/>
      </w:pPr>
      <w:r>
        <w:rPr>
          <w:b/>
          <w:bCs/>
        </w:rPr>
        <w:t>Gate Alpha — Surveyed.</w:t>
      </w:r>
      <w:r>
        <w:rPr/>
        <w:t xml:space="preserve"> Baseline survey complete; Hazard Register current; interim routing protection active.</w:t>
      </w:r>
    </w:p>
    <w:p>
      <w:pPr>
        <w:pStyle w:val="Normal"/>
        <w:numPr>
          <w:ilvl w:val="0"/>
          <w:numId w:val="44"/>
        </w:numPr>
        <w:rPr/>
      </w:pPr>
      <w:r>
        <w:rPr>
          <w:b/>
          <w:bCs/>
        </w:rPr>
        <w:t>Gate Beta — Cleared and Certified.</w:t>
      </w:r>
      <w:r>
        <w:rPr/>
        <w:t xml:space="preserve"> Every segment of the corridor holds a valid certificate; aids to navigation installed and lit; communications tested.</w:t>
      </w:r>
    </w:p>
    <w:p>
      <w:pPr>
        <w:pStyle w:val="Normal"/>
        <w:numPr>
          <w:ilvl w:val="0"/>
          <w:numId w:val="45"/>
        </w:numPr>
        <w:rPr/>
      </w:pPr>
      <w:r>
        <w:rPr>
          <w:b/>
          <w:bCs/>
        </w:rPr>
        <w:t>Gate Gamma — Operational.</w:t>
      </w:r>
      <w:r>
        <w:rPr/>
        <w:t xml:space="preserve"> Notification Protocol live; watch officers certified on the corridor; first commercial transits completed under observation.</w:t>
      </w:r>
    </w:p>
    <w:p>
      <w:pPr>
        <w:pStyle w:val="FirstParagraph"/>
        <w:rPr/>
      </w:pPr>
      <w:r>
        <w:rPr>
          <w:b/>
          <w:bCs/>
        </w:rPr>
        <w:t>24.2 Gate decisions.</w:t>
      </w:r>
      <w:r>
        <w:rPr/>
        <w:t xml:space="preserve"> The Joint Committee declares each gate by consensus, on the written recommendation of the relevant working group and the co-signed technical file. Gate declarations post immediately to the portal and issue as Notices to Mariners.</w:t>
      </w:r>
    </w:p>
    <w:p>
      <w:pPr>
        <w:pStyle w:val="TextBody"/>
        <w:rPr/>
      </w:pPr>
      <w:r>
        <w:rPr>
          <w:b/>
          <w:bCs/>
        </w:rPr>
        <w:t>24.3 Acceleration.</w:t>
      </w:r>
      <w:r>
        <w:rPr/>
        <w:t xml:space="preserve"> The Parties pursue the gate sequence on the accelerated calendar of Annex I, consistent with the shared objective of restoring full commercial traffic at the earliest safe date. Acceleration never skips a certificate: speed comes from concurrency of work, not from lowering standards.</w:t>
      </w:r>
    </w:p>
    <w:p>
      <w:pPr>
        <w:pStyle w:val="TextBody"/>
        <w:rPr/>
      </w:pPr>
      <w:r>
        <w:rPr>
          <w:b/>
          <w:bCs/>
        </w:rPr>
        <w:t>24.4 Humanitarian precedence.</w:t>
      </w:r>
      <w:r>
        <w:rPr/>
        <w:t xml:space="preserve"> Notwithstanding gate status, the humanitarian bridge of Article 32 operates from Day 0 through the interim routing protection of Article 21.4, so that food, medicine, and relief cargo move first, under every condition, without exception.</w:t>
      </w:r>
    </w:p>
    <w:p>
      <w:pPr>
        <w:pStyle w:val="Normal"/>
        <w:rPr/>
      </w:pPr>
      <w:bookmarkStart w:id="76" w:name="X9bfffcf0d6c77902437a11aa12a6b2c7066b283"/>
      <w:bookmarkStart w:id="77" w:name="Xe39b021eedce659062b0f6d00fd78502ac5cb83"/>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p>
    <w:p>
      <w:pPr>
        <w:pStyle w:val="Heading1"/>
        <w:rPr/>
      </w:pPr>
      <w:bookmarkStart w:id="78" w:name="__RefHeading___Toc6119_3918200752"/>
      <w:bookmarkStart w:id="79" w:name="X64c63a88d9ef0faaf3f54b2165d57400b40675e"/>
      <w:bookmarkEnd w:id="78"/>
      <w:r>
        <w:rPr/>
        <w:t>PART VII. SECURITY, STAND-DOWN, AND DECONFLICTION</w:t>
      </w:r>
    </w:p>
    <w:p>
      <w:pPr>
        <w:pStyle w:val="Heading2"/>
        <w:rPr/>
      </w:pPr>
      <w:bookmarkStart w:id="80" w:name="__RefHeading___Toc6121_3918200752"/>
      <w:bookmarkStart w:id="81" w:name="X897aba76b048d6456b1a1912d4f6527b56c482b"/>
      <w:bookmarkEnd w:id="80"/>
      <w:r>
        <w:rPr/>
        <w:t>Article 25. The Military Stand-Down within the Governance Area</w:t>
      </w:r>
    </w:p>
    <w:p>
      <w:pPr>
        <w:pStyle w:val="FirstParagraph"/>
        <w:rPr/>
      </w:pPr>
      <w:r>
        <w:rPr>
          <w:b/>
          <w:bCs/>
        </w:rPr>
        <w:t>25.1 Stand-down.</w:t>
      </w:r>
      <w:r>
        <w:rPr/>
        <w:t xml:space="preserve"> Within the Governance Area and a surrounding deconfliction belt extending 50 nautical miles from corridor centerlines as charted in Annex A, each Party’s armed forces: (a) conduct no attacks, strikes, or live-fire exercises; (b) conduct no boarding, diversion, or detention of transiting merchant vessels; (c) maintain force postures frozen at their Day 0 dispositions as recorded in the classified baseline annex exchanged through the Depositary; and (d) introduce no new naval deployments, weapons emplacements, or force-posture changes.</w:t>
      </w:r>
    </w:p>
    <w:p>
      <w:pPr>
        <w:pStyle w:val="TextBody"/>
        <w:rPr/>
      </w:pPr>
      <w:r>
        <w:rPr>
          <w:b/>
          <w:bCs/>
        </w:rPr>
        <w:t>25.2 Permitted presence.</w:t>
      </w:r>
      <w:r>
        <w:rPr/>
        <w:t xml:space="preserve"> Each Party maintains its normal coast-guard and police functions within its own waters: search and rescue, environmental response, counter-piracy, counter-smuggling against non-transiting traffic, and protection of its own terminals. Each Party provides the other with 72-hour notice of any concentration of permitted activity near a corridor, through the Security Liaison Group.</w:t>
      </w:r>
    </w:p>
    <w:p>
      <w:pPr>
        <w:pStyle w:val="TextBody"/>
        <w:rPr/>
      </w:pPr>
      <w:r>
        <w:rPr>
          <w:b/>
          <w:bCs/>
        </w:rPr>
        <w:t>25.3 The dual-key rule.</w:t>
      </w:r>
      <w:r>
        <w:rPr/>
        <w:t xml:space="preserve"> Any security measure affecting a transiting vessel or corridor operations — inspection request, escort imposition, temporary exclusion, or response to a suspected threat — requires the concurrence of both Parties through the Security Liaison Group: two keys, one action. Absent dual-key concurrence, no such measure proceeds, except immediate self-defense against an actual attack, which the acting Party reports to the hotline before, during, or immediately after execution.</w:t>
      </w:r>
    </w:p>
    <w:p>
      <w:pPr>
        <w:pStyle w:val="TextBody"/>
        <w:rPr/>
      </w:pPr>
      <w:r>
        <w:rPr>
          <w:b/>
          <w:bCs/>
        </w:rPr>
        <w:t>25.4 Dual-key procedure.</w:t>
      </w:r>
      <w:r>
        <w:rPr/>
        <w:t xml:space="preserve"> The Security Liaison Group staffs a 24/7 dual-key desk at each JOC location. A proposed security measure circulates with a standardized electronic form; both senior watch officers key their concurrence; the Standing Logbook records the measure, its basis, its duration, and its outcome. Every dual-key event enters the monthly compliance review of Article 34.</w:t>
      </w:r>
    </w:p>
    <w:p>
      <w:pPr>
        <w:pStyle w:val="TextBody"/>
        <w:rPr/>
      </w:pPr>
      <w:r>
        <w:rPr>
          <w:b/>
          <w:bCs/>
        </w:rPr>
        <w:t>25.5 Third-state forces.</w:t>
      </w:r>
      <w:r>
        <w:rPr/>
        <w:t xml:space="preserve"> The Parties coordinate jointly regarding any third-state naval presence within the Governance Area. Neither Party invites, facilitates, or acquiesces in third-state military operations inside the Governance Area without Joint Committee consensus. This Article creates no rights for third states and leaves untouched arrangements outside the Governance Area.</w:t>
      </w:r>
    </w:p>
    <w:p>
      <w:pPr>
        <w:pStyle w:val="TextBody"/>
        <w:rPr/>
      </w:pPr>
      <w:r>
        <w:rPr>
          <w:b/>
          <w:bCs/>
        </w:rPr>
        <w:t>25.6 No-surprise exercises.</w:t>
      </w:r>
      <w:r>
        <w:rPr/>
        <w:t xml:space="preserve"> Each Party gives the other not less than 14 days’ notice, through the Security Liaison Group, of any national exercise within 100 nautical miles of the Governance Area, with exercise areas charted to exclude the deconfliction belt.</w:t>
      </w:r>
      <w:bookmarkEnd w:id="81"/>
    </w:p>
    <w:p>
      <w:pPr>
        <w:pStyle w:val="Heading2"/>
        <w:rPr/>
      </w:pPr>
      <w:bookmarkStart w:id="82" w:name="__RefHeading___Toc6123_3918200752"/>
      <w:bookmarkStart w:id="83" w:name="X68858fc251bb8b26d9d0702131a7325790721ff"/>
      <w:bookmarkEnd w:id="82"/>
      <w:r>
        <w:rPr/>
        <w:t>Article 26. The Deconfliction Hotline and Emergency Routing</w:t>
      </w:r>
    </w:p>
    <w:p>
      <w:pPr>
        <w:pStyle w:val="FirstParagraph"/>
        <w:rPr/>
      </w:pPr>
      <w:r>
        <w:rPr>
          <w:b/>
          <w:bCs/>
        </w:rPr>
        <w:t>26.1 The hotline.</w:t>
      </w:r>
      <w:r>
        <w:rPr/>
        <w:t xml:space="preserve"> The Parties operate a 24/7 deconfliction hotline connecting the Iranian and Omani naval commands, both JOC desks, and — by standing invitation — the liaison cells of the United States Fifth Fleet and the International Maritime Organization’s coordination function. The hotline uses dedicated circuits with satellite fallback and carries voice and data.</w:t>
      </w:r>
    </w:p>
    <w:p>
      <w:pPr>
        <w:pStyle w:val="TextBody"/>
        <w:rPr/>
      </w:pPr>
      <w:r>
        <w:rPr>
          <w:b/>
          <w:bCs/>
        </w:rPr>
        <w:t>26.2 The 15-minute standard.</w:t>
      </w:r>
      <w:r>
        <w:rPr/>
        <w:t xml:space="preserve"> Every hotline call receives an answered, substantive response within 15 minutes, around the clock. The hotline log forms part of the Standing Logbook, and answer performance enters the compliance metrics of Annex H.</w:t>
      </w:r>
    </w:p>
    <w:p>
      <w:pPr>
        <w:pStyle w:val="TextBody"/>
        <w:rPr/>
      </w:pPr>
      <w:r>
        <w:rPr>
          <w:b/>
          <w:bCs/>
        </w:rPr>
        <w:t>26.3 Hotline functions.</w:t>
      </w:r>
      <w:r>
        <w:rPr/>
        <w:t xml:space="preserve"> The hotline carries: (a) incident alerts under Article 28; (b) hazard reports, including suspected mines and interference with navigation; (c) dual-key traffic of Article 25.4; (d) clearance-unit position updates under Article 22.6; (e) exercise notices; and (f) any matter either Party designates urgent.</w:t>
      </w:r>
    </w:p>
    <w:p>
      <w:pPr>
        <w:pStyle w:val="TextBody"/>
        <w:rPr/>
      </w:pPr>
      <w:r>
        <w:rPr>
          <w:b/>
          <w:bCs/>
        </w:rPr>
        <w:t>26.4 Emergency routing.</w:t>
      </w:r>
      <w:r>
        <w:rPr/>
        <w:t xml:space="preserve"> Where an immediate hazard threatens a corridor segment — a drifting mine, a casualty, a collision — both senior watch officers jointly order an emergency routing amendment: shifting traffic to the other corridor, to a charted alternate track in Annex A, or imposing a localized, time-limited suspension under Article 16.2. The Joint Operations Center broadcasts the amendment instantly on all channels, and the Security Liaison Group reviews every emergency routing within 24 hours.</w:t>
      </w:r>
    </w:p>
    <w:p>
      <w:pPr>
        <w:pStyle w:val="TextBody"/>
        <w:rPr/>
      </w:pPr>
      <w:r>
        <w:rPr>
          <w:b/>
          <w:bCs/>
        </w:rPr>
        <w:t>26.5 Common channel discipline.</w:t>
      </w:r>
      <w:r>
        <w:rPr/>
        <w:t xml:space="preserve"> All operational voice traffic uses the channel plan of Annex F and the IMO Standard Marine Communication Phrases. Watch officers, patrol craft, and transiting vessels monitor the common channel continuously within the Governance Area.</w:t>
      </w:r>
      <w:bookmarkEnd w:id="83"/>
    </w:p>
    <w:p>
      <w:pPr>
        <w:pStyle w:val="Heading2"/>
        <w:rPr/>
      </w:pPr>
      <w:bookmarkStart w:id="84" w:name="__RefHeading___Toc6125_3918200752"/>
      <w:bookmarkStart w:id="85" w:name="article-27.-coordinated-surveillance"/>
      <w:bookmarkEnd w:id="84"/>
      <w:r>
        <w:rPr/>
        <w:t>Article 27. Coordinated Surveillance</w:t>
      </w:r>
    </w:p>
    <w:p>
      <w:pPr>
        <w:pStyle w:val="FirstParagraph"/>
        <w:rPr/>
      </w:pPr>
      <w:r>
        <w:rPr>
          <w:b/>
          <w:bCs/>
        </w:rPr>
        <w:t>27.1 The shared picture.</w:t>
      </w:r>
      <w:r>
        <w:rPr/>
        <w:t xml:space="preserve"> Each Party feeds its coastal radar, AIS, and electro-optical coverage of the Governance Area into the shared traffic picture at both JOC desks. The merged picture — “blue-safe” monitoring of all transiting vessels — displays identically at Desk North, Desk South, and the Depositary’s read-only terminal.</w:t>
      </w:r>
    </w:p>
    <w:p>
      <w:pPr>
        <w:pStyle w:val="TextBody"/>
        <w:rPr/>
      </w:pPr>
      <w:r>
        <w:rPr>
          <w:b/>
          <w:bCs/>
        </w:rPr>
        <w:t>27.2 Surveillance boundaries.</w:t>
      </w:r>
      <w:r>
        <w:rPr/>
        <w:t xml:space="preserve"> Coordinated surveillance covers the Governance Area and its approaches for safety and security-of-navigation purposes. Neither Party uses the shared system to target the other Party, and the system architecture technically partitions each Party’s feed so that the shared picture contains only the Governance Area coverage.</w:t>
      </w:r>
    </w:p>
    <w:p>
      <w:pPr>
        <w:pStyle w:val="TextBody"/>
        <w:rPr/>
      </w:pPr>
      <w:r>
        <w:rPr>
          <w:b/>
          <w:bCs/>
        </w:rPr>
        <w:t>27.3 Anomaly detection.</w:t>
      </w:r>
      <w:r>
        <w:rPr/>
        <w:t xml:space="preserve"> The Joint Operations Center applies automated anomaly detection — dark-target alerts, unexpected stops, AIS manipulation, deviation from corridor — to the shared picture. Every anomaly generates a joint assessment within 30 minutes and, where warranted, a dual-key response under Article 25.4.</w:t>
      </w:r>
    </w:p>
    <w:p>
      <w:pPr>
        <w:pStyle w:val="TextBody"/>
        <w:rPr/>
      </w:pPr>
      <w:r>
        <w:rPr>
          <w:b/>
          <w:bCs/>
        </w:rPr>
        <w:t>27.4 Hazard information sharing.</w:t>
      </w:r>
      <w:r>
        <w:rPr/>
        <w:t xml:space="preserve"> Each Party shares through the portal and the hotline all information on mine locations, drifting hazards, navigation-aid failures, and weather hazards affecting the Governance Area, in real time. Article 8.4 applies to signal interference.</w:t>
      </w:r>
    </w:p>
    <w:p>
      <w:pPr>
        <w:pStyle w:val="TextBody"/>
        <w:rPr/>
      </w:pPr>
      <w:r>
        <w:rPr>
          <w:b/>
          <w:bCs/>
        </w:rPr>
        <w:t>27.5 Overflight and unmanned systems.</w:t>
      </w:r>
      <w:r>
        <w:rPr/>
        <w:t xml:space="preserve"> Surveillance overflight of the shared picture’s coverage area by either Party’s unmanned systems proceeds on 24-hour prior notice through the Security Liaison Group, with flight plans logged. Armed unmanned systems do not operate within the deconfliction belt under this Agreement.</w:t>
      </w:r>
    </w:p>
    <w:p>
      <w:pPr>
        <w:pStyle w:val="TextBody"/>
        <w:rPr/>
      </w:pPr>
      <w:r>
        <w:rPr>
          <w:b/>
          <w:bCs/>
        </w:rPr>
        <w:t>27.6 Operational-security exceptions.</w:t>
      </w:r>
      <w:r>
        <w:rPr/>
        <w:t xml:space="preserve"> The transparency rule of Article 4.1(d) yields only where publication would create a specific, articulable security risk: force dispositions, hotline content, and vulnerability assessments remain in the classified annexes. The Joint Committee reviews every classification decision quarterly against a presumption of disclosure.</w:t>
      </w:r>
      <w:bookmarkEnd w:id="85"/>
    </w:p>
    <w:p>
      <w:pPr>
        <w:pStyle w:val="Heading2"/>
        <w:rPr/>
      </w:pPr>
      <w:bookmarkStart w:id="86" w:name="__RefHeading___Toc6127_3918200752"/>
      <w:bookmarkStart w:id="87" w:name="article-28.-incident-protocol"/>
      <w:bookmarkEnd w:id="86"/>
      <w:r>
        <w:rPr/>
        <w:t>Article 28. Incident Protocol</w:t>
      </w:r>
    </w:p>
    <w:p>
      <w:pPr>
        <w:pStyle w:val="FirstParagraph"/>
        <w:rPr/>
      </w:pPr>
      <w:r>
        <w:rPr>
          <w:b/>
          <w:bCs/>
        </w:rPr>
        <w:t>28.1 Immediate response.</w:t>
      </w:r>
      <w:r>
        <w:rPr/>
        <w:t xml:space="preserve"> Any incident within the Governance Area — attack, collision, grounding, fire, pollution, suspicious approach, or interference — triggers: (a) immediate alert on all channels and the hotline; (b) search-and-rescue activation under Annex G where life is at risk, proceeding without dual-key delay; (c) preservation of evidence by both desks; and (d) a joint preliminary report within 24 hours.</w:t>
      </w:r>
    </w:p>
    <w:p>
      <w:pPr>
        <w:pStyle w:val="TextBody"/>
        <w:rPr/>
      </w:pPr>
      <w:r>
        <w:rPr>
          <w:b/>
          <w:bCs/>
        </w:rPr>
        <w:t>28.2 Joint investigation.</w:t>
      </w:r>
      <w:r>
        <w:rPr/>
        <w:t xml:space="preserve"> The Security Liaison Group convenes a joint incident team for every significant incident, with the IMO observer invited. The team investigates on the shared evidence base — the Standing Logbook, the shared traffic picture, voyage data recorders — and issues a joint finding within 30 days. Where the Parties cannot agree on a finding, each records its position, and the file transmits to the dispute mechanism of Part XII at the election of either Party.</w:t>
      </w:r>
    </w:p>
    <w:p>
      <w:pPr>
        <w:pStyle w:val="TextBody"/>
        <w:rPr/>
      </w:pPr>
      <w:r>
        <w:rPr>
          <w:b/>
          <w:bCs/>
        </w:rPr>
        <w:t>28.3 Attribution restraint.</w:t>
      </w:r>
      <w:r>
        <w:rPr/>
        <w:t xml:space="preserve"> Pending joint findings, neither Party publicly attributes an incident to the other. The counter-misinformation procedure of Annex H addresses third-party misinformation about incidents.</w:t>
      </w:r>
    </w:p>
    <w:p>
      <w:pPr>
        <w:pStyle w:val="TextBody"/>
        <w:rPr/>
      </w:pPr>
      <w:r>
        <w:rPr>
          <w:b/>
          <w:bCs/>
        </w:rPr>
        <w:t>28.4 Non-escalation.</w:t>
      </w:r>
      <w:r>
        <w:rPr/>
        <w:t xml:space="preserve"> An incident within the Governance Area never constitutes by itself a basis for suspending corridor operations or for military action by either Party within the Governance Area. The Parties treat every incident first as a safety event and second as a file for the mechanisms of this Agreement.</w:t>
      </w:r>
      <w:bookmarkEnd w:id="87"/>
    </w:p>
    <w:p>
      <w:pPr>
        <w:pStyle w:val="Heading2"/>
        <w:rPr/>
      </w:pPr>
      <w:bookmarkStart w:id="88" w:name="__RefHeading___Toc6129_3918200752"/>
      <w:bookmarkStart w:id="89" w:name="X91299d7be4a61348d6c91ef1da74ab69435e0d5"/>
      <w:bookmarkEnd w:id="88"/>
      <w:r>
        <w:rPr/>
        <w:t>Article 28A. Crisis Management and Strategic De-escalation</w:t>
      </w:r>
    </w:p>
    <w:p>
      <w:pPr>
        <w:pStyle w:val="FirstParagraph"/>
        <w:rPr/>
      </w:pPr>
      <w:r>
        <w:rPr>
          <w:b/>
          <w:bCs/>
        </w:rPr>
        <w:t>28A.1 The Crisis Mode.</w:t>
      </w:r>
      <w:r>
        <w:rPr/>
        <w:t xml:space="preserve"> Either Party declares Crisis Mode through the hotline and simultaneously in writing to the other Party and the Depositary. Crisis Mode activates: (a) twice-daily Joint Committee sessions by secure link; (b) continuous senior-official availability at deputy-minister level or above; (c) elevation of the hotline to ministerial access; (d) daily public situation reporting through the portal; and (e) automatic activation of the Depositary’s good offices. Crisis Mode terminates on joint declaration or, absent joint declaration, automatically after 14 days unless the declaring Party renews it in writing with reasons.</w:t>
      </w:r>
    </w:p>
    <w:p>
      <w:pPr>
        <w:pStyle w:val="TextBody"/>
        <w:rPr/>
      </w:pPr>
      <w:r>
        <w:rPr>
          <w:b/>
          <w:bCs/>
        </w:rPr>
        <w:t>28A.2 The de-escalation ladder.</w:t>
      </w:r>
      <w:r>
        <w:rPr/>
        <w:t xml:space="preserve"> Within Crisis Mode, the Parties follow a standing de-escalation ladder: (a) step one — military-to-military contact within 2 hours of the triggering event; (b) step two — co-chair session within 12 hours; (c) step three — senior-official session within 24 hours; (d) step four — foreign-minister-level contact within 72 hours; (e) step five — heads-of-government-level contact facilitated by the Depositary and, at both Parties’ joint invitation, the mediating states of record. Each step proceeds whether or not the previous step succeeds, on the stated clock.</w:t>
      </w:r>
    </w:p>
    <w:p>
      <w:pPr>
        <w:pStyle w:val="TextBody"/>
        <w:rPr/>
      </w:pPr>
      <w:r>
        <w:rPr>
          <w:b/>
          <w:bCs/>
        </w:rPr>
        <w:t>28A.3 Corridor continuity in crisis.</w:t>
      </w:r>
      <w:r>
        <w:rPr/>
        <w:t xml:space="preserve"> Crisis Mode never closes the corridors. Where a crisis produces an acute, localized safety threat, Article 26.4 emergency routing and Article 16.2 localized suspension apply — segment-limited, time-limited, logged, and lifted on the shortest practicable clock. A generalized closure of the Strait stands outside every procedure of this Agreement, and each Party undertakes toward the other never to effect one within the Governance Area for the duration of this Agreement.</w:t>
      </w:r>
    </w:p>
    <w:p>
      <w:pPr>
        <w:pStyle w:val="TextBody"/>
        <w:rPr/>
      </w:pPr>
      <w:r>
        <w:rPr>
          <w:b/>
          <w:bCs/>
        </w:rPr>
        <w:t>28A.4 Third-party crisis interface.</w:t>
      </w:r>
      <w:r>
        <w:rPr/>
        <w:t xml:space="preserve"> Where a crisis involves third-state forces or proxies, the Security Liaison Group establishes the facts on the shared evidence base, the hotline’s invited liaison cells carry deconfliction traffic, and the Parties issue joint, not separate, operational statements concerning the Governance Area. Neither Party extends the crisis into the corridors by action against transiting shipping.</w:t>
      </w:r>
    </w:p>
    <w:p>
      <w:pPr>
        <w:pStyle w:val="TextBody"/>
        <w:rPr/>
      </w:pPr>
      <w:r>
        <w:rPr>
          <w:b/>
          <w:bCs/>
        </w:rPr>
        <w:t>28A.5 After-action discipline.</w:t>
      </w:r>
      <w:r>
        <w:rPr/>
        <w:t xml:space="preserve"> Every Crisis Mode episode produces a joint after-action report within 30 days of termination: timeline, decisions, performance against the ladder clocks, and corrective measures. The report publishes in summary, and its corrective measures enter the work program of the annual review conference.</w:t>
      </w:r>
    </w:p>
    <w:p>
      <w:pPr>
        <w:pStyle w:val="Normal"/>
        <w:rPr/>
      </w:pPr>
      <w:bookmarkStart w:id="90" w:name="X64c63a88d9ef0faaf3f54b2165d57400b40675e"/>
      <w:bookmarkStart w:id="91" w:name="X91299d7be4a61348d6c91ef1da74ab69435e0d5"/>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p>
    <w:p>
      <w:pPr>
        <w:pStyle w:val="Heading1"/>
        <w:rPr/>
      </w:pPr>
      <w:bookmarkStart w:id="92" w:name="__RefHeading___Toc6131_3918200752"/>
      <w:bookmarkStart w:id="93" w:name="Xa774f5704d6326109b4e4f92427e63f59a2a412"/>
      <w:bookmarkEnd w:id="92"/>
      <w:r>
        <w:rPr/>
        <w:t>PART VIII. ENVIRONMENTAL PROTECTION, SAFETY, AND SEARCH AND RESCUE</w:t>
      </w:r>
    </w:p>
    <w:p>
      <w:pPr>
        <w:pStyle w:val="Heading2"/>
        <w:rPr/>
      </w:pPr>
      <w:bookmarkStart w:id="94" w:name="__RefHeading___Toc6133_3918200752"/>
      <w:bookmarkStart w:id="95" w:name="article-29.-the-environmental-regime"/>
      <w:bookmarkEnd w:id="94"/>
      <w:r>
        <w:rPr/>
        <w:t>Article 29. The Environmental Regime</w:t>
      </w:r>
    </w:p>
    <w:p>
      <w:pPr>
        <w:pStyle w:val="FirstParagraph"/>
        <w:rPr/>
      </w:pPr>
      <w:r>
        <w:rPr>
          <w:b/>
          <w:bCs/>
        </w:rPr>
        <w:t>29.1 Standing monitoring program.</w:t>
      </w:r>
      <w:r>
        <w:rPr/>
        <w:t xml:space="preserve"> The Parties maintain a joint environmental monitoring program across all corridors: water-quality stations at the positions in Annex G, satellite oil-slick surveillance, continuous acoustic monitoring for mammal protection in the designated sensitive areas, and an annual joint state-of-the-strait report published on the portal.</w:t>
      </w:r>
    </w:p>
    <w:p>
      <w:pPr>
        <w:pStyle w:val="TextBody"/>
        <w:rPr/>
      </w:pPr>
      <w:r>
        <w:rPr>
          <w:b/>
          <w:bCs/>
        </w:rPr>
        <w:t>29.2 Discharge and ballast discipline.</w:t>
      </w:r>
      <w:r>
        <w:rPr/>
        <w:t xml:space="preserve"> Within the Governance Area, vessels observe MARPOL discharge rules as augmented by Annex G: no discharge of oil or noxious liquid substances; ballast exchange only outside the ballast exclusion zone charted in Annex G; and ballast verification available as an elective Catalog service.</w:t>
      </w:r>
    </w:p>
    <w:p>
      <w:pPr>
        <w:pStyle w:val="TextBody"/>
        <w:rPr/>
      </w:pPr>
      <w:r>
        <w:rPr>
          <w:b/>
          <w:bCs/>
        </w:rPr>
        <w:t>29.3 Sensitive areas and seasonal measures.</w:t>
      </w:r>
      <w:r>
        <w:rPr/>
        <w:t xml:space="preserve"> Annex G designates Particularly Sensitive Sea Area candidates for joint submission to the IMO, seasonal speed reductions for cetacean migration, and anchoring exclusions over coral and seagrass beds.</w:t>
      </w:r>
    </w:p>
    <w:p>
      <w:pPr>
        <w:pStyle w:val="TextBody"/>
        <w:rPr/>
      </w:pPr>
      <w:r>
        <w:rPr>
          <w:b/>
          <w:bCs/>
        </w:rPr>
        <w:t>29.4 Wreck and casualty prevention.</w:t>
      </w:r>
      <w:r>
        <w:rPr/>
        <w:t xml:space="preserve"> The vessel-maintenance mechanism of Article 32.4 applies to environmental risk: specialized technicians and spare parts reach any vessel at risk of hull breach or mechanical failure, and the Environment Group maintains a watch-list of at-risk vessels with weekly joint review.</w:t>
      </w:r>
      <w:bookmarkEnd w:id="95"/>
    </w:p>
    <w:p>
      <w:pPr>
        <w:pStyle w:val="Heading2"/>
        <w:rPr/>
      </w:pPr>
      <w:bookmarkStart w:id="96" w:name="__RefHeading___Toc6135_3918200752"/>
      <w:bookmarkStart w:id="97" w:name="X19f344f34879d8e4ee091de8480d3362d6fe4f2"/>
      <w:bookmarkEnd w:id="96"/>
      <w:r>
        <w:rPr/>
        <w:t>Article 30. Spill Response and the Joint Roster</w:t>
      </w:r>
    </w:p>
    <w:p>
      <w:pPr>
        <w:pStyle w:val="FirstParagraph"/>
        <w:rPr/>
      </w:pPr>
      <w:r>
        <w:rPr>
          <w:b/>
          <w:bCs/>
        </w:rPr>
        <w:t>30.1 Joint spill-response roster.</w:t>
      </w:r>
      <w:r>
        <w:rPr/>
        <w:t xml:space="preserve"> The Parties maintain a joint roster of spill-response assets — vessels, booms, skimmers, dispersants, and trained personnel — at Bandar Abbas, Musandam, and the forward-staging points in Annex G. The roster responds to any pollution incident in the Governance Area under Joint Operations Center tasking, regardless of the flag of the polluting vessel or the location of the slick.</w:t>
      </w:r>
    </w:p>
    <w:p>
      <w:pPr>
        <w:pStyle w:val="TextBody"/>
        <w:rPr/>
      </w:pPr>
      <w:r>
        <w:rPr>
          <w:b/>
          <w:bCs/>
        </w:rPr>
        <w:t>30.2 Response standard.</w:t>
      </w:r>
      <w:r>
        <w:rPr/>
        <w:t xml:space="preserve"> The roster achieves the response times of Annex G: first assets on scene within four hours anywhere in the Governance Area, containment capability within twelve hours for a Tier 1 event, and activation of international assistance arrangements for Tier 2 and Tier 3 events through the IMO and the Regional Organization for the Protection of the Marine Environment.</w:t>
      </w:r>
    </w:p>
    <w:p>
      <w:pPr>
        <w:pStyle w:val="TextBody"/>
        <w:rPr/>
      </w:pPr>
      <w:r>
        <w:rPr>
          <w:b/>
          <w:bCs/>
        </w:rPr>
        <w:t>30.3 Cost recovery.</w:t>
      </w:r>
      <w:r>
        <w:rPr/>
        <w:t xml:space="preserve"> Pollution-response costs recover from the polluter under applicable law. Where recovery fails or delays, the Stewardship Fund advances response costs as a priority use under Article 19.4(d), and the Fund pursues recovery.</w:t>
      </w:r>
    </w:p>
    <w:p>
      <w:pPr>
        <w:pStyle w:val="TextBody"/>
        <w:rPr/>
      </w:pPr>
      <w:r>
        <w:rPr>
          <w:b/>
          <w:bCs/>
        </w:rPr>
        <w:t>30.4 Exercises.</w:t>
      </w:r>
      <w:r>
        <w:rPr/>
        <w:t xml:space="preserve"> The Parties conduct one joint spill-response exercise per quarter, alternating locations, with the IMO observer and regional organizations invited, and publish the exercise report.</w:t>
      </w:r>
      <w:bookmarkEnd w:id="97"/>
    </w:p>
    <w:p>
      <w:pPr>
        <w:pStyle w:val="Heading2"/>
        <w:rPr/>
      </w:pPr>
      <w:bookmarkStart w:id="98" w:name="__RefHeading___Toc6137_3918200752"/>
      <w:bookmarkStart w:id="99" w:name="article-31.-green-incentives"/>
      <w:bookmarkEnd w:id="98"/>
      <w:r>
        <w:rPr/>
        <w:t>Article 31. Green Incentives</w:t>
      </w:r>
    </w:p>
    <w:p>
      <w:pPr>
        <w:pStyle w:val="FirstParagraph"/>
        <w:rPr/>
      </w:pPr>
      <w:r>
        <w:rPr>
          <w:b/>
          <w:bCs/>
        </w:rPr>
        <w:t>31.1 The Green Discount.</w:t>
      </w:r>
      <w:r>
        <w:rPr/>
        <w:t xml:space="preserve"> Vessels documenting superior environmental performance — Tier III NOx compliance, scrubber-free operation on low-sulfur fuel, verified slow-steaming profiles, or zero-discharge operation within the Governance Area — receive the Green Discount on elective Catalog services at the rates in Annex C.</w:t>
      </w:r>
    </w:p>
    <w:p>
      <w:pPr>
        <w:pStyle w:val="TextBody"/>
        <w:rPr/>
      </w:pPr>
      <w:r>
        <w:rPr>
          <w:b/>
          <w:bCs/>
        </w:rPr>
        <w:t>31.2 Eligibility by evidence.</w:t>
      </w:r>
      <w:r>
        <w:rPr/>
        <w:t xml:space="preserve"> Eligibility rests on documentary evidence filed with the Registry: class notations, fuel records, and engine data. The Environment Group audits a sample of claims annually; false claims forfeit the discount for 24 months and post to the portal.</w:t>
      </w:r>
    </w:p>
    <w:p>
      <w:pPr>
        <w:pStyle w:val="TextBody"/>
        <w:rPr/>
      </w:pPr>
      <w:r>
        <w:rPr>
          <w:b/>
          <w:bCs/>
        </w:rPr>
        <w:t>31.3 Green lanes.</w:t>
      </w:r>
      <w:r>
        <w:rPr/>
        <w:t xml:space="preserve"> Time-critical green vessels — those holding Green Discount eligibility and electing priority windows — access the green-lane allocation of Article 18.1(f) on preferential terms, within the transparency rules of Annex C.</w:t>
      </w:r>
    </w:p>
    <w:p>
      <w:pPr>
        <w:pStyle w:val="Normal"/>
        <w:rPr/>
      </w:pPr>
      <w:bookmarkStart w:id="100" w:name="Xa774f5704d6326109b4e4f92427e63f59a2a412"/>
      <w:bookmarkStart w:id="101" w:name="article-31.-green-incentive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1"/>
        <w:rPr/>
      </w:pPr>
      <w:bookmarkStart w:id="102" w:name="__RefHeading___Toc6139_3918200752"/>
      <w:bookmarkStart w:id="103" w:name="part-ix.-the-humanitarian-bridge"/>
      <w:bookmarkEnd w:id="102"/>
      <w:r>
        <w:rPr/>
        <w:t>PART IX. THE HUMANITARIAN BRIDGE</w:t>
      </w:r>
    </w:p>
    <w:p>
      <w:pPr>
        <w:pStyle w:val="Heading2"/>
        <w:rPr/>
      </w:pPr>
      <w:bookmarkStart w:id="104" w:name="__RefHeading___Toc6141_3918200752"/>
      <w:bookmarkStart w:id="105" w:name="X7f0288e657f766648bce60c0f6873cfd78a31bd"/>
      <w:bookmarkEnd w:id="104"/>
      <w:r>
        <w:rPr/>
        <w:t>Article 32. Humanitarian Priority and Seafarer Welfare</w:t>
      </w:r>
    </w:p>
    <w:p>
      <w:pPr>
        <w:pStyle w:val="FirstParagraph"/>
        <w:rPr/>
      </w:pPr>
      <w:r>
        <w:rPr>
          <w:b/>
          <w:bCs/>
        </w:rPr>
        <w:t>32.1 First-through rule.</w:t>
      </w:r>
      <w:r>
        <w:rPr/>
        <w:t xml:space="preserve"> Food, medicine, medical equipment, fertilizer, and relief cargo move first, under every condition, without exception. Humanitarian vessels receive the first sequence positions in every queue, the first cleared routing in every emergency amendment, and exemption from every charge — including elective-service charges where the humanitarian operator elects a service, which the Fund then bears.</w:t>
      </w:r>
    </w:p>
    <w:p>
      <w:pPr>
        <w:pStyle w:val="TextBody"/>
        <w:rPr/>
      </w:pPr>
      <w:r>
        <w:rPr>
          <w:b/>
          <w:bCs/>
        </w:rPr>
        <w:t>32.2 No humanitarian leverage.</w:t>
      </w:r>
      <w:r>
        <w:rPr/>
        <w:t xml:space="preserve"> Humanitarian traffic stands exempt from every tier consequence, dispute outcome, and compliance measure under this Agreement. No Party delays, conditions, or leverages humanitarian transit for any purpose. The Joint Operations Center maintains a dedicated humanitarian desk mirroring the IMO’s humanitarian desk, as the single contact point for humanitarian operators.</w:t>
      </w:r>
    </w:p>
    <w:p>
      <w:pPr>
        <w:pStyle w:val="TextBody"/>
        <w:rPr/>
      </w:pPr>
      <w:r>
        <w:rPr>
          <w:b/>
          <w:bCs/>
        </w:rPr>
        <w:t>32.3 Coordination with UN mechanisms.</w:t>
      </w:r>
      <w:r>
        <w:rPr/>
        <w:t xml:space="preserve"> The Parties coordinate the humanitarian bridge with United Nations mechanisms active in the region, including any UN-coordinated corridor or verification mechanism, and extend to UN-verified humanitarian shipments the streamlined processing of Annex B, Section 6. This coordination operates without prejudice to the bilateral character of this Agreement.</w:t>
      </w:r>
    </w:p>
    <w:p>
      <w:pPr>
        <w:pStyle w:val="TextBody"/>
        <w:rPr/>
      </w:pPr>
      <w:r>
        <w:rPr>
          <w:b/>
          <w:bCs/>
        </w:rPr>
        <w:t>32.4 Vessel maintenance and environmental-safety access.</w:t>
      </w:r>
      <w:r>
        <w:rPr/>
        <w:t xml:space="preserve"> A standing mechanism delivers specialized technicians and spare parts to vessels in the Governance Area to prevent casualties and environmental disasters from mechanical failure. The Joint Operations Center clears such missions on a 24-hour standard, under neutral observation where either Party requests it.</w:t>
      </w:r>
    </w:p>
    <w:p>
      <w:pPr>
        <w:pStyle w:val="TextBody"/>
        <w:rPr/>
      </w:pPr>
      <w:r>
        <w:rPr>
          <w:b/>
          <w:bCs/>
        </w:rPr>
        <w:t>32.5 Seafarer welfare.</w:t>
      </w:r>
      <w:r>
        <w:rPr/>
        <w:t xml:space="preserve"> The Parties guarantee within the Governance Area: (a) immediate medical access for any seafarer, including medical evacuation to the nearest appropriate facility regardless of the vessel’s flag; (b) a 24/7 medical hotline at the JOC linked to coastal medical services; (c) mental-health support access coordinated with the IMO and seafarer welfare organizations; (d) facilitation of crew changes at designated hubs; and (e) the standing rule that no seafarer faces detention, interrogation, or prosecution by either Party solely for transiting the Strait during the conflict period.</w:t>
      </w:r>
    </w:p>
    <w:p>
      <w:pPr>
        <w:pStyle w:val="TextBody"/>
        <w:rPr/>
      </w:pPr>
      <w:r>
        <w:rPr>
          <w:b/>
          <w:bCs/>
        </w:rPr>
        <w:t>32.6 Consular access.</w:t>
      </w:r>
      <w:r>
        <w:rPr/>
        <w:t xml:space="preserve"> Flag states receive consular access to their nationals on vessels within the Governance Area within 24 hours of request, facilitated by the nearest Coastal State.</w:t>
      </w:r>
    </w:p>
    <w:p>
      <w:pPr>
        <w:pStyle w:val="Normal"/>
        <w:rPr/>
      </w:pPr>
      <w:bookmarkStart w:id="106" w:name="part-ix.-the-humanitarian-bridge"/>
      <w:bookmarkStart w:id="107" w:name="X7f0288e657f766648bce60c0f6873cfd78a31bd"/>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p>
    <w:p>
      <w:pPr>
        <w:pStyle w:val="Heading1"/>
        <w:rPr/>
      </w:pPr>
      <w:bookmarkStart w:id="108" w:name="__RefHeading___Toc6143_3918200752"/>
      <w:bookmarkStart w:id="109" w:name="Xa9ee89e54c9df072bfc6bedb43069ff18b0d840"/>
      <w:bookmarkEnd w:id="108"/>
      <w:r>
        <w:rPr/>
        <w:t>PART X. VERIFICATION, TRANSPARENCY, AND COMPLIANCE</w:t>
      </w:r>
    </w:p>
    <w:p>
      <w:pPr>
        <w:pStyle w:val="Heading2"/>
        <w:rPr/>
      </w:pPr>
      <w:bookmarkStart w:id="110" w:name="__RefHeading___Toc6145_3918200752"/>
      <w:bookmarkStart w:id="111" w:name="article-33.-verification-architecture"/>
      <w:bookmarkEnd w:id="110"/>
      <w:r>
        <w:rPr/>
        <w:t>Article 33. Verification Architecture</w:t>
      </w:r>
    </w:p>
    <w:p>
      <w:pPr>
        <w:pStyle w:val="FirstParagraph"/>
        <w:rPr/>
      </w:pPr>
      <w:r>
        <w:rPr>
          <w:b/>
          <w:bCs/>
        </w:rPr>
        <w:t>33.1 Self-verifying design.</w:t>
      </w:r>
      <w:r>
        <w:rPr/>
        <w:t xml:space="preserve"> The framework verifies itself through its own records: the Standing Logbook, the shared traffic picture, the escrow ledger, the segment certificates, and the portal together produce a continuous, cross-checkable evidentiary base. Verification under this Agreement means structured access to that base, not inspections of sovereign territory.</w:t>
      </w:r>
    </w:p>
    <w:p>
      <w:pPr>
        <w:pStyle w:val="TextBody"/>
        <w:rPr/>
      </w:pPr>
      <w:r>
        <w:rPr>
          <w:b/>
          <w:bCs/>
        </w:rPr>
        <w:t>33.2 IMO technical verification.</w:t>
      </w:r>
      <w:r>
        <w:rPr/>
        <w:t xml:space="preserve"> The IMO technical observer receives: (a) read access to the Standing Logbook’s navigation records; (b) every segment certificate and survey file; (c) the Catalog, charge schedule, and Fund accounts; and (d) standing invitation to observe any Joint Committee session, working group, gate declaration, clearance operation, or exercise. The IMO may publish its own technical assessments, and the Parties publish them alongside on the portal without editing.</w:t>
      </w:r>
    </w:p>
    <w:p>
      <w:pPr>
        <w:pStyle w:val="TextBody"/>
        <w:rPr/>
      </w:pPr>
      <w:r>
        <w:rPr>
          <w:b/>
          <w:bCs/>
        </w:rPr>
        <w:t>33.3 Depositary verification.</w:t>
      </w:r>
      <w:r>
        <w:rPr/>
        <w:t xml:space="preserve"> The Depositary verifies: (a) the escrow and revenue-sharing flows against Article 20; (b) the Logbook’s integrity through its write-once copy; and (c) the classification decisions of Article 27.6 against the quarterly review. The Depositary reports discrepancies to both co-chairs simultaneously.</w:t>
      </w:r>
    </w:p>
    <w:p>
      <w:pPr>
        <w:pStyle w:val="TextBody"/>
        <w:rPr/>
      </w:pPr>
      <w:r>
        <w:rPr>
          <w:b/>
          <w:bCs/>
        </w:rPr>
        <w:t>33.4 Flag-state verification window.</w:t>
      </w:r>
      <w:r>
        <w:rPr/>
        <w:t xml:space="preserve"> Any flag state with vessels registered in the Registry may request, once per quarter, a verification briefing at the JOC covering the treatment of its vessels: sequence times, charges, and any incidents. The briefing covers systemic data, not other flags’ vessel-level records.</w:t>
      </w:r>
      <w:bookmarkEnd w:id="111"/>
    </w:p>
    <w:p>
      <w:pPr>
        <w:pStyle w:val="Heading2"/>
        <w:rPr/>
      </w:pPr>
      <w:bookmarkStart w:id="112" w:name="__RefHeading___Toc6147_3918200752"/>
      <w:bookmarkStart w:id="113" w:name="article-34.-compliance-monitoring"/>
      <w:bookmarkEnd w:id="112"/>
      <w:r>
        <w:rPr/>
        <w:t>Article 34. Compliance Monitoring</w:t>
      </w:r>
    </w:p>
    <w:p>
      <w:pPr>
        <w:pStyle w:val="FirstParagraph"/>
        <w:rPr/>
      </w:pPr>
      <w:r>
        <w:rPr>
          <w:b/>
          <w:bCs/>
        </w:rPr>
        <w:t>34.1 The compliance baseline.</w:t>
      </w:r>
      <w:r>
        <w:rPr/>
        <w:t xml:space="preserve"> Annex H states the compliance metrics of the framework: acknowledgement times, sequence-assignment times, transit times against baseline, hotline answer performance, gate-schedule adherence, clearance progress, fee-schedule conformity, quasi-toll indicators, environmental response times, and incident-reporting completeness. Each metric carries a green/amber/red threshold.</w:t>
      </w:r>
    </w:p>
    <w:p>
      <w:pPr>
        <w:pStyle w:val="TextBody"/>
        <w:rPr/>
      </w:pPr>
      <w:r>
        <w:rPr>
          <w:b/>
          <w:bCs/>
        </w:rPr>
        <w:t>34.2 Monthly compliance review.</w:t>
      </w:r>
      <w:r>
        <w:rPr/>
        <w:t xml:space="preserve"> The Legal and Compliance Group reviews the metrics monthly and reports to the Joint Committee with findings graded against the thresholds. Findings post to the portal.</w:t>
      </w:r>
    </w:p>
    <w:p>
      <w:pPr>
        <w:pStyle w:val="TextBody"/>
        <w:rPr/>
      </w:pPr>
      <w:r>
        <w:rPr>
          <w:b/>
          <w:bCs/>
        </w:rPr>
        <w:t>34.3 Weekly operational report.</w:t>
      </w:r>
      <w:r>
        <w:rPr/>
        <w:t xml:space="preserve"> The secretariat publishes a weekly operational report: traffic counts, transit times, incidents, corridor status, and Fund summary. The report serves mariners, flag states, insurers, and the public as the authoritative picture of the Strait.</w:t>
      </w:r>
    </w:p>
    <w:p>
      <w:pPr>
        <w:pStyle w:val="TextBody"/>
        <w:rPr/>
      </w:pPr>
      <w:r>
        <w:rPr>
          <w:b/>
          <w:bCs/>
        </w:rPr>
        <w:t>34.4 Quarterly strategic report.</w:t>
      </w:r>
      <w:r>
        <w:rPr/>
        <w:t xml:space="preserve"> The Joint Committee publishes a quarterly strategic report covering system performance, Corridor Two progress, financial statements, and review items, transmitted to both governments, the IMO, the IHO, and the Depositary.</w:t>
      </w:r>
      <w:bookmarkEnd w:id="113"/>
    </w:p>
    <w:p>
      <w:pPr>
        <w:pStyle w:val="Heading2"/>
        <w:rPr/>
      </w:pPr>
      <w:bookmarkStart w:id="114" w:name="__RefHeading___Toc6149_3918200752"/>
      <w:bookmarkStart w:id="115" w:name="article-35.-the-compliance-ladder"/>
      <w:bookmarkEnd w:id="114"/>
      <w:r>
        <w:rPr/>
        <w:t>Article 35. The Compliance Ladder</w:t>
      </w:r>
    </w:p>
    <w:p>
      <w:pPr>
        <w:pStyle w:val="FirstParagraph"/>
        <w:rPr/>
      </w:pPr>
      <w:r>
        <w:rPr>
          <w:b/>
          <w:bCs/>
        </w:rPr>
        <w:t>35.1 Graduated response.</w:t>
      </w:r>
      <w:r>
        <w:rPr/>
        <w:t xml:space="preserve"> Where a compliance review identifies a red finding attributable to a Party’s conduct, the response ascends a ladder:</w:t>
      </w:r>
    </w:p>
    <w:p>
      <w:pPr>
        <w:pStyle w:val="Normal"/>
        <w:numPr>
          <w:ilvl w:val="0"/>
          <w:numId w:val="46"/>
        </w:numPr>
        <w:rPr/>
      </w:pPr>
      <w:r>
        <w:rPr>
          <w:b/>
          <w:bCs/>
        </w:rPr>
        <w:t>Step one — technical correction.</w:t>
      </w:r>
      <w:r>
        <w:rPr/>
        <w:t xml:space="preserve"> The responsible working group proposes a correction within 14 days; the default posture of the system remains unchanged.</w:t>
      </w:r>
    </w:p>
    <w:p>
      <w:pPr>
        <w:pStyle w:val="Normal"/>
        <w:numPr>
          <w:ilvl w:val="0"/>
          <w:numId w:val="47"/>
        </w:numPr>
        <w:rPr/>
      </w:pPr>
      <w:r>
        <w:rPr>
          <w:b/>
          <w:bCs/>
        </w:rPr>
        <w:t>Step two — formal consultation.</w:t>
      </w:r>
      <w:r>
        <w:rPr/>
        <w:t xml:space="preserve"> The co-chairs convene formal consultations within 7 days under Article 38, with the finding tabled.</w:t>
      </w:r>
    </w:p>
    <w:p>
      <w:pPr>
        <w:pStyle w:val="Normal"/>
        <w:numPr>
          <w:ilvl w:val="0"/>
          <w:numId w:val="48"/>
        </w:numPr>
        <w:rPr/>
      </w:pPr>
      <w:r>
        <w:rPr>
          <w:b/>
          <w:bCs/>
        </w:rPr>
        <w:t>Step three — senior-official escalation.</w:t>
      </w:r>
      <w:r>
        <w:rPr/>
        <w:t xml:space="preserve"> Designated senior officials of both Parties meet within 14 days.</w:t>
      </w:r>
    </w:p>
    <w:p>
      <w:pPr>
        <w:pStyle w:val="Normal"/>
        <w:numPr>
          <w:ilvl w:val="0"/>
          <w:numId w:val="49"/>
        </w:numPr>
        <w:rPr/>
      </w:pPr>
      <w:r>
        <w:rPr>
          <w:b/>
          <w:bCs/>
        </w:rPr>
        <w:t>Step four — Depositary good offices.</w:t>
      </w:r>
      <w:r>
        <w:rPr/>
        <w:t xml:space="preserve"> The Depositary offers good offices and may appoint a neutral technical expert whose advisory report publishes.</w:t>
      </w:r>
    </w:p>
    <w:p>
      <w:pPr>
        <w:pStyle w:val="Normal"/>
        <w:numPr>
          <w:ilvl w:val="0"/>
          <w:numId w:val="50"/>
        </w:numPr>
        <w:rPr/>
      </w:pPr>
      <w:r>
        <w:rPr>
          <w:b/>
          <w:bCs/>
        </w:rPr>
        <w:t>Step five — Part XII.</w:t>
      </w:r>
      <w:r>
        <w:rPr/>
        <w:t xml:space="preserve"> Either Party activates the dispute-resolution mechanism.</w:t>
      </w:r>
    </w:p>
    <w:p>
      <w:pPr>
        <w:pStyle w:val="FirstParagraph"/>
        <w:rPr/>
      </w:pPr>
      <w:r>
        <w:rPr>
          <w:b/>
          <w:bCs/>
        </w:rPr>
        <w:t>35.2 What the ladder never does.</w:t>
      </w:r>
      <w:r>
        <w:rPr/>
        <w:t xml:space="preserve"> The compliance ladder never suspends corridor operations, never interrupts humanitarian transit, never withholds the other Party’s Fund distribution, and never converts into a permission-based control of transit. Its sanctions are procedural: transparency, consultation, expert scrutiny, and dispute resolution.</w:t>
      </w:r>
    </w:p>
    <w:p>
      <w:pPr>
        <w:pStyle w:val="TextBody"/>
        <w:rPr/>
      </w:pPr>
      <w:r>
        <w:rPr>
          <w:b/>
          <w:bCs/>
        </w:rPr>
        <w:t>35.3 Vessel and operator compliance.</w:t>
      </w:r>
      <w:r>
        <w:rPr/>
        <w:t xml:space="preserve"> Non-compliance by vessels or operators — repeated non-notification, false data, unpaid documented charges, environmental violations — addresses against the vessel or operator through flag-state referral, port-state measures outside the Governance Area under applicable law, denial of elective services, and exclusion from Registry facilitation, never through interference with transit passage.</w:t>
      </w:r>
    </w:p>
    <w:p>
      <w:pPr>
        <w:pStyle w:val="TextBody"/>
        <w:rPr/>
      </w:pPr>
      <w:r>
        <w:rPr>
          <w:b/>
          <w:bCs/>
        </w:rPr>
        <w:t>35.4 Restoration.</w:t>
      </w:r>
      <w:r>
        <w:rPr/>
        <w:t xml:space="preserve"> A Party or operator returning to compliance receives prompt confirmation, and the record notes the restoration. The framework treats compliance as the normal state and designs every mechanism to return to it.</w:t>
      </w:r>
    </w:p>
    <w:p>
      <w:pPr>
        <w:pStyle w:val="Normal"/>
        <w:rPr/>
      </w:pPr>
      <w:bookmarkStart w:id="116" w:name="Xa9ee89e54c9df072bfc6bedb43069ff18b0d840"/>
      <w:bookmarkStart w:id="117" w:name="article-35.-the-compliance-lad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p>
    <w:p>
      <w:pPr>
        <w:pStyle w:val="Heading1"/>
        <w:rPr/>
      </w:pPr>
      <w:bookmarkStart w:id="118" w:name="__RefHeading___Toc6151_3918200752"/>
      <w:bookmarkStart w:id="119" w:name="Xf5fa9b9224d191e574fa5ba97a3b313a9c96b1f"/>
      <w:bookmarkEnd w:id="118"/>
      <w:r>
        <w:rPr/>
        <w:t>PART XI. TRANSITION, REVIEW, AND THE SUNSET OF INTERIM ROUTES</w:t>
      </w:r>
    </w:p>
    <w:p>
      <w:pPr>
        <w:pStyle w:val="Heading2"/>
        <w:rPr/>
      </w:pPr>
      <w:bookmarkStart w:id="120" w:name="__RefHeading___Toc6153_3918200752"/>
      <w:bookmarkStart w:id="121" w:name="article-36.-the-transition-period"/>
      <w:bookmarkEnd w:id="120"/>
      <w:r>
        <w:rPr/>
        <w:t>Article 36. The Transition Period</w:t>
      </w:r>
    </w:p>
    <w:p>
      <w:pPr>
        <w:pStyle w:val="FirstParagraph"/>
        <w:rPr/>
      </w:pPr>
      <w:r>
        <w:rPr>
          <w:b/>
          <w:bCs/>
        </w:rPr>
        <w:t>36.1 The transition rule.</w:t>
      </w:r>
      <w:r>
        <w:rPr/>
        <w:t xml:space="preserve"> The Transition Period runs from Day 0 until Corridor Two certification under Article 7.5, subject to the outside dates of Annex I. During the Transition Period, Corridors One and Three carry all traffic; Corridor Two undergoes survey, clearance, marking, and certification in parallel.</w:t>
      </w:r>
    </w:p>
    <w:p>
      <w:pPr>
        <w:pStyle w:val="TextBody"/>
        <w:rPr/>
      </w:pPr>
      <w:r>
        <w:rPr>
          <w:b/>
          <w:bCs/>
        </w:rPr>
        <w:t>36.2 The transition schedule.</w:t>
      </w:r>
      <w:r>
        <w:rPr/>
        <w:t xml:space="preserve"> Annex I states the detailed transition schedule: survey milestones, clearance segments in sequence, certification targets, marking installation windows, and the trial-transit program for Corridor Two. The Joint Committee publishes the schedule and every revision, with 60 days’ notice of any change affecting mariners.</w:t>
      </w:r>
    </w:p>
    <w:p>
      <w:pPr>
        <w:pStyle w:val="TextBody"/>
        <w:rPr/>
      </w:pPr>
      <w:r>
        <w:rPr>
          <w:b/>
          <w:bCs/>
        </w:rPr>
        <w:t>36.3 The sunset.</w:t>
      </w:r>
      <w:r>
        <w:rPr/>
        <w:t xml:space="preserve"> Upon Corridor Two certification: (a) Corridor Two opens on a published date not less than 30 days after certification; (b) Corridors One and Three close to routine transit 90 days after Corridor Two opens, following a parallel-running period in which both systems operate; (c) the aids to navigation of the interim corridors convert to backup status rather than removal, preserving fallback capability; and (d) the Joint Committee adopts the final chart series showing Corridor Two as the primary permanent route.</w:t>
      </w:r>
    </w:p>
    <w:p>
      <w:pPr>
        <w:pStyle w:val="TextBody"/>
        <w:rPr/>
      </w:pPr>
      <w:r>
        <w:rPr>
          <w:b/>
          <w:bCs/>
        </w:rPr>
        <w:t>36.4 Safety and navigation during transition.</w:t>
      </w:r>
      <w:r>
        <w:rPr/>
        <w:t xml:space="preserve"> Safety and security remain maintained throughout the transition under all prior Parts, which apply to Corridor Two from the date each segment certifies. The transition never produces a day without a certified operating corridor.</w:t>
      </w:r>
    </w:p>
    <w:p>
      <w:pPr>
        <w:pStyle w:val="TextBody"/>
        <w:rPr/>
      </w:pPr>
      <w:r>
        <w:rPr>
          <w:b/>
          <w:bCs/>
        </w:rPr>
        <w:t>36.5 Schedule reset.</w:t>
      </w:r>
      <w:r>
        <w:rPr/>
        <w:t xml:space="preserve"> If Corridor Two certification stalls beyond the outside date in Annex I, the Joint Committee convenes within 14 days, commissions an ad hoc panel report on causes, and adopts a reset schedule. The interim corridors continue in force indefinitely pending certification; their continuation never constitutes a breach.</w:t>
      </w:r>
    </w:p>
    <w:p>
      <w:pPr>
        <w:pStyle w:val="TextBody"/>
        <w:rPr/>
      </w:pPr>
      <w:r>
        <w:rPr>
          <w:b/>
          <w:bCs/>
        </w:rPr>
        <w:t>36.6 Post-transition roles.</w:t>
      </w:r>
      <w:r>
        <w:rPr/>
        <w:t xml:space="preserve"> After the sunset, the lead-function architecture of Article 6 converts: the Joint Operations Center operates Corridor Two as a single two-way route with both Parties’ desks retaining identical authority, and each Party retains its national functions within its own waters. The institutional architecture of Part III continues unchanged.</w:t>
      </w:r>
      <w:bookmarkEnd w:id="121"/>
    </w:p>
    <w:p>
      <w:pPr>
        <w:pStyle w:val="Heading2"/>
        <w:rPr/>
      </w:pPr>
      <w:bookmarkStart w:id="122" w:name="__RefHeading___Toc6155_3918200752"/>
      <w:bookmarkStart w:id="123" w:name="article-37.-review-cycles"/>
      <w:bookmarkEnd w:id="122"/>
      <w:r>
        <w:rPr/>
        <w:t>Article 37. Review Cycles</w:t>
      </w:r>
    </w:p>
    <w:p>
      <w:pPr>
        <w:pStyle w:val="FirstParagraph"/>
        <w:rPr/>
      </w:pPr>
      <w:r>
        <w:rPr>
          <w:b/>
          <w:bCs/>
        </w:rPr>
        <w:t>37.1 The 30-day review.</w:t>
      </w:r>
      <w:r>
        <w:rPr/>
        <w:t xml:space="preserve"> The Joint Committee conducts a first comprehensive review 30 days after Day 0, covering every Part, and publishes the review report with any corrective decisions.</w:t>
      </w:r>
    </w:p>
    <w:p>
      <w:pPr>
        <w:pStyle w:val="TextBody"/>
        <w:rPr/>
      </w:pPr>
      <w:r>
        <w:rPr>
          <w:b/>
          <w:bCs/>
        </w:rPr>
        <w:t>37.2 The 7-day operational walkthrough.</w:t>
      </w:r>
      <w:r>
        <w:rPr/>
        <w:t xml:space="preserve"> During the initial 60 days, the framework runs a 7-day operational walkthrough cycle: route certification status on day one; convoy and sequencing performance on days two through five; delivery and service verification on day six; public reporting on day seven. The walkthrough results feed the monthly compliance review.</w:t>
      </w:r>
    </w:p>
    <w:p>
      <w:pPr>
        <w:pStyle w:val="TextBody"/>
        <w:rPr/>
      </w:pPr>
      <w:r>
        <w:rPr>
          <w:b/>
          <w:bCs/>
        </w:rPr>
        <w:t>37.3 Annual review conference.</w:t>
      </w:r>
      <w:r>
        <w:rPr/>
        <w:t xml:space="preserve"> The Parties hold an annual review conference, alternating capitals, with the IMO, the IHO, the Depositary, and invited stakeholder delegations from the shipping, insurance, and seafarer communities. The conference reviews the strategic reports, adopts the annual Catalog and budget, and sets the work program.</w:t>
      </w:r>
    </w:p>
    <w:p>
      <w:pPr>
        <w:pStyle w:val="TextBody"/>
        <w:rPr/>
      </w:pPr>
      <w:r>
        <w:rPr>
          <w:b/>
          <w:bCs/>
        </w:rPr>
        <w:t>37.4 Extraordinary review.</w:t>
      </w:r>
      <w:r>
        <w:rPr/>
        <w:t xml:space="preserve"> Either Party convenes an extraordinary review within 14 days upon a material change of circumstances: a new hazard environment, a systemic compliance failure, a relevant IMO decision, or a development in the broader regional situation affecting the Strait. The review produces recommendations; amendment proceeds only under Article 44.</w:t>
      </w:r>
    </w:p>
    <w:p>
      <w:pPr>
        <w:pStyle w:val="Normal"/>
        <w:rPr/>
      </w:pPr>
      <w:bookmarkStart w:id="124" w:name="Xf5fa9b9224d191e574fa5ba97a3b313a9c96b1f"/>
      <w:bookmarkStart w:id="125" w:name="article-37.-review-cycl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1"/>
        <w:rPr/>
      </w:pPr>
      <w:bookmarkStart w:id="126" w:name="__RefHeading___Toc6157_3918200752"/>
      <w:bookmarkStart w:id="127" w:name="part-xii.-dispute-resolution"/>
      <w:bookmarkEnd w:id="126"/>
      <w:r>
        <w:rPr/>
        <w:t>PART XII. DISPUTE RESOLUTION</w:t>
      </w:r>
    </w:p>
    <w:p>
      <w:pPr>
        <w:pStyle w:val="Heading2"/>
        <w:rPr/>
      </w:pPr>
      <w:bookmarkStart w:id="128" w:name="__RefHeading___Toc6159_3918200752"/>
      <w:bookmarkStart w:id="129" w:name="article-38.-the-consultation-ladder"/>
      <w:bookmarkEnd w:id="128"/>
      <w:r>
        <w:rPr/>
        <w:t>Article 38. The Consultation Ladder</w:t>
      </w:r>
    </w:p>
    <w:p>
      <w:pPr>
        <w:pStyle w:val="FirstParagraph"/>
        <w:rPr/>
      </w:pPr>
      <w:r>
        <w:rPr>
          <w:b/>
          <w:bCs/>
        </w:rPr>
        <w:t>38.1 Operational consultation.</w:t>
      </w:r>
      <w:r>
        <w:rPr/>
        <w:t xml:space="preserve"> Disputes arising under this Agreement resolve first through consultation within the Joint Committee. Either co-chair tables a dispute in writing; the Joint Committee addresses it within 14 days in ordinary or extraordinary session.</w:t>
      </w:r>
    </w:p>
    <w:p>
      <w:pPr>
        <w:pStyle w:val="TextBody"/>
        <w:rPr/>
      </w:pPr>
      <w:r>
        <w:rPr>
          <w:b/>
          <w:bCs/>
        </w:rPr>
        <w:t>38.2 Senior-official escalation.</w:t>
      </w:r>
      <w:r>
        <w:rPr/>
        <w:t xml:space="preserve"> A dispute unresolved after 21 days in the Joint Committee escalates to designated senior officials of the Coastal States — each Party designates an official at deputy-minister level or above within 10 days of Day 0 — who meet within 14 days of escalation, in person or by secure link.</w:t>
      </w:r>
    </w:p>
    <w:p>
      <w:pPr>
        <w:pStyle w:val="TextBody"/>
        <w:rPr/>
      </w:pPr>
      <w:r>
        <w:rPr>
          <w:b/>
          <w:bCs/>
        </w:rPr>
        <w:t>38.3 Good offices and mediation.</w:t>
      </w:r>
      <w:r>
        <w:rPr/>
        <w:t xml:space="preserve"> At any point, both Parties jointly, or one Party with the other’s non-objection, invite the Depositary’s good offices or a mutually acceptable mediator. The mediator’s proposals remain non-binding unless both Parties adopt them in writing.</w:t>
      </w:r>
    </w:p>
    <w:p>
      <w:pPr>
        <w:pStyle w:val="TextBody"/>
        <w:rPr/>
      </w:pPr>
      <w:r>
        <w:rPr>
          <w:b/>
          <w:bCs/>
        </w:rPr>
        <w:t>38.4 Continuity during dispute.</w:t>
      </w:r>
      <w:r>
        <w:rPr/>
        <w:t xml:space="preserve"> Article 16.2 applies absolutely: no stage of any dispute suspends or hampers corridor operations, humanitarian transit, or Fund distributions.</w:t>
      </w:r>
      <w:bookmarkEnd w:id="129"/>
    </w:p>
    <w:p>
      <w:pPr>
        <w:pStyle w:val="Heading2"/>
        <w:rPr/>
      </w:pPr>
      <w:bookmarkStart w:id="130" w:name="__RefHeading___Toc6161_3918200752"/>
      <w:bookmarkStart w:id="131" w:name="X0fce8dda144c60583d743e880105ad175206b0b"/>
      <w:bookmarkEnd w:id="130"/>
      <w:r>
        <w:rPr/>
        <w:t>Article 39. Technical Panels and Arbitration</w:t>
      </w:r>
    </w:p>
    <w:p>
      <w:pPr>
        <w:pStyle w:val="FirstParagraph"/>
        <w:rPr/>
      </w:pPr>
      <w:r>
        <w:rPr>
          <w:b/>
          <w:bCs/>
        </w:rPr>
        <w:t>39.1 Technical panels.</w:t>
      </w:r>
      <w:r>
        <w:rPr/>
        <w:t xml:space="preserve"> A dispute turning on technical questions — survey adequacy, certification validity, fee cost-orientation, environmental standards, traffic parameters — refers, at either Party’s request, to a technical panel of three experts: one appointed by each Party, and a chair appointed by the IMO Secretary-General from the roster in Annex H. The panel decides within 60 days on the written and technical record, and its decision binds the Parties on the technical question.</w:t>
      </w:r>
    </w:p>
    <w:p>
      <w:pPr>
        <w:pStyle w:val="TextBody"/>
        <w:rPr/>
      </w:pPr>
      <w:r>
        <w:rPr>
          <w:b/>
          <w:bCs/>
        </w:rPr>
        <w:t>39.2 Arbitration.</w:t>
      </w:r>
      <w:r>
        <w:rPr/>
        <w:t xml:space="preserve"> A dispute unresolved after the ladder of Article 38 and not suitable for a technical panel refers, at the written election of both Parties, to arbitration under the rules stated in Annex H, seated in Geneva, with a tribunal of three and awards final and binding between the Parties.</w:t>
      </w:r>
    </w:p>
    <w:p>
      <w:pPr>
        <w:pStyle w:val="TextBody"/>
        <w:rPr/>
      </w:pPr>
      <w:r>
        <w:rPr>
          <w:b/>
          <w:bCs/>
        </w:rPr>
        <w:t>39.3 No unilateral termination for breach.</w:t>
      </w:r>
      <w:r>
        <w:rPr/>
        <w:t xml:space="preserve"> Alleged breach never authorizes unilateral suspension of this Agreement. The remedies of this Part exhaust the response to breach, together with the compliance ladder of Article 35.</w:t>
      </w:r>
      <w:bookmarkEnd w:id="131"/>
    </w:p>
    <w:p>
      <w:pPr>
        <w:pStyle w:val="Heading2"/>
        <w:rPr/>
      </w:pPr>
      <w:bookmarkStart w:id="132" w:name="__RefHeading___Toc6163_3918200752"/>
      <w:bookmarkStart w:id="133" w:name="article-40.-interpretation-disputes"/>
      <w:bookmarkEnd w:id="132"/>
      <w:r>
        <w:rPr/>
        <w:t>Article 40. Interpretation Disputes</w:t>
      </w:r>
    </w:p>
    <w:p>
      <w:pPr>
        <w:pStyle w:val="FirstParagraph"/>
        <w:rPr/>
      </w:pPr>
      <w:r>
        <w:rPr>
          <w:b/>
          <w:bCs/>
        </w:rPr>
        <w:t>40.1 Joint interpretation.</w:t>
      </w:r>
      <w:r>
        <w:rPr/>
        <w:t xml:space="preserve"> The Joint Committee issues authentic joint interpretations of this Agreement by consensus, which bind the institutions and publish on the portal.</w:t>
      </w:r>
    </w:p>
    <w:p>
      <w:pPr>
        <w:pStyle w:val="TextBody"/>
        <w:rPr/>
      </w:pPr>
      <w:r>
        <w:rPr>
          <w:b/>
          <w:bCs/>
        </w:rPr>
        <w:t>40.2 Divergent interpretation.</w:t>
      </w:r>
      <w:r>
        <w:rPr/>
        <w:t xml:space="preserve"> Where the Parties diverge on interpretation, each records its interpretation, operations follow the conservative-default rule of Article 9.5 where safety engages and otherwise continue on the status quo ante, and the dispute proceeds under Article 38.</w:t>
      </w:r>
    </w:p>
    <w:p>
      <w:pPr>
        <w:pStyle w:val="TextBody"/>
        <w:rPr/>
      </w:pPr>
      <w:r>
        <w:rPr>
          <w:b/>
          <w:bCs/>
        </w:rPr>
        <w:t>40.3 Language divergence.</w:t>
      </w:r>
      <w:r>
        <w:rPr/>
        <w:t xml:space="preserve"> Divergence among the English, Arabic, and Persian texts resolves under Article 45.</w:t>
      </w:r>
    </w:p>
    <w:p>
      <w:pPr>
        <w:pStyle w:val="Normal"/>
        <w:rPr/>
      </w:pPr>
      <w:bookmarkStart w:id="134" w:name="part-xii.-dispute-resolution"/>
      <w:bookmarkStart w:id="135" w:name="article-40.-interpretation-disput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1"/>
        <w:rPr/>
      </w:pPr>
      <w:bookmarkStart w:id="136" w:name="__RefHeading___Toc6165_3918200752"/>
      <w:bookmarkStart w:id="137" w:name="X5496518f20598aee54f30b740cc37e2c3d84e5b"/>
      <w:bookmarkEnd w:id="136"/>
      <w:r>
        <w:rPr/>
        <w:t>PART XIII. RELATIONSHIP TO OTHER INSTRUMENTS</w:t>
      </w:r>
    </w:p>
    <w:p>
      <w:pPr>
        <w:pStyle w:val="Heading2"/>
        <w:rPr/>
      </w:pPr>
      <w:bookmarkStart w:id="138" w:name="__RefHeading___Toc6167_3918200752"/>
      <w:bookmarkStart w:id="139" w:name="X68fb7cefe2f920c4fd1cdba0cb289a2ff641500"/>
      <w:bookmarkEnd w:id="138"/>
      <w:r>
        <w:rPr/>
        <w:t>Article 41. Relationship to Other Negotiations and Instruments</w:t>
      </w:r>
    </w:p>
    <w:p>
      <w:pPr>
        <w:pStyle w:val="FirstParagraph"/>
        <w:rPr/>
      </w:pPr>
      <w:r>
        <w:rPr>
          <w:b/>
          <w:bCs/>
        </w:rPr>
        <w:t>41.1 Bilateral operational character.</w:t>
      </w:r>
      <w:r>
        <w:rPr/>
        <w:t xml:space="preserve"> This Agreement constitutes a bilateral operational mechanism between the Coastal States. It stands separate from, and complementary to: (a) the strategic negotiations between the Islamic Republic of Iran and the United States of America under the June 2026 Memorandum of Understanding; (b) any regional multilateral charter or consortium for the Gulf and the Strait; and (c) any humanitarian framework operating under United Nations coordination.</w:t>
      </w:r>
    </w:p>
    <w:p>
      <w:pPr>
        <w:pStyle w:val="TextBody"/>
        <w:rPr/>
      </w:pPr>
      <w:r>
        <w:rPr>
          <w:b/>
          <w:bCs/>
        </w:rPr>
        <w:t>41.2 No conditionality.</w:t>
      </w:r>
      <w:r>
        <w:rPr/>
        <w:t xml:space="preserve"> No Party conditions performance under this Agreement on progress, conclusion, or breakdown in any other track. Progress on this Agreement never awaits progress elsewhere; breakdown elsewhere never suspends this Agreement.</w:t>
      </w:r>
    </w:p>
    <w:p>
      <w:pPr>
        <w:pStyle w:val="TextBody"/>
        <w:rPr/>
      </w:pPr>
      <w:r>
        <w:rPr>
          <w:b/>
          <w:bCs/>
        </w:rPr>
        <w:t>41.3 Compatibility pledge.</w:t>
      </w:r>
      <w:r>
        <w:rPr/>
        <w:t xml:space="preserve"> The Parties design this Agreement for compatibility with a future regional charter: its corridors, institutions, fee architecture, and verification systems admit accession, observer participation, or institutional fusion under Part III amendment procedures if both Parties later so decide. Nothing in this Agreement forecloses wider regional participation; everything in it preserves the two Coastal States’ foundational roles.</w:t>
      </w:r>
    </w:p>
    <w:p>
      <w:pPr>
        <w:pStyle w:val="TextBody"/>
        <w:rPr/>
      </w:pPr>
      <w:r>
        <w:rPr>
          <w:b/>
          <w:bCs/>
        </w:rPr>
        <w:t>41.4 IMO instruments.</w:t>
      </w:r>
      <w:r>
        <w:rPr/>
        <w:t xml:space="preserve"> Where the IMO adopts routeing or safety measures for the Strait, the Parties implement them through the chart-amendment procedure of Article 23.5, reconciling them with this Agreement by Joint Committee decision.</w:t>
      </w:r>
    </w:p>
    <w:p>
      <w:pPr>
        <w:pStyle w:val="TextBody"/>
        <w:rPr/>
      </w:pPr>
      <w:r>
        <w:rPr>
          <w:b/>
          <w:bCs/>
        </w:rPr>
        <w:t>41.5 Precedence as between the Parties.</w:t>
      </w:r>
      <w:r>
        <w:rPr/>
        <w:t xml:space="preserve"> As between the Parties, this Agreement prevails over prior bilateral arrangements concerning navigation in the Strait to the extent of any inconsistency, without prejudice to instruments of broader membership.</w:t>
      </w:r>
    </w:p>
    <w:p>
      <w:pPr>
        <w:pStyle w:val="Normal"/>
        <w:rPr/>
      </w:pPr>
      <w:bookmarkStart w:id="140" w:name="X5496518f20598aee54f30b740cc37e2c3d84e5b"/>
      <w:bookmarkStart w:id="141" w:name="X68fb7cefe2f920c4fd1cdba0cb289a2ff641500"/>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p>
    <w:p>
      <w:pPr>
        <w:pStyle w:val="Heading1"/>
        <w:rPr/>
      </w:pPr>
      <w:bookmarkStart w:id="142" w:name="__RefHeading___Toc6169_3918200752"/>
      <w:bookmarkStart w:id="143" w:name="part-xiv.-final-provisions"/>
      <w:bookmarkEnd w:id="142"/>
      <w:r>
        <w:rPr/>
        <w:t>PART XIV. FINAL PROVISIONS</w:t>
      </w:r>
    </w:p>
    <w:p>
      <w:pPr>
        <w:pStyle w:val="Heading2"/>
        <w:rPr/>
      </w:pPr>
      <w:bookmarkStart w:id="144" w:name="__RefHeading___Toc6171_3918200752"/>
      <w:bookmarkStart w:id="145" w:name="Xe0b0088c6775a00c252f6e46477f9f00634d8bc"/>
      <w:bookmarkEnd w:id="144"/>
      <w:r>
        <w:rPr/>
        <w:t>Article 42. Signature, Entry into Force, and Deposit</w:t>
      </w:r>
    </w:p>
    <w:p>
      <w:pPr>
        <w:pStyle w:val="FirstParagraph"/>
        <w:rPr/>
      </w:pPr>
      <w:r>
        <w:rPr>
          <w:b/>
          <w:bCs/>
        </w:rPr>
        <w:t>42.1 Signature and entry into force.</w:t>
      </w:r>
      <w:r>
        <w:rPr/>
        <w:t xml:space="preserve"> This Agreement opens for signature at Muscat and enters into force upon signature by both Coastal States. The date of entry into force constitutes Day 0.</w:t>
      </w:r>
    </w:p>
    <w:p>
      <w:pPr>
        <w:pStyle w:val="TextBody"/>
        <w:rPr/>
      </w:pPr>
      <w:r>
        <w:rPr>
          <w:b/>
          <w:bCs/>
        </w:rPr>
        <w:t>42.2 Provisional application.</w:t>
      </w:r>
      <w:r>
        <w:rPr/>
        <w:t xml:space="preserve"> The Parties may, by joint declaration at signature, apply provisionally any Part or Annex pending completion of domestic procedures, and each Party promptly completes its procedures and notifies the Depositary.</w:t>
      </w:r>
    </w:p>
    <w:p>
      <w:pPr>
        <w:pStyle w:val="TextBody"/>
        <w:rPr/>
      </w:pPr>
      <w:r>
        <w:rPr>
          <w:b/>
          <w:bCs/>
        </w:rPr>
        <w:t>42.3 Deposit and registration.</w:t>
      </w:r>
      <w:r>
        <w:rPr/>
        <w:t xml:space="preserve"> The Depositary holds the original texts, transmits certified copies to both Parties and to the IMO, and arranges registration of this Agreement with the Secretariat of the United Nations consistent with Article 102 of the Charter of the United Nations, without prejudice to the Parties’ treaty-law positions.</w:t>
      </w:r>
      <w:bookmarkEnd w:id="145"/>
    </w:p>
    <w:p>
      <w:pPr>
        <w:pStyle w:val="Heading2"/>
        <w:rPr/>
      </w:pPr>
      <w:bookmarkStart w:id="146" w:name="__RefHeading___Toc6173_3918200752"/>
      <w:bookmarkStart w:id="147" w:name="Xfe9084ea05f0e8c035ba45b96ec2d4c59777edd"/>
      <w:bookmarkEnd w:id="146"/>
      <w:r>
        <w:rPr/>
        <w:t>Article 43. Amendment and Accession of Instruments</w:t>
      </w:r>
    </w:p>
    <w:p>
      <w:pPr>
        <w:pStyle w:val="FirstParagraph"/>
        <w:rPr/>
      </w:pPr>
      <w:r>
        <w:rPr>
          <w:b/>
          <w:bCs/>
        </w:rPr>
        <w:t>43.1 Amendment.</w:t>
      </w:r>
      <w:r>
        <w:rPr/>
        <w:t xml:space="preserve"> The Joint Committee may adopt technical amendments to the Annexes by consensus, effective on publication with the mariner lead times of Article 11.2. Amendments to the Articles require the written agreement of both Parties, executed and deposited as protocol instruments.</w:t>
      </w:r>
    </w:p>
    <w:p>
      <w:pPr>
        <w:pStyle w:val="TextBody"/>
        <w:rPr/>
      </w:pPr>
      <w:r>
        <w:rPr>
          <w:b/>
          <w:bCs/>
        </w:rPr>
        <w:t>43.2 Annex updates as standing business.</w:t>
      </w:r>
      <w:r>
        <w:rPr/>
        <w:t xml:space="preserve"> The Parties treat Annex A coordinates, Annex C schedules, and Annex I dates as living technical content, maintained current through the working groups rather than through renegotiation of the treaty text.</w:t>
      </w:r>
    </w:p>
    <w:p>
      <w:pPr>
        <w:pStyle w:val="TextBody"/>
        <w:rPr/>
      </w:pPr>
      <w:r>
        <w:rPr>
          <w:b/>
          <w:bCs/>
        </w:rPr>
        <w:t>43.3 Withdrawal.</w:t>
      </w:r>
      <w:r>
        <w:rPr/>
        <w:t xml:space="preserve"> Either Party may withdraw by twelve months’ written notice to the other Party and the Depositary. During the notice period, all obligations continue in full. Withdrawal never operates retroactively, never disturbs accrued rights, Fund distributions then due, or certificates then valid, and Article 20.5 and Article 22.5 survive withdrawal indefinitely.</w:t>
      </w:r>
    </w:p>
    <w:p>
      <w:pPr>
        <w:pStyle w:val="TextBody"/>
        <w:rPr/>
      </w:pPr>
      <w:r>
        <w:rPr>
          <w:b/>
          <w:bCs/>
        </w:rPr>
        <w:t>43.4 Succession.</w:t>
      </w:r>
      <w:r>
        <w:rPr/>
        <w:t xml:space="preserve"> This Agreement binds successor governments and continues in force through changes of government in either Party.</w:t>
      </w:r>
      <w:bookmarkEnd w:id="147"/>
    </w:p>
    <w:p>
      <w:pPr>
        <w:pStyle w:val="Heading2"/>
        <w:rPr/>
      </w:pPr>
      <w:bookmarkStart w:id="148" w:name="__RefHeading___Toc6175_3918200752"/>
      <w:bookmarkStart w:id="149" w:name="X9172903081f8192d1ae18019358e52f9cf12946"/>
      <w:bookmarkEnd w:id="148"/>
      <w:r>
        <w:rPr/>
        <w:t>Article 44. Relationship of Parts and Severability</w:t>
      </w:r>
    </w:p>
    <w:p>
      <w:pPr>
        <w:pStyle w:val="FirstParagraph"/>
        <w:rPr/>
      </w:pPr>
      <w:r>
        <w:rPr>
          <w:b/>
          <w:bCs/>
        </w:rPr>
        <w:t>44.1 Integrated instrument.</w:t>
      </w:r>
      <w:r>
        <w:rPr/>
        <w:t xml:space="preserve"> The Parts and Annexes form one integrated instrument. The invalidity or suspension of any single provision by mutual agreement or by a competent tribunal leaves the remainder in full force, and the Parties negotiate a replacement provision consistent with the Agreement’s purpose.</w:t>
      </w:r>
    </w:p>
    <w:p>
      <w:pPr>
        <w:pStyle w:val="TextBody"/>
        <w:rPr/>
      </w:pPr>
      <w:r>
        <w:rPr>
          <w:b/>
          <w:bCs/>
        </w:rPr>
        <w:t>44.2 Headings and summaries.</w:t>
      </w:r>
      <w:r>
        <w:rPr/>
        <w:t xml:space="preserve"> Part titles, the Table of Contents, and any summaries serve convenience and carry no interpretive weight against the operative text.</w:t>
      </w:r>
      <w:bookmarkEnd w:id="149"/>
    </w:p>
    <w:p>
      <w:pPr>
        <w:pStyle w:val="Heading2"/>
        <w:rPr/>
      </w:pPr>
      <w:bookmarkStart w:id="150" w:name="__RefHeading___Toc6177_3918200752"/>
      <w:bookmarkStart w:id="151" w:name="article-45.-languages"/>
      <w:bookmarkEnd w:id="150"/>
      <w:r>
        <w:rPr/>
        <w:t>Article 45. Languages</w:t>
      </w:r>
    </w:p>
    <w:p>
      <w:pPr>
        <w:pStyle w:val="FirstParagraph"/>
        <w:rPr/>
      </w:pPr>
      <w:r>
        <w:rPr>
          <w:b/>
          <w:bCs/>
        </w:rPr>
        <w:t>45.1 Authoritative texts.</w:t>
      </w:r>
      <w:r>
        <w:rPr/>
        <w:t xml:space="preserve"> This Agreement is executed in English, Arabic, and Persian, each text equally authoritative. Divergence among texts resolves through the consultation ladder of Article 38, guided by the object and purpose of the Agreement and by the negotiating record held by the Depositary.</w:t>
      </w:r>
    </w:p>
    <w:p>
      <w:pPr>
        <w:pStyle w:val="TextBody"/>
        <w:rPr/>
      </w:pPr>
      <w:r>
        <w:rPr>
          <w:b/>
          <w:bCs/>
        </w:rPr>
        <w:t>45.2 Certified translations.</w:t>
      </w:r>
      <w:r>
        <w:rPr/>
        <w:t xml:space="preserve"> The Depositary prepares certified translations into additional languages for the convenience of third parties; such translations serve information only and carry no authority.</w:t>
      </w:r>
    </w:p>
    <w:p>
      <w:pPr>
        <w:pStyle w:val="Normal"/>
        <w:rPr/>
      </w:pPr>
      <w:bookmarkStart w:id="152" w:name="part-xiv.-final-provisions"/>
      <w:bookmarkStart w:id="153" w:name="article-45.-languag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bookmarkEnd w:id="153"/>
    </w:p>
    <w:p>
      <w:pPr>
        <w:pStyle w:val="Heading1"/>
        <w:rPr/>
      </w:pPr>
      <w:bookmarkStart w:id="154" w:name="__RefHeading___Toc6179_3918200752"/>
      <w:bookmarkStart w:id="155" w:name="signature-pages"/>
      <w:bookmarkEnd w:id="154"/>
      <w:r>
        <w:rPr/>
        <w:t>SIGNATURE PAGES</w:t>
      </w:r>
    </w:p>
    <w:p>
      <w:pPr>
        <w:pStyle w:val="FirstParagraph"/>
        <w:rPr/>
      </w:pPr>
      <w:r>
        <w:rPr>
          <w:b/>
          <w:bCs/>
        </w:rPr>
        <w:t>IN WITNESS WHEREOF</w:t>
      </w:r>
      <w:r>
        <w:rPr/>
        <w:t>, the undersigned, being duly authorized by their respective Governments, sign this Agreement.</w:t>
      </w:r>
    </w:p>
    <w:p>
      <w:pPr>
        <w:pStyle w:val="TextBody"/>
        <w:rPr/>
      </w:pPr>
      <w:r>
        <w:rPr>
          <w:b/>
          <w:bCs/>
        </w:rPr>
        <w:t>DONE at Muscat, Sultanate of Oman, in August 2026, in the English, Arabic, and Persian languages, each text equally authoritative, in two originals, one deposited with the Depositary and one exchanged between the Parties.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Party</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Representative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Signature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the Islamic Republic of Iran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the Sultanate of Oman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Witnessed — Depositary: The Swiss Confederation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Observer of Record: International Maritime Organization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TextBody"/>
        <w:rPr/>
      </w:pPr>
      <w:r>
        <w:rPr>
          <w:b/>
          <w:bCs/>
        </w:rPr>
        <w:t>Mediator’s attestation.</w:t>
      </w:r>
      <w:r>
        <w:rPr/>
        <w:t xml:space="preserve"> The undersigned mediator attests that the signatures above were executed in its presence and that the negotiating record referenced in Article 45.1 stands deposited with the Depositary.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Mediating Witness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Representative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Signature</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bookmarkStart w:id="156" w:name="signature-pages"/>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1"/>
        <w:rPr/>
      </w:pPr>
      <w:bookmarkStart w:id="157" w:name="__RefHeading___Toc6181_3918200752"/>
      <w:bookmarkStart w:id="158" w:name="X84c9c2cb1ed012783e004ce41af034d9b3b5954"/>
      <w:bookmarkEnd w:id="157"/>
      <w:r>
        <w:rPr/>
        <w:t>ANNEX A. CORRIDOR COORDINATES, WAYPOINTS, AND CHARTLET REGISTER</w:t>
      </w:r>
    </w:p>
    <w:p>
      <w:pPr>
        <w:pStyle w:val="Heading2"/>
        <w:rPr/>
      </w:pPr>
      <w:bookmarkStart w:id="159" w:name="__RefHeading___Toc6183_3918200752"/>
      <w:bookmarkStart w:id="160" w:name="a.1-purpose-and-status"/>
      <w:bookmarkEnd w:id="159"/>
      <w:r>
        <w:rPr/>
        <w:t>A.1 Purpose and status</w:t>
      </w:r>
    </w:p>
    <w:p>
      <w:pPr>
        <w:pStyle w:val="FirstParagraph"/>
        <w:rPr/>
      </w:pPr>
      <w:bookmarkStart w:id="161" w:name="a.1-purpose-and-status"/>
      <w:r>
        <w:rPr/>
        <w:t>This Annex carries the operative geography of the Agreement. All coordinates reference WGS 84. The chartlet register lists the official chart series editions in force. Coordinates update through the chart-amendment procedure of Article 23.5; this edition states the geometry agreed in principle in the July–August 2026 technical talks, subject to final survey validation under Article 7.2.</w:t>
      </w:r>
      <w:bookmarkEnd w:id="161"/>
    </w:p>
    <w:p>
      <w:pPr>
        <w:pStyle w:val="Heading2"/>
        <w:rPr/>
      </w:pPr>
      <w:bookmarkStart w:id="162" w:name="__RefHeading___Toc6185_3918200752"/>
      <w:bookmarkStart w:id="163" w:name="X42c950b966d00252e382922b291b5e637e18521"/>
      <w:bookmarkEnd w:id="162"/>
      <w:r>
        <w:rPr/>
        <w:t>A.2 Corridor One — Northern Stewardship Corridor (Inbound)</w:t>
      </w:r>
    </w:p>
    <w:p>
      <w:pPr>
        <w:pStyle w:val="FirstParagraph"/>
        <w:rPr/>
      </w:pPr>
      <w:r>
        <w:rPr>
          <w:b/>
          <w:bCs/>
        </w:rPr>
        <w:t>Alignment.</w:t>
      </w:r>
      <w:r>
        <w:rPr/>
        <w:t xml:space="preserve"> Corridor One runs northeast to southwest along the Iranian side of the Strait, inbound toward the Arabian Gulf.</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Waypoint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Designation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Latitude (N)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Longitude (E)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Eastern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34.0’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58.0’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Area eastern limit, inbound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Approach Turn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38.0’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45.0’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Course alteration, speed check point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Larak Passing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51.0’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22.0’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Larak Island abeam, radar surveillance check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Mid-Strait North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42.0’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08.0’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Closest-approach segment begins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Western Turn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32.0’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58.0’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Course alteration toward Gulf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Western Exit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24.0’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Area western limit, handover complete</w:t>
            </w:r>
          </w:p>
        </w:tc>
      </w:tr>
    </w:tbl>
    <w:p>
      <w:pPr>
        <w:pStyle w:val="TextBody"/>
        <w:rPr/>
      </w:pPr>
      <w:r>
        <w:rPr>
          <w:b/>
          <w:bCs/>
        </w:rPr>
        <w:t>Parameters.</w:t>
      </w:r>
      <w:r>
        <w:rPr/>
        <w:t xml:space="preserve"> Navigable width: not less than 2.0 nautical miles within lane. Controlled depth: not less than 25 metres on certified track. Maximum speed: 12 knots in closest-approach segment (N-04), 14 knots elsewhere. Minimum under-keel clearance: 15 percent of draft or 2.0 metres, whichever is greater.</w:t>
      </w:r>
      <w:bookmarkEnd w:id="163"/>
    </w:p>
    <w:p>
      <w:pPr>
        <w:pStyle w:val="Heading2"/>
        <w:rPr/>
      </w:pPr>
      <w:bookmarkStart w:id="164" w:name="__RefHeading___Toc6187_3918200752"/>
      <w:bookmarkStart w:id="165" w:name="X1edb252720d85de97d713ec77fdfa2e1955ce74"/>
      <w:bookmarkEnd w:id="164"/>
      <w:r>
        <w:rPr/>
        <w:t>A.3 Corridor Three — Southern Assurance Corridor (Outbound)</w:t>
      </w:r>
    </w:p>
    <w:p>
      <w:pPr>
        <w:pStyle w:val="FirstParagraph"/>
        <w:rPr/>
      </w:pPr>
      <w:r>
        <w:rPr>
          <w:b/>
          <w:bCs/>
        </w:rPr>
        <w:t>Alignment.</w:t>
      </w:r>
      <w:r>
        <w:rPr/>
        <w:t xml:space="preserve"> Corridor Three runs southwest to northeast along the Omani (Musandam) side of the Strait, outbound toward the Gulf of Oman.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Waypoint</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Designation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Latitude (N)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Longitude (E)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Western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52.0’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Area western limit, outbound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Musandam Approach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02.0’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Course alteration, speed check point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Mid-Strait South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14.0’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Closest-approach segment begins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Quoin Abeam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32.0’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30.0’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al Qawin abeam, radar check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Eastern Turn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42.0’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Course alteration toward Gulf of Oman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Eastern Exit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54.0’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Area eastern limit, handover complete</w:t>
            </w:r>
          </w:p>
        </w:tc>
      </w:tr>
    </w:tbl>
    <w:p>
      <w:pPr>
        <w:pStyle w:val="TextBody"/>
        <w:rPr/>
      </w:pPr>
      <w:r>
        <w:rPr>
          <w:b/>
          <w:bCs/>
        </w:rPr>
        <w:t>Parameters.</w:t>
      </w:r>
      <w:r>
        <w:rPr/>
        <w:t xml:space="preserve"> Identical to A.2 unless the Joint Committee publishes corridor-specific parameters.</w:t>
      </w:r>
      <w:bookmarkEnd w:id="165"/>
    </w:p>
    <w:p>
      <w:pPr>
        <w:pStyle w:val="Heading2"/>
        <w:rPr/>
      </w:pPr>
      <w:bookmarkStart w:id="166" w:name="__RefHeading___Toc6189_3918200752"/>
      <w:bookmarkStart w:id="167" w:name="a.4-separation-and-buffer-geometry"/>
      <w:bookmarkEnd w:id="166"/>
      <w:r>
        <w:rPr/>
        <w:t>A.4 Separation and buffer geometry</w:t>
      </w:r>
    </w:p>
    <w:p>
      <w:pPr>
        <w:pStyle w:val="Normal"/>
        <w:numPr>
          <w:ilvl w:val="0"/>
          <w:numId w:val="51"/>
        </w:numPr>
        <w:rPr/>
      </w:pPr>
      <w:r>
        <w:rPr/>
        <w:t>The minimum separation between the Corridor One and Corridor Three centerlines at closest approach (N-04/S-03) is 3.0 nautical miles, enclosing a separation buffer of not less than 1.0 nautical mile between lane edges.</w:t>
      </w:r>
    </w:p>
    <w:p>
      <w:pPr>
        <w:pStyle w:val="Normal"/>
        <w:numPr>
          <w:ilvl w:val="0"/>
          <w:numId w:val="52"/>
        </w:numPr>
        <w:rPr/>
      </w:pPr>
      <w:r>
        <w:rPr/>
        <w:t>The buffer zone between the lanes carries the charted designation “Joint Buffer — No Anchoring, No Loitering.” Only clearance units, spill-response assets, search-and-rescue units, and vessels in distress enter the buffer, each with Joint Operations Center tasking.</w:t>
      </w:r>
    </w:p>
    <w:p>
      <w:pPr>
        <w:pStyle w:val="Normal"/>
        <w:numPr>
          <w:ilvl w:val="0"/>
          <w:numId w:val="53"/>
        </w:numPr>
        <w:rPr/>
      </w:pPr>
      <w:bookmarkStart w:id="168" w:name="a.4-separation-and-buffer-geometry"/>
      <w:r>
        <w:rPr/>
        <w:t>Fishing vessels holding licenses from either Coastal State operate outside the lanes and buffer in the charted inshore fishing zones; small-craft crossing points exist at the charted locations, marked by virtual AIS aids and patrolled during published crossing windows.</w:t>
      </w:r>
      <w:bookmarkEnd w:id="168"/>
    </w:p>
    <w:p>
      <w:pPr>
        <w:pStyle w:val="Heading2"/>
        <w:rPr/>
      </w:pPr>
      <w:bookmarkStart w:id="169" w:name="__RefHeading___Toc6191_3918200752"/>
      <w:bookmarkStart w:id="170" w:name="Xcc54b8024ad462d0b8013b83f9af8b6fd304ef5"/>
      <w:bookmarkEnd w:id="169"/>
      <w:r>
        <w:rPr/>
        <w:t>A.5 Corridor Two — Central Corridor (design track)</w:t>
      </w:r>
    </w:p>
    <w:p>
      <w:pPr>
        <w:pStyle w:val="FirstParagraph"/>
        <w:rPr/>
      </w:pPr>
      <w:r>
        <w:rPr/>
        <w:t>The design track of Corridor Two follows the median valley of the Strait’s deep-water channel, as refined by the Article 7.2 survey: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Point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Latitude (N)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Longitude (E)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56.0’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Eastern terminus, two-way fan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36.0’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 20.0’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segment, two-way separation by 0.5 nm median zone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27.0’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50.0’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Western terminus, two-way fan</w:t>
            </w:r>
          </w:p>
        </w:tc>
      </w:tr>
    </w:tbl>
    <w:p>
      <w:pPr>
        <w:pStyle w:val="TextBody"/>
        <w:rPr/>
      </w:pPr>
      <w:bookmarkStart w:id="171" w:name="Xcc54b8024ad462d0b8013b83f9af8b6fd304ef5"/>
      <w:r>
        <w:rPr/>
        <w:t>Corridor Two provides two 1.5-nautical-mile lanes separated by a 0.5-nautical-mile median, with controlled depth of not less than 27 metres. Final coordinates issue upon certification.</w:t>
      </w:r>
      <w:bookmarkEnd w:id="171"/>
    </w:p>
    <w:p>
      <w:pPr>
        <w:pStyle w:val="Heading2"/>
        <w:rPr/>
      </w:pPr>
      <w:bookmarkStart w:id="172" w:name="__RefHeading___Toc6193_3918200752"/>
      <w:bookmarkStart w:id="173" w:name="a.6-waiting-areas-and-anchorages"/>
      <w:bookmarkEnd w:id="172"/>
      <w:r>
        <w:rPr/>
        <w:t>A.6 Waiting areas and anchorages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 Position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Radius</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Coordinator</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Western Waiting Area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15.0’ N, 55° 40.0’ 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 holding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Eastern Waiting Area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12.0’ N, 57° 05.0’ 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 holding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Emergency Anchorage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10.0’ N, 56° 35.0’ 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Vessels in distress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 Staging Area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14.0’ N, 56° 44.0’ 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bookmarkStart w:id="174" w:name="a.6-waiting-areas-and-anchorages"/>
            <w:r>
              <w:rPr>
                <w:rFonts w:eastAsia="Cambria" w:cs=""/>
                <w:kern w:val="0"/>
                <w:sz w:val="24"/>
                <w:szCs w:val="24"/>
                <w:lang w:val="en-US" w:eastAsia="en-US" w:bidi="ar-SA"/>
              </w:rPr>
              <w:t>Article 22 support</w:t>
            </w:r>
            <w:bookmarkEnd w:id="174"/>
          </w:p>
        </w:tc>
      </w:tr>
    </w:tbl>
    <w:p>
      <w:pPr>
        <w:pStyle w:val="Heading2"/>
        <w:rPr/>
      </w:pPr>
      <w:bookmarkStart w:id="175" w:name="__RefHeading___Toc6195_3918200752"/>
      <w:bookmarkEnd w:id="175"/>
      <w:r>
        <w:rPr/>
        <w:t>A.7 Deconfliction belt</w:t>
      </w:r>
    </w:p>
    <w:p>
      <w:pPr>
        <w:pStyle w:val="FirstParagraph"/>
        <w:rPr/>
      </w:pPr>
      <w:r>
        <w:rPr/>
        <w:t>The Article 25.1 deconfliction belt extends 50 nautical miles from each corridor centerline, clipped at the Governance Area’s seaward limits and at each Party’s coastline as charted. The classified baseline annex recording Day 0 force dispositions, held by the Depositary, references the same belt geometry.</w:t>
      </w:r>
    </w:p>
    <w:p>
      <w:pPr>
        <w:pStyle w:val="Heading2"/>
        <w:rPr/>
      </w:pPr>
      <w:bookmarkStart w:id="176" w:name="__RefHeading___Toc6197_3918200752"/>
      <w:bookmarkStart w:id="177" w:name="a.8-reporting-points-and-communications"/>
      <w:bookmarkEnd w:id="176"/>
      <w:r>
        <w:rPr/>
        <w:t>A.8 Reporting points and communications</w:t>
      </w:r>
    </w:p>
    <w:p>
      <w:pPr>
        <w:pStyle w:val="FirstParagraph"/>
        <w:rPr/>
      </w:pPr>
      <w:bookmarkStart w:id="178" w:name="a.8-reporting-points-and-communications"/>
      <w:r>
        <w:rPr/>
        <w:t>Reporting points exist at every waypoint in A.2 and A.3. VHF working channels: Corridor One control — Channel 71; Corridor Three control — Channel 72; common channel — Channel 16 guard with Channel 13 working; hotline backup — dedicated satellite circuit per Annex F. Full communications plan: Annex F, Section F.4.</w:t>
      </w:r>
      <w:bookmarkEnd w:id="178"/>
    </w:p>
    <w:p>
      <w:pPr>
        <w:pStyle w:val="Heading2"/>
        <w:rPr/>
      </w:pPr>
      <w:bookmarkStart w:id="179" w:name="__RefHeading___Toc6199_3918200752"/>
      <w:bookmarkStart w:id="180" w:name="a.9-chartlet-register"/>
      <w:bookmarkEnd w:id="179"/>
      <w:r>
        <w:rPr/>
        <w:t>A.9 Chartlet register</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Chart No.</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Edition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Datum</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Custodian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Strait of Hormuz — Governance Area Overview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One and Approaches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 HO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and Approaches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 HO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Design Track (Restricted)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Areas and Anchorages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HB-105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Deconfliction Belt (Restricted)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WGS 84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Depositary</w:t>
            </w:r>
          </w:p>
        </w:tc>
      </w:tr>
    </w:tbl>
    <w:p>
      <w:pPr>
        <w:pStyle w:val="TextBody"/>
        <w:rPr/>
      </w:pPr>
      <w:r>
        <w:rPr/>
        <w:t>Electronic navigational chart cells correspond to each paper chart and update through the Article 8.3 distribution.</w:t>
      </w:r>
    </w:p>
    <w:p>
      <w:pPr>
        <w:pStyle w:val="Normal"/>
        <w:rPr/>
      </w:pPr>
      <w:bookmarkStart w:id="181" w:name="X84c9c2cb1ed012783e004ce41af034d9b3b5954"/>
      <w:bookmarkStart w:id="182" w:name="a.9-chartlet-registe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p>
    <w:p>
      <w:pPr>
        <w:pStyle w:val="Heading1"/>
        <w:rPr/>
      </w:pPr>
      <w:bookmarkStart w:id="183" w:name="__RefHeading___Toc6201_3918200752"/>
      <w:bookmarkStart w:id="184" w:name="X5f5f463fdee850437739dd0003043632811de1d"/>
      <w:bookmarkEnd w:id="183"/>
      <w:r>
        <w:rPr/>
        <w:t>ANNEX B. NOTIFICATION MESSAGE FORMATS AND DATA FIELDS</w:t>
      </w:r>
    </w:p>
    <w:p>
      <w:pPr>
        <w:pStyle w:val="Heading2"/>
        <w:rPr/>
      </w:pPr>
      <w:bookmarkStart w:id="185" w:name="__RefHeading___Toc6203_3918200752"/>
      <w:bookmarkStart w:id="186" w:name="b.1-general-rules"/>
      <w:bookmarkEnd w:id="185"/>
      <w:r>
        <w:rPr/>
        <w:t>B.1 General rules</w:t>
      </w:r>
    </w:p>
    <w:p>
      <w:pPr>
        <w:pStyle w:val="Normal"/>
        <w:numPr>
          <w:ilvl w:val="0"/>
          <w:numId w:val="54"/>
        </w:numPr>
        <w:rPr/>
      </w:pPr>
      <w:r>
        <w:rPr/>
        <w:t>Messages transmit through the JOC contact suite of Article 10.5: secure email gateway (preferred), Inmarsat-C, or VHF voice fallback with written confirmation.</w:t>
      </w:r>
    </w:p>
    <w:p>
      <w:pPr>
        <w:pStyle w:val="Normal"/>
        <w:numPr>
          <w:ilvl w:val="0"/>
          <w:numId w:val="55"/>
        </w:numPr>
        <w:rPr/>
      </w:pPr>
      <w:r>
        <w:rPr/>
        <w:t>Every message receives a machine-readable acknowledgement carrying the Standing Logbook reference within 15 minutes.</w:t>
      </w:r>
    </w:p>
    <w:p>
      <w:pPr>
        <w:pStyle w:val="Normal"/>
        <w:numPr>
          <w:ilvl w:val="0"/>
          <w:numId w:val="56"/>
        </w:numPr>
        <w:rPr/>
      </w:pPr>
      <w:bookmarkStart w:id="187" w:name="b.1-general-rules"/>
      <w:r>
        <w:rPr/>
        <w:t>All times UTC. All positions WGS 84.</w:t>
      </w:r>
      <w:bookmarkEnd w:id="187"/>
    </w:p>
    <w:p>
      <w:pPr>
        <w:pStyle w:val="Heading2"/>
        <w:rPr/>
      </w:pPr>
      <w:bookmarkStart w:id="188" w:name="__RefHeading___Toc6205_3918200752"/>
      <w:bookmarkStart w:id="189" w:name="b.2-t-48-transit-notice-mandatory-fields"/>
      <w:bookmarkEnd w:id="188"/>
      <w:r>
        <w:rPr/>
        <w:t>B.2 T-48 Transit Notice (mandatory fields)</w:t>
      </w:r>
    </w:p>
    <w:p>
      <w:pPr>
        <w:pStyle w:val="Compact"/>
        <w:numPr>
          <w:ilvl w:val="0"/>
          <w:numId w:val="57"/>
        </w:numPr>
        <w:rPr/>
      </w:pPr>
      <w:bookmarkStart w:id="190" w:name="b.2-t-48-transit-notice-mandatory-fields"/>
      <w:r>
        <w:rPr/>
        <w:t>Vessel name; 2. IMO number; 3. Flag; 4. Call sign / MMSI; 5. Vessel type (standard type code list); 6. LOA, beam, draft (metres); 7. Gross tonnage; 8. Last port; 9. Next port; 10. General cargo category (Category Code list in B.5); 11. Dangerous goods indicator (yes/no; IMDG class summary if yes); 12. Crew count; 13. Master name; 14. Agent or operator contact; 15. ETA at Governance Area limit; 16. Confirmation of current HB chart series carriage; 17. Registry number (if registered).</w:t>
      </w:r>
      <w:bookmarkEnd w:id="190"/>
    </w:p>
    <w:p>
      <w:pPr>
        <w:pStyle w:val="Heading2"/>
        <w:rPr/>
      </w:pPr>
      <w:bookmarkStart w:id="191" w:name="__RefHeading___Toc6207_3918200752"/>
      <w:bookmarkStart w:id="192" w:name="b.3-t-6-approach-report-mandatory-fields"/>
      <w:bookmarkEnd w:id="191"/>
      <w:r>
        <w:rPr/>
        <w:t>B.3 T-6 Approach Report (mandatory fields)</w:t>
      </w:r>
    </w:p>
    <w:p>
      <w:pPr>
        <w:pStyle w:val="Compact"/>
        <w:numPr>
          <w:ilvl w:val="0"/>
          <w:numId w:val="58"/>
        </w:numPr>
        <w:rPr/>
      </w:pPr>
      <w:bookmarkStart w:id="193" w:name="b.3-t-6-approach-report-mandatory-fields"/>
      <w:r>
        <w:rPr/>
        <w:t>Registry number or IMO number; 2. Position, course, speed; 3. Updated draft; 4. Any change in vessel condition, cargo status, or crew medical status; 5. Service elections from the Verified Services Catalog (by Catalog code); 6. Requested transit window preference (informational only); 7. ETA at entry waypoint.</w:t>
      </w:r>
      <w:bookmarkEnd w:id="193"/>
    </w:p>
    <w:p>
      <w:pPr>
        <w:pStyle w:val="Heading2"/>
        <w:rPr/>
      </w:pPr>
      <w:bookmarkStart w:id="194" w:name="__RefHeading___Toc6209_3918200752"/>
      <w:bookmarkStart w:id="195" w:name="b.4-entry-report-and-in-transit-reports"/>
      <w:bookmarkEnd w:id="194"/>
      <w:r>
        <w:rPr/>
        <w:t>B.4 Entry Report and in-transit reports</w:t>
      </w:r>
    </w:p>
    <w:p>
      <w:pPr>
        <w:pStyle w:val="FirstParagraph"/>
        <w:rPr/>
      </w:pPr>
      <w:bookmarkStart w:id="196" w:name="b.4-entry-report-and-in-transit-reports"/>
      <w:r>
        <w:rPr/>
        <w:t>Entry Report: identity, position at entry waypoint, course, speed. In-transit: report at each reporting point by exception — only when instructed or when deviating from the assigned sequence. Exit Report: position at exit waypoint, transit completion time, any observations relevant to the Hazard Register.</w:t>
      </w:r>
      <w:bookmarkEnd w:id="196"/>
    </w:p>
    <w:p>
      <w:pPr>
        <w:pStyle w:val="Heading2"/>
        <w:rPr/>
      </w:pPr>
      <w:bookmarkStart w:id="197" w:name="__RefHeading___Toc6211_3918200752"/>
      <w:bookmarkStart w:id="198" w:name="b.5-standard-cargo-category-codes"/>
      <w:bookmarkEnd w:id="197"/>
      <w:r>
        <w:rPr/>
        <w:t>B.5 Standard cargo category codes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Crude oil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Refined petroleum products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Liquefied natural gas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Liquefied petroleum gas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Chemicals in bulk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Dry bulk (grain, ore, fertilizer, aggregates)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Containerized general cargo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Vehicles / ro-ro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cargo (Annex B.6)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(specify in one line)</w:t>
            </w:r>
          </w:p>
        </w:tc>
      </w:tr>
    </w:tbl>
    <w:p>
      <w:pPr>
        <w:pStyle w:val="TextBody"/>
        <w:rPr/>
      </w:pPr>
      <w:bookmarkStart w:id="199" w:name="b.5-standard-cargo-category-codes"/>
      <w:r>
        <w:rPr/>
        <w:t>Cargo detail beyond the category code is never required for notification purposes.</w:t>
      </w:r>
      <w:bookmarkEnd w:id="199"/>
    </w:p>
    <w:p>
      <w:pPr>
        <w:pStyle w:val="Heading2"/>
        <w:rPr/>
      </w:pPr>
      <w:bookmarkStart w:id="200" w:name="__RefHeading___Toc6213_3918200752"/>
      <w:bookmarkStart w:id="201" w:name="b.6-humanitarian-shipment-streamlining"/>
      <w:bookmarkEnd w:id="200"/>
      <w:r>
        <w:rPr/>
        <w:t>B.6 Humanitarian shipment streamlining</w:t>
      </w:r>
    </w:p>
    <w:p>
      <w:pPr>
        <w:pStyle w:val="FirstParagraph"/>
        <w:rPr/>
      </w:pPr>
      <w:bookmarkStart w:id="202" w:name="b.6-humanitarian-shipment-streamlining"/>
      <w:r>
        <w:rPr/>
        <w:t>UN-verified or humanitarian-desk-designated shipments file a single combined notice at any time before entry, receive sequence position 1 of the next queue cycle, and transit under the Article 32 exemptions. The humanitarian desk confirms designation within 2 hours, 24/7.</w:t>
      </w:r>
      <w:bookmarkEnd w:id="202"/>
    </w:p>
    <w:p>
      <w:pPr>
        <w:pStyle w:val="Heading2"/>
        <w:rPr/>
      </w:pPr>
      <w:bookmarkStart w:id="203" w:name="__RefHeading___Toc6215_3918200752"/>
      <w:bookmarkStart w:id="204" w:name="Xcd5302714802359ce3912c16f28da160935dffa"/>
      <w:bookmarkEnd w:id="203"/>
      <w:r>
        <w:rPr/>
        <w:t>B.7 Vessel Registry data fields and vetting criteria</w:t>
      </w:r>
    </w:p>
    <w:p>
      <w:pPr>
        <w:pStyle w:val="FirstParagraph"/>
        <w:rPr/>
      </w:pPr>
      <w:r>
        <w:rPr>
          <w:b/>
          <w:bCs/>
        </w:rPr>
        <w:t>Registry fields:</w:t>
      </w:r>
      <w:r>
        <w:rPr/>
        <w:t xml:space="preserve"> identity set (B.2 items 1–7); class society and class status attestation date; P&amp;I club and cover attestation date; communications fit; operator contact; service subscription elections (if any).</w:t>
      </w:r>
    </w:p>
    <w:p>
      <w:pPr>
        <w:pStyle w:val="TextBody"/>
        <w:rPr/>
      </w:pPr>
      <w:r>
        <w:rPr>
          <w:b/>
          <w:bCs/>
        </w:rPr>
        <w:t>Published vetting criteria:</w:t>
      </w:r>
      <w:r>
        <w:rPr/>
        <w:t xml:space="preserve"> (a) IMO number valid against the IMO database; (b) class attestation current; (c) P&amp;I attestation current; (d) Depositary sanctions-screening confirmation against public lists — a screening hit produces a clarification request, never a transit bar; (e) no unresolved false-data finding under Article 35.3.</w:t>
      </w:r>
    </w:p>
    <w:p>
      <w:pPr>
        <w:pStyle w:val="TextBody"/>
        <w:rPr/>
      </w:pPr>
      <w:r>
        <w:rPr>
          <w:b/>
          <w:bCs/>
        </w:rPr>
        <w:t>Clarification procedure:</w:t>
      </w:r>
      <w:r>
        <w:rPr/>
        <w:t xml:space="preserve"> the JOC issues the request with reasons; the operator answers within 24 hours; the vessel transits on the standard protocol in the interim; unresolved files after 30 days remove Registry facilitation only.</w:t>
      </w:r>
      <w:bookmarkEnd w:id="204"/>
    </w:p>
    <w:p>
      <w:pPr>
        <w:pStyle w:val="Heading2"/>
        <w:rPr/>
      </w:pPr>
      <w:bookmarkStart w:id="205" w:name="__RefHeading___Toc6217_3918200752"/>
      <w:bookmarkStart w:id="206" w:name="b.8-message-security"/>
      <w:bookmarkEnd w:id="205"/>
      <w:r>
        <w:rPr/>
        <w:t>B.8 Message security</w:t>
      </w:r>
    </w:p>
    <w:p>
      <w:pPr>
        <w:pStyle w:val="FirstParagraph"/>
        <w:rPr/>
      </w:pPr>
      <w:r>
        <w:rPr/>
        <w:t>Messages authenticate through the operator’s registered credentials. The JOC never requests, and operators never send, commercial terms, charter parties, bills of lading, or beneficial-ownership information.</w:t>
      </w:r>
    </w:p>
    <w:p>
      <w:pPr>
        <w:pStyle w:val="Normal"/>
        <w:rPr/>
      </w:pPr>
      <w:bookmarkStart w:id="207" w:name="X5f5f463fdee850437739dd0003043632811de1d"/>
      <w:bookmarkStart w:id="208" w:name="b.8-message-securit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p>
    <w:p>
      <w:pPr>
        <w:pStyle w:val="Heading1"/>
        <w:rPr/>
      </w:pPr>
      <w:bookmarkStart w:id="209" w:name="__RefHeading___Toc6219_3918200752"/>
      <w:bookmarkStart w:id="210" w:name="Xe768b4563df8d2b7dec27d3c7b125980e3606fe"/>
      <w:bookmarkEnd w:id="209"/>
      <w:r>
        <w:rPr/>
        <w:t>ANNEX C. THE VERIFIED SERVICES CATALOG AND CHARGE SCHEDULE</w:t>
      </w:r>
    </w:p>
    <w:p>
      <w:pPr>
        <w:pStyle w:val="Heading2"/>
        <w:rPr/>
      </w:pPr>
      <w:bookmarkStart w:id="211" w:name="__RefHeading___Toc6221_3918200752"/>
      <w:bookmarkStart w:id="212" w:name="c.1-catalog-structure"/>
      <w:bookmarkEnd w:id="211"/>
      <w:r>
        <w:rPr/>
        <w:t>C.1 Catalog structure</w:t>
      </w:r>
    </w:p>
    <w:p>
      <w:pPr>
        <w:pStyle w:val="FirstParagraph"/>
        <w:rPr/>
      </w:pPr>
      <w:bookmarkStart w:id="213" w:name="c.1-catalog-structure"/>
      <w:r>
        <w:rPr/>
        <w:t>Each Catalog entry states: service code, description, delivery standard, documentation rule (Article 18.2), price basis, and price. Prices publish 60 days before effect. All prices in USD, settled through escrow per Annex D.</w:t>
      </w:r>
      <w:bookmarkEnd w:id="213"/>
    </w:p>
    <w:p>
      <w:pPr>
        <w:pStyle w:val="Heading2"/>
        <w:rPr/>
      </w:pPr>
      <w:bookmarkStart w:id="214" w:name="__RefHeading___Toc6223_3918200752"/>
      <w:bookmarkStart w:id="215" w:name="X6925efa394fb13cebf0fbf0260bdd8258e89830"/>
      <w:bookmarkEnd w:id="214"/>
      <w:r>
        <w:rPr/>
        <w:t>C.2 Charge schedule (entry-into-force edition)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Standard</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Price Basis</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Pilotage, full corridor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Licensed joint pilot aboard entry to exit; boarding at designated stations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transit, by LOA band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 A (&lt;200 m): $4,800; Band B (200–300 m): $7,200; Band C (&gt;300 m): $9,600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Pilotage, partial (one segment)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VS-01, one corridor segment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segment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of VS-01 band price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Assurance Data Subscription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verified hazard, traffic, and corridor data stream; 30-day term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subscription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per vessel per 30 days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Escort / enhanced separation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patrol escort, doubled separation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transit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$12,000 (VLCC/ULCC); $8,000 (others)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Bunkering coordination, anchorage services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Bunker barge coordination at designated anchorage; 24-hour service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operation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 plus barge operator’s own tariff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Waste reception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MARPOL waste reception at anchorage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cubic metre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$85/m³</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Ballast verification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Documentary and sampling verification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vessel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window allocation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transit window within published peak hours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window, transparent allocation per C.4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price $6,000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VS-09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Diving / engineering support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Emergency underwater inspection support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day or part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VS-10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and certification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Regional crew training at joint facility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course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bookmarkStart w:id="216" w:name="X6925efa394fb13cebf0fbf0260bdd8258e89830"/>
            <w:r>
              <w:rPr>
                <w:rFonts w:eastAsia="Cambria" w:cs=""/>
                <w:kern w:val="0"/>
                <w:sz w:val="24"/>
                <w:szCs w:val="24"/>
                <w:lang w:val="en-US" w:eastAsia="en-US" w:bidi="ar-SA"/>
              </w:rPr>
              <w:t>Published per course schedule</w:t>
            </w:r>
            <w:bookmarkEnd w:id="216"/>
          </w:p>
        </w:tc>
      </w:tr>
    </w:tbl>
    <w:p>
      <w:pPr>
        <w:pStyle w:val="Heading2"/>
        <w:rPr/>
      </w:pPr>
      <w:bookmarkStart w:id="217" w:name="__RefHeading___Toc6225_3918200752"/>
      <w:bookmarkEnd w:id="217"/>
      <w:r>
        <w:rPr/>
        <w:t>C.3 Cost-orientation and margin</w:t>
      </w:r>
    </w:p>
    <w:p>
      <w:pPr>
        <w:pStyle w:val="FirstParagraph"/>
        <w:rPr/>
      </w:pPr>
      <w:r>
        <w:rPr/>
        <w:t>The Fees and Finance Group documents the delivery cost of each Catalog service annually. The published margin over documented cost does not exceed 20 percent, and the margin funds the Article 19.4 uses. The audited cost file publishes with the annual review.</w:t>
      </w:r>
    </w:p>
    <w:p>
      <w:pPr>
        <w:pStyle w:val="Heading2"/>
        <w:rPr/>
      </w:pPr>
      <w:bookmarkStart w:id="218" w:name="__RefHeading___Toc6227_3918200752"/>
      <w:bookmarkStart w:id="219" w:name="c.4-priority-window-allocation-rule"/>
      <w:bookmarkEnd w:id="218"/>
      <w:r>
        <w:rPr/>
        <w:t>C.4 Priority-window allocation rule</w:t>
      </w:r>
    </w:p>
    <w:p>
      <w:pPr>
        <w:pStyle w:val="FirstParagraph"/>
        <w:rPr/>
      </w:pPr>
      <w:bookmarkStart w:id="220" w:name="c.4-priority-window-allocation-rule"/>
      <w:r>
        <w:rPr/>
        <w:t>Priority windows allocate through a sealed, transparent process: requests close 48 hours before the window; allocation follows the published formula weighting request time, documented cargo urgency (humanitarian cargo always first, free), and green-lane status; results post to the portal with all bids anonymized. No discretion operates in allocation.</w:t>
      </w:r>
      <w:bookmarkEnd w:id="220"/>
    </w:p>
    <w:p>
      <w:pPr>
        <w:pStyle w:val="Heading2"/>
        <w:rPr/>
      </w:pPr>
      <w:bookmarkStart w:id="221" w:name="__RefHeading___Toc6229_3918200752"/>
      <w:bookmarkStart w:id="222" w:name="c.5-green-discount-rates"/>
      <w:bookmarkEnd w:id="221"/>
      <w:r>
        <w:rPr/>
        <w:t>C.5 Green Discount rates</w:t>
      </w:r>
    </w:p>
    <w:p>
      <w:pPr>
        <w:pStyle w:val="FirstParagraph"/>
        <w:rPr/>
      </w:pPr>
      <w:bookmarkStart w:id="223" w:name="c.5-green-discount-rates"/>
      <w:r>
        <w:rPr/>
        <w:t>Green Discount (Article 31): 25 percent on VS-01/02/04; 40 percent on VS-08; eligibility per the evidence rules of Article 31.2.</w:t>
      </w:r>
      <w:bookmarkEnd w:id="223"/>
    </w:p>
    <w:p>
      <w:pPr>
        <w:pStyle w:val="Heading2"/>
        <w:rPr/>
      </w:pPr>
      <w:bookmarkStart w:id="224" w:name="__RefHeading___Toc6231_3918200752"/>
      <w:bookmarkStart w:id="225" w:name="c.6-non-election-baseline"/>
      <w:bookmarkEnd w:id="224"/>
      <w:r>
        <w:rPr/>
        <w:t>C.6 Non-election baseline</w:t>
      </w:r>
    </w:p>
    <w:p>
      <w:pPr>
        <w:pStyle w:val="FirstParagraph"/>
        <w:rPr/>
      </w:pPr>
      <w:bookmarkStart w:id="226" w:name="c.6-non-election-baseline"/>
      <w:r>
        <w:rPr/>
        <w:t>A vessel electing no service receives, without charge: notification processing, sequencing, routing instructions, the shared traffic picture’s safety coverage, hazard broadcasts, search and rescue, and spill response (costs recovering from polluters per Article 30.3). The Compliance Metrics test continuously for de facto degradation of the non-election baseline.</w:t>
      </w:r>
      <w:bookmarkEnd w:id="226"/>
    </w:p>
    <w:p>
      <w:pPr>
        <w:pStyle w:val="Heading2"/>
        <w:rPr/>
      </w:pPr>
      <w:bookmarkStart w:id="227" w:name="__RefHeading___Toc6233_3918200752"/>
      <w:bookmarkStart w:id="228" w:name="c.7-amendment-cycle"/>
      <w:bookmarkEnd w:id="227"/>
      <w:r>
        <w:rPr/>
        <w:t>C.7 Amendment cycle</w:t>
      </w:r>
    </w:p>
    <w:p>
      <w:pPr>
        <w:pStyle w:val="FirstParagraph"/>
        <w:rPr/>
      </w:pPr>
      <w:bookmarkStart w:id="229" w:name="c.7-amendment-cycle"/>
      <w:r>
        <w:rPr/>
        <w:t>The Catalog reviews annually; interim amendments follow Article 11.2 with 60 days’ publication lead time.</w:t>
      </w:r>
      <w:bookmarkEnd w:id="229"/>
    </w:p>
    <w:p>
      <w:pPr>
        <w:pStyle w:val="Heading2"/>
        <w:rPr/>
      </w:pPr>
      <w:bookmarkStart w:id="230" w:name="__RefHeading___Toc6235_3918200752"/>
      <w:bookmarkStart w:id="231" w:name="c.8-service-delivery-protocols-selected"/>
      <w:bookmarkEnd w:id="230"/>
      <w:r>
        <w:rPr/>
        <w:t>C.8 Service delivery protocols (selected)</w:t>
      </w:r>
    </w:p>
    <w:p>
      <w:pPr>
        <w:pStyle w:val="FirstParagraph"/>
        <w:rPr/>
      </w:pPr>
      <w:r>
        <w:rPr>
          <w:b/>
          <w:bCs/>
        </w:rPr>
        <w:t>VS-01/02 Pilotage.</w:t>
      </w:r>
      <w:r>
        <w:rPr/>
        <w:t xml:space="preserve"> Pilots hold joint licenses issued under the Annex O training program; boarding stations operate at N-02 and S-02 with backup stations charted in Annex A; pilot transfer safety follows the IMO resolution standards; the pilot’s role is advisory to the master, whose command authority remains intact; a pilotage exemption certificate issues to masters with twelve documented transits and a passed local-knowledge examination.</w:t>
      </w:r>
    </w:p>
    <w:p>
      <w:pPr>
        <w:pStyle w:val="TextBody"/>
        <w:rPr/>
      </w:pPr>
      <w:r>
        <w:rPr>
          <w:b/>
          <w:bCs/>
        </w:rPr>
        <w:t>VS-03 Route Assurance Data.</w:t>
      </w:r>
      <w:r>
        <w:rPr/>
        <w:t xml:space="preserve"> Subscribers receive the real-time data stream: corridor status, certified-depth updates, hazard broadcasts ahead of public release by up to 30 minutes, traffic picture extract for the vessel’s transit window, and post-transit certified transit record usable for charterparty and insurance purposes. The 30-minute data precedence never delays any safety-critical broadcast to non-subscribers.</w:t>
      </w:r>
    </w:p>
    <w:p>
      <w:pPr>
        <w:pStyle w:val="TextBody"/>
        <w:rPr/>
      </w:pPr>
      <w:r>
        <w:rPr>
          <w:b/>
          <w:bCs/>
        </w:rPr>
        <w:t>VS-04 Escort and enhanced separation.</w:t>
      </w:r>
      <w:r>
        <w:rPr/>
        <w:t xml:space="preserve"> Escort units come from the joint roster of patrol craft allocated by each Party to JOC tasking; enhanced separation doubles the vessel’s ahead-and-astern spacing; the service never implies threat and never substitutes for the baseline security environment.</w:t>
      </w:r>
    </w:p>
    <w:p>
      <w:pPr>
        <w:pStyle w:val="TextBody"/>
        <w:rPr/>
      </w:pPr>
      <w:r>
        <w:rPr>
          <w:b/>
          <w:bCs/>
        </w:rPr>
        <w:t>VS-08 Priority windows.</w:t>
      </w:r>
      <w:r>
        <w:rPr/>
        <w:t xml:space="preserve"> Peak-hour windows publish daily at 0001 UTC for D+2; allocation follows the C.4 formula; results post with anonymized bid data; unsuccessful requests receive the next available standard sequence without penalty.</w:t>
      </w:r>
    </w:p>
    <w:p>
      <w:pPr>
        <w:pStyle w:val="Normal"/>
        <w:rPr/>
      </w:pPr>
      <w:bookmarkStart w:id="232" w:name="Xe768b4563df8d2b7dec27d3c7b125980e3606fe"/>
      <w:bookmarkStart w:id="233" w:name="c.8-service-delivery-protocols-selected"/>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p>
    <w:p>
      <w:pPr>
        <w:pStyle w:val="Heading1"/>
        <w:rPr/>
      </w:pPr>
      <w:bookmarkStart w:id="234" w:name="__RefHeading___Toc6237_3918200752"/>
      <w:bookmarkStart w:id="235" w:name="X08289374a9ecf3e4706ae0dd4c4b4947fc4aa21"/>
      <w:bookmarkEnd w:id="234"/>
      <w:r>
        <w:rPr/>
        <w:t>ANNEX D. ESCROW, REVENUE-SHARING, AND AUDIT RULES</w:t>
      </w:r>
    </w:p>
    <w:p>
      <w:pPr>
        <w:pStyle w:val="Heading2"/>
        <w:rPr/>
      </w:pPr>
      <w:bookmarkStart w:id="236" w:name="__RefHeading___Toc6239_3918200752"/>
      <w:bookmarkStart w:id="237" w:name="d.1-accounts-architecture"/>
      <w:bookmarkEnd w:id="236"/>
      <w:r>
        <w:rPr/>
        <w:t>D.1 Accounts architecture</w:t>
      </w:r>
    </w:p>
    <w:p>
      <w:pPr>
        <w:pStyle w:val="FirstParagraph"/>
        <w:rPr/>
      </w:pPr>
      <w:bookmarkStart w:id="238" w:name="d.1-accounts-architecture"/>
      <w:r>
        <w:rPr/>
        <w:t>The Depositary maintains: (a) the Collection Account, receiving all Catalog charges and voluntary contributions; (b) the Operations Account, funding Article 19.4 uses against Joint-Committee-approved budgets; (c) the Distribution Account, holding net revenues pending monthly distribution; and (d) the Reserve Account, holding three months of operating budget as continuity reserve.</w:t>
      </w:r>
      <w:bookmarkEnd w:id="238"/>
    </w:p>
    <w:p>
      <w:pPr>
        <w:pStyle w:val="Heading2"/>
        <w:rPr/>
      </w:pPr>
      <w:bookmarkStart w:id="239" w:name="__RefHeading___Toc6241_3918200752"/>
      <w:bookmarkStart w:id="240" w:name="d.2-flow-rules"/>
      <w:bookmarkEnd w:id="239"/>
      <w:r>
        <w:rPr/>
        <w:t>D.2 Flow rules</w:t>
      </w:r>
    </w:p>
    <w:p>
      <w:pPr>
        <w:pStyle w:val="Compact"/>
        <w:numPr>
          <w:ilvl w:val="0"/>
          <w:numId w:val="59"/>
        </w:numPr>
        <w:rPr/>
      </w:pPr>
      <w:bookmarkStart w:id="241" w:name="d.2-flow-rules"/>
      <w:r>
        <w:rPr/>
        <w:t>Payers pay the Collection Account only, against invoices generated from Standing Logbook service records. (b) The escrow administrator reconciles invoices against Logbook records before settlement; unmatched invoices reject automatically. (c) Transfers to the Operations Account require the secretariat’s certification against the approved budget line. (d) Distributions to the Parties execute monthly, on the fifth business day, fifty percent each, with a full statement.</w:t>
      </w:r>
      <w:bookmarkEnd w:id="241"/>
    </w:p>
    <w:p>
      <w:pPr>
        <w:pStyle w:val="Heading2"/>
        <w:rPr/>
      </w:pPr>
      <w:bookmarkStart w:id="242" w:name="__RefHeading___Toc6243_3918200752"/>
      <w:bookmarkStart w:id="243" w:name="d.3-sanctions-compliance-screening"/>
      <w:bookmarkEnd w:id="242"/>
      <w:r>
        <w:rPr/>
        <w:t>D.3 Sanctions-compliance screening</w:t>
      </w:r>
    </w:p>
    <w:p>
      <w:pPr>
        <w:pStyle w:val="FirstParagraph"/>
        <w:rPr/>
      </w:pPr>
      <w:bookmarkStart w:id="244" w:name="d.3-sanctions-compliance-screening"/>
      <w:r>
        <w:rPr/>
        <w:t>The Depositary screens every payer, payee, and flow against public sanctions lists. A screening hit suspends the specific flow, notifies both co-chairs, and routes to the legal and compliance working group; suspended flows hold in escrow pending resolution. The screening function never interrupts corridor operations or other flows.</w:t>
      </w:r>
      <w:bookmarkEnd w:id="244"/>
    </w:p>
    <w:p>
      <w:pPr>
        <w:pStyle w:val="Heading2"/>
        <w:rPr/>
      </w:pPr>
      <w:bookmarkStart w:id="245" w:name="__RefHeading___Toc6245_3918200752"/>
      <w:bookmarkStart w:id="246" w:name="d.4-settlement-currencies-and-routing"/>
      <w:bookmarkEnd w:id="245"/>
      <w:r>
        <w:rPr/>
        <w:t>D.4 Settlement currencies and routing</w:t>
      </w:r>
    </w:p>
    <w:p>
      <w:pPr>
        <w:pStyle w:val="FirstParagraph"/>
        <w:rPr/>
      </w:pPr>
      <w:bookmarkStart w:id="247" w:name="d.4-settlement-currencies-and-routing"/>
      <w:r>
        <w:rPr/>
        <w:t>Settlement currencies: USD, EUR, CHF. Correspondent routing publishes in the classified banking annex held by the Depositary. Fallback routing activates within five business days of any channel closure, and the Depositary certifies channel continuity quarterly.</w:t>
      </w:r>
      <w:bookmarkEnd w:id="247"/>
    </w:p>
    <w:p>
      <w:pPr>
        <w:pStyle w:val="Heading2"/>
        <w:rPr/>
      </w:pPr>
      <w:bookmarkStart w:id="248" w:name="__RefHeading___Toc6247_3918200752"/>
      <w:bookmarkStart w:id="249" w:name="d.5-in-kind-valuation"/>
      <w:bookmarkEnd w:id="248"/>
      <w:r>
        <w:rPr/>
        <w:t>D.5 In-kind valuation</w:t>
      </w:r>
    </w:p>
    <w:p>
      <w:pPr>
        <w:pStyle w:val="FirstParagraph"/>
        <w:rPr/>
      </w:pPr>
      <w:bookmarkStart w:id="250" w:name="d.5-in-kind-valuation"/>
      <w:r>
        <w:rPr/>
        <w:t>In-kind contributions value at documented procurement cost or independent appraisal, approved by the Joint Committee, capped at 30 percent of any budget year’s total contributions, and audited as contributions in kind.</w:t>
      </w:r>
      <w:bookmarkEnd w:id="250"/>
    </w:p>
    <w:p>
      <w:pPr>
        <w:pStyle w:val="Heading2"/>
        <w:rPr/>
      </w:pPr>
      <w:bookmarkStart w:id="251" w:name="__RefHeading___Toc6249_3918200752"/>
      <w:bookmarkStart w:id="252" w:name="d.6-audit-panel-and-standards"/>
      <w:bookmarkEnd w:id="251"/>
      <w:r>
        <w:rPr/>
        <w:t>D.6 Audit panel and standards</w:t>
      </w:r>
    </w:p>
    <w:p>
      <w:pPr>
        <w:pStyle w:val="FirstParagraph"/>
        <w:rPr/>
      </w:pPr>
      <w:bookmarkStart w:id="253" w:name="d.6-audit-panel-and-standards"/>
      <w:r>
        <w:rPr/>
        <w:t>The standing audit panel comprises three internationally qualified firms nominated by the Depositary and appointed by the Joint Committee for three-year terms. Audits follow International Standards on Auditing. The annual audited statement publishes in full; quarterly management accounts publish within 45 days of quarter end.</w:t>
      </w:r>
      <w:bookmarkEnd w:id="253"/>
    </w:p>
    <w:p>
      <w:pPr>
        <w:pStyle w:val="Heading2"/>
        <w:rPr/>
      </w:pPr>
      <w:bookmarkStart w:id="254" w:name="__RefHeading___Toc6251_3918200752"/>
      <w:bookmarkStart w:id="255" w:name="d.7-thresholds"/>
      <w:bookmarkEnd w:id="254"/>
      <w:r>
        <w:rPr/>
        <w:t>D.7 Thresholds</w:t>
      </w:r>
    </w:p>
    <w:p>
      <w:pPr>
        <w:pStyle w:val="FirstParagraph"/>
        <w:rPr/>
      </w:pPr>
      <w:r>
        <w:rPr/>
        <w:t>Joint procurement above $250,000 requires Joint Committee approval; above $1,000,000 additionally requires the Depositary’s compliance certification. Emergency safety procurement above thresholds proceeds on the co-chairs’ joint written authorization with retrospective ratification within 30 days.</w:t>
      </w:r>
    </w:p>
    <w:p>
      <w:pPr>
        <w:pStyle w:val="Normal"/>
        <w:rPr/>
      </w:pPr>
      <w:bookmarkStart w:id="256" w:name="X08289374a9ecf3e4706ae0dd4c4b4947fc4aa21"/>
      <w:bookmarkStart w:id="257" w:name="d.7-threshold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p>
    <w:p>
      <w:pPr>
        <w:pStyle w:val="Heading1"/>
        <w:rPr/>
      </w:pPr>
      <w:bookmarkStart w:id="258" w:name="__RefHeading___Toc6253_3918200752"/>
      <w:bookmarkStart w:id="259" w:name="Xe7389b1a2d083f487c3436889e6d5529ab08440"/>
      <w:bookmarkEnd w:id="258"/>
      <w:r>
        <w:rPr/>
        <w:t>ANNEX E. MINE CLEARANCE AND CORRIDOR CERTIFICATION PROTOCOL</w:t>
      </w:r>
    </w:p>
    <w:p>
      <w:pPr>
        <w:pStyle w:val="Heading2"/>
        <w:rPr/>
      </w:pPr>
      <w:bookmarkStart w:id="260" w:name="__RefHeading___Toc6255_3918200752"/>
      <w:bookmarkStart w:id="261" w:name="e.1-segmentation"/>
      <w:bookmarkEnd w:id="260"/>
      <w:r>
        <w:rPr/>
        <w:t>E.1 Segmentation</w:t>
      </w:r>
    </w:p>
    <w:p>
      <w:pPr>
        <w:pStyle w:val="FirstParagraph"/>
        <w:rPr/>
      </w:pPr>
      <w:bookmarkStart w:id="262" w:name="e.1-segmentation"/>
      <w:r>
        <w:rPr/>
        <w:t>Each corridor divides into ten-nautical-mile certification segments, numbered from the eastern limit: Corridor One segments N1–N8; Corridor Three segments S1–S8; Corridor Two design segments C1–C8. Annex I maps segments to the clearance sequence.</w:t>
      </w:r>
      <w:bookmarkEnd w:id="262"/>
    </w:p>
    <w:p>
      <w:pPr>
        <w:pStyle w:val="Heading2"/>
        <w:rPr/>
      </w:pPr>
      <w:bookmarkStart w:id="263" w:name="__RefHeading___Toc6257_3918200752"/>
      <w:bookmarkStart w:id="264" w:name="e.2-clearance-standards"/>
      <w:bookmarkEnd w:id="263"/>
      <w:r>
        <w:rPr/>
        <w:t>E.2 Clearance standards</w:t>
      </w:r>
    </w:p>
    <w:p>
      <w:pPr>
        <w:pStyle w:val="FirstParagraph"/>
        <w:rPr/>
      </w:pPr>
      <w:bookmarkStart w:id="265" w:name="e.2-clearance-standards"/>
      <w:r>
        <w:rPr/>
        <w:t>Clearance executes to International Mine Action Standards adapted for the maritime environment: (a) detection coverage of 100 percent of each segment’s lane and buffer, with overlapping sensor passes; (b) investigation of every sonar and magnetic contact above the classification threshold; (c) clearance depth extending to not less than 3 metres below controlled corridor depth; (d) disposal by render-safe and recover where practicable, in-situ disposal only where recovery endangers personnel, with environmental safeguards per Annex G; (e) post-clearance quality-assurance re-survey of not less than 20 percent of each segment by a different sensor suite than the clearing unit used.</w:t>
      </w:r>
      <w:bookmarkEnd w:id="265"/>
    </w:p>
    <w:p>
      <w:pPr>
        <w:pStyle w:val="Heading2"/>
        <w:rPr/>
      </w:pPr>
      <w:bookmarkStart w:id="266" w:name="__RefHeading___Toc6259_3918200752"/>
      <w:bookmarkStart w:id="267" w:name="e.3-clearance-sequence-logic"/>
      <w:bookmarkEnd w:id="266"/>
      <w:r>
        <w:rPr/>
        <w:t>E.3 Clearance sequence logic</w:t>
      </w:r>
    </w:p>
    <w:p>
      <w:pPr>
        <w:pStyle w:val="FirstParagraph"/>
        <w:rPr/>
      </w:pPr>
      <w:bookmarkStart w:id="268" w:name="e.3-clearance-sequence-logic"/>
      <w:r>
        <w:rPr/>
        <w:t>The sequence prioritizes: (a) the humanitarian routing of Article 24.4 — cleared and certified first, within the Annex I window; (b) Corridor Three (outbound energy and cargo evacuation); (c) Corridor One (inbound restoration); (d) Corridor Two segments in order C-East to C-West. The Joint Committee may resequence on the Hydrographic and Charting Group’s recommendation where survey data indicates.</w:t>
      </w:r>
      <w:bookmarkEnd w:id="268"/>
    </w:p>
    <w:p>
      <w:pPr>
        <w:pStyle w:val="Heading2"/>
        <w:rPr/>
      </w:pPr>
      <w:bookmarkStart w:id="269" w:name="__RefHeading___Toc6261_3918200752"/>
      <w:bookmarkStart w:id="270" w:name="e.4-joint-verification-teams"/>
      <w:bookmarkEnd w:id="269"/>
      <w:r>
        <w:rPr/>
        <w:t>E.4 Joint verification teams</w:t>
      </w:r>
    </w:p>
    <w:p>
      <w:pPr>
        <w:pStyle w:val="FirstParagraph"/>
        <w:rPr/>
      </w:pPr>
      <w:bookmarkStart w:id="271" w:name="e.4-joint-verification-teams"/>
      <w:r>
        <w:rPr/>
        <w:t>Each segment verification team comprises: two clearance-qualified officers per Party, one hydrographic surveyor per Party, and the invited international observer (UNMAS or, by Joint Committee decision, another accepted technical body). Verification re-surveys the segment, reviews the clearance unit’s raw data, and conducts physical ROV spot-checks at a rate of not less than one per two nautical miles.</w:t>
      </w:r>
      <w:bookmarkEnd w:id="271"/>
    </w:p>
    <w:p>
      <w:pPr>
        <w:pStyle w:val="Heading2"/>
        <w:rPr/>
      </w:pPr>
      <w:bookmarkStart w:id="272" w:name="__RefHeading___Toc6263_3918200752"/>
      <w:bookmarkStart w:id="273" w:name="e.5-certification"/>
      <w:bookmarkEnd w:id="272"/>
      <w:r>
        <w:rPr/>
        <w:t>E.5 Certification</w:t>
      </w:r>
    </w:p>
    <w:p>
      <w:pPr>
        <w:pStyle w:val="FirstParagraph"/>
        <w:rPr/>
      </w:pPr>
      <w:bookmarkStart w:id="274" w:name="e.5-certification"/>
      <w:r>
        <w:rPr/>
        <w:t>The Article 23 certificate issues per segment on the standardized certificate form: segment identifier; survey dates and methods; contact log summary; detection confidence (stated as the percentage of contacts investigated to identification); residual-risk statement; controlled depth; signatures. Certificates remain valid subject to Article 23.4 re-verification.</w:t>
      </w:r>
      <w:bookmarkEnd w:id="274"/>
    </w:p>
    <w:p>
      <w:pPr>
        <w:pStyle w:val="Heading2"/>
        <w:rPr/>
      </w:pPr>
      <w:bookmarkStart w:id="275" w:name="__RefHeading___Toc6265_3918200752"/>
      <w:bookmarkStart w:id="276" w:name="e.6-residual-risk-management"/>
      <w:bookmarkEnd w:id="275"/>
      <w:r>
        <w:rPr/>
        <w:t>E.6 Residual-risk management</w:t>
      </w:r>
    </w:p>
    <w:p>
      <w:pPr>
        <w:pStyle w:val="FirstParagraph"/>
        <w:rPr/>
      </w:pPr>
      <w:bookmarkStart w:id="277" w:name="e.6-residual-risk-management"/>
      <w:r>
        <w:rPr/>
        <w:t>Certification states residual risk honestly. The framework manages residual risk through: rolling re-verification; the anomaly-detection watch of Article 27.3; the standing drift-watch for migrating hazards after storms and seismic events; and the immediate-response rule that any new contact report within a certified segment triggers a 24-hour targeted re-survey.</w:t>
      </w:r>
      <w:bookmarkEnd w:id="277"/>
    </w:p>
    <w:p>
      <w:pPr>
        <w:pStyle w:val="Heading2"/>
        <w:rPr/>
      </w:pPr>
      <w:bookmarkStart w:id="278" w:name="__RefHeading___Toc6267_3918200752"/>
      <w:bookmarkStart w:id="279" w:name="e.7-records"/>
      <w:bookmarkEnd w:id="278"/>
      <w:r>
        <w:rPr/>
        <w:t>E.7 Records</w:t>
      </w:r>
    </w:p>
    <w:p>
      <w:pPr>
        <w:pStyle w:val="FirstParagraph"/>
        <w:rPr/>
      </w:pPr>
      <w:r>
        <w:rPr/>
        <w:t>All clearance and verification records enter the Standing Logbook’s restricted technical section, with the mariner-relevant subset publishing in real time and the full file available to the IMO observer and, through the flag-state briefing window of Article 33.4, to flag states on request.</w:t>
      </w:r>
    </w:p>
    <w:p>
      <w:pPr>
        <w:pStyle w:val="Normal"/>
        <w:rPr/>
      </w:pPr>
      <w:bookmarkStart w:id="280" w:name="Xe7389b1a2d083f487c3436889e6d5529ab08440"/>
      <w:bookmarkStart w:id="281" w:name="e.7-record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1"/>
        <w:rPr/>
      </w:pPr>
      <w:bookmarkStart w:id="282" w:name="__RefHeading___Toc6269_3918200752"/>
      <w:bookmarkStart w:id="283" w:name="X8e2967157593d76b7b7ae9d9f4bcb0b5d2ce605"/>
      <w:bookmarkEnd w:id="282"/>
      <w:r>
        <w:rPr/>
        <w:t>ANNEX F. DECONFLICTION, HOTLINE, AND INCIDENT PROCEDURES</w:t>
      </w:r>
    </w:p>
    <w:p>
      <w:pPr>
        <w:pStyle w:val="Heading2"/>
        <w:rPr/>
      </w:pPr>
      <w:bookmarkStart w:id="284" w:name="__RefHeading___Toc6271_3918200752"/>
      <w:bookmarkStart w:id="285" w:name="f.1-hotline-architecture"/>
      <w:bookmarkEnd w:id="284"/>
      <w:r>
        <w:rPr/>
        <w:t>F.1 Hotline architecture</w:t>
      </w:r>
    </w:p>
    <w:p>
      <w:pPr>
        <w:pStyle w:val="FirstParagraph"/>
        <w:rPr/>
      </w:pPr>
      <w:bookmarkStart w:id="286" w:name="f.1-hotline-architecture"/>
      <w:r>
        <w:rPr/>
        <w:t>The hotline of Article 26 operates on: (a) a dedicated fiber route Muscat–Bandar Abbas with diverse terrestrial path; (b) a satellite circuit fallback, tested daily; (c) endpoints at both JOC desks, both national naval command centers, and the invited liaison cells. Answer standard: 15 minutes, 24/7, logged.</w:t>
      </w:r>
      <w:bookmarkEnd w:id="286"/>
    </w:p>
    <w:p>
      <w:pPr>
        <w:pStyle w:val="Heading2"/>
        <w:rPr/>
      </w:pPr>
      <w:bookmarkStart w:id="287" w:name="__RefHeading___Toc6273_3918200752"/>
      <w:bookmarkStart w:id="288" w:name="f.2-hotline-message-precedence"/>
      <w:bookmarkEnd w:id="287"/>
      <w:r>
        <w:rPr/>
        <w:t>F.2 Hotline message precedence</w:t>
      </w:r>
    </w:p>
    <w:p>
      <w:pPr>
        <w:pStyle w:val="FirstParagraph"/>
        <w:rPr/>
      </w:pPr>
      <w:bookmarkStart w:id="289" w:name="f.2-hotline-message-precedence"/>
      <w:r>
        <w:rPr/>
        <w:t>Messages carry precedence codes: FLASH (life or imminent hazard — interrupts all traffic), OPERATIONAL IMMEDIATE (dual-key traffic, incident alerts), ROUTINE (notices, exercises). FLASH traffic receives response within 5 minutes.</w:t>
      </w:r>
      <w:bookmarkEnd w:id="289"/>
    </w:p>
    <w:p>
      <w:pPr>
        <w:pStyle w:val="Heading2"/>
        <w:rPr/>
      </w:pPr>
      <w:bookmarkStart w:id="290" w:name="__RefHeading___Toc6275_3918200752"/>
      <w:bookmarkStart w:id="291" w:name="f.3-dual-key-electronic-form"/>
      <w:bookmarkEnd w:id="290"/>
      <w:r>
        <w:rPr/>
        <w:t>F.3 Dual-key electronic form</w:t>
      </w:r>
    </w:p>
    <w:p>
      <w:pPr>
        <w:pStyle w:val="FirstParagraph"/>
        <w:rPr/>
      </w:pPr>
      <w:bookmarkStart w:id="292" w:name="f.3-dual-key-electronic-form"/>
      <w:r>
        <w:rPr/>
        <w:t>The standardized dual-key form fields: requesting officer and desk; vessel or operation affected; measure proposed; basis (threat information summary at releasable level); duration; second-officer concurrence field with timestamp; Logbook reference. Both concurrence timestamps precede execution except Article 25.3 immediate self-defense, where the form completes within one hour after.</w:t>
      </w:r>
      <w:bookmarkEnd w:id="292"/>
    </w:p>
    <w:p>
      <w:pPr>
        <w:pStyle w:val="Heading2"/>
        <w:rPr/>
      </w:pPr>
      <w:bookmarkStart w:id="293" w:name="__RefHeading___Toc6277_3918200752"/>
      <w:bookmarkStart w:id="294" w:name="f.4-communications-plan"/>
      <w:bookmarkEnd w:id="293"/>
      <w:r>
        <w:rPr/>
        <w:t>F.4 Communications plan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Distress and safety guard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VHF 16 (continuous guard both desks)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Bridge-to-bridge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VHF 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One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VHF 71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VHF 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Inter-desk coordination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circuit + secure chat (logged)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fiber + satellite fallback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NAVTEX 518 kHz; SafetyNET; portal feed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Emergency anchor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bookmarkStart w:id="295" w:name="f.4-communications-plan"/>
            <w:r>
              <w:rPr>
                <w:rFonts w:eastAsia="Cambria" w:cs=""/>
                <w:kern w:val="0"/>
                <w:sz w:val="24"/>
                <w:szCs w:val="24"/>
                <w:lang w:val="en-US" w:eastAsia="en-US" w:bidi="ar-SA"/>
              </w:rPr>
              <w:t>VHF 06 (Emergency Anchorage working)</w:t>
            </w:r>
            <w:bookmarkEnd w:id="295"/>
          </w:p>
        </w:tc>
      </w:tr>
    </w:tbl>
    <w:p>
      <w:pPr>
        <w:pStyle w:val="Heading2"/>
        <w:rPr/>
      </w:pPr>
      <w:bookmarkStart w:id="296" w:name="__RefHeading___Toc6279_3918200752"/>
      <w:bookmarkEnd w:id="296"/>
      <w:r>
        <w:rPr/>
        <w:t>F.5 Incident classification and response ladder</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Life at immediate risk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SAR activation without dual-key; FLASH broadcast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Pollution or casualty hazard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Annex G response; hotline alert; routing amendment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event, no immediate harm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Dual-key assessment within 30 minutes; joint team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Navigation-hazard report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Targeted verification; interim routing protection</w:t>
            </w:r>
          </w:p>
        </w:tc>
      </w:tr>
    </w:tbl>
    <w:p>
      <w:pPr>
        <w:pStyle w:val="Heading2"/>
        <w:rPr/>
      </w:pPr>
      <w:bookmarkStart w:id="297" w:name="__RefHeading___Toc6281_3918200752"/>
      <w:bookmarkEnd w:id="297"/>
      <w:r>
        <w:rPr/>
        <w:t>F.6 Rehearsals</w:t>
      </w:r>
    </w:p>
    <w:p>
      <w:pPr>
        <w:pStyle w:val="FirstParagraph"/>
        <w:rPr/>
      </w:pPr>
      <w:r>
        <w:rPr/>
        <w:t>The JOC rehearses: communications-outage continuity (monthly); SAR activation (monthly, alternating desk lead); dual-key drill (weekly); full incident exercise (quarterly, with Annex G spill drill). Rehearsal reports enter the compliance file.</w:t>
      </w:r>
    </w:p>
    <w:p>
      <w:pPr>
        <w:pStyle w:val="Normal"/>
        <w:rPr/>
      </w:pPr>
      <w:bookmarkStart w:id="298" w:name="X8e2967157593d76b7b7ae9d9f4bcb0b5d2ce605"/>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1"/>
        <w:rPr/>
      </w:pPr>
      <w:bookmarkStart w:id="299" w:name="__RefHeading___Toc6283_3918200752"/>
      <w:bookmarkStart w:id="300" w:name="X7ec8ee6966ddd1862003f243e9c159165faaa95"/>
      <w:bookmarkEnd w:id="299"/>
      <w:r>
        <w:rPr/>
        <w:t>ANNEX G. ENVIRONMENTAL AND SEARCH-AND-RESCUE PROTOCOLS</w:t>
      </w:r>
    </w:p>
    <w:p>
      <w:pPr>
        <w:pStyle w:val="Heading2"/>
        <w:rPr/>
      </w:pPr>
      <w:bookmarkStart w:id="301" w:name="__RefHeading___Toc6285_3918200752"/>
      <w:bookmarkStart w:id="302" w:name="g.1-monitoring-stations"/>
      <w:bookmarkEnd w:id="301"/>
      <w:r>
        <w:rPr/>
        <w:t>G.1 Monitoring stations</w:t>
      </w:r>
    </w:p>
    <w:p>
      <w:pPr>
        <w:pStyle w:val="FirstParagraph"/>
        <w:rPr/>
      </w:pPr>
      <w:bookmarkStart w:id="303" w:name="g.1-monitoring-stations"/>
      <w:r>
        <w:rPr/>
        <w:t>Water-quality and current monitoring stations operate at the eastern limit, mid-strait, and western limit of each corridor, telemetry-linked to the Environment Group. Satellite slick surveillance runs daily passes with 6-hour re-tasking on reports.</w:t>
      </w:r>
      <w:bookmarkEnd w:id="303"/>
    </w:p>
    <w:p>
      <w:pPr>
        <w:pStyle w:val="Heading2"/>
        <w:rPr/>
      </w:pPr>
      <w:bookmarkStart w:id="304" w:name="__RefHeading___Toc6287_3918200752"/>
      <w:bookmarkStart w:id="305" w:name="X7c9cf8739093fa9296c864061de19529b3cdc7a"/>
      <w:bookmarkEnd w:id="304"/>
      <w:r>
        <w:rPr/>
        <w:t>G.2 Sensitive areas and seasonal measures</w:t>
      </w:r>
    </w:p>
    <w:p>
      <w:pPr>
        <w:pStyle w:val="Compact"/>
        <w:numPr>
          <w:ilvl w:val="0"/>
          <w:numId w:val="60"/>
        </w:numPr>
        <w:rPr/>
      </w:pPr>
      <w:bookmarkStart w:id="306" w:name="X7c9cf8739093fa9296c864061de19529b3cdc7a"/>
      <w:r>
        <w:rPr/>
        <w:t>Cetacean migration corridors (charted, seasonal November–April): advisory speed 10 knots in marked segments. (b) Coral and seagrass anchoring exclusions: charted no-anchor polygons. (c) The Parties jointly prepare Particularly Sensitive Sea Area candidacy for IMO submission within 24 months of Day 0.</w:t>
      </w:r>
      <w:bookmarkEnd w:id="306"/>
    </w:p>
    <w:p>
      <w:pPr>
        <w:pStyle w:val="Heading2"/>
        <w:rPr/>
      </w:pPr>
      <w:bookmarkStart w:id="307" w:name="__RefHeading___Toc6289_3918200752"/>
      <w:bookmarkStart w:id="308" w:name="g.3-spill-response-roster-and-standards"/>
      <w:bookmarkEnd w:id="307"/>
      <w:r>
        <w:rPr/>
        <w:t>G.3 Spill-response roster and standards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 tonnes or local containment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assets on scene ≤4 hours; containment ≤12 hours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50–700 tonnes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roster full activation ≤6 hours; regional mutual-aid notice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 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&gt;700 tonnes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International assistance activation through IMO and ROPME within 2 hours of tier declaration</w:t>
            </w:r>
          </w:p>
        </w:tc>
      </w:tr>
    </w:tbl>
    <w:p>
      <w:pPr>
        <w:pStyle w:val="TextBody"/>
        <w:rPr/>
      </w:pPr>
      <w:bookmarkStart w:id="309" w:name="g.3-spill-response-roster-and-standards"/>
      <w:r>
        <w:rPr/>
        <w:t>Forward staging: Bandar Abbas (Iran lead), Khasab/Musandam (Oman lead). Equipment inventory publishes on the portal and audits quarterly.</w:t>
      </w:r>
      <w:bookmarkEnd w:id="309"/>
    </w:p>
    <w:p>
      <w:pPr>
        <w:pStyle w:val="Heading2"/>
        <w:rPr/>
      </w:pPr>
      <w:bookmarkStart w:id="310" w:name="__RefHeading___Toc6291_3918200752"/>
      <w:bookmarkStart w:id="311" w:name="g.4-search-and-rescue"/>
      <w:bookmarkEnd w:id="310"/>
      <w:r>
        <w:rPr/>
        <w:t>G.4 Search and rescue</w:t>
      </w:r>
    </w:p>
    <w:p>
      <w:pPr>
        <w:pStyle w:val="Compact"/>
        <w:numPr>
          <w:ilvl w:val="0"/>
          <w:numId w:val="61"/>
        </w:numPr>
        <w:rPr/>
      </w:pPr>
      <w:bookmarkStart w:id="312" w:name="g.4-search-and-rescue"/>
      <w:r>
        <w:rPr/>
        <w:t>The JOC coordinates SAR within the Governance Area under the nearest-facility principle: the asset nearest the distress responds, regardless of Party. (b) SAR action never awaits dual-key concurrence. (c) Medical evacuation delivers to the nearest appropriate facility under Article 32.5(a), with costs advancing from the Fund where the casualty’s own arrangements cannot respond in time. (d) SAR training: joint exercises per F.6; liaison with the IMO and the International Maritime Rescue Federation.</w:t>
      </w:r>
      <w:bookmarkEnd w:id="312"/>
    </w:p>
    <w:p>
      <w:pPr>
        <w:pStyle w:val="Heading2"/>
        <w:rPr/>
      </w:pPr>
      <w:bookmarkStart w:id="313" w:name="__RefHeading___Toc6293_3918200752"/>
      <w:bookmarkStart w:id="314" w:name="g.5-ballast-and-waste"/>
      <w:bookmarkEnd w:id="313"/>
      <w:r>
        <w:rPr/>
        <w:t>G.5 Ballast and waste</w:t>
      </w:r>
    </w:p>
    <w:p>
      <w:pPr>
        <w:pStyle w:val="FirstParagraph"/>
        <w:rPr/>
      </w:pPr>
      <w:bookmarkStart w:id="315" w:name="g.5-ballast-and-waste"/>
      <w:r>
        <w:rPr/>
        <w:t>Ballast exchange exclusion zone: the entire Governance Area; exchange conducts seaward of the 57° 30’ E line or as the Environment Group designates. Waste reception operates as Catalog service VS-06; the Environment Group tracks reception volumes against traffic and investigates anomalies as discharge indicators.</w:t>
      </w:r>
      <w:bookmarkEnd w:id="315"/>
    </w:p>
    <w:p>
      <w:pPr>
        <w:pStyle w:val="Heading2"/>
        <w:rPr/>
      </w:pPr>
      <w:bookmarkStart w:id="316" w:name="__RefHeading___Toc6295_3918200752"/>
      <w:bookmarkStart w:id="317" w:name="g.6-seismic-and-storm-protocols"/>
      <w:bookmarkEnd w:id="316"/>
      <w:r>
        <w:rPr/>
        <w:t>G.6 Seismic and storm protocols</w:t>
      </w:r>
    </w:p>
    <w:p>
      <w:pPr>
        <w:pStyle w:val="FirstParagraph"/>
        <w:rPr/>
      </w:pPr>
      <w:r>
        <w:rPr/>
        <w:t>The Strait sits in an active seismic zone. After any seismic event of magnitude 5.0 or greater within 100 km of the Governance Area, or after any storm event exceeding the Annex threshold, the Hydrographic and Charting Group runs the drift-watch re-survey of affected segments within 72 hours, and the JOC issues interim routing protection as indicated.</w:t>
      </w:r>
    </w:p>
    <w:p>
      <w:pPr>
        <w:pStyle w:val="Normal"/>
        <w:rPr/>
      </w:pPr>
      <w:bookmarkStart w:id="318" w:name="X7ec8ee6966ddd1862003f243e9c159165faaa95"/>
      <w:bookmarkStart w:id="319" w:name="g.6-seismic-and-storm-protocol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1"/>
        <w:rPr/>
      </w:pPr>
      <w:bookmarkStart w:id="320" w:name="__RefHeading___Toc6297_3918200752"/>
      <w:bookmarkStart w:id="321" w:name="X5f0c674f32ff5b6e42caf468c12cda2e30584ff"/>
      <w:bookmarkEnd w:id="320"/>
      <w:r>
        <w:rPr/>
        <w:t>ANNEX H. COMPLIANCE METRICS, REPORTING TEMPLATES, AND THE TRANSPARENCY PORTAL</w:t>
      </w:r>
    </w:p>
    <w:p>
      <w:pPr>
        <w:pStyle w:val="Heading2"/>
        <w:rPr/>
      </w:pPr>
      <w:bookmarkStart w:id="322" w:name="__RefHeading___Toc6299_3918200752"/>
      <w:bookmarkStart w:id="323" w:name="h.1-compliance-metrics"/>
      <w:bookmarkEnd w:id="322"/>
      <w:r>
        <w:rPr/>
        <w:t>H.1 Compliance metrics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Acknowledgement within 15 min (Art. 13.3)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95–98%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&lt;95%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assignment within 2 hours of 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90–95%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&lt;90%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transit time vs. published baseline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&gt;130%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15-minute answer standard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&lt;99%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Gate-schedule adherence (Annex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14 days slip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&gt;14 days slip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Clearance progress vs. schedule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30 days slip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&gt;30 days slip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Charge conformity to Catalog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deviation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Quasi-toll indicators (H.2)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anomaly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 first-assets ≤4 hours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&lt;90%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Incident 24-hour preliminary reports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95%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324" w:name="h.1-compliance-metrics"/>
            <w:r>
              <w:rPr>
                <w:rFonts w:eastAsia="Cambria" w:cs=""/>
                <w:kern w:val="0"/>
                <w:sz w:val="24"/>
                <w:szCs w:val="24"/>
                <w:lang w:val="en-US" w:eastAsia="en-US" w:bidi="ar-SA"/>
              </w:rPr>
              <w:t>&lt;95%</w:t>
            </w:r>
            <w:bookmarkEnd w:id="324"/>
          </w:p>
        </w:tc>
      </w:tr>
    </w:tbl>
    <w:p>
      <w:pPr>
        <w:pStyle w:val="Heading2"/>
        <w:rPr/>
      </w:pPr>
      <w:bookmarkStart w:id="325" w:name="__RefHeading___Toc6301_3918200752"/>
      <w:bookmarkEnd w:id="325"/>
      <w:r>
        <w:rPr/>
        <w:t>H.2 Quasi-toll indicator tests</w:t>
      </w:r>
    </w:p>
    <w:p>
      <w:pPr>
        <w:pStyle w:val="FirstParagraph"/>
        <w:rPr/>
      </w:pPr>
      <w:r>
        <w:rPr/>
        <w:t>The Legal and Compliance Group tests monthly: (a) correlation between service election and sequence position (target: none); (b) correlation between election and transit time (target: none beyond elected priority windows); (c) any charge presented outside the Catalog; (d) any vessel-level data suggesting differential safety coverage by election status. Findings publish.</w:t>
      </w:r>
    </w:p>
    <w:p>
      <w:pPr>
        <w:pStyle w:val="Heading2"/>
        <w:rPr/>
      </w:pPr>
      <w:bookmarkStart w:id="326" w:name="__RefHeading___Toc6303_3918200752"/>
      <w:bookmarkStart w:id="327" w:name="h.3-the-transparency-portal"/>
      <w:bookmarkEnd w:id="326"/>
      <w:r>
        <w:rPr/>
        <w:t>H.3 The Transparency Portal</w:t>
      </w:r>
    </w:p>
    <w:p>
      <w:pPr>
        <w:pStyle w:val="FirstParagraph"/>
        <w:rPr/>
      </w:pPr>
      <w:bookmarkStart w:id="328" w:name="h.3-the-transparency-portal"/>
      <w:r>
        <w:rPr/>
        <w:t>The JOC operates the public Transparency Portal carrying: current corridor status and holding times; Notices to Mariners; certificates; the Catalog and charge schedule; weekly operational reports; monthly compliance findings; quarterly accounts and annual audited statements; incident summaries; environmental monitoring data; and the counter-misinformation record of H.4. Portal data updates in real time where the underlying system permits, and never less than daily.</w:t>
      </w:r>
      <w:bookmarkEnd w:id="328"/>
    </w:p>
    <w:p>
      <w:pPr>
        <w:pStyle w:val="Heading2"/>
        <w:rPr/>
      </w:pPr>
      <w:bookmarkStart w:id="329" w:name="__RefHeading___Toc6305_3918200752"/>
      <w:bookmarkStart w:id="330" w:name="h.4-counter-misinformation-procedure"/>
      <w:bookmarkEnd w:id="329"/>
      <w:r>
        <w:rPr/>
        <w:t>H.4 Counter-misinformation procedure</w:t>
      </w:r>
    </w:p>
    <w:p>
      <w:pPr>
        <w:pStyle w:val="FirstParagraph"/>
        <w:rPr/>
      </w:pPr>
      <w:bookmarkStart w:id="331" w:name="h.4-counter-misinformation-procedure"/>
      <w:r>
        <w:rPr/>
        <w:t>The secretariat monitors public reporting on the framework. Material misinformation about corridor status, fees, or incidents receives a published correction within 72 hours, citing the portal record. The procedure addresses information only and never restricts any party’s speech.</w:t>
      </w:r>
      <w:bookmarkEnd w:id="331"/>
    </w:p>
    <w:p>
      <w:pPr>
        <w:pStyle w:val="Heading2"/>
        <w:rPr/>
      </w:pPr>
      <w:bookmarkStart w:id="332" w:name="__RefHeading___Toc6307_3918200752"/>
      <w:bookmarkStart w:id="333" w:name="Xd3304fed3fe29750e4ced14783ffb7ef465048f"/>
      <w:bookmarkEnd w:id="332"/>
      <w:r>
        <w:rPr/>
        <w:t>H.5 Technical expert roster and arbitration rules</w:t>
      </w:r>
    </w:p>
    <w:p>
      <w:pPr>
        <w:pStyle w:val="FirstParagraph"/>
        <w:rPr/>
      </w:pPr>
      <w:bookmarkStart w:id="334" w:name="Xd3304fed3fe29750e4ced14783ffb7ef465048f"/>
      <w:r>
        <w:rPr/>
        <w:t>The IMO Secretary-General maintains the Article 39.1 roster of technical experts (hydrography, naval architecture, marine environmental science, maritime economics). Article 39.2 arbitration proceeds under the UNCITRAL Arbitration Rules, seat Geneva, language English with interpretation, tribunal of three, appointing authority the Depositary.</w:t>
      </w:r>
      <w:bookmarkEnd w:id="334"/>
    </w:p>
    <w:p>
      <w:pPr>
        <w:pStyle w:val="Heading2"/>
        <w:rPr/>
      </w:pPr>
      <w:bookmarkStart w:id="335" w:name="__RefHeading___Toc6309_3918200752"/>
      <w:bookmarkStart w:id="336" w:name="h.6-reporting-templates"/>
      <w:bookmarkEnd w:id="335"/>
      <w:r>
        <w:rPr/>
        <w:t>H.6 Reporting templates</w:t>
      </w:r>
    </w:p>
    <w:p>
      <w:pPr>
        <w:pStyle w:val="FirstParagraph"/>
        <w:rPr/>
      </w:pPr>
      <w:r>
        <w:rPr/>
        <w:t>Standard templates, maintained by the secretariat: weekly operational report; monthly compliance review; quarterly strategic report; incident preliminary and final reports; certificate form; dual-key form; Notice to Mariners form. Templates publish on the portal in fillable form.</w:t>
      </w:r>
    </w:p>
    <w:p>
      <w:pPr>
        <w:pStyle w:val="Normal"/>
        <w:rPr/>
      </w:pPr>
      <w:bookmarkStart w:id="337" w:name="X5f0c674f32ff5b6e42caf468c12cda2e30584ff"/>
      <w:bookmarkStart w:id="338" w:name="h.6-reporting-templat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p>
    <w:p>
      <w:pPr>
        <w:pStyle w:val="Heading1"/>
        <w:rPr/>
      </w:pPr>
      <w:bookmarkStart w:id="339" w:name="__RefHeading___Toc6311_3918200752"/>
      <w:bookmarkStart w:id="340" w:name="X536bd5cbadbd7b69f884867bdf509b8c2a4b301"/>
      <w:bookmarkEnd w:id="339"/>
      <w:r>
        <w:rPr/>
        <w:t>ANNEX I. TRANSITION SCHEDULE AND SUNSET CALENDAR</w:t>
      </w:r>
    </w:p>
    <w:p>
      <w:pPr>
        <w:pStyle w:val="Heading2"/>
        <w:rPr/>
      </w:pPr>
      <w:bookmarkStart w:id="341" w:name="__RefHeading___Toc6313_3918200752"/>
      <w:bookmarkStart w:id="342" w:name="i.1-master-timeline-days-from-day-0"/>
      <w:bookmarkEnd w:id="341"/>
      <w:r>
        <w:rPr/>
        <w:t>I.1 Master timeline (days from Day 0)</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Milestone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 twin desks operational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live with 15-minute standard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bridge operating (Art. 24.4)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hazard survey commences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routing certified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Gate Alpha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Gate Beta (all segments certified)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75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Gate Gamma — first commercial transits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One Gate Beta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105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One Gate Gamma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two-corridor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survey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210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clearance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marking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trial-transit program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450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certification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480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opens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510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Parallel-running period ends; interim lanes sunset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date for Corridor Two certification (Art. 36.5)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bookmarkStart w:id="343" w:name="i.1-master-timeline-days-from-day-0"/>
            <w:r>
              <w:rPr>
                <w:rFonts w:eastAsia="Cambria" w:cs=""/>
                <w:kern w:val="0"/>
                <w:sz w:val="24"/>
                <w:szCs w:val="24"/>
                <w:lang w:val="en-US" w:eastAsia="en-US" w:bidi="ar-SA"/>
              </w:rPr>
              <w:t>Day 720</w:t>
            </w:r>
            <w:bookmarkEnd w:id="343"/>
          </w:p>
        </w:tc>
      </w:tr>
    </w:tbl>
    <w:p>
      <w:pPr>
        <w:pStyle w:val="Heading2"/>
        <w:rPr/>
      </w:pPr>
      <w:bookmarkStart w:id="344" w:name="__RefHeading___Toc6315_3918200752"/>
      <w:bookmarkEnd w:id="344"/>
      <w:r>
        <w:rPr/>
        <w:t>I.2 Acceleration and slippage</w:t>
      </w:r>
    </w:p>
    <w:p>
      <w:pPr>
        <w:pStyle w:val="FirstParagraph"/>
        <w:rPr/>
      </w:pPr>
      <w:r>
        <w:rPr/>
        <w:t>Concurrency drives acceleration: survey, clearance, and marking overlap across segments. Slippage beyond 14 days on any milestone triggers a Joint Committee review with a published cause statement and recovery plan; slippage never suspends operating corridors.</w:t>
      </w:r>
    </w:p>
    <w:p>
      <w:pPr>
        <w:pStyle w:val="Heading2"/>
        <w:rPr/>
      </w:pPr>
      <w:bookmarkStart w:id="345" w:name="__RefHeading___Toc6317_3918200752"/>
      <w:bookmarkStart w:id="346" w:name="i.3-sunset-detail"/>
      <w:bookmarkEnd w:id="345"/>
      <w:r>
        <w:rPr/>
        <w:t>I.3 Sunset detail</w:t>
      </w:r>
    </w:p>
    <w:p>
      <w:pPr>
        <w:pStyle w:val="FirstParagraph"/>
        <w:rPr/>
      </w:pPr>
      <w:r>
        <w:rPr/>
        <w:t>The Article 36.3 sunset converts interim-corridor aids to backup status, retains both JOC desks at full authority, and preserves the Northern and Southern tracks as charted alternates available for emergency routing under Article 26.4 for 24 months post-sunset.</w:t>
      </w:r>
    </w:p>
    <w:p>
      <w:pPr>
        <w:pStyle w:val="Normal"/>
        <w:rPr/>
      </w:pPr>
      <w:bookmarkStart w:id="347" w:name="X536bd5cbadbd7b69f884867bdf509b8c2a4b301"/>
      <w:bookmarkStart w:id="348" w:name="i.3-sunset-detai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p>
    <w:p>
      <w:pPr>
        <w:pStyle w:val="Heading1"/>
        <w:rPr/>
      </w:pPr>
      <w:bookmarkStart w:id="349" w:name="__RefHeading___Toc6319_3918200752"/>
      <w:bookmarkStart w:id="350" w:name="annex-j.-definitions-and-abbreviations"/>
      <w:bookmarkEnd w:id="349"/>
      <w:r>
        <w:rPr/>
        <w:t>ANNEX J. DEFINITIONS AND ABBREVIATIONS</w:t>
      </w:r>
    </w:p>
    <w:p>
      <w:pPr>
        <w:pStyle w:val="Heading2"/>
        <w:rPr/>
      </w:pPr>
      <w:bookmarkStart w:id="351" w:name="__RefHeading___Toc6321_3918200752"/>
      <w:bookmarkStart w:id="352" w:name="j.1-abbreviations"/>
      <w:bookmarkEnd w:id="351"/>
      <w:r>
        <w:rPr/>
        <w:t>J.1 Abbreviations</w:t>
      </w:r>
    </w:p>
    <w:p>
      <w:pPr>
        <w:pStyle w:val="FirstParagraph"/>
        <w:rPr/>
      </w:pPr>
      <w:bookmarkStart w:id="353" w:name="j.1-abbreviations"/>
      <w:r>
        <w:rPr/>
        <w:t>AIS — Automatic Identification System. GCC — Gulf Cooperation Council. HO — Hydrographic Office. IHO — International Hydrographic Organization. IMDG — International Maritime Dangerous Goods Code. IMO — International Maritime Organization. IMAS — International Mine Action Standards. JOC — Joint Operations Center. LOA — Length Overall. MARPOL — International Convention for the Prevention of Pollution from Ships. MLC — Maritime Labour Convention. MMSI — Maritime Mobile Service Identity. NAVTEX — Navigational Telex. nm — nautical mile. P&amp;I — Protection and Indemnity. ROPME — Regional Organization for the Protection of the Marine Environment. ROV — Remotely Operated Vehicle. SAR — Search and Rescue. SOLAS — International Convention for the Safety of Life at Sea. STCW — Standards of Training, Certification and Watchkeeping. UNMAS — United Nations Mine Action Service. UTC — Coordinated Universal Time. VLCC/ULCC — Very Large / Ultra Large Crude Carrier. VHF — Very High Frequency. WGS 84 — World Geodetic System 1984.</w:t>
      </w:r>
      <w:bookmarkEnd w:id="353"/>
    </w:p>
    <w:p>
      <w:pPr>
        <w:pStyle w:val="Heading2"/>
        <w:rPr/>
      </w:pPr>
      <w:bookmarkStart w:id="354" w:name="__RefHeading___Toc6323_3918200752"/>
      <w:bookmarkStart w:id="355" w:name="j.2-supplementary-definitions"/>
      <w:bookmarkEnd w:id="354"/>
      <w:r>
        <w:rPr/>
        <w:t>J.2 Supplementary definitions</w:t>
      </w:r>
    </w:p>
    <w:p>
      <w:pPr>
        <w:pStyle w:val="FirstParagraph"/>
        <w:rPr/>
      </w:pPr>
      <w:r>
        <w:rPr/>
        <w:t>“</w:t>
      </w:r>
      <w:r>
        <w:rPr/>
        <w:t>Conservative-default rule” — the Article 9.5 rule under which the more conservative operational option applies provisionally pending dispute resolution. “Controlled depth” — the least depth certified to exist within a corridor’s certified track. “Dual-key rule” — the Article 25.3 concurrence requirement. “Election” — a vessel’s affirmative choice of a Catalog service, recorded per Article 17.2. “Standing Logbook” — the Article 16.1 record system. “Stewardship Fund” — the Article 19.1 fund. “Transition Period” — Article 36.1. “Watch officer” — Article 10.3 personnel.</w:t>
      </w:r>
    </w:p>
    <w:p>
      <w:pPr>
        <w:pStyle w:val="Normal"/>
        <w:rPr/>
      </w:pPr>
      <w:bookmarkStart w:id="356" w:name="annex-j.-definitions-and-abbreviations"/>
      <w:bookmarkStart w:id="357" w:name="j.2-supplementary-defini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1"/>
        <w:rPr/>
      </w:pPr>
      <w:bookmarkStart w:id="358" w:name="__RefHeading___Toc6325_3918200752"/>
      <w:bookmarkStart w:id="359" w:name="annex-k.-positions-alignment-matrix"/>
      <w:bookmarkEnd w:id="358"/>
      <w:r>
        <w:rPr/>
        <w:t>ANNEX K. POSITIONS ALIGNMENT MATRIX</w:t>
      </w:r>
    </w:p>
    <w:p>
      <w:pPr>
        <w:pStyle w:val="Heading2"/>
        <w:rPr/>
      </w:pPr>
      <w:bookmarkStart w:id="360" w:name="__RefHeading___Toc6327_3918200752"/>
      <w:bookmarkStart w:id="361" w:name="k.1-purpose"/>
      <w:bookmarkEnd w:id="360"/>
      <w:r>
        <w:rPr/>
        <w:t>K.1 Purpose</w:t>
      </w:r>
    </w:p>
    <w:p>
      <w:pPr>
        <w:pStyle w:val="FirstParagraph"/>
        <w:rPr/>
      </w:pPr>
      <w:bookmarkStart w:id="362" w:name="k.1-purpose"/>
      <w:r>
        <w:rPr/>
        <w:t>This matrix records, for the negotiating record and for interpretation under Article 45.1, how the Agreement’s operative architecture aligns the principal positions of the Parties and of the interested international community as expressed during the 2026 negotiations. It carries interpretive, not operative, weight.</w:t>
      </w:r>
      <w:bookmarkEnd w:id="362"/>
    </w:p>
    <w:p>
      <w:pPr>
        <w:pStyle w:val="Heading2"/>
        <w:rPr/>
      </w:pPr>
      <w:bookmarkStart w:id="363" w:name="__RefHeading___Toc6329_3918200752"/>
      <w:bookmarkStart w:id="364" w:name="k.2-matrix"/>
      <w:bookmarkEnd w:id="363"/>
      <w:r>
        <w:rPr/>
        <w:t>K.2 Matrix</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Iranian position (2026 record)</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Omani position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International / market position</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Agreement resolution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structure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Traditional routes must change; expert talks on new routes necessary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Two-corridor consolidation of wartime lanes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IMO certification of any new scheme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interim corridors, joint geometry, IMO submission (Arts. 1.3, 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route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Northern route transforms toward an intermediate route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Southern route develops toward the intermediate route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certified channel preferred long-term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development path with certification gates (Art. 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 retains monitoring and security role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Oman coordinates; shared administration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unilateral control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Lead functions per corridor, single instruction stream, dual-key security (Arts. 6, 10, 25)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Revenue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Services carry charges; stewardship recognized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Cost-recovery,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tolls; Malacca-style voluntary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transit toll; elected services plus voluntary Fund; 50/50 net shares (Arts. 17–20)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 registration and coordination expected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Structured transit framework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permission-based system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Notification-based protocol; vetting never gates transit (Arts. 13–14)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Mine clearance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 clears, particularly along the shipping corridor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and logistics role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verification demanded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 executes; joint verification; dual-signature certificates (Arts. 22–23)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Security-screening capability retained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Facilitation priority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disclosure demanded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minimization, firewall rules, no third-party transfer (Art. 15)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traffic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cargo passes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facilitation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 coordination expected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First-through rule; dedicated desk; UN coordination without prejudice (Art. 32)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Regional expansion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Bilateral core preserved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Regional consortium compatible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Regional charter desirable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bookmarkStart w:id="365" w:name="k.2-matrix"/>
            <w:r>
              <w:rPr>
                <w:rFonts w:eastAsia="Cambria" w:cs=""/>
                <w:kern w:val="0"/>
                <w:sz w:val="24"/>
                <w:szCs w:val="24"/>
                <w:lang w:val="en-US" w:eastAsia="en-US" w:bidi="ar-SA"/>
              </w:rPr>
              <w:t>Compatibility pledge; accession pathways preserved (Art. 41.3)</w:t>
            </w:r>
            <w:bookmarkEnd w:id="365"/>
          </w:p>
        </w:tc>
      </w:tr>
    </w:tbl>
    <w:p>
      <w:pPr>
        <w:pStyle w:val="Heading2"/>
        <w:rPr/>
      </w:pPr>
      <w:bookmarkStart w:id="366" w:name="__RefHeading___Toc6331_3918200752"/>
      <w:bookmarkEnd w:id="366"/>
      <w:r>
        <w:rPr/>
        <w:t>K.3 Interpretive rule</w:t>
      </w:r>
    </w:p>
    <w:p>
      <w:pPr>
        <w:pStyle w:val="FirstParagraph"/>
        <w:rPr/>
      </w:pPr>
      <w:r>
        <w:rPr/>
        <w:t>Where a dispute invokes the negotiating record, this matrix reads together with the deposited record, and neither creates obligations beyond the operative text.</w:t>
      </w:r>
    </w:p>
    <w:p>
      <w:pPr>
        <w:pStyle w:val="Normal"/>
        <w:rPr/>
      </w:pPr>
      <w:bookmarkStart w:id="367" w:name="annex-k.-positions-alignment-matrix"/>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7"/>
    </w:p>
    <w:p>
      <w:pPr>
        <w:pStyle w:val="Heading1"/>
        <w:rPr/>
      </w:pPr>
      <w:bookmarkStart w:id="368" w:name="__RefHeading___Toc6333_3918200752"/>
      <w:bookmarkStart w:id="369" w:name="Xc0df55b212e19256f0f2f066ec2f8d2a9f514eb"/>
      <w:bookmarkEnd w:id="368"/>
      <w:r>
        <w:rPr/>
        <w:t>ANNEX L. DAY-0 TO DAY-120 IMPLEMENTATION CHECKLIST</w:t>
      </w:r>
    </w:p>
    <w:p>
      <w:pPr>
        <w:pStyle w:val="Heading2"/>
        <w:rPr/>
      </w:pPr>
      <w:bookmarkStart w:id="370" w:name="__RefHeading___Toc6335_3918200752"/>
      <w:bookmarkStart w:id="371" w:name="l.1-purpose"/>
      <w:bookmarkEnd w:id="370"/>
      <w:r>
        <w:rPr/>
        <w:t>L.1 Purpose</w:t>
      </w:r>
    </w:p>
    <w:p>
      <w:pPr>
        <w:pStyle w:val="FirstParagraph"/>
        <w:rPr/>
      </w:pPr>
      <w:bookmarkStart w:id="372" w:name="l.1-purpose"/>
      <w:r>
        <w:rPr/>
        <w:t>This checklist converts the Agreement’s obligations into a sequenced, assignable, auditable action list for the first 120 days. The secretariat tracks every line against the responsible body and publishes completion status weekly on the portal.</w:t>
      </w:r>
      <w:bookmarkEnd w:id="372"/>
    </w:p>
    <w:p>
      <w:pPr>
        <w:pStyle w:val="Heading2"/>
        <w:rPr/>
      </w:pPr>
      <w:bookmarkStart w:id="373" w:name="__RefHeading___Toc6337_3918200752"/>
      <w:bookmarkStart w:id="374" w:name="l.2-day-0-entry-into-force"/>
      <w:bookmarkEnd w:id="373"/>
      <w:r>
        <w:rPr/>
        <w:t>L.2 Day 0 (Entry into force)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Instruments signed; Depositary holds originals; certified copies transmitted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 members notified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Parties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 twin desks operational; first watch posted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Parties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live; first 15-minute standard test logged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Liaison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desk staffed; first designation circuit tested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Day-0 force-disposition baseline exchanged and deposited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Parties / 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Escrow accounts opened; Collection Account coordinates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Portal live with corridor status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Secretariat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Notice to Mariners No. 1 issued: framework 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IMO notified; routeing submission filed (Art. 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bookmarkStart w:id="375" w:name="l.2-day-0-entry-into-force"/>
            <w:r>
              <w:rPr>
                <w:rFonts w:eastAsia="Cambria" w:cs=""/>
                <w:kern w:val="0"/>
                <w:sz w:val="24"/>
                <w:szCs w:val="24"/>
                <w:lang w:val="en-US" w:eastAsia="en-US" w:bidi="ar-SA"/>
              </w:rPr>
              <w:t>Joint Committee</w:t>
            </w:r>
            <w:bookmarkEnd w:id="375"/>
          </w:p>
        </w:tc>
      </w:tr>
    </w:tbl>
    <w:p>
      <w:pPr>
        <w:pStyle w:val="Heading2"/>
        <w:rPr/>
      </w:pPr>
      <w:bookmarkStart w:id="376" w:name="__RefHeading___Toc6339_3918200752"/>
      <w:bookmarkEnd w:id="376"/>
      <w:r>
        <w:rPr/>
        <w:t>L.3 Days 1–14</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humanitarian convoy sequenced and escorted under interim routing protection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groups constituted; first sessions held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hazard survey vessels on task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Hydrographic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Standing Logbook integrity test with Depositary write-once 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Secretariat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Catalog and charge schedule published (60-day clock starts for any revision)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Fees and Finance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Registry opens; first registrations processed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Spill-response roster inventory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Insurance panel seated; first technical file transmitted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Board nominations invited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Secretariat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Communications rehearsal No. 1 (outage continuity)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bl>
    <w:p>
      <w:pPr>
        <w:pStyle w:val="Heading2"/>
        <w:rPr/>
      </w:pPr>
      <w:bookmarkStart w:id="377" w:name="__RefHeading___Toc6341_3918200752"/>
      <w:bookmarkEnd w:id="377"/>
      <w:r>
        <w:rPr/>
        <w:t>L.4 Days 15–45</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Register first edition issued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Hydrographic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routing segment certificates issued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teams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30-day comprehensive review (Art. 37.1) conducted and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quarterly spill exercise scheduled and notified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compliance metrics report (Art. 34.2)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and Compliance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Fund monthly distribution executed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Seafarer liaison officer appointed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bl>
    <w:p>
      <w:pPr>
        <w:pStyle w:val="Heading2"/>
        <w:rPr/>
      </w:pPr>
      <w:bookmarkStart w:id="378" w:name="__RefHeading___Toc6343_3918200752"/>
      <w:bookmarkEnd w:id="378"/>
      <w:r>
        <w:rPr/>
        <w:t>L.5 Days 46–90</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segment certifications progressing per Annex 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teams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Three Gate Beta declared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commercial transits under Gate Gamma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War-risk premium baseline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Insurance panel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flag-state verification briefings delivered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dual-key procedural audit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Depositary</w:t>
            </w:r>
          </w:p>
        </w:tc>
      </w:tr>
    </w:tbl>
    <w:p>
      <w:pPr>
        <w:pStyle w:val="Heading2"/>
        <w:rPr/>
      </w:pPr>
      <w:bookmarkStart w:id="379" w:name="__RefHeading___Toc6345_3918200752"/>
      <w:bookmarkEnd w:id="379"/>
      <w:r>
        <w:rPr/>
        <w:t>L.6 Days 91–120</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One Gate Beta and Gamma declared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two-corridor operation declared; baseline transit times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quarterly strategic report issued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Committee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survey mobilization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Hydrographic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annual review conference scheduled and agenda published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Secretariat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120-day implementation audit published, including all checklist variances and causes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and Compliance Group</w:t>
            </w:r>
          </w:p>
        </w:tc>
      </w:tr>
    </w:tbl>
    <w:p>
      <w:pPr>
        <w:pStyle w:val="Normal"/>
        <w:rPr/>
      </w:pPr>
      <w:bookmarkStart w:id="380" w:name="Xc0df55b212e19256f0f2f066ec2f8d2a9f514eb"/>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1"/>
        <w:rPr/>
      </w:pPr>
      <w:bookmarkStart w:id="381" w:name="__RefHeading___Toc6347_3918200752"/>
      <w:bookmarkStart w:id="382" w:name="X8858c4db6fe3e68ad293650f7ef1d802f3f54dc"/>
      <w:bookmarkEnd w:id="381"/>
      <w:r>
        <w:rPr/>
        <w:t>ANNEX M. INSURANCE POOL AND ECONOMIC CONTINUITY INSTRUMENTS</w:t>
      </w:r>
    </w:p>
    <w:p>
      <w:pPr>
        <w:pStyle w:val="Heading2"/>
        <w:rPr/>
      </w:pPr>
      <w:bookmarkStart w:id="383" w:name="__RefHeading___Toc6349_3918200752"/>
      <w:bookmarkStart w:id="384" w:name="X50fd0953b9cf581e218df4b8fd8ad3fe63c13fb"/>
      <w:bookmarkEnd w:id="383"/>
      <w:r>
        <w:rPr/>
        <w:t>M.1 The War-Risk Reinsurance Backstop — structure</w:t>
      </w:r>
    </w:p>
    <w:p>
      <w:pPr>
        <w:pStyle w:val="Normal"/>
        <w:numPr>
          <w:ilvl w:val="0"/>
          <w:numId w:val="62"/>
        </w:numPr>
        <w:rPr/>
      </w:pPr>
      <w:r>
        <w:rPr>
          <w:b/>
          <w:bCs/>
        </w:rPr>
        <w:t>Legal form.</w:t>
      </w:r>
      <w:r>
        <w:rPr/>
        <w:t xml:space="preserve"> The Backstop operates as a facility of the Stewardship Fund under Depositary administration, ring-fenced from other Fund accounts, with its own reserves, tariff, and claims rules.</w:t>
      </w:r>
    </w:p>
    <w:p>
      <w:pPr>
        <w:pStyle w:val="Normal"/>
        <w:numPr>
          <w:ilvl w:val="0"/>
          <w:numId w:val="63"/>
        </w:numPr>
        <w:rPr/>
      </w:pPr>
      <w:r>
        <w:rPr>
          <w:b/>
          <w:bCs/>
        </w:rPr>
        <w:t>Capacity.</w:t>
      </w:r>
      <w:r>
        <w:rPr/>
        <w:t xml:space="preserve"> Initial capacity: the Reserve Account allocation of 25 percent plus premiums collected. The Joint Committee reviews capacity quarterly against exposure.</w:t>
      </w:r>
    </w:p>
    <w:p>
      <w:pPr>
        <w:pStyle w:val="Normal"/>
        <w:numPr>
          <w:ilvl w:val="0"/>
          <w:numId w:val="64"/>
        </w:numPr>
        <w:rPr/>
      </w:pPr>
      <w:r>
        <w:rPr>
          <w:b/>
          <w:bCs/>
        </w:rPr>
        <w:t>Trigger band.</w:t>
      </w:r>
      <w:r>
        <w:rPr/>
        <w:t xml:space="preserve"> The Backstop offers capacity when the market war-risk additional premium for certified-corridor transit exceeds 0.25 percent of hull value for two consecutive weekly fixings, or when quoted capacity falls below 50 percent of demand as measured by the insurance panel’s survey.</w:t>
      </w:r>
    </w:p>
    <w:p>
      <w:pPr>
        <w:pStyle w:val="Normal"/>
        <w:numPr>
          <w:ilvl w:val="0"/>
          <w:numId w:val="65"/>
        </w:numPr>
        <w:rPr/>
      </w:pPr>
      <w:r>
        <w:rPr>
          <w:b/>
          <w:bCs/>
        </w:rPr>
        <w:t>Tariff.</w:t>
      </w:r>
      <w:r>
        <w:rPr/>
        <w:t xml:space="preserve"> Backstop reinsurance prices at 80 percent of the prevailing market rate at attachment, capped at 0.20 percent of hull value per transit, floored at cost. The tariff publishes and updates with the panel’s quarterly data.</w:t>
      </w:r>
    </w:p>
    <w:p>
      <w:pPr>
        <w:pStyle w:val="Normal"/>
        <w:numPr>
          <w:ilvl w:val="0"/>
          <w:numId w:val="66"/>
        </w:numPr>
        <w:rPr/>
      </w:pPr>
      <w:r>
        <w:rPr>
          <w:b/>
          <w:bCs/>
        </w:rPr>
        <w:t>Claims.</w:t>
      </w:r>
      <w:r>
        <w:rPr/>
        <w:t xml:space="preserve"> Claims adjust under the reinsured’s own policy terms; the Backstop pays against the lead underwriter’s certification within 30 days; disputes route to the Article 39.2 arbitration rules.</w:t>
      </w:r>
      <w:bookmarkEnd w:id="384"/>
    </w:p>
    <w:p>
      <w:pPr>
        <w:pStyle w:val="Heading2"/>
        <w:rPr/>
      </w:pPr>
      <w:bookmarkStart w:id="385" w:name="__RefHeading___Toc6351_3918200752"/>
      <w:bookmarkStart w:id="386" w:name="m.2-the-insurance-panel"/>
      <w:bookmarkEnd w:id="385"/>
      <w:r>
        <w:rPr/>
        <w:t>M.2 The insurance panel</w:t>
      </w:r>
    </w:p>
    <w:p>
      <w:pPr>
        <w:pStyle w:val="FirstParagraph"/>
        <w:rPr/>
      </w:pPr>
      <w:bookmarkStart w:id="387" w:name="m.2-the-insurance-panel"/>
      <w:r>
        <w:rPr/>
        <w:t>Composition: two representatives of the International Group of P&amp;I Clubs, two war-risk underwriters, one hull-market representative, one International Chamber of Shipping representative, one cargo-interest representative. The panel: receives the Article 20A.3 transmissions; conducts the quarterly technical briefings; performs one annual verification visit to each JOC desk and to clearance operations; publishes the quarterly premium-range report.</w:t>
      </w:r>
      <w:bookmarkEnd w:id="387"/>
    </w:p>
    <w:p>
      <w:pPr>
        <w:pStyle w:val="Heading2"/>
        <w:rPr/>
      </w:pPr>
      <w:bookmarkStart w:id="388" w:name="__RefHeading___Toc6353_3918200752"/>
      <w:bookmarkStart w:id="389" w:name="m.3-business-interruption-window"/>
      <w:bookmarkEnd w:id="388"/>
      <w:r>
        <w:rPr/>
        <w:t>M.3 Business Interruption Window</w:t>
      </w:r>
    </w:p>
    <w:p>
      <w:pPr>
        <w:pStyle w:val="FirstParagraph"/>
        <w:rPr/>
      </w:pPr>
      <w:bookmarkStart w:id="390" w:name="m.3-business-interruption-window"/>
      <w:r>
        <w:rPr/>
        <w:t>Where a red compliance finding (Annex H) persists beyond 14 days, the affected function enters the Business Interruption Window: the Joint Committee publishes the corrective plan with dated milestones; the Depositary’s good offices activate automatically; and the published timeline gives market participants a bounded, dated expectation. The Window closes on certified restoration.</w:t>
      </w:r>
      <w:bookmarkEnd w:id="390"/>
    </w:p>
    <w:p>
      <w:pPr>
        <w:pStyle w:val="Heading2"/>
        <w:rPr/>
      </w:pPr>
      <w:bookmarkStart w:id="391" w:name="__RefHeading___Toc6355_3918200752"/>
      <w:bookmarkStart w:id="392" w:name="X5039a93fc66bc5620509d3e588bc0d826d0caac"/>
      <w:bookmarkEnd w:id="391"/>
      <w:r>
        <w:rPr/>
        <w:t>M.4 Charterparty Standard Clause (model text)</w:t>
      </w:r>
    </w:p>
    <w:p>
      <w:pPr>
        <w:pStyle w:val="FirstParagraph"/>
        <w:rPr/>
      </w:pPr>
      <w:r>
        <w:rPr>
          <w:i/>
          <w:iCs/>
        </w:rPr>
        <w:t>“</w:t>
      </w:r>
      <w:r>
        <w:rPr>
          <w:i/>
          <w:iCs/>
        </w:rPr>
        <w:t>Strait of Hormuz (HBCSA). If this vessel transits the Strait of Hormuz under the Hormuz Bilateral Corridor and Stewardship Agreement corridor system: (a) time awaiting sequence assignment within published holding times counts as time on hire / on demurrage as applicable; (b) deviation via the emergency routing of the Joint Operations Center does not constitute deviation for insurance or contract purposes; (c) costs of elected services from the Verified Services Catalog fall to [Owners/Charterers] as allocated in the fixture recap; (d) neither party bears liability for corridor suspension events certified by the Joint Operations Center, and laycan extends day-for-day.”</w:t>
      </w:r>
      <w:bookmarkEnd w:id="392"/>
    </w:p>
    <w:p>
      <w:pPr>
        <w:pStyle w:val="Heading2"/>
        <w:rPr/>
      </w:pPr>
      <w:bookmarkStart w:id="393" w:name="__RefHeading___Toc6357_3918200752"/>
      <w:bookmarkStart w:id="394" w:name="m.5-cargo-continuity-protocol"/>
      <w:bookmarkEnd w:id="393"/>
      <w:r>
        <w:rPr/>
        <w:t>M.5 Cargo Continuity Protocol</w:t>
      </w:r>
    </w:p>
    <w:p>
      <w:pPr>
        <w:pStyle w:val="FirstParagraph"/>
        <w:rPr/>
      </w:pPr>
      <w:r>
        <w:rPr/>
        <w:t>For a disabled laden vessel in the Governance Area: (a) the JOC tasks towage from the joint roster within 2 hours of request; (b) lightering and cargo-forwarding coordinate through the terminal liaison desk with the first available certified vessel; (c) the Fund advances emergency costs against recovery from the vessel’s interests; (d) humanitarian cargo receives absolute precedence in forwarding.</w:t>
      </w:r>
    </w:p>
    <w:p>
      <w:pPr>
        <w:pStyle w:val="Normal"/>
        <w:rPr/>
      </w:pPr>
      <w:bookmarkStart w:id="395" w:name="X8858c4db6fe3e68ad293650f7ef1d802f3f54dc"/>
      <w:bookmarkStart w:id="396" w:name="m.5-cargo-continuity-protocol"/>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1"/>
        <w:rPr/>
      </w:pPr>
      <w:bookmarkStart w:id="397" w:name="__RefHeading___Toc6359_3918200752"/>
      <w:bookmarkStart w:id="398" w:name="X136fd2f32406bc949e8629785b7c76d54eea26e"/>
      <w:bookmarkEnd w:id="397"/>
      <w:r>
        <w:rPr/>
        <w:t>ANNEX N. THE MARINER’S HANDBOOK (OPERATIONAL SUMMARY)</w:t>
      </w:r>
    </w:p>
    <w:p>
      <w:pPr>
        <w:pStyle w:val="Heading2"/>
        <w:rPr/>
      </w:pPr>
      <w:bookmarkStart w:id="399" w:name="__RefHeading___Toc6361_3918200752"/>
      <w:bookmarkStart w:id="400" w:name="n.1-purpose"/>
      <w:bookmarkEnd w:id="399"/>
      <w:r>
        <w:rPr/>
        <w:t>N.1 Purpose</w:t>
      </w:r>
    </w:p>
    <w:p>
      <w:pPr>
        <w:pStyle w:val="FirstParagraph"/>
        <w:rPr/>
      </w:pPr>
      <w:bookmarkStart w:id="401" w:name="n.1-purpose"/>
      <w:r>
        <w:rPr/>
        <w:t>This Annex condenses the framework into the standing operational summary for masters, operators, and agents, per Article 4.3. The JOC issues the Handbook as a separate publication, updates it with every Notice to Mariners, and treats it as the single mariner-facing document of the framework. In any conflict between the Handbook and the treaty text, the treaty text prevails.</w:t>
      </w:r>
      <w:bookmarkEnd w:id="401"/>
    </w:p>
    <w:p>
      <w:pPr>
        <w:pStyle w:val="Heading2"/>
        <w:rPr/>
      </w:pPr>
      <w:bookmarkStart w:id="402" w:name="__RefHeading___Toc6363_3918200752"/>
      <w:bookmarkStart w:id="403" w:name="n.2-before-you-sail"/>
      <w:bookmarkEnd w:id="402"/>
      <w:r>
        <w:rPr/>
        <w:t>N.2 Before you sail</w:t>
      </w:r>
    </w:p>
    <w:p>
      <w:pPr>
        <w:pStyle w:val="Compact"/>
        <w:numPr>
          <w:ilvl w:val="0"/>
          <w:numId w:val="67"/>
        </w:numPr>
        <w:rPr/>
      </w:pPr>
      <w:r>
        <w:rPr/>
        <w:t>Register your vessel in the Vessel Registry (optional, free, speeds everything).</w:t>
      </w:r>
    </w:p>
    <w:p>
      <w:pPr>
        <w:pStyle w:val="Compact"/>
        <w:numPr>
          <w:ilvl w:val="0"/>
          <w:numId w:val="68"/>
        </w:numPr>
        <w:rPr/>
      </w:pPr>
      <w:r>
        <w:rPr/>
        <w:t>Confirm carriage of the current HB chart series and ENC cells.</w:t>
      </w:r>
    </w:p>
    <w:p>
      <w:pPr>
        <w:pStyle w:val="Compact"/>
        <w:numPr>
          <w:ilvl w:val="0"/>
          <w:numId w:val="69"/>
        </w:numPr>
        <w:rPr/>
      </w:pPr>
      <w:r>
        <w:rPr/>
        <w:t>File the T-48 Transit Notice at least 48 hours before the Governance Area limit.</w:t>
      </w:r>
    </w:p>
    <w:p>
      <w:pPr>
        <w:pStyle w:val="Compact"/>
        <w:numPr>
          <w:ilvl w:val="0"/>
          <w:numId w:val="70"/>
        </w:numPr>
        <w:rPr/>
      </w:pPr>
      <w:r>
        <w:rPr/>
        <w:t>Decide your service elections from the Verified Services Catalog — or elect none; transit is free.</w:t>
      </w:r>
    </w:p>
    <w:p>
      <w:pPr>
        <w:pStyle w:val="Compact"/>
        <w:numPr>
          <w:ilvl w:val="0"/>
          <w:numId w:val="71"/>
        </w:numPr>
        <w:rPr/>
      </w:pPr>
      <w:bookmarkStart w:id="404" w:name="n.2-before-you-sail"/>
      <w:r>
        <w:rPr/>
        <w:t>Check the portal for corridor status, hazard broadcasts, and current holding times.</w:t>
      </w:r>
      <w:bookmarkEnd w:id="404"/>
    </w:p>
    <w:p>
      <w:pPr>
        <w:pStyle w:val="Heading2"/>
        <w:rPr/>
      </w:pPr>
      <w:bookmarkStart w:id="405" w:name="__RefHeading___Toc6365_3918200752"/>
      <w:bookmarkStart w:id="406" w:name="n.3-approaching-the-strait"/>
      <w:bookmarkEnd w:id="405"/>
      <w:r>
        <w:rPr/>
        <w:t>N.3 Approaching the Strait</w:t>
      </w:r>
    </w:p>
    <w:p>
      <w:pPr>
        <w:pStyle w:val="Compact"/>
        <w:numPr>
          <w:ilvl w:val="0"/>
          <w:numId w:val="72"/>
        </w:numPr>
        <w:rPr/>
      </w:pPr>
      <w:r>
        <w:rPr/>
        <w:t>Send the T-6 Approach Report six hours out.</w:t>
      </w:r>
    </w:p>
    <w:p>
      <w:pPr>
        <w:pStyle w:val="Compact"/>
        <w:numPr>
          <w:ilvl w:val="0"/>
          <w:numId w:val="73"/>
        </w:numPr>
        <w:rPr/>
      </w:pPr>
      <w:r>
        <w:rPr/>
        <w:t>Receive your sequence number and routing instructions within two hours.</w:t>
      </w:r>
    </w:p>
    <w:p>
      <w:pPr>
        <w:pStyle w:val="Compact"/>
        <w:numPr>
          <w:ilvl w:val="0"/>
          <w:numId w:val="74"/>
        </w:numPr>
        <w:rPr/>
      </w:pPr>
      <w:r>
        <w:rPr/>
        <w:t>Guard VHF 16; stand by on your corridor’s working channel (71 inbound / 72 outbound).</w:t>
      </w:r>
    </w:p>
    <w:p>
      <w:pPr>
        <w:pStyle w:val="Compact"/>
        <w:numPr>
          <w:ilvl w:val="0"/>
          <w:numId w:val="75"/>
        </w:numPr>
        <w:rPr/>
      </w:pPr>
      <w:bookmarkStart w:id="407" w:name="n.3-approaching-the-strait"/>
      <w:r>
        <w:rPr/>
        <w:t>Hold in the designated waiting area only as instructed; holding times publish every six hours.</w:t>
      </w:r>
      <w:bookmarkEnd w:id="407"/>
    </w:p>
    <w:p>
      <w:pPr>
        <w:pStyle w:val="Heading2"/>
        <w:rPr/>
      </w:pPr>
      <w:bookmarkStart w:id="408" w:name="__RefHeading___Toc6367_3918200752"/>
      <w:bookmarkStart w:id="409" w:name="n.4-in-the-corridor"/>
      <w:bookmarkEnd w:id="408"/>
      <w:r>
        <w:rPr/>
        <w:t>N.4 In the corridor</w:t>
      </w:r>
    </w:p>
    <w:p>
      <w:pPr>
        <w:pStyle w:val="Compact"/>
        <w:numPr>
          <w:ilvl w:val="0"/>
          <w:numId w:val="76"/>
        </w:numPr>
        <w:rPr/>
      </w:pPr>
      <w:r>
        <w:rPr/>
        <w:t>Follow the assigned track, speed regime, and separation.</w:t>
      </w:r>
    </w:p>
    <w:p>
      <w:pPr>
        <w:pStyle w:val="Compact"/>
        <w:numPr>
          <w:ilvl w:val="0"/>
          <w:numId w:val="77"/>
        </w:numPr>
        <w:rPr/>
      </w:pPr>
      <w:r>
        <w:rPr/>
        <w:t>Report at waypoints by exception — only when instructed or deviating.</w:t>
      </w:r>
    </w:p>
    <w:p>
      <w:pPr>
        <w:pStyle w:val="Compact"/>
        <w:numPr>
          <w:ilvl w:val="0"/>
          <w:numId w:val="78"/>
        </w:numPr>
        <w:rPr/>
      </w:pPr>
      <w:r>
        <w:rPr/>
        <w:t>Humanitarian vessels hold sequence precedence; expect occasional resequencing broadcasts.</w:t>
      </w:r>
    </w:p>
    <w:p>
      <w:pPr>
        <w:pStyle w:val="Compact"/>
        <w:numPr>
          <w:ilvl w:val="0"/>
          <w:numId w:val="79"/>
        </w:numPr>
        <w:rPr/>
      </w:pPr>
      <w:r>
        <w:rPr/>
        <w:t>In any emergency: VHF 16, FLASH precedence on all circuits; SAR responds without delay from the nearest asset, whichever flag it flies.</w:t>
      </w:r>
    </w:p>
    <w:p>
      <w:pPr>
        <w:pStyle w:val="Compact"/>
        <w:numPr>
          <w:ilvl w:val="0"/>
          <w:numId w:val="80"/>
        </w:numPr>
        <w:rPr/>
      </w:pPr>
      <w:bookmarkStart w:id="410" w:name="n.4-in-the-corridor"/>
      <w:r>
        <w:rPr/>
        <w:t>Never enter the Joint Buffer except under JOC tasking or distress.</w:t>
      </w:r>
      <w:bookmarkEnd w:id="410"/>
    </w:p>
    <w:p>
      <w:pPr>
        <w:pStyle w:val="Heading2"/>
        <w:rPr/>
      </w:pPr>
      <w:bookmarkStart w:id="411" w:name="__RefHeading___Toc6369_3918200752"/>
      <w:bookmarkStart w:id="412" w:name="n.5-after-transit"/>
      <w:bookmarkEnd w:id="411"/>
      <w:r>
        <w:rPr/>
        <w:t>N.5 After transit</w:t>
      </w:r>
    </w:p>
    <w:p>
      <w:pPr>
        <w:pStyle w:val="Compact"/>
        <w:numPr>
          <w:ilvl w:val="0"/>
          <w:numId w:val="81"/>
        </w:numPr>
        <w:rPr/>
      </w:pPr>
      <w:r>
        <w:rPr/>
        <w:t>Send the Exit Report.</w:t>
      </w:r>
    </w:p>
    <w:p>
      <w:pPr>
        <w:pStyle w:val="Compact"/>
        <w:numPr>
          <w:ilvl w:val="0"/>
          <w:numId w:val="82"/>
        </w:numPr>
        <w:rPr/>
      </w:pPr>
      <w:r>
        <w:rPr/>
        <w:t>Report any hazard observation — it enters the Hazard Register and the drift-watch.</w:t>
      </w:r>
    </w:p>
    <w:p>
      <w:pPr>
        <w:pStyle w:val="Compact"/>
        <w:numPr>
          <w:ilvl w:val="0"/>
          <w:numId w:val="83"/>
        </w:numPr>
        <w:rPr/>
      </w:pPr>
      <w:bookmarkStart w:id="413" w:name="n.5-after-transit"/>
      <w:r>
        <w:rPr/>
        <w:t>Settle any elected-service invoice through the escrow administrator; no invoice, no charge; no charge, no invoice.</w:t>
      </w:r>
      <w:bookmarkEnd w:id="413"/>
    </w:p>
    <w:p>
      <w:pPr>
        <w:pStyle w:val="Heading2"/>
        <w:rPr/>
      </w:pPr>
      <w:bookmarkStart w:id="414" w:name="__RefHeading___Toc6371_3918200752"/>
      <w:bookmarkStart w:id="415" w:name="n.6-what-the-framework-guarantees-you"/>
      <w:bookmarkEnd w:id="414"/>
      <w:r>
        <w:rPr/>
        <w:t>N.6 What the framework guarantees you</w:t>
      </w:r>
    </w:p>
    <w:p>
      <w:pPr>
        <w:pStyle w:val="Compact"/>
        <w:numPr>
          <w:ilvl w:val="0"/>
          <w:numId w:val="20"/>
        </w:numPr>
        <w:rPr/>
      </w:pPr>
      <w:r>
        <w:rPr/>
        <w:t>Passage itself is free — always. No tolls, no permits, no permission gates.</w:t>
      </w:r>
    </w:p>
    <w:p>
      <w:pPr>
        <w:pStyle w:val="Compact"/>
        <w:numPr>
          <w:ilvl w:val="0"/>
          <w:numId w:val="20"/>
        </w:numPr>
        <w:rPr/>
      </w:pPr>
      <w:r>
        <w:rPr/>
        <w:t>One contact point, one instruction stream, one logbook.</w:t>
      </w:r>
    </w:p>
    <w:p>
      <w:pPr>
        <w:pStyle w:val="Compact"/>
        <w:numPr>
          <w:ilvl w:val="0"/>
          <w:numId w:val="20"/>
        </w:numPr>
        <w:rPr/>
      </w:pPr>
      <w:r>
        <w:rPr/>
        <w:t>Acknowledgement in 15 minutes; sequence in 2 hours; published transit times.</w:t>
      </w:r>
    </w:p>
    <w:p>
      <w:pPr>
        <w:pStyle w:val="Compact"/>
        <w:numPr>
          <w:ilvl w:val="0"/>
          <w:numId w:val="20"/>
        </w:numPr>
        <w:rPr/>
      </w:pPr>
      <w:r>
        <w:rPr/>
        <w:t>Identical treatment for every flag.</w:t>
      </w:r>
    </w:p>
    <w:p>
      <w:pPr>
        <w:pStyle w:val="Compact"/>
        <w:numPr>
          <w:ilvl w:val="0"/>
          <w:numId w:val="20"/>
        </w:numPr>
        <w:rPr/>
      </w:pPr>
      <w:r>
        <w:rPr/>
        <w:t>Search and rescue from the nearest asset, without condition.</w:t>
      </w:r>
    </w:p>
    <w:p>
      <w:pPr>
        <w:pStyle w:val="Compact"/>
        <w:numPr>
          <w:ilvl w:val="0"/>
          <w:numId w:val="20"/>
        </w:numPr>
        <w:rPr/>
      </w:pPr>
      <w:r>
        <w:rPr/>
        <w:t>Certified, verified, continuously monitored corridors.</w:t>
      </w:r>
    </w:p>
    <w:p>
      <w:pPr>
        <w:pStyle w:val="Normal"/>
        <w:rPr/>
      </w:pPr>
      <w:bookmarkStart w:id="416" w:name="X136fd2f32406bc949e8629785b7c76d54eea26e"/>
      <w:bookmarkStart w:id="417" w:name="n.6-what-the-framework-guarantees-you"/>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1"/>
        <w:rPr/>
      </w:pPr>
      <w:bookmarkStart w:id="418" w:name="__RefHeading___Toc6373_3918200752"/>
      <w:bookmarkStart w:id="419" w:name="Xed86f7d4a7bb72dcc964824eddfbb9083826c42"/>
      <w:bookmarkEnd w:id="418"/>
      <w:r>
        <w:rPr/>
        <w:t>ANNEX O. THE JOINT EXERCISE AND TRAINING PROGRAM</w:t>
      </w:r>
    </w:p>
    <w:p>
      <w:pPr>
        <w:pStyle w:val="Heading2"/>
        <w:rPr/>
      </w:pPr>
      <w:bookmarkStart w:id="420" w:name="__RefHeading___Toc6375_3918200752"/>
      <w:bookmarkStart w:id="421" w:name="o.1-exercise-calendar"/>
      <w:bookmarkEnd w:id="420"/>
      <w:r>
        <w:rPr/>
        <w:t>O.1 Exercise calendar</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Exercise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Lead</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Communications-outage continuity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Alternating desks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72-hour single-desk operation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SAR activation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Distress-to-rescue full chain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Dual-key drill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Liaison Group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 concurrence, logging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Spill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Quarterly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Alternating Parties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 1 scenario, roster deployment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incident exercise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Quarterly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I-1 through I-4 combined scenario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Crisis Mode walkthrough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Semi-annual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Co-chairs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Ladder clocks, ministerial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Two trial-transit rehearsal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Annex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422" w:name="o.1-exercise-calendar"/>
            <w:r>
              <w:rPr>
                <w:rFonts w:eastAsia="Cambria" w:cs=""/>
                <w:kern w:val="0"/>
                <w:sz w:val="24"/>
                <w:szCs w:val="24"/>
                <w:lang w:val="en-US" w:eastAsia="en-US" w:bidi="ar-SA"/>
              </w:rPr>
              <w:t>Full certification-to-opening sequence</w:t>
            </w:r>
            <w:bookmarkEnd w:id="422"/>
          </w:p>
        </w:tc>
      </w:tr>
    </w:tbl>
    <w:p>
      <w:pPr>
        <w:pStyle w:val="Heading2"/>
        <w:rPr/>
      </w:pPr>
      <w:bookmarkStart w:id="423" w:name="__RefHeading___Toc6377_3918200752"/>
      <w:bookmarkEnd w:id="423"/>
      <w:r>
        <w:rPr/>
        <w:t>O.2 Training institutions</w:t>
      </w:r>
    </w:p>
    <w:p>
      <w:pPr>
        <w:pStyle w:val="Normal"/>
        <w:numPr>
          <w:ilvl w:val="0"/>
          <w:numId w:val="84"/>
        </w:numPr>
        <w:rPr/>
      </w:pPr>
      <w:r>
        <w:rPr/>
        <w:t>The joint training facility at Muscat, with a satellite classroom at Bandar Abbas, delivers: watch-officer certification (mandatory before standing a JOC watch), pilot licensing for the VS-01/02 services, clearance-quality-assurance training, environmental-response training, and the Catalog VS-10 regional crew courses.</w:t>
      </w:r>
    </w:p>
    <w:p>
      <w:pPr>
        <w:pStyle w:val="Normal"/>
        <w:numPr>
          <w:ilvl w:val="0"/>
          <w:numId w:val="85"/>
        </w:numPr>
        <w:rPr/>
      </w:pPr>
      <w:r>
        <w:rPr/>
        <w:t>Watch-officer certification requires: the 40-hour framework course, the simulator module covering both corridors and Corridor Two, the dual-key and hotline procedures exam, and one supervised watch. Certification renews every 24 months.</w:t>
      </w:r>
    </w:p>
    <w:p>
      <w:pPr>
        <w:pStyle w:val="Normal"/>
        <w:numPr>
          <w:ilvl w:val="0"/>
          <w:numId w:val="86"/>
        </w:numPr>
        <w:rPr/>
      </w:pPr>
      <w:r>
        <w:rPr/>
        <w:t>Each Party funds its own trainees; the Fund bears shared facility costs and the instructor pool.</w:t>
      </w:r>
    </w:p>
    <w:p>
      <w:pPr>
        <w:pStyle w:val="Heading2"/>
        <w:rPr/>
      </w:pPr>
      <w:bookmarkStart w:id="424" w:name="__RefHeading___Toc6379_3918200752"/>
      <w:bookmarkStart w:id="425" w:name="o.3-exercise-reporting"/>
      <w:bookmarkEnd w:id="424"/>
      <w:r>
        <w:rPr/>
        <w:t>O.3 Exercise reporting</w:t>
      </w:r>
    </w:p>
    <w:p>
      <w:pPr>
        <w:pStyle w:val="FirstParagraph"/>
        <w:rPr/>
      </w:pPr>
      <w:r>
        <w:rPr/>
        <w:t>Every exercise produces a report within 14 days: objectives, performance against standards, findings, corrective actions with owners and dates. Reports enter the compliance file and publish in summary on the portal.</w:t>
      </w:r>
    </w:p>
    <w:p>
      <w:pPr>
        <w:pStyle w:val="Normal"/>
        <w:rPr/>
      </w:pPr>
      <w:bookmarkStart w:id="426" w:name="Xed86f7d4a7bb72dcc964824eddfbb9083826c42"/>
      <w:bookmarkStart w:id="427" w:name="o.3-exercise-reporting"/>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1"/>
        <w:rPr/>
      </w:pPr>
      <w:bookmarkStart w:id="428" w:name="__RefHeading___Toc6381_3918200752"/>
      <w:bookmarkStart w:id="429" w:name="X6c6275f50e2621b21e0c77972b94ff11126599a"/>
      <w:bookmarkEnd w:id="428"/>
      <w:r>
        <w:rPr/>
        <w:t>ANNEX P. CLASSIFIED ANNEXES REGISTER AND DOCUMENT SECURITY</w:t>
      </w:r>
    </w:p>
    <w:p>
      <w:pPr>
        <w:pStyle w:val="Heading2"/>
        <w:rPr/>
      </w:pPr>
      <w:bookmarkStart w:id="430" w:name="__RefHeading___Toc6383_3918200752"/>
      <w:bookmarkStart w:id="431" w:name="p.1-the-classified-set"/>
      <w:bookmarkEnd w:id="430"/>
      <w:r>
        <w:rPr/>
        <w:t>P.1 The classified set</w:t>
      </w:r>
    </w:p>
    <w:p>
      <w:pPr>
        <w:pStyle w:val="FirstParagraph"/>
        <w:rPr/>
      </w:pPr>
      <w:r>
        <w:rPr/>
        <w:t>The following annexes and files remain classified and are held by the Depositary under the access rules below:</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Day-0 force-disposition baseline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Parties’ defense authorities; 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and correspondent routing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Finance members; Depositary; auditor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Hotline logs (raw)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Liaison Group; Depositary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Vulnerability and residual-risk assessments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Parties; IMO observer on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Register full file (with minefield records)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bookmarkStart w:id="432" w:name="p.1-the-classified-set"/>
            <w:r>
              <w:rPr>
                <w:rFonts w:eastAsia="Cambria" w:cs=""/>
                <w:kern w:val="0"/>
                <w:sz w:val="24"/>
                <w:szCs w:val="24"/>
                <w:lang w:val="en-US" w:eastAsia="en-US" w:bidi="ar-SA"/>
              </w:rPr>
              <w:t>Hydrographic Group; verification teams; Depositary</w:t>
            </w:r>
            <w:bookmarkEnd w:id="432"/>
          </w:p>
        </w:tc>
      </w:tr>
    </w:tbl>
    <w:p>
      <w:pPr>
        <w:pStyle w:val="Heading2"/>
        <w:rPr/>
      </w:pPr>
      <w:bookmarkStart w:id="433" w:name="__RefHeading___Toc6385_3918200752"/>
      <w:bookmarkEnd w:id="433"/>
      <w:r>
        <w:rPr/>
        <w:t>P.2 Classification rules</w:t>
      </w:r>
    </w:p>
    <w:p>
      <w:pPr>
        <w:pStyle w:val="Compact"/>
        <w:numPr>
          <w:ilvl w:val="0"/>
          <w:numId w:val="87"/>
        </w:numPr>
        <w:rPr/>
      </w:pPr>
      <w:r>
        <w:rPr/>
        <w:t>Classification requires a specific, articulable security rationale recorded with the decision. (b) The Joint Committee reviews every classification quarterly against the presumption of disclosure (Art. 27.6). (c) Declassification or summary publication occurs as soon as the rationale lapses. (d) The Depositary certifies annually that the classified set contains only items meeting the test.</w:t>
      </w:r>
    </w:p>
    <w:p>
      <w:pPr>
        <w:pStyle w:val="Heading2"/>
        <w:rPr/>
      </w:pPr>
      <w:bookmarkStart w:id="434" w:name="__RefHeading___Toc6387_3918200752"/>
      <w:bookmarkStart w:id="435" w:name="p.3-handling"/>
      <w:bookmarkEnd w:id="434"/>
      <w:r>
        <w:rPr/>
        <w:t>P.3 Handling</w:t>
      </w:r>
    </w:p>
    <w:p>
      <w:pPr>
        <w:pStyle w:val="FirstParagraph"/>
        <w:rPr/>
      </w:pPr>
      <w:r>
        <w:rPr/>
        <w:t>Classified items store on segregated systems at both desks and the Depositary, transmit only through the secure circuits of Annex F, and never appear on the portal or in published reports except in redacted summary form approved by both co-chairs.</w:t>
      </w:r>
    </w:p>
    <w:p>
      <w:pPr>
        <w:pStyle w:val="Normal"/>
        <w:rPr/>
      </w:pPr>
      <w:bookmarkStart w:id="436" w:name="X6c6275f50e2621b21e0c77972b94ff11126599a"/>
      <w:bookmarkStart w:id="437" w:name="p.3-handling"/>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rPr/>
      </w:pPr>
      <w:bookmarkStart w:id="438" w:name="__RefHeading___Toc6389_3918200752"/>
      <w:bookmarkStart w:id="439" w:name="X7fb9a4f22b41d1318373b5164d5ac775d1559cb"/>
      <w:bookmarkEnd w:id="438"/>
      <w:r>
        <w:rPr/>
        <w:t>CLOSING NOTE OF THE DRAFTING FACILITATORS</w:t>
      </w:r>
    </w:p>
    <w:p>
      <w:pPr>
        <w:pStyle w:val="FirstParagraph"/>
        <w:rPr/>
      </w:pPr>
      <w:r>
        <w:rPr/>
        <w:t>The facilitators record the shared understanding expressed at the close of the Muscat technical sessions: this Agreement opens the Strait, keeps it open, and pays its stewards — without tolls, without permission gates, and without prejudice to any Party’s position in any other forum. Its corridors exist on paper only until the first certified transit; the Parties commit to that first transit at the earliest safe date, and to every transit thereafter.</w:t>
      </w:r>
    </w:p>
    <w:p>
      <w:pPr>
        <w:pStyle w:val="TextBody"/>
        <w:spacing w:before="180" w:after="180"/>
        <w:rPr/>
      </w:pPr>
      <w:bookmarkStart w:id="440" w:name="X7fb9a4f22b41d1318373b5164d5ac775d1559cb"/>
      <w:r>
        <w:rPr>
          <w:i/>
          <w:iCs/>
        </w:rPr>
        <w:t>Muscat, August 2026.</w:t>
      </w:r>
      <w:bookmarkEnd w:id="440"/>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4" w:color="B0BEC5"/>
      </w:pBdr>
      <w:spacing w:before="0" w:after="120"/>
      <w:jc w:val="center"/>
      <w:rPr/>
    </w:pPr>
    <w:r>
      <w:rPr>
        <w:rFonts w:ascii="Calibri" w:hAnsi="Calibri"/>
        <w:color w:val="78909C"/>
        <w:sz w:val="18"/>
      </w:rPr>
      <w:t xml:space="preserve">Page </w:t>
    </w:r>
    <w:r>
      <w:rPr/>
      <w:fldChar w:fldCharType="begin"/>
    </w:r>
    <w:r>
      <w:rPr/>
      <w:instrText xml:space="preserve"> PAGE </w:instrText>
    </w:r>
    <w:r>
      <w:rPr/>
      <w:fldChar w:fldCharType="separate"/>
    </w:r>
    <w:r>
      <w:rPr/>
      <w:t>5</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4" w:color="B0BEC5"/>
      </w:pBdr>
      <w:spacing w:before="0" w:after="120"/>
      <w:jc w:val="center"/>
      <w:rPr/>
    </w:pPr>
    <w:r>
      <w:rPr>
        <w:rFonts w:ascii="Calibri" w:hAnsi="Calibri"/>
        <w:color w:val="78909C"/>
        <w:sz w:val="18"/>
      </w:rPr>
      <w:t xml:space="preserve">Page </w:t>
    </w:r>
    <w:r>
      <w:rPr/>
      <w:fldChar w:fldCharType="begin"/>
    </w:r>
    <w:r>
      <w:rPr/>
      <w:instrText xml:space="preserve"> PAGE </w:instrText>
    </w:r>
    <w:r>
      <w:rPr/>
      <w:fldChar w:fldCharType="separate"/>
    </w:r>
    <w:r>
      <w:rPr/>
      <w:t>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4" w:color="B0BEC5"/>
      </w:pBdr>
      <w:spacing w:before="0" w:after="120"/>
      <w:jc w:val="right"/>
      <w:rPr/>
    </w:pPr>
    <w:r>
      <w:rPr>
        <w:rFonts w:ascii="Calibri" w:hAnsi="Calibri"/>
        <w:caps/>
        <w:color w:val="78909C"/>
        <w:sz w:val="16"/>
      </w:rPr>
      <w:t>THE HORMUZ BILATERAL CORRIDOR AND STEWARDSHIP AGREEMENT  ·  SHARED STEWARDSHIP</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4" w:color="B0BEC5"/>
      </w:pBdr>
      <w:spacing w:before="0" w:after="120"/>
      <w:jc w:val="right"/>
      <w:rPr/>
    </w:pPr>
    <w:r>
      <w:rPr>
        <w:rFonts w:ascii="Calibri" w:hAnsi="Calibri"/>
        <w:caps/>
        <w:color w:val="78909C"/>
        <w:sz w:val="16"/>
      </w:rPr>
      <w:t>THE HORMUZ BILATERAL CORRIDOR AND STEWARDSHIP AGREEMENT  ·  SHARED STEWARDSHIP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6">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7">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9">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2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num>
  <w:num w:numId="38">
    <w:abstractNumId w:val="1"/>
  </w:num>
  <w:num w:numId="39">
    <w:abstractNumId w:val="1"/>
  </w:num>
  <w:num w:numId="40">
    <w:abstractNumId w:val="1"/>
    <w:lvlOverride w:ilvl="0">
      <w:startOverride w:val="1"/>
    </w:lvlOverride>
  </w:num>
  <w:num w:numId="41">
    <w:abstractNumId w:val="1"/>
  </w:num>
  <w:num w:numId="42">
    <w:abstractNumId w:val="1"/>
  </w:num>
  <w:num w:numId="43">
    <w:abstractNumId w:val="1"/>
    <w:lvlOverride w:ilvl="0">
      <w:startOverride w:val="1"/>
    </w:lvlOverride>
  </w:num>
  <w:num w:numId="44">
    <w:abstractNumId w:val="1"/>
  </w:num>
  <w:num w:numId="45">
    <w:abstractNumId w:val="1"/>
  </w:num>
  <w:num w:numId="46">
    <w:abstractNumId w:val="1"/>
    <w:lvlOverride w:ilvl="0">
      <w:startOverride w:val="1"/>
    </w:lvlOverride>
  </w:num>
  <w:num w:numId="47">
    <w:abstractNumId w:val="1"/>
  </w:num>
  <w:num w:numId="48">
    <w:abstractNumId w:val="1"/>
  </w:num>
  <w:num w:numId="49">
    <w:abstractNumId w:val="1"/>
  </w:num>
  <w:num w:numId="50">
    <w:abstractNumId w:val="1"/>
  </w:num>
  <w:num w:numId="51">
    <w:abstractNumId w:val="1"/>
    <w:lvlOverride w:ilvl="0">
      <w:startOverride w:val="1"/>
    </w:lvlOverride>
  </w:num>
  <w:num w:numId="52">
    <w:abstractNumId w:val="1"/>
  </w:num>
  <w:num w:numId="53">
    <w:abstractNumId w:val="1"/>
  </w:num>
  <w:num w:numId="54">
    <w:abstractNumId w:val="1"/>
    <w:lvlOverride w:ilvl="0">
      <w:startOverride w:val="1"/>
    </w:lvlOverride>
  </w:num>
  <w:num w:numId="55">
    <w:abstractNumId w:val="1"/>
  </w:num>
  <w:num w:numId="56">
    <w:abstractNumId w:val="1"/>
  </w:num>
  <w:num w:numId="57">
    <w:abstractNumId w:val="10"/>
    <w:lvlOverride w:ilvl="0">
      <w:startOverride w:val="1"/>
    </w:lvlOverride>
  </w:num>
  <w:num w:numId="58">
    <w:abstractNumId w:val="10"/>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num>
  <w:num w:numId="64">
    <w:abstractNumId w:val="1"/>
  </w:num>
  <w:num w:numId="65">
    <w:abstractNumId w:val="1"/>
  </w:num>
  <w:num w:numId="66">
    <w:abstractNumId w:val="1"/>
  </w:num>
  <w:num w:numId="67">
    <w:abstractNumId w:val="10"/>
    <w:lvlOverride w:ilvl="0">
      <w:startOverride w:val="1"/>
    </w:lvlOverride>
  </w:num>
  <w:num w:numId="68">
    <w:abstractNumId w:val="10"/>
  </w:num>
  <w:num w:numId="69">
    <w:abstractNumId w:val="10"/>
  </w:num>
  <w:num w:numId="70">
    <w:abstractNumId w:val="10"/>
  </w:num>
  <w:num w:numId="71">
    <w:abstractNumId w:val="10"/>
  </w:num>
  <w:num w:numId="72">
    <w:abstractNumId w:val="10"/>
    <w:lvlOverride w:ilvl="0">
      <w:startOverride w:val="1"/>
    </w:lvlOverride>
  </w:num>
  <w:num w:numId="73">
    <w:abstractNumId w:val="10"/>
  </w:num>
  <w:num w:numId="74">
    <w:abstractNumId w:val="10"/>
  </w:num>
  <w:num w:numId="75">
    <w:abstractNumId w:val="10"/>
  </w:num>
  <w:num w:numId="76">
    <w:abstractNumId w:val="10"/>
    <w:lvlOverride w:ilvl="0">
      <w:startOverride w:val="1"/>
    </w:lvlOverride>
  </w:num>
  <w:num w:numId="77">
    <w:abstractNumId w:val="10"/>
  </w:num>
  <w:num w:numId="78">
    <w:abstractNumId w:val="10"/>
  </w:num>
  <w:num w:numId="79">
    <w:abstractNumId w:val="10"/>
  </w:num>
  <w:num w:numId="80">
    <w:abstractNumId w:val="10"/>
  </w:num>
  <w:num w:numId="81">
    <w:abstractNumId w:val="10"/>
    <w:lvlOverride w:ilvl="0">
      <w:startOverride w:val="1"/>
    </w:lvlOverride>
  </w:num>
  <w:num w:numId="82">
    <w:abstractNumId w:val="10"/>
  </w:num>
  <w:num w:numId="83">
    <w:abstractNumId w:val="10"/>
  </w:num>
  <w:num w:numId="84">
    <w:abstractNumId w:val="1"/>
    <w:lvlOverride w:ilvl="0">
      <w:startOverride w:val="1"/>
    </w:lvlOverride>
  </w:num>
  <w:num w:numId="85">
    <w:abstractNumId w:val="1"/>
  </w:num>
  <w:num w:numId="86">
    <w:abstractNumId w:val="1"/>
  </w:num>
  <w:num w:numId="87">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spacing w:lineRule="exact" w:line="200" w:before="0" w:after="0"/>
    </w:pPr>
    <w:rPr>
      <w:sz w:val="18"/>
      <w:szCs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bCs w:val="false"/>
      <w:color w:val="37474F"/>
      <w:sz w:val="32"/>
    </w:rPr>
  </w:style>
  <w:style w:type="paragraph" w:styleId="SourceCode" w:customStyle="1">
    <w:name w:val="Source Code"/>
    <w:basedOn w:val="Normal"/>
    <w:link w:val="VerbatimChar"/>
    <w:qFormat/>
    <w:pPr/>
    <w:rPr/>
  </w:style>
  <w:style w:type="paragraph" w:styleId="Contents1" w:customStyle="1">
    <w:name w:val="TOC 1"/>
    <w:pPr>
      <w:widowControl/>
      <w:bidi w:val="0"/>
      <w:spacing w:before="120" w:after="40"/>
      <w:ind w:left="0" w:hanging="0"/>
      <w:jc w:val="left"/>
    </w:pPr>
    <w:rPr>
      <w:rFonts w:ascii="Calibri" w:hAnsi="Calibri" w:cs="Calibri" w:eastAsia="Cambria"/>
      <w:b/>
      <w:color w:val="000000"/>
      <w:kern w:val="0"/>
      <w:sz w:val="24"/>
      <w:szCs w:val="24"/>
      <w:lang w:val="en-US" w:eastAsia="en-US" w:bidi="ar-SA"/>
    </w:rPr>
  </w:style>
  <w:style w:type="paragraph" w:styleId="Contents2" w:customStyle="1">
    <w:name w:val="TOC 2"/>
    <w:pPr>
      <w:widowControl/>
      <w:bidi w:val="0"/>
      <w:spacing w:before="0" w:after="20"/>
      <w:ind w:left="360" w:hanging="0"/>
      <w:jc w:val="left"/>
    </w:pPr>
    <w:rPr>
      <w:rFonts w:ascii="Calibri" w:hAnsi="Calibri" w:cs="Calibri" w:eastAsia="Cambria"/>
      <w:b w:val="false"/>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60</Pages>
  <Words>19298</Words>
  <Characters>116522</Characters>
  <CharactersWithSpaces>134706</CharactersWithSpaces>
  <Paragraphs>1204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2026-08-14T07:20:09Z</dcterms:created>
  <dc:creator/>
  <dc:description/>
  <dc:language>en-US</dc:language>
  <cp:lastModifiedBy/>
  <dcterms:modified xsi:type="dcterms:W3CDTF">2026-08-14T12:08:16Z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